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3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 2026</w:t>
      </w:r>
    </w:p>
    <w:tbl>
      <w:tblPr>
        <w:tblW w:w="9057" w:type="dxa"/>
        <w:jc w:val="center"/>
        <w:tblInd w:w="0" w:type="dxa"/>
        <w:tblLayout w:type="fixed"/>
        <w:tblCellMar>
          <w:top w:w="28" w:type="dxa"/>
          <w:left w:w="28" w:type="dxa"/>
          <w:bottom w:w="28" w:type="dxa"/>
          <w:right w:w="28" w:type="dxa"/>
        </w:tblCellMar>
      </w:tblPr>
      <w:tblGrid>
        <w:gridCol w:w="564"/>
        <w:gridCol w:w="496"/>
        <w:gridCol w:w="497"/>
        <w:gridCol w:w="433"/>
        <w:gridCol w:w="433"/>
        <w:gridCol w:w="441"/>
        <w:gridCol w:w="1054"/>
        <w:gridCol w:w="1054"/>
        <w:gridCol w:w="1056"/>
        <w:gridCol w:w="884"/>
        <w:gridCol w:w="884"/>
        <w:gridCol w:w="1261"/>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Victoria's Secret &amp; Co.</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Delaware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001-40515</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86-3167653</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 Limited Parkway East</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Reynoldsburg,</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43068</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(614) 577-7000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left"/>
        <w:tblInd w:w="0" w:type="dxa"/>
        <w:tblLayout w:type="fixed"/>
        <w:tblCellMar>
          <w:top w:w="28" w:type="dxa"/>
          <w:left w:w="28" w:type="dxa"/>
          <w:bottom w:w="28" w:type="dxa"/>
          <w:right w:w="28" w:type="dxa"/>
        </w:tblCellMar>
      </w:tblPr>
      <w:tblGrid>
        <w:gridCol w:w="997"/>
        <w:gridCol w:w="876"/>
        <w:gridCol w:w="886"/>
        <w:gridCol w:w="109"/>
        <w:gridCol w:w="109"/>
        <w:gridCol w:w="109"/>
        <w:gridCol w:w="564"/>
        <w:gridCol w:w="564"/>
        <w:gridCol w:w="566"/>
        <w:gridCol w:w="109"/>
        <w:gridCol w:w="109"/>
        <w:gridCol w:w="109"/>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VSXY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3, 2026, Victoria’s Secret &amp; Co. issued a press release setting forth its second quarter 2026 results and its third quarter and updated full year 2026 earnings guidance. A copy of the press release is attached hereto as Exhibit 99.1 and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3"/>
        <w:gridCol w:w="2573"/>
        <w:gridCol w:w="3665"/>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991vsxyq22026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Victoria’s Secret &amp; Co., dated September 3, 2026.</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87" w:type="dxa"/>
        <w:jc w:val="right"/>
        <w:tblInd w:w="0" w:type="dxa"/>
        <w:tblLayout w:type="fixed"/>
        <w:tblCellMar>
          <w:top w:w="28" w:type="dxa"/>
          <w:left w:w="28" w:type="dxa"/>
          <w:bottom w:w="28" w:type="dxa"/>
          <w:right w:w="28" w:type="dxa"/>
        </w:tblCellMar>
      </w:tblPr>
      <w:tblGrid>
        <w:gridCol w:w="200"/>
        <w:gridCol w:w="177"/>
        <w:gridCol w:w="178"/>
        <w:gridCol w:w="539"/>
        <w:gridCol w:w="539"/>
        <w:gridCol w:w="541"/>
        <w:gridCol w:w="134"/>
        <w:gridCol w:w="134"/>
        <w:gridCol w:w="136"/>
        <w:gridCol w:w="939"/>
        <w:gridCol w:w="939"/>
        <w:gridCol w:w="13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8"/>
        </w:rPr>
      </w:pPr>
      <w:r>
        <w:rPr>
          <w:rFonts w:ascii="Times New Roman;serif" w:hAnsi="Times New Roman;serif"/>
          <w:b w:val="false"/>
          <w:color w:val="000000"/>
          <w:sz w:val="28"/>
        </w:rPr>
        <w:t>Exhibit 99.1</w:t>
      </w:r>
    </w:p>
    <w:p>
      <w:pPr>
        <w:pStyle w:val="TextBody"/>
        <w:bidi w:val="0"/>
        <w:spacing w:before="0" w:after="0"/>
        <w:jc w:val="center"/>
        <w:rPr/>
      </w:pPr>
      <w:r>
        <w:rPr/>
        <w:drawing>
          <wp:inline distT="0" distB="0" distL="0" distR="0">
            <wp:extent cx="5105400" cy="1381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105400" cy="1381125"/>
                    </a:xfrm>
                    <a:prstGeom prst="rect">
                      <a:avLst/>
                    </a:prstGeom>
                  </pic:spPr>
                </pic:pic>
              </a:graphicData>
            </a:graphic>
          </wp:inline>
        </w:drawing>
      </w:r>
    </w:p>
    <w:p>
      <w:pPr>
        <w:pStyle w:val="TextBody"/>
        <w:bidi w:val="0"/>
        <w:spacing w:lineRule="auto" w:line="268" w:before="0" w:after="180"/>
        <w:jc w:val="center"/>
        <w:rPr>
          <w:rFonts w:ascii="Times New Roman;serif" w:hAnsi="Times New Roman;serif"/>
          <w:b/>
          <w:color w:val="000000"/>
          <w:sz w:val="28"/>
        </w:rPr>
      </w:pPr>
      <w:r>
        <w:rPr>
          <w:rFonts w:ascii="Times New Roman;serif" w:hAnsi="Times New Roman;serif"/>
          <w:b/>
          <w:color w:val="000000"/>
          <w:sz w:val="28"/>
        </w:rPr>
        <w:t>Victoria’s Secret &amp; Co. Reports Second Quarter 2026 Results</w:t>
      </w:r>
    </w:p>
    <w:p>
      <w:pPr>
        <w:pStyle w:val="TextBody"/>
        <w:bidi w:val="0"/>
        <w:spacing w:before="0" w:after="0"/>
        <w:jc w:val="center"/>
        <w:rPr/>
      </w:pPr>
      <w:r>
        <w:rPr/>
      </w:r>
    </w:p>
    <w:p>
      <w:pPr>
        <w:pStyle w:val="TextBody"/>
        <w:bidi w:val="0"/>
        <w:spacing w:lineRule="auto" w:line="268" w:before="0" w:after="80"/>
        <w:ind w:left="0" w:right="0" w:hanging="360"/>
        <w:jc w:val="left"/>
        <w:rPr/>
      </w:pPr>
      <w:r>
        <w:rPr>
          <w:color w:val="000000"/>
        </w:rPr>
        <w:t>•</w:t>
      </w:r>
      <w:r>
        <w:rPr>
          <w:rFonts w:ascii="Times New Roman;serif" w:hAnsi="Times New Roman;serif"/>
          <w:b/>
          <w:color w:val="000000"/>
          <w:sz w:val="26"/>
        </w:rPr>
        <w:t>Net Sales Increased 10% to $1.611 Billion, Near High-End of Guidance</w:t>
      </w:r>
    </w:p>
    <w:p>
      <w:pPr>
        <w:pStyle w:val="TextBody"/>
        <w:bidi w:val="0"/>
        <w:spacing w:lineRule="auto" w:line="268" w:before="0" w:after="80"/>
        <w:ind w:left="0" w:right="0" w:hanging="360"/>
        <w:jc w:val="left"/>
        <w:rPr/>
      </w:pPr>
      <w:r>
        <w:rPr>
          <w:color w:val="000000"/>
        </w:rPr>
        <w:t>•</w:t>
      </w:r>
      <w:r>
        <w:rPr>
          <w:rFonts w:ascii="Times New Roman;serif" w:hAnsi="Times New Roman;serif"/>
          <w:b/>
          <w:color w:val="000000"/>
          <w:sz w:val="26"/>
        </w:rPr>
        <w:t>Operating Income Increased to $257 Million; Adjusted Operating Income of $124 Million Exceeds Guidance</w:t>
      </w:r>
    </w:p>
    <w:p>
      <w:pPr>
        <w:pStyle w:val="TextBody"/>
        <w:bidi w:val="0"/>
        <w:spacing w:lineRule="auto" w:line="268" w:before="0" w:after="80"/>
        <w:ind w:left="0" w:right="0" w:hanging="360"/>
        <w:jc w:val="left"/>
        <w:rPr/>
      </w:pPr>
      <w:r>
        <w:rPr>
          <w:color w:val="000000"/>
        </w:rPr>
        <w:t>•</w:t>
      </w:r>
      <w:r>
        <w:rPr>
          <w:rFonts w:ascii="Times New Roman;serif" w:hAnsi="Times New Roman;serif"/>
          <w:b/>
          <w:color w:val="000000"/>
          <w:sz w:val="26"/>
        </w:rPr>
        <w:t>VS&amp;Co Raises Full Year 2026 Net Sales and Adjusted Operating Income Guidance</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4"/>
        </w:rPr>
        <w:t>Reynoldsburg, Ohio (September 3, 2026)</w:t>
      </w:r>
      <w:r>
        <w:rPr>
          <w:color w:val="000000"/>
        </w:rPr>
        <w:t>—</w:t>
      </w:r>
      <w:r>
        <w:rPr>
          <w:rFonts w:ascii="Times New Roman;serif" w:hAnsi="Times New Roman;serif"/>
          <w:b w:val="false"/>
          <w:color w:val="000000"/>
          <w:sz w:val="24"/>
        </w:rPr>
        <w:t xml:space="preserve">Victoria’s Secret &amp; Co. (“VS&amp;Co” or the “Company”) (NYSE: VSXY) today reported financial results for the second quarter ended August 1,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Hillary Super, VS&amp;Co Chief Executive Officer, said, “We delivered another strong quarter with broad-based growth across the business. Our Path to Potential strategy is working, our brands are stronger and more relevant, our customer file is growing, and we are gaining market share as product, brand identity, storytelling and execution are all working together.”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Ms. Super added, “We see significant opportunity ahead and are doubling down on what is working. We are increasing our strategic marketing investment to expand our reach, deepen customer connection, and build on the brand heat we are creating. With more product innovation, partnerships and emotionally connected campaigns ahead – including the Angels Among Us docuseries, an even bigger and better Victoria’s Secret Fashion Show and holiday activations – we are incredibly excited about the back half of the year and the opportunity to continue building both of these iconic brands.”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Scott Sekella, VS&amp;Co Chief Financial and Operating Officer, said, “Our second quarter results demonstrate the continued strength and improving quality of the business. Net sales increased 10%, near the high-end of our guidance, while adjusted operating income exceeded our expectations. We continued to benefit from stronger regular-price selling and disciplined execution, while navigating ongoing tariff uncertainty. Given our strong first-half performance and continued momentum entering the back half, we are raising our full-year net sales and adjusted operating income outlook. We remain focused on delivering profitable growth while making deliberate investments in product, customer experience and marketing to drive new customer growth and sustainable long-term value.”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Second Quarter 2026 Results</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reported net sales of $1.611 billion for the second quarter of 2026, an increase of 10% compared to net sales of $1.459 billion for the second quarter of 2025 and near the high-end of the previously communicated guidance range of $1.590 billion to $1.615 billion. Total comparable sales for the second quarter of 2026 increased 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reported operating income for the second quarter of 2026 of $257 million compared to operating income of $41 million in the second quarter of 2025. Net income was $183 million, or $2.18 per diluted share, for the second quarter of 2026 compared to net income of $16 million, or $0.20 per diluted share, for the second quarter of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the second quarter of 2026, the Company received IEEPA tariff refunds of over $140 million, representing over 95% of the IEEPA tariffs paid by the Company. The impact of the tariff refunds, along with the other adjusted item described at the conclusion of this press release, have been excluded from our adjusted results.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Excluding the impact of the adjusted items, adjusted operating income for the second quarter of 2026 was $124 million, which was above the previously communicated guidance range of $90 million to $100 million. This result compares to last year’s second quarter adjusted operating income of $55 million. Adjusted net income for the second quarter of 2026 was $80 million, or $0.95 per diluted share, which was above the previously communicated guidance range of $0.65 to $0.75 per diluted share. This result compares to last year’s second quarter adjusted net income of $27 million, or $0.33 per diluted share.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Full Year and Third Quarter 2026 Outlook</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is now forecasting fiscal year 2026 net sales to be in the range of $7.100 billion to $7.180 billion, an increase compared to the previously communicated guidance range of $7.030 billion to $7.130 billion, and compared to net sales of $6.553 billion in fiscal year 2025. At this forecasted level of net sales, the Company is now forecasting adjusted operating income for fiscal year 2026 to be in the range of $560 million to $590 million, an increase compared to previously communicated guidance range of $550 million to $580 million, and compared to fiscal year 2025 adjusted operating income of $403 million.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is forecasting net sales for the third quarter of 2026 to be in the range of $1.570 billion to $1.600 billion compared to net sales of $1.472 billion for the third quarter of 2025. At this forecasted level of net sales, operating income for the third quarter of 2026 is expected to be in the range of $10 million to $20 million compared to adjusted operating income of $0 million for the third quarter of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Adjusted Financial Information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At the conclusion of this press release, the Company has included a description of adjusted items and a reconciliation of reported to adjusted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Quarterly Earnings Conference Call</w:t>
      </w:r>
    </w:p>
    <w:p>
      <w:pPr>
        <w:pStyle w:val="TextBody"/>
        <w:bidi w:val="0"/>
        <w:spacing w:lineRule="auto" w:line="268" w:before="0" w:after="0"/>
        <w:jc w:val="both"/>
        <w:rPr/>
      </w:pPr>
      <w:r>
        <w:rPr>
          <w:rFonts w:ascii="Times New Roman;serif" w:hAnsi="Times New Roman;serif"/>
          <w:b w:val="false"/>
          <w:color w:val="000000"/>
          <w:sz w:val="24"/>
        </w:rPr>
        <w:t xml:space="preserve">Victoria’s Secret &amp; Co. will conduct its second quarter earnings call at 8:30 a.m. Eastern on Thursday, September 3, 2026. To listen, call 1-800-619-9066 (international dial-in number: 1-212-519-0836); passcode 5358727. For an audio replay, call 1-800-839-2204 (international replay number: 1-203-369-3032); passcode 2485654 or log onto </w:t>
      </w:r>
      <w:r>
        <w:rPr>
          <w:rFonts w:ascii="Times New Roman;serif" w:hAnsi="Times New Roman;serif"/>
          <w:b w:val="false"/>
          <w:color w:val="000000"/>
          <w:sz w:val="24"/>
          <w:u w:val="single"/>
        </w:rPr>
        <w:t>www.victoriassecretandco.com</w:t>
      </w:r>
      <w:r>
        <w:rPr>
          <w:rFonts w:ascii="Times New Roman;serif" w:hAnsi="Times New Roman;serif"/>
          <w:b w:val="false"/>
          <w:color w:val="000000"/>
          <w:sz w:val="24"/>
        </w:rPr>
        <w:t>. The materials accompanying the earnings call have been posted on the Investors section of the Company’s website. The audio replay will be available approximately two hours after the conclusion of the call.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About Victoria’s Secret &amp; Co.</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Victoria’s Secret &amp; Co. (NYSE: VSXY)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approximately 1,430 retail stores in approximately 70 countries.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Safe Harbor Statement Under the Private Securities Litigation Reform Act of 1995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“forecast,”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general economic conditions, inflation, and changes in consumer confidence and consumer spending patterns;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uncertainty in the global trade environment, including the imposition or threatened imposition of tariffs or other trade policies;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successfully implement our strategic plan;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difficulties arising from changes and turnover in company leadership or other key positions;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attract, develop and retain qualified associates and manage labor-related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dependence on traffic to our stores and the availability of suitable store locations on satisfactory terms;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successfully operate and expand internationally and related risks;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operations and performance of our franchisees, licensees, wholesalers and joint venture partners;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successfully operate and grow our direct channel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protect our reputation and the image and value of our brands;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attract customers with marketing, advertising and promotional programs;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highly competitive nature of the retail industry and the segments in which we operate;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consumer acceptance of our products and our ability to manage the life cycle of our brands, remain current with fashion trends, and develop and launch new merchandise and product lines successfully;</w:t>
      </w:r>
    </w:p>
    <w:p>
      <w:pPr>
        <w:pStyle w:val="TextBody"/>
        <w:bidi w:val="0"/>
        <w:spacing w:lineRule="auto" w:line="268"/>
        <w:ind w:left="0" w:right="0" w:hanging="360"/>
        <w:jc w:val="both"/>
        <w:rPr/>
      </w:pPr>
      <w:r>
        <w:rPr>
          <w:color w:val="000000"/>
        </w:rPr>
        <w:t>•</w:t>
      </w:r>
      <w:r>
        <w:rPr>
          <w:rFonts w:ascii="Times New Roman;serif" w:hAnsi="Times New Roman;serif"/>
          <w:b w:val="false"/>
          <w:color w:val="000000"/>
          <w:sz w:val="24"/>
        </w:rPr>
        <w:t>our ability to integrate acquired businesses and realize the benefits and synergies sought with such acquisitions;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incorporate artificial intelligence and other emerging technologies into our business operations successfully and ethically while effectively managing the associated risks;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source materials and produce, distribute and sell merchandise on a global basis, including risks related to:</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political instability and geopolitical conflicts;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environmental hazards and natural disasters;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significant health hazards and pandemics;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delays or disruptions in shipping and transportation and related pricing impacts;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foreign currency exchange rate fluctuations;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disruption due to labor disputes;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geographic concentration of production and distribution facilities in Southeast Asia and central Ohio;</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ability of our vendors to manufacture and deliver products in a timely manner, meet quality standards and comply with applicable laws and regulations;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fluctuations in freight, product input and energy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and our third-party service providers’ ability to implement and maintain information technology systems and to protect associated data and system availability;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maintain the security and privacy of customer, associate, third-party and company information;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stock price volatility;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shareholder activism matters;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maintain our credit ratings;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comply with legal and regulatory requirements;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legal, tax, trade and other regulatory matters.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All forward-looking statements are made only as of the date of this press release. 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2025 Annual Report on Form 10-K filed with the Securities and Exchange Commission on March 20,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For further information, please contact:</w:t>
      </w:r>
    </w:p>
    <w:p>
      <w:pPr>
        <w:pStyle w:val="TextBody"/>
        <w:bidi w:val="0"/>
        <w:spacing w:before="0" w:after="0"/>
        <w:jc w:val="left"/>
        <w:rPr/>
      </w:pPr>
      <w:r>
        <w:rPr/>
      </w:r>
    </w:p>
    <w:tbl>
      <w:tblPr>
        <w:tblW w:w="6965" w:type="dxa"/>
        <w:jc w:val="left"/>
        <w:tblInd w:w="0" w:type="dxa"/>
        <w:tblLayout w:type="fixed"/>
        <w:tblCellMar>
          <w:top w:w="28" w:type="dxa"/>
          <w:left w:w="28" w:type="dxa"/>
          <w:bottom w:w="28" w:type="dxa"/>
          <w:right w:w="28" w:type="dxa"/>
        </w:tblCellMar>
      </w:tblPr>
      <w:tblGrid>
        <w:gridCol w:w="1105"/>
        <w:gridCol w:w="976"/>
        <w:gridCol w:w="980"/>
        <w:gridCol w:w="271"/>
        <w:gridCol w:w="271"/>
        <w:gridCol w:w="271"/>
        <w:gridCol w:w="902"/>
        <w:gridCol w:w="902"/>
        <w:gridCol w:w="1287"/>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69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Victoria’s Secret &amp; Co.:</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Investor Relations:</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Media Relations:</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investorrelations@victoria.com</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Brooke Wilson</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communications@victoria.com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8" name="Frame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Total Net Sales (Millions):</w:t>
      </w:r>
    </w:p>
    <w:tbl>
      <w:tblPr>
        <w:tblW w:w="9736" w:type="dxa"/>
        <w:jc w:val="left"/>
        <w:tblInd w:w="0" w:type="dxa"/>
        <w:tblLayout w:type="fixed"/>
        <w:tblCellMar>
          <w:top w:w="28" w:type="dxa"/>
          <w:left w:w="28" w:type="dxa"/>
          <w:bottom w:w="28" w:type="dxa"/>
          <w:right w:w="28" w:type="dxa"/>
        </w:tblCellMar>
      </w:tblPr>
      <w:tblGrid>
        <w:gridCol w:w="705"/>
        <w:gridCol w:w="620"/>
        <w:gridCol w:w="625"/>
        <w:gridCol w:w="211"/>
        <w:gridCol w:w="766"/>
        <w:gridCol w:w="109"/>
        <w:gridCol w:w="109"/>
        <w:gridCol w:w="109"/>
        <w:gridCol w:w="109"/>
        <w:gridCol w:w="211"/>
        <w:gridCol w:w="766"/>
        <w:gridCol w:w="109"/>
        <w:gridCol w:w="109"/>
        <w:gridCol w:w="109"/>
        <w:gridCol w:w="109"/>
        <w:gridCol w:w="232"/>
        <w:gridCol w:w="234"/>
        <w:gridCol w:w="299"/>
        <w:gridCol w:w="109"/>
        <w:gridCol w:w="109"/>
        <w:gridCol w:w="109"/>
        <w:gridCol w:w="233"/>
        <w:gridCol w:w="847"/>
        <w:gridCol w:w="121"/>
        <w:gridCol w:w="109"/>
        <w:gridCol w:w="109"/>
        <w:gridCol w:w="109"/>
        <w:gridCol w:w="233"/>
        <w:gridCol w:w="847"/>
        <w:gridCol w:w="121"/>
        <w:gridCol w:w="109"/>
        <w:gridCol w:w="109"/>
        <w:gridCol w:w="109"/>
        <w:gridCol w:w="233"/>
        <w:gridCol w:w="233"/>
        <w:gridCol w:w="34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Inc/</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Inc/</w:t>
              <w:br/>
              <w:t>(Dec)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 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hanging="225"/>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 Beginning in the third quarter of 2025, direct sales in the European Union are reported in our International channel. Prior to the third quarter of 2025, direct sales in the European Union are reported in our Direct channel. Direct sales in the European Union reported in the International channel were $22 million in the second quarter of 2026 and $39 million year-to-date 2026. </w:t>
      </w:r>
    </w:p>
    <w:p>
      <w:pPr>
        <w:pStyle w:val="TextBody"/>
        <w:bidi w:val="0"/>
        <w:spacing w:lineRule="auto" w:line="268" w:before="0" w:after="0"/>
        <w:ind w:left="0" w:right="0" w:hanging="225"/>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Results include consolidated joint venture sales in China, royalties associated with franchise partners’ sales, wholesale sales, and beginning in the third quarter of 2025 direct sales in the European Union. Prior to the third quarter of 2025, direct sales in the European Union are reported in our Direct channel. Direct sales in the European Union reported in the International channel were $22 million in the second quarter of 2026 and $39 million year-to-date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225"/>
        <w:jc w:val="left"/>
        <w:rPr>
          <w:rFonts w:ascii="Times New Roman;serif" w:hAnsi="Times New Roman;serif"/>
          <w:b/>
          <w:color w:val="000000"/>
          <w:sz w:val="24"/>
        </w:rPr>
      </w:pPr>
      <w:r>
        <w:rPr>
          <w:rFonts w:ascii="Times New Roman;serif" w:hAnsi="Times New Roman;serif"/>
          <w:b/>
          <w:color w:val="000000"/>
          <w:sz w:val="24"/>
        </w:rPr>
        <w:t>Comparable Sales Increase:</w:t>
      </w:r>
    </w:p>
    <w:tbl>
      <w:tblPr>
        <w:tblW w:w="6595" w:type="dxa"/>
        <w:jc w:val="left"/>
        <w:tblInd w:w="0" w:type="dxa"/>
        <w:tblLayout w:type="fixed"/>
        <w:tblCellMar>
          <w:top w:w="28" w:type="dxa"/>
          <w:left w:w="28" w:type="dxa"/>
          <w:bottom w:w="28" w:type="dxa"/>
          <w:right w:w="28" w:type="dxa"/>
        </w:tblCellMar>
      </w:tblPr>
      <w:tblGrid>
        <w:gridCol w:w="570"/>
        <w:gridCol w:w="501"/>
        <w:gridCol w:w="504"/>
        <w:gridCol w:w="265"/>
        <w:gridCol w:w="265"/>
        <w:gridCol w:w="266"/>
        <w:gridCol w:w="109"/>
        <w:gridCol w:w="109"/>
        <w:gridCol w:w="109"/>
        <w:gridCol w:w="265"/>
        <w:gridCol w:w="265"/>
        <w:gridCol w:w="266"/>
        <w:gridCol w:w="109"/>
        <w:gridCol w:w="109"/>
        <w:gridCol w:w="109"/>
        <w:gridCol w:w="400"/>
        <w:gridCol w:w="400"/>
        <w:gridCol w:w="401"/>
        <w:gridCol w:w="109"/>
        <w:gridCol w:w="109"/>
        <w:gridCol w:w="109"/>
        <w:gridCol w:w="365"/>
        <w:gridCol w:w="365"/>
        <w:gridCol w:w="516"/>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Year-to-Date</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Stores and Direct</w:t>
            </w:r>
            <w:r>
              <w:rPr>
                <w:rFonts w:ascii="Times New Roman;serif" w:hAnsi="Times New Roman;serif"/>
                <w:b w:val="false"/>
                <w:color w:val="000000"/>
                <w:sz w:val="13"/>
              </w:rPr>
              <w:t>1</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Stores Only</w:t>
            </w:r>
            <w:r>
              <w:rPr>
                <w:rFonts w:ascii="Times New Roman;serif" w:hAnsi="Times New Roman;serif"/>
                <w:b w:val="false"/>
                <w:color w:val="000000"/>
                <w:sz w:val="13"/>
              </w:rPr>
              <w:t>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NOTE: </w:t>
      </w:r>
      <w:r>
        <w:rPr>
          <w:rFonts w:ascii="Times New Roman;serif" w:hAnsi="Times New Roman;serif"/>
          <w:b w:val="false"/>
          <w:color w:val="212529"/>
          <w:sz w:val="20"/>
          <w:shd w:fill="FFFFFF" w:val="clear"/>
        </w:rPr>
        <w:t>Please refer to our filings with the Securities and Exchange Commission for further discussion regarding our comparable sales calculation.</w:t>
      </w:r>
    </w:p>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Results include company-operated stores in the U.S. and Canada, consolidated joint venture stores in China and direct sales.</w:t>
      </w:r>
    </w:p>
    <w:p>
      <w:pPr>
        <w:pStyle w:val="TextBody"/>
        <w:bidi w:val="0"/>
        <w:spacing w:lineRule="auto" w:line="26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 Results include company-operated stores in the U.S. and Canada and consolidated joint venture stores in China.</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13360"/>
                <wp:effectExtent l="0" t="0" r="0" b="0"/>
                <wp:wrapNone/>
                <wp:docPr id="9" name="Frame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Total Stores:</w:t>
      </w:r>
    </w:p>
    <w:tbl>
      <w:tblPr>
        <w:tblW w:w="5639" w:type="dxa"/>
        <w:jc w:val="center"/>
        <w:tblInd w:w="0" w:type="dxa"/>
        <w:tblLayout w:type="fixed"/>
        <w:tblCellMar>
          <w:top w:w="28" w:type="dxa"/>
          <w:left w:w="28" w:type="dxa"/>
          <w:bottom w:w="28" w:type="dxa"/>
          <w:right w:w="28" w:type="dxa"/>
        </w:tblCellMar>
      </w:tblPr>
      <w:tblGrid>
        <w:gridCol w:w="901"/>
        <w:gridCol w:w="793"/>
        <w:gridCol w:w="795"/>
        <w:gridCol w:w="279"/>
        <w:gridCol w:w="279"/>
        <w:gridCol w:w="281"/>
        <w:gridCol w:w="250"/>
        <w:gridCol w:w="250"/>
        <w:gridCol w:w="251"/>
        <w:gridCol w:w="225"/>
        <w:gridCol w:w="225"/>
        <w:gridCol w:w="226"/>
        <w:gridCol w:w="259"/>
        <w:gridCol w:w="259"/>
        <w:gridCol w:w="366"/>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Stores at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1/31/26</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Opened</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Closed</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8/1/26</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Company-Operated:</w:t>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766</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Company-Operated</w:t>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790</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788</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China Joint Venture:</w:t>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Beauty &amp; Accessories</w:t>
            </w:r>
            <w:r>
              <w:rPr>
                <w:rFonts w:ascii="Times New Roman;serif" w:hAnsi="Times New Roman;serif"/>
                <w:b w:val="false"/>
                <w:color w:val="000000"/>
                <w:sz w:val="13"/>
              </w:rPr>
              <w:t>1</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Assortment</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China Joint Venture</w:t>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Partner-Operated:</w:t>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Beauty &amp; Accessories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Assortment</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Partner-Operated</w:t>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Adore Me</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1,420</w:t>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w:t>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w:t>
            </w:r>
          </w:p>
        </w:tc>
        <w:tc>
          <w:tcPr>
            <w:tcW w:w="8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1,430</w:t>
            </w:r>
          </w:p>
        </w:tc>
      </w:tr>
    </w:tbl>
    <w:p>
      <w:pPr>
        <w:pStyle w:val="TextBody"/>
        <w:bidi w:val="0"/>
        <w:spacing w:lineRule="auto" w:line="288" w:before="1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Includes three partner-operated stores at 8/1/26.</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3360"/>
                <wp:effectExtent l="0" t="0" r="0" b="0"/>
                <wp:wrapNone/>
                <wp:docPr id="10" name="Frame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55"/>
        <w:gridCol w:w="1750"/>
        <w:gridCol w:w="1253"/>
        <w:gridCol w:w="365"/>
        <w:gridCol w:w="1697"/>
        <w:gridCol w:w="188"/>
        <w:gridCol w:w="188"/>
        <w:gridCol w:w="188"/>
        <w:gridCol w:w="188"/>
        <w:gridCol w:w="365"/>
        <w:gridCol w:w="1697"/>
        <w:gridCol w:w="271"/>
      </w:tblGrid>
      <w:tr>
        <w:trPr/>
        <w:tc>
          <w:tcPr>
            <w:tcW w:w="205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VICTORIA’S SECRET &amp; CO.</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CONSOLIDATED STATEMENTS OF INCOME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THIRTEEN WEEKS ENDED AUGUST 1, 2026 AND AUGUST 2,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thousands except per share amounts)</w:t>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1,610,703 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Buying and Occupancy</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(851,419)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759,284 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Store Operating Expenses</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256,630 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Victoria’s Secret &amp; Co.</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183,048 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Attributable to Victoria’s Secret &amp; Co.</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206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84,152 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82,205 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3360"/>
                <wp:effectExtent l="0" t="0" r="0" b="0"/>
                <wp:wrapNone/>
                <wp:docPr id="11" name="Frame1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74"/>
        <w:gridCol w:w="1662"/>
        <w:gridCol w:w="1222"/>
        <w:gridCol w:w="372"/>
        <w:gridCol w:w="1729"/>
        <w:gridCol w:w="191"/>
        <w:gridCol w:w="191"/>
        <w:gridCol w:w="191"/>
        <w:gridCol w:w="191"/>
        <w:gridCol w:w="372"/>
        <w:gridCol w:w="1729"/>
        <w:gridCol w:w="281"/>
      </w:tblGrid>
      <w:tr>
        <w:trPr/>
        <w:tc>
          <w:tcPr>
            <w:tcW w:w="207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VICTORIA’S SECRET &amp; CO.</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CONSOLIDATED STATEMENTS OF INCOME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TWENTY-SIX WEEKS ENDED AUGUST 1, 2026 AND AUGUST 2,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thousands except per share amounts)</w:t>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3,170,294 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2,812,086 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Buying and Occupancy</w:t>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(1,818,844)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993,242 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Store Operating Expenses</w:t>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(932,497)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332,952 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312,207 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245,053 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20,802 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Victoria’s Secret &amp; Co.</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230,739 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Attributable to Victoria’s Secret &amp; Co.</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210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84,501 </w:t>
            </w:r>
          </w:p>
        </w:tc>
        <w:tc>
          <w:tcPr>
            <w:tcW w:w="1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82,085 </w:t>
            </w:r>
          </w:p>
        </w:tc>
        <w:tc>
          <w:tcPr>
            <w:tcW w:w="2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3360"/>
                <wp:effectExtent l="0" t="0" r="0" b="0"/>
                <wp:wrapNone/>
                <wp:docPr id="12" name="Frame1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01"/>
        <w:gridCol w:w="191"/>
        <w:gridCol w:w="191"/>
        <w:gridCol w:w="345"/>
        <w:gridCol w:w="1295"/>
        <w:gridCol w:w="191"/>
        <w:gridCol w:w="191"/>
        <w:gridCol w:w="191"/>
        <w:gridCol w:w="191"/>
        <w:gridCol w:w="345"/>
        <w:gridCol w:w="1137"/>
        <w:gridCol w:w="191"/>
        <w:gridCol w:w="191"/>
        <w:gridCol w:w="191"/>
        <w:gridCol w:w="191"/>
        <w:gridCol w:w="345"/>
        <w:gridCol w:w="1295"/>
        <w:gridCol w:w="191"/>
        <w:gridCol w:w="191"/>
        <w:gridCol w:w="191"/>
        <w:gridCol w:w="191"/>
        <w:gridCol w:w="345"/>
        <w:gridCol w:w="1137"/>
        <w:gridCol w:w="286"/>
      </w:tblGrid>
      <w:tr>
        <w:trPr/>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VICTORIA’S SECRET &amp; CO.</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NON-GAAP FINANCIAL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PERIODS ENDED AUGUST 1, 2026 AND AUGUST 2, 2025</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68" w:before="0" w:after="100"/>
              <w:jc w:val="left"/>
              <w:rPr>
                <w:rFonts w:ascii="Times New Roman;serif" w:hAnsi="Times New Roman;serif"/>
                <w:b w:val="false"/>
                <w:i/>
                <w:color w:val="000000"/>
                <w:sz w:val="18"/>
              </w:rPr>
            </w:pPr>
            <w:r>
              <w:rPr>
                <w:rFonts w:ascii="Times New Roman;serif" w:hAnsi="Times New Roman;serif"/>
                <w:b w:val="false"/>
                <w:i/>
                <w:color w:val="000000"/>
                <w:sz w:val="18"/>
              </w:rPr>
              <w:t>In addition to our results provided in accordance with GAAP, provided below are non-GAAP financial measures that present operating income, net income attributable to Victoria’s Secret &amp; Co. and net income per diluted share attributable to Victoria’s Secret &amp; Co. on an adjusted basis for the reported periods provided in this release, which remove certain non-recurring, infrequent or unusual items that we believe are not indicative of the results of our ongoing operations due to their size and nature. The intangible asset amortization excluded in the second quarter and year-to-date 2025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tables below reconcile the most directly comparable GAAP financial measure to each non-GAAP financial measure.</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 Quarter</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Year-to-Date</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Reconciliation of Reported to Adjusted Operating Income</w:t>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Operating Income - GAAP</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40,959 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Recoveries, Net of Related Costs and Other Items (a)</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(135,844)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(135,844)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Organizational Restructuring and Other One-time Items (b)</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(c)</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123,956 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55,124 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204,039 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Reported to Adjusted Net Income Attributable to Victoria’s Secret &amp; Co.</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Reported Net Income Attributable to Victoria’s Secret &amp; Co. - GAAP</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Recoveries, Net of Related Costs and Other Items (a)</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Organizational Restructuring and Other One-time Items (b)</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(c)</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Adjusted Items</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Victoria’s Secret &amp; Co.</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130,794 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Reported to Adjusted Net Income Per Diluted Share Attributable to Victoria’s Secret &amp; Co.</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Reported Net Income Per Diluted Share Attributable to Victoria’s Secret &amp; Co. - GAAP</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Recoveries, Net of Related Costs and Other Items (a)</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Organizational Restructuring and Other One-time Items (b)</w:t>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(c)</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 Per Diluted Share Attributable to Victoria’s Secret &amp; Co.</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color w:val="000000"/>
          <w:sz w:val="18"/>
        </w:rPr>
      </w:pPr>
      <w:r>
        <w:rPr>
          <w:rFonts w:ascii="Times New Roman;serif" w:hAnsi="Times New Roman;serif"/>
          <w:b/>
          <w:color w:val="000000"/>
          <w:sz w:val="18"/>
        </w:rPr>
        <w:t>Adjusted results exclude the following items:</w:t>
      </w:r>
    </w:p>
    <w:p>
      <w:pPr>
        <w:pStyle w:val="TextBody"/>
        <w:bidi w:val="0"/>
        <w:spacing w:lineRule="auto" w:line="288" w:before="100" w:after="10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(a)In the second quarter of 2026, we recognized pre-tax income of $140.3 million ($105.3 million net of tax benefit of $35.0 million), $134.5 million included in costs of goods sold, $4.4 million included in other income and $1.4 million included in general, administrative and store operating expense, related to IEEPA tariff refund recoveries, including interest received, net of related costs and other items.</w:t>
      </w:r>
    </w:p>
    <w:p>
      <w:pPr>
        <w:pStyle w:val="TextBody"/>
        <w:bidi w:val="0"/>
        <w:spacing w:lineRule="auto" w:line="288" w:before="100" w:after="10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(b)In the second quarter of 2026 and 2025, we recognized pre-tax net expense of $3.2 million and $7.9 million ($2.5 million and $6.0 million net of tax expense of $0.7 million and $1.9 million, respectively), $2.5 million and $7.5 million included in general, administrative and store operating expense and $0.7 million and $0.4 million included in costs of goods sold, buying and occupancy expense, related to activities to continue to restructure our executive leadership team and organizational structure, as well as other one-time items. Year-to-date 2026 and 2025, we recognized pre-tax net expense of $6.9 million and $13.5 million ($5.3 million and $10.2 million net of tax expense of $1.6 million and $3.3 million, respectively), $4.2 million and $11.3 million included in general, administrative and store operating expense and $2.7 million and $2.2 million included in costs of goods sold, buying and occupancy expense, related to activities to continue to restructure our executive leadership team and organizational structure, as well as other one-time items.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3" name="Frame1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88" w:before="100" w:after="10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(c)In the second quarter and year-to-date 2025, we recognized amortization expense of $6.3 million and $12.6 million ($4.7 million and $9.3 million net of tax expense of $1.6 million and $3.3 million, respectively) included in general, administrative and store operating expense, related to our definite-lived intangible assets.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13360"/>
                <wp:effectExtent l="0" t="0" r="0" b="0"/>
                <wp:wrapNone/>
                <wp:docPr id="14" name="Frame1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71"/>
        <w:gridCol w:w="2067"/>
        <w:gridCol w:w="2067"/>
        <w:gridCol w:w="572"/>
        <w:gridCol w:w="571"/>
        <w:gridCol w:w="571"/>
        <w:gridCol w:w="572"/>
        <w:gridCol w:w="571"/>
        <w:gridCol w:w="843"/>
      </w:tblGrid>
      <w:tr>
        <w:trPr/>
        <w:tc>
          <w:tcPr>
            <w:tcW w:w="237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VICTORIA’S SECRET &amp; CO.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FORECASTED NON-GAAP FINANCIAL INFORMATION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FORECASTED FULL YEAR ENDING JANUARY 30, 2027</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(Unaudited)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millions except per share amounts)</w:t>
            </w:r>
          </w:p>
        </w:tc>
      </w:tr>
      <w:tr>
        <w:trPr/>
        <w:tc>
          <w:tcPr>
            <w:tcW w:w="6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Forecasted</w:t>
              <w:br/>
              <w:t>Full Year</w:t>
              <w:br/>
              <w:t>2026</w:t>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Reconciliation of Forecasted GAAP to Adjusted Operating Income</w:t>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Forecasted Operating Income - GAAP</w:t>
            </w:r>
          </w:p>
        </w:tc>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to 719</w:t>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Recoveries, Net of Related Costs and Other Items (a)</w:t>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Organizational Restructuring and Other One-time Items (b)</w:t>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Forecasted Adjusted Operating Income</w:t>
            </w:r>
          </w:p>
        </w:tc>
        <w:tc>
          <w:tcPr>
            <w:tcW w:w="1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to 590</w:t>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Forecasted GAAP to Adjusted Net Income Attributable to Victoria’s Secret &amp; Co.</w:t>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Forecasted Net Income Attributable to Victoria’s Secret &amp; Co. - GAAP</w:t>
            </w:r>
          </w:p>
        </w:tc>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to 495</w:t>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Recoveries, Net of Related Costs and Other Items (a)</w:t>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Organizational Restructuring and Other One-time Items (b)</w:t>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Adjusted Items</w:t>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Forecasted Adjusted Net Income Attributable to Victoria’s Secret &amp; Co.</w:t>
            </w:r>
          </w:p>
        </w:tc>
        <w:tc>
          <w:tcPr>
            <w:tcW w:w="17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to 395</w:t>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Forecasted GAAP to Adjusted Net Income Per Diluted Share Attributable to Victoria’s Secret &amp; Co.</w:t>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Forecasted Net Income Per Diluted Share Attributable to Victoria’s Secret &amp; Co. - GAAP</w:t>
            </w:r>
          </w:p>
        </w:tc>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to 5.89</w:t>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Recoveries, Net of Related Costs and Other Items (a)</w:t>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Organizational Restructuring and Other One-time Items (b)</w:t>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Forecasted Adjusted Net Income Per Diluted Share Attributable to Victoria’s Secret &amp; Co.</w:t>
            </w:r>
          </w:p>
        </w:tc>
        <w:tc>
          <w:tcPr>
            <w:tcW w:w="17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to 4.70</w:t>
            </w:r>
          </w:p>
        </w:tc>
      </w:tr>
    </w:tbl>
    <w:p>
      <w:pPr>
        <w:pStyle w:val="TextBody"/>
        <w:bidi w:val="0"/>
        <w:spacing w:lineRule="auto" w:line="288" w:before="100" w:after="100"/>
        <w:jc w:val="left"/>
        <w:rPr>
          <w:rFonts w:ascii="Times New Roman;serif" w:hAnsi="Times New Roman;serif"/>
          <w:b/>
          <w:color w:val="000000"/>
          <w:sz w:val="18"/>
        </w:rPr>
      </w:pPr>
      <w:r>
        <w:rPr>
          <w:rFonts w:ascii="Times New Roman;serif" w:hAnsi="Times New Roman;serif"/>
          <w:b/>
          <w:color w:val="000000"/>
          <w:sz w:val="18"/>
        </w:rPr>
        <w:t>Adjusted forecasted results exclude the following items:</w:t>
      </w:r>
    </w:p>
    <w:p>
      <w:pPr>
        <w:pStyle w:val="TextBody"/>
        <w:bidi w:val="0"/>
        <w:spacing w:lineRule="auto" w:line="288" w:before="100" w:after="10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(a)Year-to-date 2026, we recognized pre-tax income of $140.3 million ($105.3 million net of tax benefit of $35.0 million), $134.5 million included in costs of goods sold, $4.4 million included in other income and $1.4 million included in general, administrative and store operating expense, related to IEEPA tariff refund recoveries, including interest received, net of related costs and other items.</w:t>
      </w:r>
    </w:p>
    <w:p>
      <w:pPr>
        <w:pStyle w:val="TextBody"/>
        <w:bidi w:val="0"/>
        <w:spacing w:lineRule="auto" w:line="288" w:before="100" w:after="10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(b)Year-to-date 2026, we recognized pre-tax net expense of $6.9 million ($5.3 million net of tax expense of $1.6 million), $4.2 million included in general, administrative and store operating expense and $2.7 million included in costs of goods sold, buying and occupancy expense, related to activities to continue to restructure our executive leadership team and organizational structure, as well as other one-time items.</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13360"/>
                <wp:effectExtent l="0" t="0" r="0" b="0"/>
                <wp:wrapNone/>
                <wp:docPr id="15" name="Frame1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4035</Words>
  <Characters>22674</Characters>
  <CharactersWithSpaces>26308</CharactersWithSpaces>
  <Paragraphs>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