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ind w:right="-8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91"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4"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1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ectPr>
          <w:pgSz w:w="11900" w:h="16838" w:orient="portrait"/>
          <w:cols w:equalWidth="0" w:num="1">
            <w:col w:w="10400"/>
          </w:cols>
          <w:pgMar w:left="320" w:top="1440" w:right="11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76" w:lineRule="exact"/>
        <w:rPr>
          <w:sz w:val="24"/>
          <w:szCs w:val="24"/>
          <w:color w:val="auto"/>
        </w:rPr>
      </w:pPr>
    </w:p>
    <w:p>
      <w:pPr>
        <w:jc w:val="both"/>
        <w:ind w:left="960" w:firstLine="31"/>
        <w:spacing w:after="0" w:line="342" w:lineRule="auto"/>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PECIALIZED</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ISCLOSURE REPORT</w:t>
      </w:r>
    </w:p>
    <w:p>
      <w:pPr>
        <w:spacing w:after="0" w:line="58"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15"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38"/>
          <w:szCs w:val="38"/>
          <w:b w:val="1"/>
          <w:bCs w:val="1"/>
          <w:color w:val="auto"/>
        </w:rPr>
        <w:t>VICTORIA</w:t>
      </w:r>
      <w:r>
        <w:rPr>
          <w:rFonts w:ascii="Times New Roman" w:cs="Times New Roman" w:eastAsia="Times New Roman" w:hAnsi="Times New Roman"/>
          <w:sz w:val="38"/>
          <w:szCs w:val="38"/>
          <w:color w:val="auto"/>
        </w:rPr>
        <w:t>’</w:t>
      </w:r>
      <w:r>
        <w:rPr>
          <w:rFonts w:ascii="Times New Roman" w:cs="Times New Roman" w:eastAsia="Times New Roman" w:hAnsi="Times New Roman"/>
          <w:sz w:val="38"/>
          <w:szCs w:val="38"/>
          <w:b w:val="1"/>
          <w:bCs w:val="1"/>
          <w:color w:val="auto"/>
        </w:rPr>
        <w:t>S SECRET &amp; CO.</w:t>
      </w:r>
    </w:p>
    <w:p>
      <w:pPr>
        <w:spacing w:after="0" w:line="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5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324" w:lineRule="exact"/>
        <w:rPr>
          <w:sz w:val="24"/>
          <w:szCs w:val="24"/>
          <w:color w:val="auto"/>
        </w:rPr>
      </w:pPr>
    </w:p>
    <w:p>
      <w:pPr>
        <w:jc w:val="right"/>
        <w:ind w:right="5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001-40515</w:t>
      </w:r>
      <w:r>
        <w:rPr>
          <w:sz w:val="20"/>
          <w:szCs w:val="20"/>
          <w:color w:val="auto"/>
        </w:rPr>
        <w:tab/>
      </w:r>
      <w:r>
        <w:rPr>
          <w:rFonts w:ascii="Times New Roman" w:cs="Times New Roman" w:eastAsia="Times New Roman" w:hAnsi="Times New Roman"/>
          <w:sz w:val="18"/>
          <w:szCs w:val="18"/>
          <w:b w:val="1"/>
          <w:bCs w:val="1"/>
          <w:color w:val="auto"/>
        </w:rPr>
        <w:t>86-3167653</w:t>
      </w:r>
    </w:p>
    <w:p>
      <w:pPr>
        <w:spacing w:after="0" w:line="346" w:lineRule="exact"/>
        <w:rPr>
          <w:sz w:val="24"/>
          <w:szCs w:val="24"/>
          <w:color w:val="auto"/>
        </w:rPr>
      </w:pPr>
    </w:p>
    <w:p>
      <w:pPr>
        <w:jc w:val="right"/>
        <w:spacing w:after="0"/>
        <w:tabs>
          <w:tab w:leader="none" w:pos="1960" w:val="left"/>
        </w:tabs>
        <w:rPr>
          <w:sz w:val="20"/>
          <w:szCs w:val="20"/>
          <w:color w:val="auto"/>
        </w:rPr>
      </w:pPr>
      <w:r>
        <w:rPr>
          <w:rFonts w:ascii="Times New Roman" w:cs="Times New Roman" w:eastAsia="Times New Roman" w:hAnsi="Times New Roman"/>
          <w:sz w:val="14"/>
          <w:szCs w:val="14"/>
          <w:color w:val="auto"/>
        </w:rPr>
        <w:t>(Commission File Number)</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149" w:lineRule="exact"/>
        <w:rPr>
          <w:sz w:val="24"/>
          <w:szCs w:val="24"/>
          <w:color w:val="auto"/>
        </w:rPr>
      </w:pPr>
    </w:p>
    <w:p>
      <w:pPr>
        <w:sectPr>
          <w:pgSz w:w="11900" w:h="16838" w:orient="portrait"/>
          <w:cols w:equalWidth="0" w:num="2">
            <w:col w:w="2700" w:space="340"/>
            <w:col w:w="7360"/>
          </w:cols>
          <w:pgMar w:left="320" w:top="1440" w:right="1179" w:bottom="1440" w:gutter="0" w:footer="0" w:header="0"/>
          <w:type w:val="continuous"/>
        </w:sect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 Limited Parkway East,</w:t>
      </w:r>
    </w:p>
    <w:p>
      <w:pPr>
        <w:spacing w:after="0" w:line="5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Reynoldsburg, Ohio 43068</w:t>
      </w:r>
    </w:p>
    <w:p>
      <w:pPr>
        <w:spacing w:after="0" w:line="10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96"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Melinda McAfee (614) 577-700</w:t>
      </w:r>
    </w:p>
    <w:p>
      <w:pPr>
        <w:spacing w:after="0" w:line="31"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3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6"/>
          <w:szCs w:val="16"/>
          <w:color w:val="auto"/>
        </w:rPr>
        <w:t>_______________</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 and provide the period to which the information in this form applies:</w:t>
      </w:r>
    </w:p>
    <w:p>
      <w:pPr>
        <w:spacing w:after="0" w:line="302"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_X__</w:t>
        <w:tab/>
        <w:t>Rule 13p-1 under the Securities Exchange Act (17 CFR 240.13p-1) for the reporting period from January 1 to December 31, 2021</w:t>
      </w:r>
    </w:p>
    <w:p>
      <w:pPr>
        <w:sectPr>
          <w:pgSz w:w="11900" w:h="16838" w:orient="portrait"/>
          <w:cols w:equalWidth="0" w:num="1">
            <w:col w:w="10400"/>
          </w:cols>
          <w:pgMar w:left="320" w:top="1440" w:right="11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5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Victoria’s Secret &amp; Co. (together with its subsidiaries unless the context otherwise requires, “we”, “us”, “our” or the “Company”) is a specialty retailer of women's intimate and other apparel and beauty products marketed under the Victoria’s Secret and PINK brand names. We operate more than 890 Victoria’s Secret and PINK stores in the United States (“U.S.”), Canada and Greater China as well as online at www.VictoriasSecret.com and www.PINK.com and other online channels worldwide. Additionally, Victoria’s Secret and PINK have more than 450 stores in more than 70 countries operating under franchise, license and wholesale arrangements. The Company also includes the Victoria’s Secret and PINK merchandise sourcing and production function serving us and our international partners. We operate as a single segment designed to seamlessly serve customers worldwide through stores and online channels.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(the “SEC”) adopted Rule 13p-1 under the Securities Exchange Act of 1934 (the “Rule”) to implement reporting and disclosure requirements related to conflict minerals (as defined in the Rule) mandated by Section 1502 of the Dodd-Frank Wall Street Reform and Consumer Protection Act of 2010. After performing the steps required by the Rule, Victoria’s Secret &amp; Co. has concluded in good faith that during the year ended December 31, 2021, it contracted to manufacture products which contained conflict minerals that were necessary to the functionality or production of such products.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Accordingly, the Company has filed this Form SD and the attached Conflict Minerals Report for the calendar year ended December 31, 2021. The Company’s Form SD and Conflict Minerals Report for the calendar year ended December 31, 2021 are available on the Company’s website at https://www.victoriassecretandco.com/investors/financial-information/sec-filings?field_nir_sec_cik_target_id=0001856437&amp;items_per_page=10&amp;page=0. The information contained on Victoria’s Secret &amp; Co.’s website is not a part of this Form SD and is not deemed incorporated by reference into this Form SD or any other public filing made with the SEC.</w:t>
      </w:r>
    </w:p>
    <w:p>
      <w:pPr>
        <w:spacing w:after="0" w:line="20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for the calendar year ended December 31, 2021 is filed herewith as Exhibit 1.01.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7"/>
          <w:szCs w:val="17"/>
          <w:u w:val="single" w:color="auto"/>
          <w:color w:val="0000FF"/>
        </w:rPr>
        <w:t>Conflict Minerals Report as required by Items 1.01 and 1.02 of this Form.</w:t>
      </w:r>
    </w:p>
    <w:p>
      <w:pPr>
        <w:sectPr>
          <w:pgSz w:w="11900" w:h="16838" w:orient="portrait"/>
          <w:cols w:equalWidth="0" w:num="1">
            <w:col w:w="11200"/>
          </w:cols>
          <w:pgMar w:left="320" w:top="900" w:right="37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800"/>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Victoria’s Secret &amp; Co.</w:t>
            </w:r>
          </w:p>
        </w:tc>
      </w:tr>
      <w:tr>
        <w:trPr>
          <w:trHeight w:val="234"/>
        </w:trPr>
        <w:tc>
          <w:tcPr>
            <w:tcW w:w="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w:t>
            </w:r>
          </w:p>
        </w:tc>
        <w:tc>
          <w:tcPr>
            <w:tcW w:w="5020" w:type="dxa"/>
            <w:vAlign w:val="bottom"/>
          </w:tcPr>
          <w:p>
            <w:pPr>
              <w:spacing w:after="0"/>
              <w:rPr>
                <w:sz w:val="20"/>
                <w:szCs w:val="20"/>
                <w:color w:val="auto"/>
              </w:rPr>
            </w:pPr>
          </w:p>
        </w:tc>
      </w:tr>
      <w:tr>
        <w:trPr>
          <w:trHeight w:val="44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May 27, 2022</w:t>
            </w:r>
          </w:p>
        </w:tc>
        <w:tc>
          <w:tcPr>
            <w:tcW w:w="25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By: /s/ Melinda McAfee</w:t>
            </w:r>
          </w:p>
        </w:tc>
        <w:tc>
          <w:tcPr>
            <w:tcW w:w="5020" w:type="dxa"/>
            <w:vAlign w:val="bottom"/>
          </w:tcPr>
          <w:p>
            <w:pPr>
              <w:spacing w:after="0"/>
              <w:rPr>
                <w:sz w:val="24"/>
                <w:szCs w:val="24"/>
                <w:color w:val="auto"/>
              </w:rPr>
            </w:pPr>
          </w:p>
        </w:tc>
      </w:tr>
      <w:tr>
        <w:trPr>
          <w:trHeight w:val="218"/>
        </w:trPr>
        <w:tc>
          <w:tcPr>
            <w:tcW w:w="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Melinda McAfee</w:t>
            </w:r>
          </w:p>
        </w:tc>
      </w:tr>
      <w:tr>
        <w:trPr>
          <w:trHeight w:val="234"/>
        </w:trPr>
        <w:tc>
          <w:tcPr>
            <w:tcW w:w="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140"/>
          </w:cols>
          <w:pgMar w:left="320" w:top="914"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7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(“SEC”) adopted Rule 13p-1 under the Securities Exchange Act of 1934 (the “Rule”) mandated by Section 1502 of the Dodd-Frank Wall Street Reform and Consumer Protection Act of 2010. The Rule requires SEC registrants to annually disclose columbite-tantalite, cassiterite, gold and wolframite or their derivatives, tantalum, tin and tungsten, (“conflict minerals”) that are necessary to the functionality or production of their products that they manufacture or contract to manufacture (the “Covered Conflict Minerals”) and whether those minerals originated from the Democratic Republic of the Congo (“DRC”) or an adjoining country including Angola, Burundi, Central African Republic, the Republic of the Congo, Rwanda, South Sudan, Tanzania, Uganda and Zambia (collectively, the “Covered Countries”).</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in their supply chain may have originated in the Covered Countries or if they are unable to determine the country of origin of those conflict minerals, then the registrant must exercise due diligence on the conflict minerals’ source and annually submit a Conflict Minerals Report (“CMR”) that includes a description of those due diligence measures.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Conflict Minerals Report describes our inquiry and the results of the inquiry, along with our due diligence process on the source of Covered Conflict Minerals for certain of our products, for the calendar year ended Dec. 31,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Private Securities Litigation Reform Act of 1995) contained in this Conflict Minerals Report involve risks and uncertainties and are subject to change based on various factors, many of which are beyond our control Among the factors that could cause actual results to differ materially are: changes in product categories, extension of existing product lines, addition of new brands, changes in our selected suppliers, changes in our suppliers’ supply chains, acquisitions, changes to materials used, changes in product design, as well as the risks and uncertainties set forth in “Item 1A. Risk Factors” in our 2021 Annual Report on Form 10-K. We are not under any obligation and do not intend to make publicly available any update or other revisions to any of the forward-looking statements contained in this Conflict Minerals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Victoria's Secret &amp; Co. (VS&amp;Co) (together with its subsidiaries unless the context otherwise requires, "we", "us", "our" or the "Company") is a specialty retailer of women's intimate and other apparel and beauty products marketed under the Victoria's Secret and PINK brand names. We operate more than 890 Victoria’s Secret and PINK stores in the United States ("U.S."), Canada and Greater China as well as online at </w:t>
      </w:r>
      <w:r>
        <w:rPr>
          <w:rFonts w:ascii="Times New Roman" w:cs="Times New Roman" w:eastAsia="Times New Roman" w:hAnsi="Times New Roman"/>
          <w:sz w:val="18"/>
          <w:szCs w:val="18"/>
          <w:i w:val="1"/>
          <w:iCs w:val="1"/>
          <w:color w:val="auto"/>
        </w:rPr>
        <w:t>www.VictoriasSecret.com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www.PINK.com </w:t>
      </w:r>
      <w:r>
        <w:rPr>
          <w:rFonts w:ascii="Times New Roman" w:cs="Times New Roman" w:eastAsia="Times New Roman" w:hAnsi="Times New Roman"/>
          <w:sz w:val="18"/>
          <w:szCs w:val="18"/>
          <w:color w:val="auto"/>
        </w:rPr>
        <w:t>and other online channels worldwide. Additionally, Victoria’s Secret and PINK have more than 450 stores in more than 70 countries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under franchise, license, and wholesale arrangements. The Company also includes the Victoria's Secret and PINK merchandise sourcing and production function serving us and our international partners. We operate as a single segment designed to seamlessly serve customers worldwide through stores and online channels.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2021, we purchased merchandise from approximately 210 suppliers located throughout the world. Our personal care and home fragrance products are manufactured primarily in the U.S., and our women’s intimate and other apparel and accessories products are manufactured primarily in Asia. As a retailer, we do not own and operate any manufacturing facilities; we contract to manufacture our products. We do not directly source conflict minerals from mines, smelters or refiners and are many levels removed from these upstream activities and the parties that are involved in mineral sourcing. As such, we and our suppliers often have difficulty identifying upstream parties in these supply chains. Despite these challenges, through the efforts described in this Conflict Minerals Report, we seek to ensure compliance with the Rule and to maintain sourcing practices consistent with our Conflict Minerals Policy.</w:t>
      </w:r>
    </w:p>
    <w:p>
      <w:pPr>
        <w:sectPr>
          <w:pgSz w:w="11900" w:h="16838" w:orient="portrait"/>
          <w:cols w:equalWidth="0" w:num="1">
            <w:col w:w="11240"/>
          </w:cols>
          <w:pgMar w:left="320" w:top="96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VS&amp;Co’s Products Covered by this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relates to:</w:t>
      </w:r>
    </w:p>
    <w:p>
      <w:pPr>
        <w:spacing w:after="0" w:line="252"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have 3TG necessary for function or production.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were manufactured, or contracted to be manufactured, by VS&amp;Co.</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for which the manufacture was completed during the Reporting Period (the “Covered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Reasonable Country of Origin Inquiry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required by the Rule, we completed a reasonable country of origin inquiry (“RCOI”) with respect to the Covered Conflict Minerals. Our RCOI included the following steps:</w:t>
      </w:r>
    </w:p>
    <w:p>
      <w:pPr>
        <w:ind w:left="660" w:right="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worked with members of our production and sourcing teams who are subject-matter experts (“SMEs”) to review the materials and ingredients utilized in our products and their manufacture. Based on their review, we developed a list of 16 suppliers that manufacture or contract to manufacture product categories that could contain conflict minerals that are necessary for their function or production (“in-scope suppliers”).</w:t>
      </w:r>
    </w:p>
    <w:p>
      <w:pPr>
        <w:spacing w:after="0" w:line="1"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instructed each of our in-scope suppliers to work with their upstream suppliers, as applicable, to take reasonable steps and make good faith efforts to identify the conflict minerals in our products and their sources.</w:t>
      </w:r>
    </w:p>
    <w:p>
      <w:pPr>
        <w:ind w:left="660" w:right="2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with our in-scope suppliers’ upstream suppliers, as applicable, to provide training and assistance in identifying conflict minerals in our products and their sources.</w:t>
      </w:r>
    </w:p>
    <w:p>
      <w:pPr>
        <w:ind w:left="660" w:right="3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smelters and refiners (“SORs”) reported by our suppliers to the Responsible Minerals Initiative (RMI) publicly available list of known SORs. RMI is an industry group which exists to assist member companies to investigate and mitigate risks associated with the use of conflict minerals in their products.</w:t>
      </w:r>
    </w:p>
    <w:p>
      <w:pPr>
        <w:spacing w:after="0" w:line="1" w:lineRule="exact"/>
        <w:rPr>
          <w:rFonts w:ascii="Times New Roman" w:cs="Times New Roman" w:eastAsia="Times New Roman" w:hAnsi="Times New Roman"/>
          <w:sz w:val="18"/>
          <w:szCs w:val="18"/>
          <w:color w:val="auto"/>
        </w:rPr>
      </w:pPr>
    </w:p>
    <w:p>
      <w:pPr>
        <w:ind w:left="660" w:right="38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escalated uncooperative in-scope suppliers to the applicable sourcing team and Company leaders, as necessary, for further discussion and possible corrective action.</w:t>
      </w:r>
    </w:p>
    <w:p>
      <w:pPr>
        <w:spacing w:after="0" w:line="2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RCOI, as described above, was reasonably designed, and performed in good faith to determine whether or not Covered Conflict Minerals in our products originated in the Covered Countries. As a result of our RCOI, our in-scope suppliers reported 15 known SORs. Based upon our RCOI results, we then exercised due diligence on the source of Covered Conflict Minerals in certain products in compliance with the Rule. We have reason to believe that three SORs sourced from the DRC or an adjoining country. Each of the SORs that sourced from the DRC or an adjoining country was found to be conformant to RMI’s Responsible Minerals Assurance Process (“RMAP”).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DUE DILIGENCE</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developed a due diligence framework which was applied as needed on the source of any Covered Conflict Minerals in certain of our products based upon the results of our RCOI. We conducted due diligence if we were unable to determine with confidence that the Covered Conflict Minerals did not originate in the Covered Countries and did not come from recycled or scrap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Design</w:t>
      </w:r>
    </w:p>
    <w:p>
      <w:pPr>
        <w:spacing w:after="0" w:line="18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designed our program in material conformance with the Organisation for Economic Co-operation and Development’s (the “OECD”) Due Diligence Guidance for Responsible Supply Chains of Minerals from Conflict-Affected and High-Risk Areas, including the Supplement on Tin, Tantalum and Tungsten and the Supplement on Gold (Third Edition, 2016). Our conflict minerals due diligence is a continuation of our RCOI and is an on-going process.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VS&amp;Co’s due diligence included the following elements of the OECD framework:</w:t>
      </w:r>
    </w:p>
    <w:p>
      <w:pPr>
        <w:spacing w:after="0" w:line="19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Establish strong company management system.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and assess risk in the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Carry out independent third-party audit of supply chain due diligence at identified points in the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Report on supply chain due diligence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OECD’s five-step Guidance, the design of our due diligence included, but was not limited to, the following:</w:t>
      </w:r>
    </w:p>
    <w:p>
      <w:pPr>
        <w:sectPr>
          <w:pgSz w:w="11900" w:h="16838" w:orient="portrait"/>
          <w:cols w:equalWidth="0" w:num="1">
            <w:col w:w="11200"/>
          </w:cols>
          <w:pgMar w:left="320" w:top="114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1: Establish Strong Company Management Systems</w:t>
      </w:r>
    </w:p>
    <w:p>
      <w:pPr>
        <w:spacing w:after="0" w:line="31" w:lineRule="exact"/>
        <w:rPr>
          <w:sz w:val="20"/>
          <w:szCs w:val="20"/>
          <w:color w:val="auto"/>
        </w:rPr>
      </w:pPr>
    </w:p>
    <w:p>
      <w:pPr>
        <w:ind w:left="660" w:right="340" w:hanging="324"/>
        <w:spacing w:after="0" w:line="250" w:lineRule="auto"/>
        <w:rPr>
          <w:sz w:val="20"/>
          <w:szCs w:val="20"/>
          <w:color w:val="auto"/>
        </w:rPr>
      </w:pPr>
      <w:r>
        <w:rPr>
          <w:rFonts w:ascii="Times New Roman" w:cs="Times New Roman" w:eastAsia="Times New Roman" w:hAnsi="Times New Roman"/>
          <w:sz w:val="18"/>
          <w:szCs w:val="18"/>
          <w:color w:val="auto"/>
        </w:rPr>
        <w:t xml:space="preserve">– We maintained a Conflict Minerals Policy that prohibits our suppliers from using conflict minerals which may directly or indirectly finance or benefit armed groups in the Covered Countries. Our Conflict Minerals Policy is available on our website at </w:t>
      </w:r>
      <w:r>
        <w:rPr>
          <w:rFonts w:ascii="Times New Roman" w:cs="Times New Roman" w:eastAsia="Times New Roman" w:hAnsi="Times New Roman"/>
          <w:sz w:val="18"/>
          <w:szCs w:val="18"/>
          <w:u w:val="single" w:color="auto"/>
          <w:color w:val="0563C1"/>
        </w:rPr>
        <w:t>https://www.victoriassecretandco.com/corporate-responsibility/supply-chain/commitment-and-governance</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ind w:left="660" w:hanging="324"/>
        <w:spacing w:after="0" w:line="250" w:lineRule="auto"/>
        <w:rPr>
          <w:sz w:val="20"/>
          <w:szCs w:val="20"/>
          <w:color w:val="auto"/>
        </w:rPr>
      </w:pPr>
      <w:r>
        <w:rPr>
          <w:rFonts w:ascii="Times New Roman" w:cs="Times New Roman" w:eastAsia="Times New Roman" w:hAnsi="Times New Roman"/>
          <w:sz w:val="18"/>
          <w:szCs w:val="18"/>
          <w:color w:val="auto"/>
        </w:rPr>
        <w:t>– We continued providing training to our suppliers to review the Rule and its requirements as well as our Conflict Minerals Policy, remind them of their role in our RCOI and due diligence efforts and clarify commonly misunderstood terms and concepts based upon survey responses. We maintained language in our supplier contracts and other supply chain guideline documents to specifically address our Conflict Minerals Policy and the Rule.</w:t>
      </w:r>
    </w:p>
    <w:p>
      <w:pPr>
        <w:spacing w:after="0" w:line="1" w:lineRule="exact"/>
        <w:rPr>
          <w:sz w:val="20"/>
          <w:szCs w:val="20"/>
          <w:color w:val="auto"/>
        </w:rPr>
      </w:pPr>
    </w:p>
    <w:p>
      <w:pPr>
        <w:ind w:left="660" w:right="400" w:hanging="324"/>
        <w:spacing w:after="0" w:line="250" w:lineRule="auto"/>
        <w:rPr>
          <w:sz w:val="20"/>
          <w:szCs w:val="20"/>
          <w:color w:val="auto"/>
        </w:rPr>
      </w:pPr>
      <w:r>
        <w:rPr>
          <w:rFonts w:ascii="Times New Roman" w:cs="Times New Roman" w:eastAsia="Times New Roman" w:hAnsi="Times New Roman"/>
          <w:sz w:val="18"/>
          <w:szCs w:val="18"/>
          <w:color w:val="auto"/>
        </w:rPr>
        <w:t>– When a new supplier is considered for production of goods that might be in-scope, the Production and Sourcing teams are made aware of our Conflict Minerals policy and requirements, and the information is provided in writing, by telephone, and/or through in-person meetings.</w:t>
      </w:r>
    </w:p>
    <w:p>
      <w:pPr>
        <w:ind w:left="660" w:right="300" w:hanging="324"/>
        <w:spacing w:after="0" w:line="250" w:lineRule="auto"/>
        <w:rPr>
          <w:sz w:val="20"/>
          <w:szCs w:val="20"/>
          <w:color w:val="auto"/>
        </w:rPr>
      </w:pPr>
      <w:r>
        <w:rPr>
          <w:rFonts w:ascii="Times New Roman" w:cs="Times New Roman" w:eastAsia="Times New Roman" w:hAnsi="Times New Roman"/>
          <w:sz w:val="18"/>
          <w:szCs w:val="18"/>
          <w:color w:val="auto"/>
        </w:rPr>
        <w:t>– We established the following multi-level, cross-functional governance structure starting in 2012 to monitor developments and provide ongoing management of our conflict minerals program:</w:t>
      </w:r>
    </w:p>
    <w:p>
      <w:pPr>
        <w:ind w:left="1300" w:right="520" w:hanging="324"/>
        <w:spacing w:after="0" w:line="250" w:lineRule="auto"/>
        <w:rPr>
          <w:sz w:val="20"/>
          <w:szCs w:val="20"/>
          <w:color w:val="auto"/>
        </w:rPr>
      </w:pPr>
      <w:r>
        <w:rPr>
          <w:rFonts w:ascii="Times New Roman" w:cs="Times New Roman" w:eastAsia="Times New Roman" w:hAnsi="Times New Roman"/>
          <w:sz w:val="18"/>
          <w:szCs w:val="18"/>
          <w:color w:val="auto"/>
        </w:rPr>
        <w:t>– Independence Production Services (IPS)*: Provides oversight related to matters of Conflict Minerals Policy, compliance, guidance related to the design and execution of our conflict minerals program.</w:t>
      </w:r>
    </w:p>
    <w:p>
      <w:pPr>
        <w:ind w:left="1300" w:right="400" w:hanging="324"/>
        <w:spacing w:after="0" w:line="260" w:lineRule="auto"/>
        <w:rPr>
          <w:sz w:val="20"/>
          <w:szCs w:val="20"/>
          <w:color w:val="auto"/>
        </w:rPr>
      </w:pPr>
      <w:r>
        <w:rPr>
          <w:rFonts w:ascii="Times New Roman" w:cs="Times New Roman" w:eastAsia="Times New Roman" w:hAnsi="Times New Roman"/>
          <w:sz w:val="18"/>
          <w:szCs w:val="18"/>
          <w:color w:val="auto"/>
        </w:rPr>
        <w:t>– Subject Matter Experts: Provide insights from the production and sourcing teams to ensure that in-scope product types and suppliers remain updated, review program status, and obtain continuous feedback on the execution of our program.</w:t>
      </w:r>
    </w:p>
    <w:p>
      <w:pPr>
        <w:spacing w:after="0" w:line="9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3"/>
          <w:szCs w:val="23"/>
          <w:color w:val="222222"/>
          <w:vertAlign w:val="superscript"/>
        </w:rPr>
        <w:t>*</w:t>
      </w:r>
      <w:r>
        <w:rPr>
          <w:rFonts w:ascii="Times New Roman" w:cs="Times New Roman" w:eastAsia="Times New Roman" w:hAnsi="Times New Roman"/>
          <w:sz w:val="18"/>
          <w:szCs w:val="18"/>
          <w:i w:val="1"/>
          <w:iCs w:val="1"/>
          <w:color w:val="222222"/>
        </w:rPr>
        <w:t>Independent Production Services (IPS) is a compliance function within Victoria’s Secret &amp; Co. for over 25 years that works with suppliers to ensure goods are sourced from factories that meet or exceed Victoria’s Secret &amp; Co.’s compliance standards. IPS is responsible for monitoring and enforcement of Victoria’s Secret &amp; Co.’s social compliance program and has been supporting global compliance for more than two decades, enabling improvement in working conditions, supply chain security, trade compliance and brand protection in our supply chain through monitoring, remediation, capacity building and training.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2: Identify and Assess Risk in the Supply Chain</w:t>
      </w:r>
    </w:p>
    <w:p>
      <w:pPr>
        <w:spacing w:after="0" w:line="31" w:lineRule="exact"/>
        <w:rPr>
          <w:sz w:val="20"/>
          <w:szCs w:val="20"/>
          <w:color w:val="auto"/>
        </w:rPr>
      </w:pPr>
    </w:p>
    <w:p>
      <w:pPr>
        <w:ind w:left="660" w:right="440" w:hanging="324"/>
        <w:spacing w:after="0" w:line="250" w:lineRule="auto"/>
        <w:rPr>
          <w:sz w:val="20"/>
          <w:szCs w:val="20"/>
          <w:color w:val="auto"/>
        </w:rPr>
      </w:pPr>
      <w:r>
        <w:rPr>
          <w:rFonts w:ascii="Times New Roman" w:cs="Times New Roman" w:eastAsia="Times New Roman" w:hAnsi="Times New Roman"/>
          <w:sz w:val="18"/>
          <w:szCs w:val="18"/>
          <w:color w:val="auto"/>
        </w:rPr>
        <w:t>– We performed a RCOI which included requiring in-scope suppliers to complete the RMI’s CMRT as well as a review of the data collected to determine if the SORs reported to us sourced conflict minerals from a Covered Country.</w:t>
      </w:r>
    </w:p>
    <w:p>
      <w:pPr>
        <w:ind w:left="660" w:right="320" w:hanging="324"/>
        <w:spacing w:after="0" w:line="255" w:lineRule="auto"/>
        <w:rPr>
          <w:sz w:val="20"/>
          <w:szCs w:val="20"/>
          <w:color w:val="auto"/>
        </w:rPr>
      </w:pPr>
      <w:r>
        <w:rPr>
          <w:rFonts w:ascii="Times New Roman" w:cs="Times New Roman" w:eastAsia="Times New Roman" w:hAnsi="Times New Roman"/>
          <w:sz w:val="18"/>
          <w:szCs w:val="18"/>
          <w:color w:val="auto"/>
        </w:rPr>
        <w:t>– We reviewed incomplete and inconsistent RCOI responses and engaged with our suppliers and their upstream suppliers, as needed, to provide additional training, clarify responses and gather additional information. We continue to refine our plan to identify risks in our suppliers’ RCOI responses.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3: Design and Implement a Strategy to Respond to Identified Risks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We informed in-scope suppliers of our Conflict Minerals Policy in RCOI communications.</w:t>
      </w:r>
    </w:p>
    <w:p>
      <w:pPr>
        <w:spacing w:after="0" w:line="9" w:lineRule="exact"/>
        <w:rPr>
          <w:sz w:val="20"/>
          <w:szCs w:val="20"/>
          <w:color w:val="auto"/>
        </w:rPr>
      </w:pPr>
    </w:p>
    <w:p>
      <w:pPr>
        <w:ind w:left="660" w:right="360" w:hanging="324"/>
        <w:spacing w:after="0" w:line="250" w:lineRule="auto"/>
        <w:rPr>
          <w:sz w:val="20"/>
          <w:szCs w:val="20"/>
          <w:color w:val="auto"/>
        </w:rPr>
      </w:pPr>
      <w:r>
        <w:rPr>
          <w:rFonts w:ascii="Times New Roman" w:cs="Times New Roman" w:eastAsia="Times New Roman" w:hAnsi="Times New Roman"/>
          <w:sz w:val="18"/>
          <w:szCs w:val="18"/>
          <w:color w:val="auto"/>
        </w:rPr>
        <w:t>– Victoria's Secret &amp; Co. is a member of RMI. As a member, we have access to additional information about the countries of origin from which SORs source. Using that information, we performed additional procedures to assess the SORs reported to us.</w:t>
      </w:r>
    </w:p>
    <w:p>
      <w:pPr>
        <w:ind w:left="660" w:right="240" w:hanging="324"/>
        <w:spacing w:after="0" w:line="255" w:lineRule="auto"/>
        <w:rPr>
          <w:sz w:val="20"/>
          <w:szCs w:val="20"/>
          <w:color w:val="auto"/>
        </w:rPr>
      </w:pPr>
      <w:r>
        <w:rPr>
          <w:rFonts w:ascii="Times New Roman" w:cs="Times New Roman" w:eastAsia="Times New Roman" w:hAnsi="Times New Roman"/>
          <w:sz w:val="18"/>
          <w:szCs w:val="18"/>
          <w:color w:val="auto"/>
        </w:rPr>
        <w:t>– We continue to develop, and are committed to executing, a risk mitigation plan that includes providing regular updates to our Conflict Minerals Steering Committee and escalating identified risks to production and sourcing teams and the Compliance Oversight Committee to determine appropriate next steps and possible corrective action.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4: Perform Independent Third-party Audit of Supply Chain Due Diligence at Identified Points in the Supply Chain, As Necessary</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As members of the RMI, we support audits of conflict minerals SORs conducted by independent third parties through the RMAP.</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5: Report on Supply Chain Due Diligence</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We filed this Conflict Minerals Report for the calendar year ended Dec. 31, 2021 with the SEC as Exhibit 1.01 to the Form SD on May 27, 2022.</w:t>
      </w:r>
    </w:p>
    <w:p>
      <w:pPr>
        <w:sectPr>
          <w:pgSz w:w="11900" w:h="16838" w:orient="portrait"/>
          <w:cols w:equalWidth="0" w:num="1">
            <w:col w:w="11220"/>
          </w:cols>
          <w:pgMar w:left="320" w:top="90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Results of Due Diligence Performed</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our due diligence process and the subsequent information we gathered, we are unable to confirm the origin of all the Covered Conflict Minerals used in our products and whether armed groups directly or indirectly benefitted. Our suppliers reported 15 SORs who may have provided Covered Conflict Minerals used in our products. The smelters and refiners identified by the in-scope suppliers may not be all the smelters and refiners in the supply chain of our products. All the reported SORs are conformant to the RMAP or an equivalent audit protocol. We confirmed that three reported SORs sourced from the Covered Countries, and each was RMAP conformant. We included Appendix A to provide information about the SORs reported by our in-scope suppliers, their conformance status, and the possible sources of Covered Conflict Minerals in our supply chain. The table below summarizes the conformance status of known SORs reported by the Company’s in-scope suppliers.</w:t>
      </w:r>
    </w:p>
    <w:p>
      <w:pPr>
        <w:spacing w:after="0" w:line="308" w:lineRule="exact"/>
        <w:rPr>
          <w:sz w:val="20"/>
          <w:szCs w:val="20"/>
          <w:color w:val="auto"/>
        </w:rPr>
      </w:pPr>
    </w:p>
    <w:tbl>
      <w:tblPr>
        <w:tblLayout w:type="fixed"/>
        <w:tblInd w:w="1630" w:type="dxa"/>
        <w:tblCellMar>
          <w:top w:w="0" w:type="dxa"/>
          <w:left w:w="0" w:type="dxa"/>
          <w:bottom w:w="0" w:type="dxa"/>
          <w:right w:w="0" w:type="dxa"/>
        </w:tblCellMar>
      </w:tblPr>
      <w:tr>
        <w:trPr>
          <w:trHeight w:val="433"/>
        </w:trPr>
        <w:tc>
          <w:tcPr>
            <w:tcW w:w="1560" w:type="dxa"/>
            <w:vAlign w:val="bottom"/>
            <w:tcBorders>
              <w:top w:val="single" w:sz="8" w:color="auto"/>
              <w:left w:val="single" w:sz="8" w:color="auto"/>
              <w:right w:val="single" w:sz="8" w:color="auto"/>
            </w:tcBorders>
            <w:vMerge w:val="restart"/>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Minerals</w:t>
            </w:r>
          </w:p>
        </w:tc>
        <w:tc>
          <w:tcPr>
            <w:tcW w:w="1700" w:type="dxa"/>
            <w:vAlign w:val="bottom"/>
            <w:tcBorders>
              <w:top w:val="single" w:sz="8" w:color="auto"/>
              <w:right w:val="single" w:sz="8" w:color="auto"/>
            </w:tcBorders>
            <w:shd w:val="clear" w:color="auto" w:fill="F2F2F2"/>
          </w:tcPr>
          <w:p>
            <w:pPr>
              <w:ind w:left="340"/>
              <w:spacing w:after="0"/>
              <w:rPr>
                <w:sz w:val="20"/>
                <w:szCs w:val="20"/>
                <w:color w:val="auto"/>
              </w:rPr>
            </w:pPr>
            <w:r>
              <w:rPr>
                <w:rFonts w:ascii="Times New Roman" w:cs="Times New Roman" w:eastAsia="Times New Roman" w:hAnsi="Times New Roman"/>
                <w:sz w:val="18"/>
                <w:szCs w:val="18"/>
                <w:b w:val="1"/>
                <w:bCs w:val="1"/>
                <w:color w:val="auto"/>
              </w:rPr>
              <w:t>Conformant</w:t>
            </w:r>
            <w:r>
              <w:rPr>
                <w:rFonts w:ascii="Times New Roman" w:cs="Times New Roman" w:eastAsia="Times New Roman" w:hAnsi="Times New Roman"/>
                <w:sz w:val="23"/>
                <w:szCs w:val="23"/>
                <w:b w:val="1"/>
                <w:bCs w:val="1"/>
                <w:color w:val="auto"/>
                <w:vertAlign w:val="superscript"/>
              </w:rPr>
              <w:t>1</w:t>
            </w:r>
          </w:p>
        </w:tc>
        <w:tc>
          <w:tcPr>
            <w:tcW w:w="1500" w:type="dxa"/>
            <w:vAlign w:val="bottom"/>
            <w:tcBorders>
              <w:top w:val="single" w:sz="8" w:color="auto"/>
              <w:right w:val="single" w:sz="8" w:color="auto"/>
            </w:tcBorders>
            <w:vMerge w:val="restart"/>
            <w:shd w:val="clear" w:color="auto" w:fill="F2F2F2"/>
          </w:tcPr>
          <w:p>
            <w:pPr>
              <w:ind w:left="100"/>
              <w:spacing w:after="0"/>
              <w:rPr>
                <w:sz w:val="20"/>
                <w:szCs w:val="20"/>
                <w:color w:val="auto"/>
              </w:rPr>
            </w:pPr>
            <w:r>
              <w:rPr>
                <w:rFonts w:ascii="Times New Roman" w:cs="Times New Roman" w:eastAsia="Times New Roman" w:hAnsi="Times New Roman"/>
                <w:sz w:val="18"/>
                <w:szCs w:val="18"/>
                <w:b w:val="1"/>
                <w:bCs w:val="1"/>
                <w:color w:val="auto"/>
              </w:rPr>
              <w:t>Not Conformant</w:t>
            </w:r>
          </w:p>
        </w:tc>
        <w:tc>
          <w:tcPr>
            <w:tcW w:w="1520" w:type="dxa"/>
            <w:vAlign w:val="bottom"/>
            <w:tcBorders>
              <w:top w:val="single" w:sz="8" w:color="auto"/>
              <w:right w:val="single" w:sz="8" w:color="auto"/>
            </w:tcBorders>
            <w:vMerge w:val="restart"/>
            <w:shd w:val="clear" w:color="auto" w:fill="F2F2F2"/>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66"/>
        </w:trPr>
        <w:tc>
          <w:tcPr>
            <w:tcW w:w="1560" w:type="dxa"/>
            <w:vAlign w:val="bottom"/>
            <w:tcBorders>
              <w:left w:val="single" w:sz="8" w:color="auto"/>
              <w:bottom w:val="single" w:sz="8" w:color="auto"/>
              <w:right w:val="single" w:sz="8" w:color="auto"/>
            </w:tcBorders>
            <w:vMerge w:val="continue"/>
            <w:shd w:val="clear" w:color="auto" w:fill="F2F2F2"/>
          </w:tcPr>
          <w:p>
            <w:pPr>
              <w:spacing w:after="0"/>
              <w:rPr>
                <w:sz w:val="5"/>
                <w:szCs w:val="5"/>
                <w:color w:val="auto"/>
              </w:rPr>
            </w:pPr>
          </w:p>
        </w:tc>
        <w:tc>
          <w:tcPr>
            <w:tcW w:w="1700" w:type="dxa"/>
            <w:vAlign w:val="bottom"/>
            <w:tcBorders>
              <w:bottom w:val="single" w:sz="8" w:color="auto"/>
              <w:right w:val="single" w:sz="8" w:color="auto"/>
            </w:tcBorders>
            <w:shd w:val="clear" w:color="auto" w:fill="F2F2F2"/>
          </w:tcPr>
          <w:p>
            <w:pPr>
              <w:spacing w:after="0"/>
              <w:rPr>
                <w:sz w:val="5"/>
                <w:szCs w:val="5"/>
                <w:color w:val="auto"/>
              </w:rPr>
            </w:pPr>
          </w:p>
        </w:tc>
        <w:tc>
          <w:tcPr>
            <w:tcW w:w="1500" w:type="dxa"/>
            <w:vAlign w:val="bottom"/>
            <w:tcBorders>
              <w:bottom w:val="single" w:sz="8" w:color="auto"/>
              <w:right w:val="single" w:sz="8" w:color="auto"/>
            </w:tcBorders>
            <w:vMerge w:val="continue"/>
            <w:shd w:val="clear" w:color="auto" w:fill="F2F2F2"/>
          </w:tcPr>
          <w:p>
            <w:pPr>
              <w:spacing w:after="0"/>
              <w:rPr>
                <w:sz w:val="5"/>
                <w:szCs w:val="5"/>
                <w:color w:val="auto"/>
              </w:rPr>
            </w:pPr>
          </w:p>
        </w:tc>
        <w:tc>
          <w:tcPr>
            <w:tcW w:w="1520" w:type="dxa"/>
            <w:vAlign w:val="bottom"/>
            <w:tcBorders>
              <w:bottom w:val="single" w:sz="8" w:color="auto"/>
              <w:right w:val="single" w:sz="8" w:color="auto"/>
            </w:tcBorders>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50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23"/>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50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50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3"/>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by Percent</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50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380"/>
        <w:spacing w:after="0" w:line="40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SORs listed as “conformant” were audited and found to be conformant to RMAP audit protocols or an equivalent audit program as of April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2022. </w:t>
      </w:r>
      <w:r>
        <w:rPr>
          <w:rFonts w:ascii="Times New Roman" w:cs="Times New Roman" w:eastAsia="Times New Roman" w:hAnsi="Times New Roman"/>
          <w:sz w:val="18"/>
          <w:szCs w:val="18"/>
          <w:b w:val="1"/>
          <w:bCs w:val="1"/>
          <w:color w:val="auto"/>
        </w:rPr>
        <w:t>Steps to Mitigate Risks and Improve Due Diligence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In order to improve our due diligence for future disclosure years, we plan to:</w:t>
      </w:r>
    </w:p>
    <w:p>
      <w:pPr>
        <w:spacing w:after="0" w:line="27" w:lineRule="exact"/>
        <w:rPr>
          <w:sz w:val="20"/>
          <w:szCs w:val="20"/>
          <w:color w:val="auto"/>
        </w:rPr>
      </w:pPr>
    </w:p>
    <w:p>
      <w:pPr>
        <w:ind w:left="660" w:hanging="324"/>
        <w:spacing w:after="0" w:line="250" w:lineRule="auto"/>
        <w:rPr>
          <w:sz w:val="20"/>
          <w:szCs w:val="20"/>
          <w:color w:val="auto"/>
        </w:rPr>
      </w:pPr>
      <w:r>
        <w:rPr>
          <w:rFonts w:ascii="Times New Roman" w:cs="Times New Roman" w:eastAsia="Times New Roman" w:hAnsi="Times New Roman"/>
          <w:sz w:val="18"/>
          <w:szCs w:val="18"/>
          <w:color w:val="auto"/>
        </w:rPr>
        <w:t>– Continue our membership and participation in the RMI through monthly membership and semi-monthly workgroup meetings and collaborate with other industry groups and peer companies.</w:t>
      </w:r>
    </w:p>
    <w:p>
      <w:pPr>
        <w:ind w:left="340"/>
        <w:spacing w:after="0"/>
        <w:rPr>
          <w:sz w:val="20"/>
          <w:szCs w:val="20"/>
          <w:color w:val="auto"/>
        </w:rPr>
      </w:pPr>
      <w:r>
        <w:rPr>
          <w:rFonts w:ascii="Times New Roman" w:cs="Times New Roman" w:eastAsia="Times New Roman" w:hAnsi="Times New Roman"/>
          <w:sz w:val="18"/>
          <w:szCs w:val="18"/>
          <w:color w:val="auto"/>
        </w:rPr>
        <w:t>–   Continue to participate in the RMI’s plenary and due diligence practices team calls.</w:t>
      </w:r>
    </w:p>
    <w:p>
      <w:pPr>
        <w:spacing w:after="0" w:line="9" w:lineRule="exact"/>
        <w:rPr>
          <w:sz w:val="20"/>
          <w:szCs w:val="20"/>
          <w:color w:val="auto"/>
        </w:rPr>
      </w:pPr>
    </w:p>
    <w:p>
      <w:pPr>
        <w:ind w:left="660" w:right="40" w:hanging="324"/>
        <w:spacing w:after="0" w:line="250" w:lineRule="auto"/>
        <w:rPr>
          <w:sz w:val="20"/>
          <w:szCs w:val="20"/>
          <w:color w:val="auto"/>
        </w:rPr>
      </w:pPr>
      <w:r>
        <w:rPr>
          <w:rFonts w:ascii="Times New Roman" w:cs="Times New Roman" w:eastAsia="Times New Roman" w:hAnsi="Times New Roman"/>
          <w:sz w:val="18"/>
          <w:szCs w:val="18"/>
          <w:color w:val="auto"/>
        </w:rPr>
        <w:t>– Continue to partner closely with, and provide training to, our finished goods suppliers, component and raw material sub-suppliers, sourcing teams and other applicable associates to improve our compliance efforts.</w:t>
      </w:r>
    </w:p>
    <w:p>
      <w:pPr>
        <w:ind w:left="340"/>
        <w:spacing w:after="0"/>
        <w:rPr>
          <w:sz w:val="20"/>
          <w:szCs w:val="20"/>
          <w:color w:val="auto"/>
        </w:rPr>
      </w:pPr>
      <w:r>
        <w:rPr>
          <w:rFonts w:ascii="Times New Roman" w:cs="Times New Roman" w:eastAsia="Times New Roman" w:hAnsi="Times New Roman"/>
          <w:sz w:val="18"/>
          <w:szCs w:val="18"/>
          <w:color w:val="auto"/>
        </w:rPr>
        <w:t>–   Continue to encourage our suppliers to put a conflict minerals policy in place or improve their existing conflict minerals policies.</w:t>
      </w:r>
    </w:p>
    <w:p>
      <w:pPr>
        <w:spacing w:after="0" w:line="9" w:lineRule="exact"/>
        <w:rPr>
          <w:sz w:val="20"/>
          <w:szCs w:val="20"/>
          <w:color w:val="auto"/>
        </w:rPr>
      </w:pPr>
    </w:p>
    <w:p>
      <w:pPr>
        <w:ind w:left="660" w:hanging="324"/>
        <w:spacing w:after="0" w:line="255" w:lineRule="auto"/>
        <w:rPr>
          <w:sz w:val="20"/>
          <w:szCs w:val="20"/>
          <w:color w:val="auto"/>
        </w:rPr>
      </w:pPr>
      <w:r>
        <w:rPr>
          <w:rFonts w:ascii="Times New Roman" w:cs="Times New Roman" w:eastAsia="Times New Roman" w:hAnsi="Times New Roman"/>
          <w:sz w:val="18"/>
          <w:szCs w:val="18"/>
          <w:color w:val="auto"/>
        </w:rPr>
        <w:t>– Implement corrective actions for suppliers who are unable to provide complete and accurate information or do not source from smelters or refiners who have been validated through programs such as RMI’s RMAP, London Bullion Market Association’s Responsible Gold Programme or Responsible Jewellery Council’s Chain-of-Custody Certification Program.</w:t>
      </w:r>
    </w:p>
    <w:p>
      <w:pPr>
        <w:sectPr>
          <w:pgSz w:w="11900" w:h="16838" w:orient="portrait"/>
          <w:cols w:equalWidth="0" w:num="1">
            <w:col w:w="11200"/>
          </w:cols>
          <w:pgMar w:left="320" w:top="1076"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and Refiners Reported in the Company’s Supply Chain as Of December 31, 2021</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Many of our suppliers provided company-level data in their CMRTs, which means that they may have provided information about conflict minerals used in products manufactured for the Company as well as other customers. As such, not all SORs listed below may have processed conflict minerals necessary to the function or production of our products.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6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664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SOR NAME</w:t>
            </w:r>
          </w:p>
        </w:tc>
        <w:tc>
          <w:tcPr>
            <w:tcW w:w="1500" w:type="dxa"/>
            <w:vAlign w:val="bottom"/>
            <w:tcBorders>
              <w:top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*SMELTER</w:t>
            </w:r>
          </w:p>
        </w:tc>
        <w:tc>
          <w:tcPr>
            <w:tcW w:w="2040" w:type="dxa"/>
            <w:vAlign w:val="bottom"/>
            <w:tcBorders>
              <w:top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CONFORMANCE</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6640" w:type="dxa"/>
            <w:vAlign w:val="bottom"/>
            <w:tcBorders>
              <w:bottom w:val="single" w:sz="8" w:color="auto"/>
              <w:right w:val="single" w:sz="8" w:color="auto"/>
            </w:tcBorders>
            <w:vMerge w:val="continue"/>
          </w:tcPr>
          <w:p>
            <w:pPr>
              <w:spacing w:after="0"/>
              <w:rPr>
                <w:sz w:val="21"/>
                <w:szCs w:val="21"/>
                <w:color w:val="auto"/>
              </w:rPr>
            </w:pP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TIN GROUP CO., LTD.</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 VINTO</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BOLIVIA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MINSUR</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PERU</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BOLIVIA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REFINED BANGKA TIN</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KUNDUR</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MENTOK</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THAISARCO</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THAILAND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The table only includes entities that were listed as smelters or refiners by the RMI.</w:t>
      </w:r>
    </w:p>
    <w:p>
      <w:pPr>
        <w:spacing w:after="0" w:line="27" w:lineRule="exact"/>
        <w:rPr>
          <w:sz w:val="20"/>
          <w:szCs w:val="20"/>
          <w:color w:val="auto"/>
        </w:rPr>
      </w:pPr>
    </w:p>
    <w:p>
      <w:pPr>
        <w:ind w:left="660" w:right="320" w:hanging="324"/>
        <w:spacing w:after="0" w:line="260" w:lineRule="auto"/>
        <w:rPr>
          <w:sz w:val="20"/>
          <w:szCs w:val="20"/>
          <w:color w:val="auto"/>
        </w:rPr>
      </w:pPr>
      <w:r>
        <w:rPr>
          <w:rFonts w:ascii="Times New Roman" w:cs="Times New Roman" w:eastAsia="Times New Roman" w:hAnsi="Times New Roman"/>
          <w:sz w:val="18"/>
          <w:szCs w:val="18"/>
          <w:color w:val="auto"/>
        </w:rPr>
        <w:t>– Refiners and smelters listed are as of the Assessment Date and based on information made publicly available by the RMI, without independent verification by Victoria's Secret &amp; Co.</w:t>
      </w:r>
    </w:p>
    <w:p>
      <w:pPr>
        <w:spacing w:after="0" w:line="11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*"Smelter Country” is the country in which the smelter or refiner is located. Country location is based solely on information made publicly available by the RMI, without independent verification by Victoria's Secret &amp; Co.</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endash "/>
      <w:numFmt w:val="bullet"/>
      <w:start w:val="1"/>
    </w:lvl>
    <w:lvl w:ilvl="1">
      <w:lvlJc w:val="left"/>
      <w:lvlText w:val="\endash "/>
      <w:numFmt w:val="bullet"/>
      <w:start w:val="1"/>
    </w:lvl>
  </w:abstractNum>
  <w:abstractNum w:abstractNumId="4">
    <w:nsid w:val="79E2A9E3"/>
    <w:multiLevelType w:val="hybridMultilevel"/>
    <w:lvl w:ilvl="0">
      <w:lvlJc w:val="left"/>
      <w:lvlText w:val="\endash "/>
      <w:numFmt w:val="bullet"/>
      <w:start w:val="1"/>
    </w:lvl>
  </w:abstractNum>
  <w:abstractNum w:abstractNumId="5">
    <w:nsid w:val="7545E146"/>
    <w:multiLevelType w:val="hybridMultilevel"/>
    <w:lvl w:ilvl="0">
      <w:lvlJc w:val="left"/>
      <w:lvlText w:val="\endash "/>
      <w:numFmt w:val="bullet"/>
      <w:start w:val="1"/>
    </w:lvl>
  </w:abstractNum>
  <w:abstractNum w:abstractNumId="6">
    <w:nsid w:val="515F007C"/>
    <w:multiLevelType w:val="hybridMultilevel"/>
    <w:lvl w:ilvl="0">
      <w:lvlJc w:val="left"/>
      <w:lvlText w:val="\endash "/>
      <w:numFmt w:val="bullet"/>
      <w:start w:val="1"/>
    </w:lvl>
  </w:abstractNum>
  <w:abstractNum w:abstractNumId="7">
    <w:nsid w:val="5BD062C2"/>
    <w:multiLevelType w:val="hybridMultilevel"/>
    <w:lvl w:ilvl="0">
      <w:lvlJc w:val="left"/>
      <w:lvlText w:val="\endash "/>
      <w:numFmt w:val="bullet"/>
      <w:start w:val="1"/>
    </w:lvl>
  </w:abstractNum>
  <w:abstractNum w:abstractNumId="8">
    <w:nsid w:val="12200854"/>
    <w:multiLevelType w:val="hybridMultilevel"/>
    <w:lvl w:ilvl="0">
      <w:lvlJc w:val="left"/>
      <w:lvlText w:val="\endash "/>
      <w:numFmt w:val="bullet"/>
      <w:start w:val="1"/>
    </w:lvl>
  </w:abstractNum>
  <w:abstractNum w:abstractNumId="9">
    <w:nsid w:val="4DB127F8"/>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2022-05-27T07:20:26Z</dcterms:created>
  <dcterms:modified xsi:type="dcterms:W3CDTF">2022-05-27T07:20:26Z</dcterms:modified>
</cp:coreProperties>
</file>