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36"/>
        </w:rPr>
      </w:pPr>
      <w:r>
        <w:rPr>
          <w:rFonts w:ascii="Times New Roman;serif" w:hAnsi="Times New Roman;serif"/>
          <w:b/>
          <w:color w:val="000000"/>
          <w:sz w:val="36"/>
        </w:rPr>
        <w:t xml:space="preserve">UNITED STATES </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32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320"/>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 of the</w:t>
      </w:r>
    </w:p>
    <w:p>
      <w:pPr>
        <w:pStyle w:val="TextBody"/>
        <w:bidi w:val="0"/>
        <w:spacing w:lineRule="auto" w:line="288" w:before="0" w:after="240"/>
        <w:jc w:val="center"/>
        <w:rPr>
          <w:rFonts w:ascii="Times New Roman;serif" w:hAnsi="Times New Roman;serif"/>
          <w:b/>
          <w:color w:val="000000"/>
          <w:sz w:val="24"/>
        </w:rPr>
      </w:pPr>
      <w:r>
        <w:rPr>
          <w:rFonts w:ascii="Times New Roman;serif" w:hAnsi="Times New Roman;serif"/>
          <w:b/>
          <w:color w:val="000000"/>
          <w:sz w:val="24"/>
        </w:rPr>
        <w:t>Securities Exchange Act of 1934</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August 19, 2025 (August 18, 2025)</w:t>
      </w:r>
    </w:p>
    <w:tbl>
      <w:tblPr>
        <w:tblW w:w="9057" w:type="dxa"/>
        <w:jc w:val="center"/>
        <w:tblInd w:w="0" w:type="dxa"/>
        <w:tblLayout w:type="fixed"/>
        <w:tblCellMar>
          <w:top w:w="28" w:type="dxa"/>
          <w:left w:w="28" w:type="dxa"/>
          <w:bottom w:w="28" w:type="dxa"/>
          <w:right w:w="28" w:type="dxa"/>
        </w:tblCellMar>
      </w:tblPr>
      <w:tblGrid>
        <w:gridCol w:w="564"/>
        <w:gridCol w:w="496"/>
        <w:gridCol w:w="497"/>
        <w:gridCol w:w="433"/>
        <w:gridCol w:w="433"/>
        <w:gridCol w:w="441"/>
        <w:gridCol w:w="1054"/>
        <w:gridCol w:w="1054"/>
        <w:gridCol w:w="1056"/>
        <w:gridCol w:w="884"/>
        <w:gridCol w:w="884"/>
        <w:gridCol w:w="1261"/>
      </w:tblGrid>
      <w:tr>
        <w:trPr/>
        <w:tc>
          <w:tcPr>
            <w:tcW w:w="564"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15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8"/>
              </w:rPr>
            </w:pPr>
            <w:r>
              <w:rPr>
                <w:rFonts w:ascii="Times New Roman;serif" w:hAnsi="Times New Roman;serif"/>
                <w:b/>
                <w:color w:val="000000"/>
                <w:sz w:val="28"/>
              </w:rPr>
              <w:t>Victoria’s Secret &amp; Co.</w:t>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(Exact Name of Registrant</w:t>
              <w:br/>
              <w:t>as Specified in Its Charter)</w:t>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57"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6"/>
              </w:rPr>
            </w:pPr>
            <w:r>
              <w:rPr>
                <w:rFonts w:ascii="Times New Roman;serif" w:hAnsi="Times New Roman;serif"/>
                <w:b/>
                <w:color w:val="000000"/>
                <w:sz w:val="26"/>
              </w:rPr>
              <w:t>Delaware</w:t>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 of incorporation)</w:t>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57"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001-40515</w:t>
            </w:r>
          </w:p>
        </w:tc>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86-3167653</w:t>
            </w:r>
          </w:p>
        </w:tc>
      </w:tr>
      <w:tr>
        <w:trPr/>
        <w:tc>
          <w:tcPr>
            <w:tcW w:w="286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r>
        <w:trPr/>
        <w:tc>
          <w:tcPr>
            <w:tcW w:w="9057" w:type="dxa"/>
            <w:gridSpan w:val="12"/>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 Limited Parkway East</w:t>
            </w:r>
          </w:p>
        </w:tc>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Reynoldsburg,</w:t>
            </w:r>
          </w:p>
        </w:tc>
        <w:tc>
          <w:tcPr>
            <w:tcW w:w="130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OH</w:t>
            </w:r>
          </w:p>
        </w:tc>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43068</w:t>
            </w:r>
          </w:p>
        </w:tc>
      </w:tr>
      <w:tr>
        <w:trPr/>
        <w:tc>
          <w:tcPr>
            <w:tcW w:w="286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(Address of principal executive offices)</w:t>
            </w:r>
          </w:p>
        </w:tc>
        <w:tc>
          <w:tcPr>
            <w:tcW w:w="3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(Zip Code)</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(614) 577-7000 </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(Registrant's telephone number, including area code)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 Applicable</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(Former name or former address, if changed since last report)</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lineRule="auto" w:line="288" w:before="0" w:after="120"/>
        <w:jc w:val="left"/>
        <w:rPr/>
      </w:pP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lineRule="auto" w:line="288" w:before="0" w:after="120"/>
        <w:jc w:val="left"/>
        <w:rPr/>
      </w:pPr>
      <w:r>
        <w:rPr>
          <w:color w:val="000000"/>
        </w:rPr>
        <w:t xml:space="preserve">☐ </w:t>
      </w:r>
      <w:r>
        <w:rPr>
          <w:rFonts w:ascii="Times New Roman;serif" w:hAnsi="Times New Roman;serif"/>
          <w:b w:val="false"/>
          <w:color w:val="000000"/>
          <w:sz w:val="20"/>
        </w:rPr>
        <w:t>Soliciting material pursuant to Rule 14a-12 under the Exchange Act (17 CFR 240.14a-12)</w:t>
      </w:r>
    </w:p>
    <w:p>
      <w:pPr>
        <w:pStyle w:val="TextBody"/>
        <w:bidi w:val="0"/>
        <w:spacing w:lineRule="auto" w:line="288" w:before="0" w:after="120"/>
        <w:jc w:val="left"/>
        <w:rPr/>
      </w:pPr>
      <w:r>
        <w:rPr>
          <w:color w:val="000000"/>
        </w:rPr>
        <w:t xml:space="preserve">☐ </w:t>
      </w:r>
      <w:r>
        <w:rPr>
          <w:rFonts w:ascii="Times New Roman;serif" w:hAnsi="Times New Roman;serif"/>
          <w:b w:val="false"/>
          <w:color w:val="000000"/>
          <w:sz w:val="20"/>
        </w:rPr>
        <w:t>Pre-commencement communications pursuant to Rule 14d-2(b) under the Exchange Act (17 CFR 240.14d-2(b))</w:t>
      </w:r>
    </w:p>
    <w:p>
      <w:pPr>
        <w:pStyle w:val="TextBody"/>
        <w:bidi w:val="0"/>
        <w:spacing w:lineRule="auto" w:line="288" w:before="0" w:after="120"/>
        <w:jc w:val="left"/>
        <w:rPr/>
      </w:pPr>
      <w:r>
        <w:rPr>
          <w:color w:val="000000"/>
        </w:rPr>
        <w:t xml:space="preserve">☐ </w:t>
      </w:r>
      <w:r>
        <w:rPr>
          <w:rFonts w:ascii="Times New Roman;serif" w:hAnsi="Times New Roman;serif"/>
          <w:b w:val="false"/>
          <w:color w:val="000000"/>
          <w:sz w:val="20"/>
        </w:rPr>
        <w:t>Pre-commencement communications pursuant to Rule 13e-4(c) under the Exchange Act (17 CFR 240.13e-4(c))</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932" w:type="dxa"/>
        <w:jc w:val="left"/>
        <w:tblInd w:w="0" w:type="dxa"/>
        <w:tblLayout w:type="fixed"/>
        <w:tblCellMar>
          <w:top w:w="28" w:type="dxa"/>
          <w:left w:w="28" w:type="dxa"/>
          <w:bottom w:w="28" w:type="dxa"/>
          <w:right w:w="28" w:type="dxa"/>
        </w:tblCellMar>
      </w:tblPr>
      <w:tblGrid>
        <w:gridCol w:w="997"/>
        <w:gridCol w:w="876"/>
        <w:gridCol w:w="886"/>
        <w:gridCol w:w="109"/>
        <w:gridCol w:w="109"/>
        <w:gridCol w:w="109"/>
        <w:gridCol w:w="564"/>
        <w:gridCol w:w="564"/>
        <w:gridCol w:w="566"/>
        <w:gridCol w:w="109"/>
        <w:gridCol w:w="109"/>
        <w:gridCol w:w="109"/>
        <w:gridCol w:w="1118"/>
        <w:gridCol w:w="1118"/>
        <w:gridCol w:w="1589"/>
      </w:tblGrid>
      <w:tr>
        <w:trPr/>
        <w:tc>
          <w:tcPr>
            <w:tcW w:w="997"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27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VSCO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New York Stock Exchange</w:t>
            </w:r>
          </w:p>
        </w:tc>
      </w:tr>
      <w:tr>
        <w:trPr/>
        <w:tc>
          <w:tcPr>
            <w:tcW w:w="27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Preferred Stock Purchase Rights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New York Stock Exchange</w:t>
            </w:r>
          </w:p>
        </w:tc>
      </w:tr>
    </w:tbl>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Indicate by check mark whether the registrant is an emerging growth company as defined in Rule 405 of the Securities Act of 1933 (§230.405 of this chapter) or Rule 12b-2 of the Securities Exchange Act of 1934 (§240.12b-2 of this chapter). </w:t>
      </w:r>
    </w:p>
    <w:p>
      <w:pPr>
        <w:pStyle w:val="TextBody"/>
        <w:bidi w:val="0"/>
        <w:spacing w:lineRule="auto" w:line="288" w:before="0" w:after="120"/>
        <w:jc w:val="left"/>
        <w:rPr/>
      </w:pPr>
      <w:r>
        <w:rPr>
          <w:rFonts w:ascii="Times New Roman;serif" w:hAnsi="Times New Roman;serif"/>
          <w:b w:val="false"/>
          <w:color w:val="000000"/>
          <w:sz w:val="20"/>
        </w:rPr>
        <w:t xml:space="preserve">Emerging growth company </w:t>
      </w:r>
      <w:r>
        <w:rPr>
          <w:color w:val="000000"/>
        </w:rPr>
        <w:t xml:space="preserve">☐ </w:t>
      </w:r>
    </w:p>
    <w:p>
      <w:pPr>
        <w:pStyle w:val="TextBody"/>
        <w:bidi w:val="0"/>
        <w:spacing w:lineRule="auto" w:line="288" w:before="0" w:after="12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00"/>
        <w:jc w:val="left"/>
        <w:rPr>
          <w:rFonts w:ascii="Times New Roman;serif" w:hAnsi="Times New Roman;serif"/>
          <w:b/>
          <w:color w:val="000000"/>
          <w:sz w:val="20"/>
        </w:rPr>
      </w:pPr>
      <w:r>
        <w:rPr>
          <w:rFonts w:ascii="Times New Roman;serif" w:hAnsi="Times New Roman;serif"/>
          <w:b/>
          <w:color w:val="000000"/>
          <w:sz w:val="20"/>
        </w:rPr>
        <w:t>Item 5.02 Departure of Directors or Certain Officers; Election of Officers; Election of Directors; Appointment of Certain Officers; Compensatory Arrangements of Certain Officers.</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On August 18, 2025, Victoria’s Secret &amp; Co. (the “Company”) eliminated the role of Chief Operating Officer to streamline the executive leadership team. As a result, Dein Boyle departed his position as Chief Operating Officer of the Company effective as of August 19, 2025. In order to provide for a smooth transition, Mr. Boyle is expected to remain employed by the Company in a non-executive capacity through December 31, 2025.</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Mr. Boyle’s termination constitutes a termination by the Company without Cause under the Executive Severance Agreement, dated June 28, 2021, between Mr. Boyle and the Company. In connection with his termination, Mr. Boyle will be entitled to receive the severance benefits provided under his severance agreement, subject to his execution of a full release of claims. In addition, Mr. Boyle will remain subject to certain post-termination restrictive covenants related to confidentiality, non-solicitation and non-competition.</w:t>
      </w:r>
    </w:p>
    <w:p>
      <w:pPr>
        <w:pStyle w:val="TextBody"/>
        <w:bidi w:val="0"/>
        <w:spacing w:lineRule="auto" w:line="288" w:before="0" w:after="200"/>
        <w:jc w:val="left"/>
        <w:rPr>
          <w:rFonts w:ascii="Times New Roman;serif" w:hAnsi="Times New Roman;serif"/>
          <w:b w:val="false"/>
          <w:color w:val="000000"/>
          <w:sz w:val="20"/>
        </w:rPr>
      </w:pPr>
      <w:r>
        <w:rPr>
          <w:rFonts w:ascii="Times New Roman;serif" w:hAnsi="Times New Roman;serif"/>
          <w:b w:val="false"/>
          <w:color w:val="000000"/>
          <w:sz w:val="20"/>
        </w:rPr>
        <w:t>In connection with the elimination of the Chief Operating Officer role, Scott Sekella, the Chief Financial Officer of the Company, has agreed to assume certain additional responsibilities and has been promoted to Chief Financial and Operating Officer. On August 18, 2025, the Human Capital and Compensation Committee of the Board of Directors (the “Compensation Committee”) approved an increase in Mr. Sekella’s annual base salary to $825,000, to be effective as of August 24, 2025. In addition, the Compensation Committee approved a one-time, long-term incentive award of time-vested restricted stock units with an aggregate grant date value of $250,000. The restricted stock units will vest ratably over three years with 30% vesting on each of the first and second anniversaries of the grant date and 40% vesting on the third anniversary of the grant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tbl>
      <w:tblPr>
        <w:tblW w:w="10205" w:type="dxa"/>
        <w:jc w:val="left"/>
        <w:tblInd w:w="0" w:type="dxa"/>
        <w:tblLayout w:type="fixed"/>
        <w:tblCellMar>
          <w:top w:w="28" w:type="dxa"/>
          <w:left w:w="28" w:type="dxa"/>
          <w:bottom w:w="28" w:type="dxa"/>
          <w:right w:w="28" w:type="dxa"/>
        </w:tblCellMar>
      </w:tblPr>
      <w:tblGrid>
        <w:gridCol w:w="386"/>
        <w:gridCol w:w="340"/>
        <w:gridCol w:w="341"/>
        <w:gridCol w:w="109"/>
        <w:gridCol w:w="109"/>
        <w:gridCol w:w="109"/>
        <w:gridCol w:w="2574"/>
        <w:gridCol w:w="2574"/>
        <w:gridCol w:w="3663"/>
      </w:tblGrid>
      <w:tr>
        <w:trPr/>
        <w:tc>
          <w:tcPr>
            <w:tcW w:w="386"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4" w:type="dxa"/>
            <w:tcBorders/>
            <w:vAlign w:val="center"/>
          </w:tcPr>
          <w:p>
            <w:pPr>
              <w:pStyle w:val="TableContents"/>
              <w:bidi w:val="0"/>
              <w:spacing w:before="0" w:after="283"/>
              <w:jc w:val="left"/>
              <w:rPr>
                <w:sz w:val="4"/>
                <w:szCs w:val="4"/>
              </w:rPr>
            </w:pPr>
            <w:r>
              <w:rPr>
                <w:sz w:val="4"/>
                <w:szCs w:val="4"/>
              </w:rPr>
            </w:r>
          </w:p>
        </w:tc>
        <w:tc>
          <w:tcPr>
            <w:tcW w:w="2574" w:type="dxa"/>
            <w:tcBorders/>
            <w:vAlign w:val="center"/>
          </w:tcPr>
          <w:p>
            <w:pPr>
              <w:pStyle w:val="TableContents"/>
              <w:bidi w:val="0"/>
              <w:spacing w:before="0" w:after="283"/>
              <w:jc w:val="left"/>
              <w:rPr>
                <w:sz w:val="4"/>
                <w:szCs w:val="4"/>
              </w:rPr>
            </w:pPr>
            <w:r>
              <w:rPr>
                <w:sz w:val="4"/>
                <w:szCs w:val="4"/>
              </w:rPr>
            </w:r>
          </w:p>
        </w:tc>
        <w:tc>
          <w:tcPr>
            <w:tcW w:w="3663" w:type="dxa"/>
            <w:tcBorders/>
            <w:vAlign w:val="center"/>
          </w:tcPr>
          <w:p>
            <w:pPr>
              <w:pStyle w:val="TableContents"/>
              <w:bidi w:val="0"/>
              <w:spacing w:before="0" w:after="283"/>
              <w:jc w:val="left"/>
              <w:rPr>
                <w:sz w:val="4"/>
                <w:szCs w:val="4"/>
              </w:rPr>
            </w:pPr>
            <w:r>
              <w:rPr>
                <w:sz w:val="4"/>
                <w:szCs w:val="4"/>
              </w:rPr>
            </w:r>
          </w:p>
        </w:tc>
      </w:tr>
      <w:tr>
        <w:trPr/>
        <w:tc>
          <w:tcPr>
            <w:tcW w:w="106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Description</w:t>
            </w:r>
          </w:p>
        </w:tc>
      </w:tr>
      <w:tr>
        <w:trPr/>
        <w:tc>
          <w:tcPr>
            <w:tcW w:w="10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(the cover page XBRL tags are embedded within the inline XBRL document).</w:t>
            </w:r>
          </w:p>
        </w:tc>
      </w:tr>
    </w:tbl>
    <w:p>
      <w:pPr>
        <w:pStyle w:val="TextBody"/>
        <w:bidi w:val="0"/>
        <w:spacing w:before="0" w:after="200"/>
        <w:jc w:val="left"/>
        <w:rPr/>
      </w:pPr>
      <w:r>
        <w:rPr/>
      </w:r>
    </w:p>
    <w:p>
      <w:pPr>
        <w:pStyle w:val="TextBody"/>
        <w:bidi w:val="0"/>
        <w:spacing w:before="0" w:after="20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0" w:after="60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5622" w:type="dxa"/>
        <w:jc w:val="right"/>
        <w:tblInd w:w="0" w:type="dxa"/>
        <w:tblLayout w:type="fixed"/>
        <w:tblCellMar>
          <w:top w:w="28" w:type="dxa"/>
          <w:left w:w="28" w:type="dxa"/>
          <w:bottom w:w="28" w:type="dxa"/>
          <w:right w:w="28" w:type="dxa"/>
        </w:tblCellMar>
      </w:tblPr>
      <w:tblGrid>
        <w:gridCol w:w="200"/>
        <w:gridCol w:w="177"/>
        <w:gridCol w:w="178"/>
        <w:gridCol w:w="484"/>
        <w:gridCol w:w="484"/>
        <w:gridCol w:w="486"/>
        <w:gridCol w:w="134"/>
        <w:gridCol w:w="134"/>
        <w:gridCol w:w="136"/>
        <w:gridCol w:w="939"/>
        <w:gridCol w:w="939"/>
        <w:gridCol w:w="1331"/>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VICTORIA’S SECRET &amp; CO.</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Date:</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19, 2025</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Scott Sekella</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Scott Sekella</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and Operating Officer</w:t>
            </w:r>
          </w:p>
        </w:tc>
      </w:tr>
    </w:tbl>
    <w:p>
      <w:pPr>
        <w:pStyle w:val="TextBody"/>
        <w:bidi w:val="0"/>
        <w:spacing w:before="100" w:after="283"/>
        <w:jc w:val="righ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693</Words>
  <Characters>3849</Characters>
  <CharactersWithSpaces>4485</CharactersWithSpaces>
  <Paragraphs>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