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McAfee Melinda R.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Victoria's Secret &amp; Co.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VSCO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HR Off &amp; Chief Legal Off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500" w:type="dxa"/>
            <w:vAlign w:val="bottom"/>
          </w:tcPr>
          <w:p>
            <w:pPr>
              <w:jc w:val="right"/>
              <w:ind w:righ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43068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02/20/2025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9,400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122,854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Total includes 147 shares acquired under the Victoria's Secret &amp; Co. Associate Stock Purchase Plan that were exempt pursuant to Rule 16b-3.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Robert J. Tannous, by Power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693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of Attorney for Melina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McAfee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16977" TargetMode="External"/><Relationship Id="rId14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2025-02-24T17:03:21Z</dcterms:created>
  <dcterms:modified xsi:type="dcterms:W3CDTF">2025-02-24T17:03:21Z</dcterms:modified>
</cp:coreProperties>
</file>