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July 29, 2023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9"/>
        </w:rPr>
      </w:pPr>
      <w:r>
        <w:rPr>
          <w:rFonts w:ascii="Times New Roman;sans-serif" w:hAnsi="Times New Roman;sans-serif"/>
          <w:b/>
          <w:color w:val="000000"/>
          <w:sz w:val="19"/>
        </w:rPr>
        <w:t>For the transition period from              to             </w:t>
      </w:r>
    </w:p>
    <w:p>
      <w:pPr>
        <w:pStyle w:val="TextBody"/>
        <w:bidi w:val="0"/>
        <w:spacing w:lineRule="auto" w:line="288" w:before="120" w:after="283"/>
        <w:jc w:val="center"/>
        <w:rPr>
          <w:rFonts w:ascii="Times New Roman;sans-serif" w:hAnsi="Times New Roman;sans-serif"/>
          <w:b/>
          <w:color w:val="000000"/>
          <w:sz w:val="19"/>
        </w:rPr>
      </w:pPr>
      <w:r>
        <w:rPr>
          <w:rFonts w:ascii="Times New Roman;sans-serif" w:hAnsi="Times New Roman;sans-serif"/>
          <w:b/>
          <w:color w:val="000000"/>
          <w:sz w:val="19"/>
        </w:rPr>
        <w:t xml:space="preserve">Commission file number 001-40515 </w:t>
      </w:r>
    </w:p>
    <w:p>
      <w:pPr>
        <w:pStyle w:val="TextBody"/>
        <w:bidi w:val="0"/>
        <w:spacing w:lineRule="auto" w:line="288" w:before="0" w:after="120"/>
        <w:jc w:val="center"/>
        <w:rPr>
          <w:color w:val="000000"/>
        </w:rPr>
      </w:pPr>
      <w:r>
        <w:rPr>
          <w:color w:val="000000"/>
        </w:rPr>
        <w:t> </w:t>
      </w:r>
      <w:r>
        <w:rPr>
          <w:rFonts w:ascii="Times New Roman;sans-serif" w:hAnsi="Times New Roman;sans-serif"/>
          <w:b w:val="false"/>
          <w:color w:val="000000"/>
          <w:sz w:val="16"/>
        </w:rPr>
        <w:t>_________________________________</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VICTORIA'S SECRET &amp; CO.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6"/>
        </w:rPr>
        <w:t>_______________________________</w:t>
      </w:r>
    </w:p>
    <w:tbl>
      <w:tblPr>
        <w:tblW w:w="8269" w:type="dxa"/>
        <w:jc w:val="left"/>
        <w:tblInd w:w="0" w:type="dxa"/>
        <w:tblLayout w:type="fixed"/>
        <w:tblCellMar>
          <w:top w:w="28" w:type="dxa"/>
          <w:left w:w="28" w:type="dxa"/>
          <w:bottom w:w="28" w:type="dxa"/>
          <w:right w:w="28" w:type="dxa"/>
        </w:tblCellMar>
      </w:tblPr>
      <w:tblGrid>
        <w:gridCol w:w="807"/>
        <w:gridCol w:w="708"/>
        <w:gridCol w:w="719"/>
        <w:gridCol w:w="524"/>
        <w:gridCol w:w="524"/>
        <w:gridCol w:w="526"/>
        <w:gridCol w:w="423"/>
        <w:gridCol w:w="423"/>
        <w:gridCol w:w="427"/>
        <w:gridCol w:w="109"/>
        <w:gridCol w:w="109"/>
        <w:gridCol w:w="109"/>
        <w:gridCol w:w="109"/>
        <w:gridCol w:w="109"/>
        <w:gridCol w:w="109"/>
        <w:gridCol w:w="740"/>
        <w:gridCol w:w="740"/>
        <w:gridCol w:w="1054"/>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86-3167653</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 Limited Parkway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Reynoldsburg,</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43068</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r>
        <w:trPr/>
        <w:tc>
          <w:tcPr>
            <w:tcW w:w="5408"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(614)</w:t>
            </w:r>
          </w:p>
        </w:tc>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577-7000</w:t>
            </w:r>
          </w:p>
        </w:tc>
      </w:tr>
      <w:tr>
        <w:trPr/>
        <w:tc>
          <w:tcPr>
            <w:tcW w:w="826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6035" w:type="dxa"/>
            <w:gridSpan w:val="15"/>
            <w:tcBorders/>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6035"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7183" w:type="dxa"/>
        <w:jc w:val="center"/>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VSCO</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lineRule="auto" w:line="288" w:before="100" w:after="283"/>
        <w:jc w:val="left"/>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90"/>
        <w:jc w:val="both"/>
        <w:rPr/>
      </w:pPr>
      <w:r>
        <w:rPr>
          <w:rFonts w:ascii="Times New Roman;sans-serif" w:hAnsi="Times New Roman;sans-serif"/>
          <w:b w:val="false"/>
          <w:color w:val="000000"/>
          <w:sz w:val="19"/>
        </w:rPr>
        <w:t>As of August 25, 2023, the number of outstanding shares of the Registrant’s common stock was 77,273,512 shares.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6"/>
        <w:gridCol w:w="2932"/>
        <w:gridCol w:w="2945"/>
        <w:gridCol w:w="237"/>
        <w:gridCol w:w="237"/>
        <w:gridCol w:w="338"/>
      </w:tblGrid>
      <w:tr>
        <w:trPr/>
        <w:tc>
          <w:tcPr>
            <w:tcW w:w="3516"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13">
              <w:r>
                <w:rPr>
                  <w:rStyle w:val="InternetLink"/>
                  <w:rFonts w:ascii="Times New Roman;sans-serif" w:hAnsi="Times New Roman;sans-serif"/>
                  <w:b w:val="false"/>
                  <w:color w:val="0000FF"/>
                  <w:sz w:val="20"/>
                  <w:u w:val="single"/>
                </w:rPr>
                <w:t>Part I. Financial Information</w:t>
              </w:r>
            </w:hyperlink>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1. </w:t>
            </w:r>
            <w:hyperlink w:anchor="i99da704a62874fa99dd78260a321e337_16">
              <w:r>
                <w:rPr>
                  <w:rStyle w:val="InternetLink"/>
                  <w:rFonts w:ascii="Times New Roman;sans-serif" w:hAnsi="Times New Roman;sans-serif"/>
                  <w:b w:val="false"/>
                  <w:color w:val="0000FF"/>
                  <w:sz w:val="20"/>
                  <w:u w:val="single"/>
                </w:rPr>
                <w:t>Financial Statements *</w:t>
              </w:r>
            </w:hyperlink>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19">
              <w:r>
                <w:rPr>
                  <w:rStyle w:val="InternetLink"/>
                  <w:rFonts w:ascii="Times New Roman;sans-serif" w:hAnsi="Times New Roman;sans-serif"/>
                  <w:b w:val="false"/>
                  <w:color w:val="000080"/>
                  <w:sz w:val="20"/>
                  <w:u w:val="single"/>
                </w:rPr>
                <w:t>Consolidated Statements of Income</w:t>
              </w:r>
            </w:hyperlink>
            <w:hyperlink w:anchor="i99da704a62874fa99dd78260a321e337_19">
              <w:r>
                <w:rPr>
                  <w:rStyle w:val="InternetLink"/>
                  <w:rFonts w:ascii="Times New Roman;sans-serif" w:hAnsi="Times New Roman;sans-serif"/>
                  <w:b w:val="false"/>
                  <w:color w:val="000080"/>
                  <w:sz w:val="20"/>
                  <w:u w:val="single"/>
                </w:rPr>
                <w:t xml:space="preserve"> (Loss)</w:t>
              </w:r>
            </w:hyperlink>
            <w:hyperlink w:anchor="i99da704a62874fa99dd78260a321e337_19">
              <w:r>
                <w:rPr>
                  <w:rStyle w:val="InternetLink"/>
                  <w:rFonts w:ascii="Times New Roman;sans-serif" w:hAnsi="Times New Roman;sans-serif"/>
                  <w:b w:val="false"/>
                  <w:color w:val="000080"/>
                  <w:sz w:val="20"/>
                  <w:u w:val="single"/>
                </w:rPr>
                <w:t xml:space="preserve"> for the Thirteen-Weeks</w:t>
              </w:r>
            </w:hyperlink>
            <w:hyperlink w:anchor="i99da704a62874fa99dd78260a321e337_19">
              <w:r>
                <w:rPr>
                  <w:rStyle w:val="InternetLink"/>
                  <w:rFonts w:ascii="Times New Roman;sans-serif" w:hAnsi="Times New Roman;sans-serif"/>
                  <w:b w:val="false"/>
                  <w:color w:val="000080"/>
                  <w:sz w:val="20"/>
                  <w:u w:val="single"/>
                </w:rPr>
                <w:t xml:space="preserve"> and Twenty</w:t>
              </w:r>
            </w:hyperlink>
            <w:hyperlink w:anchor="i99da704a62874fa99dd78260a321e337_19">
              <w:r>
                <w:rPr>
                  <w:rStyle w:val="InternetLink"/>
                  <w:rFonts w:ascii="Times New Roman;sans-serif" w:hAnsi="Times New Roman;sans-serif"/>
                  <w:b w:val="false"/>
                  <w:color w:val="000080"/>
                  <w:sz w:val="20"/>
                  <w:u w:val="single"/>
                </w:rPr>
                <w:t>-</w:t>
              </w:r>
            </w:hyperlink>
            <w:hyperlink w:anchor="i99da704a62874fa99dd78260a321e337_19">
              <w:r>
                <w:rPr>
                  <w:rStyle w:val="InternetLink"/>
                  <w:rFonts w:ascii="Times New Roman;sans-serif" w:hAnsi="Times New Roman;sans-serif"/>
                  <w:b w:val="false"/>
                  <w:color w:val="000080"/>
                  <w:sz w:val="20"/>
                  <w:u w:val="single"/>
                </w:rPr>
                <w:t>S</w:t>
              </w:r>
            </w:hyperlink>
            <w:hyperlink w:anchor="i99da704a62874fa99dd78260a321e337_19">
              <w:r>
                <w:rPr>
                  <w:rStyle w:val="InternetLink"/>
                  <w:rFonts w:ascii="Times New Roman;sans-serif" w:hAnsi="Times New Roman;sans-serif"/>
                  <w:b w:val="false"/>
                  <w:color w:val="000080"/>
                  <w:sz w:val="20"/>
                  <w:u w:val="single"/>
                </w:rPr>
                <w:t>ix-Weeks</w:t>
              </w:r>
            </w:hyperlink>
            <w:hyperlink w:anchor="i99da704a62874fa99dd78260a321e337_19">
              <w:r>
                <w:rPr>
                  <w:rStyle w:val="InternetLink"/>
                  <w:rFonts w:ascii="Times New Roman;sans-serif" w:hAnsi="Times New Roman;sans-serif"/>
                  <w:b w:val="false"/>
                  <w:color w:val="000080"/>
                  <w:sz w:val="20"/>
                  <w:u w:val="single"/>
                </w:rPr>
                <w:t xml:space="preserve"> Ended </w:t>
              </w:r>
            </w:hyperlink>
            <w:hyperlink w:anchor="i99da704a62874fa99dd78260a321e337_19">
              <w:r>
                <w:rPr>
                  <w:rStyle w:val="InternetLink"/>
                  <w:rFonts w:ascii="Times New Roman;sans-serif" w:hAnsi="Times New Roman;sans-serif"/>
                  <w:b w:val="false"/>
                  <w:color w:val="000080"/>
                  <w:sz w:val="20"/>
                  <w:u w:val="single"/>
                </w:rPr>
                <w:t>July</w:t>
              </w:r>
            </w:hyperlink>
            <w:hyperlink w:anchor="i99da704a62874fa99dd78260a321e337_19">
              <w:r>
                <w:rPr>
                  <w:rStyle w:val="InternetLink"/>
                  <w:rFonts w:ascii="Times New Roman;sans-serif" w:hAnsi="Times New Roman;sans-serif"/>
                  <w:b w:val="false"/>
                  <w:color w:val="000080"/>
                  <w:sz w:val="20"/>
                  <w:u w:val="single"/>
                </w:rPr>
                <w:t xml:space="preserve"> 29, 2023 and </w:t>
              </w:r>
            </w:hyperlink>
            <w:hyperlink w:anchor="i99da704a62874fa99dd78260a321e337_19">
              <w:r>
                <w:rPr>
                  <w:rStyle w:val="InternetLink"/>
                  <w:rFonts w:ascii="Times New Roman;sans-serif" w:hAnsi="Times New Roman;sans-serif"/>
                  <w:b w:val="false"/>
                  <w:color w:val="000080"/>
                  <w:sz w:val="20"/>
                  <w:u w:val="single"/>
                </w:rPr>
                <w:t>July</w:t>
              </w:r>
            </w:hyperlink>
            <w:hyperlink w:anchor="i99da704a62874fa99dd78260a321e337_19">
              <w:r>
                <w:rPr>
                  <w:rStyle w:val="InternetLink"/>
                  <w:rFonts w:ascii="Times New Roman;sans-serif" w:hAnsi="Times New Roman;sans-serif"/>
                  <w:b w:val="false"/>
                  <w:color w:val="000080"/>
                  <w:sz w:val="20"/>
                  <w:u w:val="single"/>
                </w:rPr>
                <w:t xml:space="preserve"> 30, 2022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9">
              <w:r>
                <w:rPr>
                  <w:rStyle w:val="InternetLink"/>
                  <w:rFonts w:ascii="Times New Roman;sans-serif" w:hAnsi="Times New Roman;sans-serif"/>
                  <w:b w:val="false"/>
                  <w:color w:val="0000FF"/>
                  <w:sz w:val="20"/>
                  <w:u w:val="single"/>
                </w:rPr>
                <w:t>3</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19">
              <w:r>
                <w:rPr>
                  <w:rStyle w:val="InternetLink"/>
                  <w:rFonts w:ascii="Times New Roman;sans-serif" w:hAnsi="Times New Roman;sans-serif"/>
                  <w:b w:val="false"/>
                  <w:color w:val="000080"/>
                  <w:sz w:val="20"/>
                  <w:u w:val="single"/>
                </w:rPr>
                <w:t xml:space="preserve">Consolidated Statements of Comprehensive Income (Loss) for the Thirteen-Weeks </w:t>
              </w:r>
            </w:hyperlink>
            <w:hyperlink w:anchor="i99da704a62874fa99dd78260a321e337_19">
              <w:r>
                <w:rPr>
                  <w:rStyle w:val="InternetLink"/>
                  <w:rFonts w:ascii="Times New Roman;sans-serif" w:hAnsi="Times New Roman;sans-serif"/>
                  <w:b w:val="false"/>
                  <w:color w:val="000080"/>
                  <w:sz w:val="20"/>
                  <w:u w:val="single"/>
                </w:rPr>
                <w:t xml:space="preserve">and Twenty-Six-Weeks </w:t>
              </w:r>
            </w:hyperlink>
            <w:hyperlink w:anchor="i99da704a62874fa99dd78260a321e337_19">
              <w:r>
                <w:rPr>
                  <w:rStyle w:val="InternetLink"/>
                  <w:rFonts w:ascii="Times New Roman;sans-serif" w:hAnsi="Times New Roman;sans-serif"/>
                  <w:b w:val="false"/>
                  <w:color w:val="000080"/>
                  <w:sz w:val="20"/>
                  <w:u w:val="single"/>
                </w:rPr>
                <w:t xml:space="preserve">Ended </w:t>
              </w:r>
            </w:hyperlink>
            <w:hyperlink w:anchor="i99da704a62874fa99dd78260a321e337_19">
              <w:r>
                <w:rPr>
                  <w:rStyle w:val="InternetLink"/>
                  <w:rFonts w:ascii="Times New Roman;sans-serif" w:hAnsi="Times New Roman;sans-serif"/>
                  <w:b w:val="false"/>
                  <w:color w:val="000080"/>
                  <w:sz w:val="20"/>
                  <w:u w:val="single"/>
                </w:rPr>
                <w:t>July</w:t>
              </w:r>
            </w:hyperlink>
            <w:hyperlink w:anchor="i99da704a62874fa99dd78260a321e337_19">
              <w:r>
                <w:rPr>
                  <w:rStyle w:val="InternetLink"/>
                  <w:rFonts w:ascii="Times New Roman;sans-serif" w:hAnsi="Times New Roman;sans-serif"/>
                  <w:b w:val="false"/>
                  <w:color w:val="000080"/>
                  <w:sz w:val="20"/>
                  <w:u w:val="single"/>
                </w:rPr>
                <w:t xml:space="preserve"> 29, 2023 and </w:t>
              </w:r>
            </w:hyperlink>
            <w:hyperlink w:anchor="i99da704a62874fa99dd78260a321e337_19">
              <w:r>
                <w:rPr>
                  <w:rStyle w:val="InternetLink"/>
                  <w:rFonts w:ascii="Times New Roman;sans-serif" w:hAnsi="Times New Roman;sans-serif"/>
                  <w:b w:val="false"/>
                  <w:color w:val="000080"/>
                  <w:sz w:val="20"/>
                  <w:u w:val="single"/>
                </w:rPr>
                <w:t>July</w:t>
              </w:r>
            </w:hyperlink>
            <w:hyperlink w:anchor="i99da704a62874fa99dd78260a321e337_19">
              <w:r>
                <w:rPr>
                  <w:rStyle w:val="InternetLink"/>
                  <w:rFonts w:ascii="Times New Roman;sans-serif" w:hAnsi="Times New Roman;sans-serif"/>
                  <w:b w:val="false"/>
                  <w:color w:val="000080"/>
                  <w:sz w:val="20"/>
                  <w:u w:val="single"/>
                </w:rPr>
                <w:t xml:space="preserve"> 30, 2022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9">
              <w:r>
                <w:rPr>
                  <w:rStyle w:val="InternetLink"/>
                  <w:rFonts w:ascii="Times New Roman;sans-serif" w:hAnsi="Times New Roman;sans-serif"/>
                  <w:b w:val="false"/>
                  <w:color w:val="0000FF"/>
                  <w:sz w:val="20"/>
                  <w:u w:val="single"/>
                </w:rPr>
                <w:t>3</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22">
              <w:r>
                <w:rPr>
                  <w:rStyle w:val="InternetLink"/>
                  <w:rFonts w:ascii="Times New Roman;sans-serif" w:hAnsi="Times New Roman;sans-serif"/>
                  <w:b w:val="false"/>
                  <w:color w:val="000080"/>
                  <w:sz w:val="20"/>
                  <w:u w:val="single"/>
                </w:rPr>
                <w:t xml:space="preserve">Consolidated Balance Sheets as of </w:t>
              </w:r>
            </w:hyperlink>
            <w:hyperlink w:anchor="i99da704a62874fa99dd78260a321e337_22">
              <w:r>
                <w:rPr>
                  <w:rStyle w:val="InternetLink"/>
                  <w:rFonts w:ascii="Times New Roman;sans-serif" w:hAnsi="Times New Roman;sans-serif"/>
                  <w:b w:val="false"/>
                  <w:color w:val="000080"/>
                  <w:sz w:val="20"/>
                  <w:u w:val="single"/>
                </w:rPr>
                <w:t xml:space="preserve">July </w:t>
              </w:r>
            </w:hyperlink>
            <w:hyperlink w:anchor="i99da704a62874fa99dd78260a321e337_22">
              <w:r>
                <w:rPr>
                  <w:rStyle w:val="InternetLink"/>
                  <w:rFonts w:ascii="Times New Roman;sans-serif" w:hAnsi="Times New Roman;sans-serif"/>
                  <w:b w:val="false"/>
                  <w:color w:val="000080"/>
                  <w:sz w:val="20"/>
                  <w:u w:val="single"/>
                </w:rPr>
                <w:t xml:space="preserve">29, 2023 (Unaudited), January 28, 2023 and </w:t>
              </w:r>
            </w:hyperlink>
            <w:hyperlink w:anchor="i99da704a62874fa99dd78260a321e337_22">
              <w:r>
                <w:rPr>
                  <w:rStyle w:val="InternetLink"/>
                  <w:rFonts w:ascii="Times New Roman;sans-serif" w:hAnsi="Times New Roman;sans-serif"/>
                  <w:b w:val="false"/>
                  <w:color w:val="000080"/>
                  <w:sz w:val="20"/>
                  <w:u w:val="single"/>
                </w:rPr>
                <w:t>July</w:t>
              </w:r>
            </w:hyperlink>
            <w:hyperlink w:anchor="i99da704a62874fa99dd78260a321e337_22">
              <w:r>
                <w:rPr>
                  <w:rStyle w:val="InternetLink"/>
                  <w:rFonts w:ascii="Times New Roman;sans-serif" w:hAnsi="Times New Roman;sans-serif"/>
                  <w:b w:val="false"/>
                  <w:color w:val="000080"/>
                  <w:sz w:val="20"/>
                  <w:u w:val="single"/>
                </w:rPr>
                <w:t xml:space="preserve"> 30, 2022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22">
              <w:r>
                <w:rPr>
                  <w:rStyle w:val="InternetLink"/>
                  <w:rFonts w:ascii="Times New Roman;sans-serif" w:hAnsi="Times New Roman;sans-serif"/>
                  <w:b w:val="false"/>
                  <w:color w:val="0000FF"/>
                  <w:sz w:val="20"/>
                  <w:u w:val="single"/>
                </w:rPr>
                <w:t>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25">
              <w:r>
                <w:rPr>
                  <w:rStyle w:val="InternetLink"/>
                  <w:rFonts w:ascii="Times New Roman;sans-serif" w:hAnsi="Times New Roman;sans-serif"/>
                  <w:b w:val="false"/>
                  <w:color w:val="000080"/>
                  <w:sz w:val="20"/>
                  <w:u w:val="single"/>
                </w:rPr>
                <w:t xml:space="preserve">Consolidated Statements of Equity for the Thirteen-Weeks </w:t>
              </w:r>
            </w:hyperlink>
            <w:hyperlink w:anchor="i99da704a62874fa99dd78260a321e337_25">
              <w:r>
                <w:rPr>
                  <w:rStyle w:val="InternetLink"/>
                  <w:rFonts w:ascii="Times New Roman;sans-serif" w:hAnsi="Times New Roman;sans-serif"/>
                  <w:b w:val="false"/>
                  <w:color w:val="000080"/>
                  <w:sz w:val="20"/>
                  <w:u w:val="single"/>
                </w:rPr>
                <w:t xml:space="preserve">and Twenty-Six-Weeks </w:t>
              </w:r>
            </w:hyperlink>
            <w:hyperlink w:anchor="i99da704a62874fa99dd78260a321e337_25">
              <w:r>
                <w:rPr>
                  <w:rStyle w:val="InternetLink"/>
                  <w:rFonts w:ascii="Times New Roman;sans-serif" w:hAnsi="Times New Roman;sans-serif"/>
                  <w:b w:val="false"/>
                  <w:color w:val="000080"/>
                  <w:sz w:val="20"/>
                  <w:u w:val="single"/>
                </w:rPr>
                <w:t xml:space="preserve">Ended </w:t>
              </w:r>
            </w:hyperlink>
            <w:hyperlink w:anchor="i99da704a62874fa99dd78260a321e337_25">
              <w:r>
                <w:rPr>
                  <w:rStyle w:val="InternetLink"/>
                  <w:rFonts w:ascii="Times New Roman;sans-serif" w:hAnsi="Times New Roman;sans-serif"/>
                  <w:b w:val="false"/>
                  <w:color w:val="000080"/>
                  <w:sz w:val="20"/>
                  <w:u w:val="single"/>
                </w:rPr>
                <w:t>July</w:t>
              </w:r>
            </w:hyperlink>
            <w:hyperlink w:anchor="i99da704a62874fa99dd78260a321e337_25">
              <w:r>
                <w:rPr>
                  <w:rStyle w:val="InternetLink"/>
                  <w:rFonts w:ascii="Times New Roman;sans-serif" w:hAnsi="Times New Roman;sans-serif"/>
                  <w:b w:val="false"/>
                  <w:color w:val="000080"/>
                  <w:sz w:val="20"/>
                  <w:u w:val="single"/>
                </w:rPr>
                <w:t xml:space="preserve"> 29, 2023 and </w:t>
              </w:r>
            </w:hyperlink>
            <w:hyperlink w:anchor="i99da704a62874fa99dd78260a321e337_25">
              <w:r>
                <w:rPr>
                  <w:rStyle w:val="InternetLink"/>
                  <w:rFonts w:ascii="Times New Roman;sans-serif" w:hAnsi="Times New Roman;sans-serif"/>
                  <w:b w:val="false"/>
                  <w:color w:val="000080"/>
                  <w:sz w:val="20"/>
                  <w:u w:val="single"/>
                </w:rPr>
                <w:t>July</w:t>
              </w:r>
            </w:hyperlink>
            <w:hyperlink w:anchor="i99da704a62874fa99dd78260a321e337_25">
              <w:r>
                <w:rPr>
                  <w:rStyle w:val="InternetLink"/>
                  <w:rFonts w:ascii="Times New Roman;sans-serif" w:hAnsi="Times New Roman;sans-serif"/>
                  <w:b w:val="false"/>
                  <w:color w:val="000080"/>
                  <w:sz w:val="20"/>
                  <w:u w:val="single"/>
                </w:rPr>
                <w:t xml:space="preserve"> 30, 2022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25">
              <w:r>
                <w:rPr>
                  <w:rStyle w:val="InternetLink"/>
                  <w:rFonts w:ascii="Times New Roman;sans-serif" w:hAnsi="Times New Roman;sans-serif"/>
                  <w:b w:val="false"/>
                  <w:color w:val="0000FF"/>
                  <w:sz w:val="20"/>
                  <w:u w:val="single"/>
                </w:rPr>
                <w:t>5</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31">
              <w:r>
                <w:rPr>
                  <w:rStyle w:val="InternetLink"/>
                  <w:rFonts w:ascii="Times New Roman;sans-serif" w:hAnsi="Times New Roman;sans-serif"/>
                  <w:b w:val="false"/>
                  <w:color w:val="000080"/>
                  <w:sz w:val="20"/>
                  <w:u w:val="single"/>
                </w:rPr>
                <w:t>Consolidated Statements of Cash Flows for the T</w:t>
              </w:r>
            </w:hyperlink>
            <w:hyperlink w:anchor="i99da704a62874fa99dd78260a321e337_31">
              <w:r>
                <w:rPr>
                  <w:rStyle w:val="InternetLink"/>
                  <w:rFonts w:ascii="Times New Roman;sans-serif" w:hAnsi="Times New Roman;sans-serif"/>
                  <w:b w:val="false"/>
                  <w:color w:val="000080"/>
                  <w:sz w:val="20"/>
                  <w:u w:val="single"/>
                </w:rPr>
                <w:t>wenty-Six</w:t>
              </w:r>
            </w:hyperlink>
            <w:hyperlink w:anchor="i99da704a62874fa99dd78260a321e337_31">
              <w:r>
                <w:rPr>
                  <w:rStyle w:val="InternetLink"/>
                  <w:rFonts w:ascii="Times New Roman;sans-serif" w:hAnsi="Times New Roman;sans-serif"/>
                  <w:b w:val="false"/>
                  <w:color w:val="000080"/>
                  <w:sz w:val="20"/>
                  <w:u w:val="single"/>
                </w:rPr>
                <w:t xml:space="preserve">-Weeks Ended </w:t>
              </w:r>
            </w:hyperlink>
            <w:hyperlink w:anchor="i99da704a62874fa99dd78260a321e337_31">
              <w:r>
                <w:rPr>
                  <w:rStyle w:val="InternetLink"/>
                  <w:rFonts w:ascii="Times New Roman;sans-serif" w:hAnsi="Times New Roman;sans-serif"/>
                  <w:b w:val="false"/>
                  <w:color w:val="000080"/>
                  <w:sz w:val="20"/>
                  <w:u w:val="single"/>
                </w:rPr>
                <w:t>July</w:t>
              </w:r>
            </w:hyperlink>
            <w:hyperlink w:anchor="i99da704a62874fa99dd78260a321e337_31">
              <w:r>
                <w:rPr>
                  <w:rStyle w:val="InternetLink"/>
                  <w:rFonts w:ascii="Times New Roman;sans-serif" w:hAnsi="Times New Roman;sans-serif"/>
                  <w:b w:val="false"/>
                  <w:color w:val="000080"/>
                  <w:sz w:val="20"/>
                  <w:u w:val="single"/>
                </w:rPr>
                <w:t xml:space="preserve"> 29, 2023 and </w:t>
              </w:r>
            </w:hyperlink>
            <w:hyperlink w:anchor="i99da704a62874fa99dd78260a321e337_31">
              <w:r>
                <w:rPr>
                  <w:rStyle w:val="InternetLink"/>
                  <w:rFonts w:ascii="Times New Roman;sans-serif" w:hAnsi="Times New Roman;sans-serif"/>
                  <w:b w:val="false"/>
                  <w:color w:val="000080"/>
                  <w:sz w:val="20"/>
                  <w:u w:val="single"/>
                </w:rPr>
                <w:t>July</w:t>
              </w:r>
            </w:hyperlink>
            <w:hyperlink w:anchor="i99da704a62874fa99dd78260a321e337_31">
              <w:r>
                <w:rPr>
                  <w:rStyle w:val="InternetLink"/>
                  <w:rFonts w:ascii="Times New Roman;sans-serif" w:hAnsi="Times New Roman;sans-serif"/>
                  <w:b w:val="false"/>
                  <w:color w:val="000080"/>
                  <w:sz w:val="20"/>
                  <w:u w:val="single"/>
                </w:rPr>
                <w:t xml:space="preserve"> 30, 2022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31">
              <w:r>
                <w:rPr>
                  <w:rStyle w:val="InternetLink"/>
                  <w:rFonts w:ascii="Times New Roman;sans-serif" w:hAnsi="Times New Roman;sans-serif"/>
                  <w:b w:val="false"/>
                  <w:color w:val="0000FF"/>
                  <w:sz w:val="20"/>
                  <w:u w:val="single"/>
                </w:rPr>
                <w:t>7</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34">
              <w:r>
                <w:rPr>
                  <w:rStyle w:val="InternetLink"/>
                  <w:rFonts w:ascii="Times New Roman;sans-serif" w:hAnsi="Times New Roman;sans-serif"/>
                  <w:b w:val="false"/>
                  <w:color w:val="0000FF"/>
                  <w:sz w:val="20"/>
                  <w:u w:val="single"/>
                </w:rPr>
                <w:t>Notes to Consolidated Financial Statements (Unaudited)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34">
              <w:r>
                <w:rPr>
                  <w:rStyle w:val="InternetLink"/>
                  <w:rFonts w:ascii="Times New Roman;sans-serif" w:hAnsi="Times New Roman;sans-serif"/>
                  <w:b w:val="false"/>
                  <w:color w:val="0000FF"/>
                  <w:sz w:val="20"/>
                  <w:u w:val="single"/>
                </w:rPr>
                <w:t>8</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82">
              <w:r>
                <w:rPr>
                  <w:rStyle w:val="InternetLink"/>
                  <w:rFonts w:ascii="Times New Roman;sans-serif" w:hAnsi="Times New Roman;sans-serif"/>
                  <w:b w:val="false"/>
                  <w:color w:val="0000FF"/>
                  <w:sz w:val="20"/>
                  <w:u w:val="single"/>
                </w:rPr>
                <w:t>Safe Harbor Statement Under the Private Securities Litigation Reform Act of 1995</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82">
              <w:r>
                <w:rPr>
                  <w:rStyle w:val="InternetLink"/>
                  <w:rFonts w:ascii="Times New Roman;sans-serif" w:hAnsi="Times New Roman;sans-serif"/>
                  <w:b w:val="false"/>
                  <w:color w:val="0000FF"/>
                  <w:sz w:val="20"/>
                  <w:u w:val="single"/>
                </w:rPr>
                <w:t>21</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2. </w:t>
            </w:r>
            <w:hyperlink w:anchor="i99da704a62874fa99dd78260a321e337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85">
              <w:r>
                <w:rPr>
                  <w:rStyle w:val="InternetLink"/>
                  <w:rFonts w:ascii="Times New Roman;sans-serif" w:hAnsi="Times New Roman;sans-serif"/>
                  <w:b w:val="false"/>
                  <w:color w:val="0000FF"/>
                  <w:sz w:val="20"/>
                  <w:u w:val="single"/>
                </w:rPr>
                <w:t>22</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3. </w:t>
            </w:r>
            <w:hyperlink w:anchor="i99da704a62874fa99dd78260a321e337_100">
              <w:r>
                <w:rPr>
                  <w:rStyle w:val="InternetLink"/>
                  <w:rFonts w:ascii="Times New Roman;sans-serif" w:hAnsi="Times New Roman;sans-serif"/>
                  <w:b w:val="false"/>
                  <w:color w:val="0000FF"/>
                  <w:sz w:val="20"/>
                  <w:u w:val="single"/>
                </w:rPr>
                <w:t>Quantitative and Qualitative Disclosures About Market Risk</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00">
              <w:r>
                <w:rPr>
                  <w:rStyle w:val="InternetLink"/>
                  <w:rFonts w:ascii="Times New Roman;sans-serif" w:hAnsi="Times New Roman;sans-serif"/>
                  <w:b w:val="false"/>
                  <w:color w:val="0000FF"/>
                  <w:sz w:val="20"/>
                  <w:u w:val="single"/>
                </w:rPr>
                <w:t>34</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4. </w:t>
            </w:r>
            <w:hyperlink w:anchor="i99da704a62874fa99dd78260a321e337_103">
              <w:r>
                <w:rPr>
                  <w:rStyle w:val="InternetLink"/>
                  <w:rFonts w:ascii="Times New Roman;sans-serif" w:hAnsi="Times New Roman;sans-serif"/>
                  <w:b w:val="false"/>
                  <w:color w:val="0000FF"/>
                  <w:sz w:val="20"/>
                  <w:u w:val="single"/>
                </w:rPr>
                <w:t>Controls and Procedures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03">
              <w:r>
                <w:rPr>
                  <w:rStyle w:val="InternetLink"/>
                  <w:rFonts w:ascii="Times New Roman;sans-serif" w:hAnsi="Times New Roman;sans-serif"/>
                  <w:b w:val="false"/>
                  <w:color w:val="0000FF"/>
                  <w:sz w:val="20"/>
                  <w:u w:val="single"/>
                </w:rPr>
                <w:t>35</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106">
              <w:r>
                <w:rPr>
                  <w:rStyle w:val="InternetLink"/>
                  <w:rFonts w:ascii="Times New Roman;sans-serif" w:hAnsi="Times New Roman;sans-serif"/>
                  <w:b w:val="false"/>
                  <w:color w:val="0000FF"/>
                  <w:sz w:val="20"/>
                  <w:u w:val="single"/>
                </w:rPr>
                <w:t>Part II. Other Information</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06">
              <w:r>
                <w:rPr>
                  <w:rStyle w:val="InternetLink"/>
                  <w:rFonts w:ascii="Times New Roman;sans-serif" w:hAnsi="Times New Roman;sans-serif"/>
                  <w:b w:val="false"/>
                  <w:color w:val="0000FF"/>
                  <w:sz w:val="20"/>
                  <w:u w:val="single"/>
                </w:rPr>
                <w:t>36</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1. </w:t>
            </w:r>
            <w:hyperlink w:anchor="i99da704a62874fa99dd78260a321e337_109">
              <w:r>
                <w:rPr>
                  <w:rStyle w:val="InternetLink"/>
                  <w:rFonts w:ascii="Times New Roman;sans-serif" w:hAnsi="Times New Roman;sans-serif"/>
                  <w:b w:val="false"/>
                  <w:color w:val="0000FF"/>
                  <w:sz w:val="20"/>
                  <w:u w:val="single"/>
                </w:rPr>
                <w:t>Legal Proceedings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09">
              <w:r>
                <w:rPr>
                  <w:rStyle w:val="InternetLink"/>
                  <w:rFonts w:ascii="Times New Roman;sans-serif" w:hAnsi="Times New Roman;sans-serif"/>
                  <w:b w:val="false"/>
                  <w:color w:val="0000FF"/>
                  <w:sz w:val="20"/>
                  <w:u w:val="single"/>
                </w:rPr>
                <w:t>36</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1A. </w:t>
            </w:r>
            <w:hyperlink w:anchor="i99da704a62874fa99dd78260a321e337_112">
              <w:r>
                <w:rPr>
                  <w:rStyle w:val="InternetLink"/>
                  <w:rFonts w:ascii="Times New Roman;sans-serif" w:hAnsi="Times New Roman;sans-serif"/>
                  <w:b w:val="false"/>
                  <w:color w:val="0000FF"/>
                  <w:sz w:val="20"/>
                  <w:u w:val="single"/>
                </w:rPr>
                <w:t>Risk Factors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12">
              <w:r>
                <w:rPr>
                  <w:rStyle w:val="InternetLink"/>
                  <w:rFonts w:ascii="Times New Roman;sans-serif" w:hAnsi="Times New Roman;sans-serif"/>
                  <w:b w:val="false"/>
                  <w:color w:val="0000FF"/>
                  <w:sz w:val="20"/>
                  <w:u w:val="single"/>
                </w:rPr>
                <w:t>36</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2. </w:t>
            </w:r>
            <w:hyperlink w:anchor="i99da704a62874fa99dd78260a321e337_115">
              <w:r>
                <w:rPr>
                  <w:rStyle w:val="InternetLink"/>
                  <w:rFonts w:ascii="Times New Roman;sans-serif" w:hAnsi="Times New Roman;sans-serif"/>
                  <w:b w:val="false"/>
                  <w:color w:val="0000FF"/>
                  <w:sz w:val="20"/>
                  <w:u w:val="single"/>
                </w:rPr>
                <w:t>Unregistered Sales of Equity Securities and Use of Proceeds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15">
              <w:r>
                <w:rPr>
                  <w:rStyle w:val="InternetLink"/>
                  <w:rFonts w:ascii="Times New Roman;sans-serif" w:hAnsi="Times New Roman;sans-serif"/>
                  <w:b w:val="false"/>
                  <w:color w:val="0000FF"/>
                  <w:sz w:val="20"/>
                  <w:u w:val="single"/>
                </w:rPr>
                <w:t>36</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3. </w:t>
            </w:r>
            <w:hyperlink w:anchor="i99da704a62874fa99dd78260a321e337_118">
              <w:r>
                <w:rPr>
                  <w:rStyle w:val="InternetLink"/>
                  <w:rFonts w:ascii="Times New Roman;sans-serif" w:hAnsi="Times New Roman;sans-serif"/>
                  <w:b w:val="false"/>
                  <w:color w:val="0000FF"/>
                  <w:sz w:val="20"/>
                  <w:u w:val="single"/>
                </w:rPr>
                <w:t>Defaults Upon Senior Securities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18">
              <w:r>
                <w:rPr>
                  <w:rStyle w:val="InternetLink"/>
                  <w:rFonts w:ascii="Times New Roman;sans-serif" w:hAnsi="Times New Roman;sans-serif"/>
                  <w:b w:val="false"/>
                  <w:color w:val="0000FF"/>
                  <w:sz w:val="20"/>
                  <w:u w:val="single"/>
                </w:rPr>
                <w:t>36</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4. </w:t>
            </w:r>
            <w:hyperlink w:anchor="i99da704a62874fa99dd78260a321e337_121">
              <w:r>
                <w:rPr>
                  <w:rStyle w:val="InternetLink"/>
                  <w:rFonts w:ascii="Times New Roman;sans-serif" w:hAnsi="Times New Roman;sans-serif"/>
                  <w:b w:val="false"/>
                  <w:color w:val="0000FF"/>
                  <w:sz w:val="20"/>
                  <w:u w:val="single"/>
                </w:rPr>
                <w:t>Mine Safety Disclosures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21">
              <w:r>
                <w:rPr>
                  <w:rStyle w:val="InternetLink"/>
                  <w:rFonts w:ascii="Times New Roman;sans-serif" w:hAnsi="Times New Roman;sans-serif"/>
                  <w:b w:val="false"/>
                  <w:color w:val="0000FF"/>
                  <w:sz w:val="20"/>
                  <w:u w:val="single"/>
                </w:rPr>
                <w:t>36</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5. </w:t>
            </w:r>
            <w:hyperlink w:anchor="i99da704a62874fa99dd78260a321e337_124">
              <w:r>
                <w:rPr>
                  <w:rStyle w:val="InternetLink"/>
                  <w:rFonts w:ascii="Times New Roman;sans-serif" w:hAnsi="Times New Roman;sans-serif"/>
                  <w:b w:val="false"/>
                  <w:color w:val="0000FF"/>
                  <w:sz w:val="20"/>
                  <w:u w:val="single"/>
                </w:rPr>
                <w:t>Other Information</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24">
              <w:r>
                <w:rPr>
                  <w:rStyle w:val="InternetLink"/>
                  <w:rFonts w:ascii="Times New Roman;sans-serif" w:hAnsi="Times New Roman;sans-serif"/>
                  <w:b w:val="false"/>
                  <w:color w:val="0000FF"/>
                  <w:sz w:val="20"/>
                  <w:u w:val="single"/>
                </w:rPr>
                <w:t>36</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6. </w:t>
            </w:r>
            <w:hyperlink w:anchor="i99da704a62874fa99dd78260a321e337_127">
              <w:r>
                <w:rPr>
                  <w:rStyle w:val="InternetLink"/>
                  <w:rFonts w:ascii="Times New Roman;sans-serif" w:hAnsi="Times New Roman;sans-serif"/>
                  <w:b w:val="false"/>
                  <w:color w:val="0000FF"/>
                  <w:sz w:val="20"/>
                  <w:u w:val="single"/>
                </w:rPr>
                <w:t>Exhibits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27">
              <w:r>
                <w:rPr>
                  <w:rStyle w:val="InternetLink"/>
                  <w:rFonts w:ascii="Times New Roman;sans-serif" w:hAnsi="Times New Roman;sans-serif"/>
                  <w:b w:val="false"/>
                  <w:color w:val="0000FF"/>
                  <w:sz w:val="20"/>
                  <w:u w:val="single"/>
                </w:rPr>
                <w:t>37</w:t>
              </w:r>
            </w:hyperlink>
          </w:p>
        </w:tc>
      </w:tr>
      <w:tr>
        <w:trPr/>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da704a62874fa99dd78260a321e337_130">
              <w:r>
                <w:rPr>
                  <w:rStyle w:val="InternetLink"/>
                  <w:rFonts w:ascii="Times New Roman;sans-serif" w:hAnsi="Times New Roman;sans-serif"/>
                  <w:b w:val="false"/>
                  <w:color w:val="0000FF"/>
                  <w:sz w:val="20"/>
                  <w:u w:val="single"/>
                </w:rPr>
                <w:t>Signature</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da704a62874fa99dd78260a321e337_130">
              <w:r>
                <w:rPr>
                  <w:rStyle w:val="InternetLink"/>
                  <w:rFonts w:ascii="Times New Roman;sans-serif" w:hAnsi="Times New Roman;sans-serif"/>
                  <w:b w:val="false"/>
                  <w:color w:val="0000FF"/>
                  <w:sz w:val="20"/>
                  <w:u w:val="single"/>
                </w:rPr>
                <w:t>38</w:t>
              </w:r>
            </w:hyperlink>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Co.'s fiscal year ends on the Saturday nearest to January 31. As used herein, “second quarter of 2023” and “second quarter of 2022” refer to the thirteen-week periods ended July 29, 2023 and July 30, 2022, respectively. “Year-to-date 2023” and “year-to-date 2022” refer to the twenty-six-week periods ended July 29, 2023 and July 30, 2022, respectively, and “fiscal year 2023” and “fiscal year 2022” refer to the 53-week period ending February 3, 2024 and the 52-week period ended January 28, 2023, respectively.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02"/>
        <w:gridCol w:w="1708"/>
        <w:gridCol w:w="172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00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Year-to-Date</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 Buying and Occupancy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Store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Net Income (Loss)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Victoria's Secret &amp; Co.</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Basic Share Attributable to Victoria's Secret &amp; Co.</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Diluted Share Attributable to Victoria's Secret &amp; Co.</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10"/>
        <w:gridCol w:w="2028"/>
        <w:gridCol w:w="2007"/>
        <w:gridCol w:w="211"/>
        <w:gridCol w:w="406"/>
        <w:gridCol w:w="109"/>
        <w:gridCol w:w="109"/>
        <w:gridCol w:w="109"/>
        <w:gridCol w:w="109"/>
        <w:gridCol w:w="211"/>
        <w:gridCol w:w="361"/>
        <w:gridCol w:w="109"/>
        <w:gridCol w:w="109"/>
        <w:gridCol w:w="109"/>
        <w:gridCol w:w="109"/>
        <w:gridCol w:w="211"/>
        <w:gridCol w:w="319"/>
        <w:gridCol w:w="109"/>
        <w:gridCol w:w="109"/>
        <w:gridCol w:w="109"/>
        <w:gridCol w:w="109"/>
        <w:gridCol w:w="211"/>
        <w:gridCol w:w="466"/>
        <w:gridCol w:w="156"/>
      </w:tblGrid>
      <w:tr>
        <w:trPr/>
        <w:tc>
          <w:tcPr>
            <w:tcW w:w="2310"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Year-to-Date</w:t>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Currency Translation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Amounts Reclassified from Accumulated Other Comprehensive Income to Paid-in Capital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Net Income (Loss) Attributable to Noncontrolling Interest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Foreign Currency Translation Attributable to Noncontrolling Interest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Victoria's Secret &amp; Co.</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amounts)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8"/>
        <w:gridCol w:w="2056"/>
        <w:gridCol w:w="2050"/>
        <w:gridCol w:w="216"/>
        <w:gridCol w:w="632"/>
        <w:gridCol w:w="111"/>
        <w:gridCol w:w="109"/>
        <w:gridCol w:w="109"/>
        <w:gridCol w:w="109"/>
        <w:gridCol w:w="218"/>
        <w:gridCol w:w="638"/>
        <w:gridCol w:w="112"/>
        <w:gridCol w:w="109"/>
        <w:gridCol w:w="109"/>
        <w:gridCol w:w="109"/>
        <w:gridCol w:w="215"/>
        <w:gridCol w:w="631"/>
        <w:gridCol w:w="164"/>
      </w:tblGrid>
      <w:tr>
        <w:trPr/>
        <w:tc>
          <w:tcPr>
            <w:tcW w:w="2508"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w:t>
              <w:br/>
              <w:t>2022</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$0.01 par value; 10 shares authorized; 0 shares issued and outstanding</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$0.01 par value; 1,000 shares authorized; 77, 80, and 82 shares issued and outstanding, respectively</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0, 0, and 0 shares, respectively</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Victoria's Secret &amp; Co. Shareholders' Equity</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Second Quarter 2023 </w:t>
      </w:r>
    </w:p>
    <w:tbl>
      <w:tblPr>
        <w:tblW w:w="11611" w:type="dxa"/>
        <w:jc w:val="center"/>
        <w:tblInd w:w="0" w:type="dxa"/>
        <w:tblLayout w:type="fixed"/>
        <w:tblCellMar>
          <w:top w:w="28" w:type="dxa"/>
          <w:left w:w="28" w:type="dxa"/>
          <w:bottom w:w="28" w:type="dxa"/>
          <w:right w:w="28" w:type="dxa"/>
        </w:tblCellMar>
      </w:tblPr>
      <w:tblGrid>
        <w:gridCol w:w="661"/>
        <w:gridCol w:w="304"/>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335"/>
        <w:gridCol w:w="694"/>
        <w:gridCol w:w="187"/>
        <w:gridCol w:w="109"/>
        <w:gridCol w:w="109"/>
        <w:gridCol w:w="109"/>
        <w:gridCol w:w="231"/>
        <w:gridCol w:w="390"/>
        <w:gridCol w:w="130"/>
        <w:gridCol w:w="109"/>
        <w:gridCol w:w="109"/>
        <w:gridCol w:w="109"/>
        <w:gridCol w:w="211"/>
        <w:gridCol w:w="437"/>
        <w:gridCol w:w="118"/>
        <w:gridCol w:w="109"/>
        <w:gridCol w:w="109"/>
        <w:gridCol w:w="109"/>
        <w:gridCol w:w="218"/>
        <w:gridCol w:w="470"/>
        <w:gridCol w:w="123"/>
        <w:gridCol w:w="109"/>
        <w:gridCol w:w="109"/>
        <w:gridCol w:w="109"/>
        <w:gridCol w:w="370"/>
        <w:gridCol w:w="625"/>
        <w:gridCol w:w="206"/>
        <w:gridCol w:w="109"/>
        <w:gridCol w:w="109"/>
        <w:gridCol w:w="109"/>
        <w:gridCol w:w="196"/>
        <w:gridCol w:w="421"/>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29, 2023</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Retirements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29, 2023</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Second Quarter 2022 </w:t>
      </w:r>
    </w:p>
    <w:tbl>
      <w:tblPr>
        <w:tblW w:w="11611" w:type="dxa"/>
        <w:jc w:val="center"/>
        <w:tblInd w:w="0" w:type="dxa"/>
        <w:tblLayout w:type="fixed"/>
        <w:tblCellMar>
          <w:top w:w="28" w:type="dxa"/>
          <w:left w:w="28" w:type="dxa"/>
          <w:bottom w:w="28" w:type="dxa"/>
          <w:right w:w="28" w:type="dxa"/>
        </w:tblCellMar>
      </w:tblPr>
      <w:tblGrid>
        <w:gridCol w:w="661"/>
        <w:gridCol w:w="304"/>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436"/>
        <w:gridCol w:w="536"/>
        <w:gridCol w:w="244"/>
        <w:gridCol w:w="109"/>
        <w:gridCol w:w="109"/>
        <w:gridCol w:w="109"/>
        <w:gridCol w:w="231"/>
        <w:gridCol w:w="390"/>
        <w:gridCol w:w="130"/>
        <w:gridCol w:w="109"/>
        <w:gridCol w:w="109"/>
        <w:gridCol w:w="109"/>
        <w:gridCol w:w="211"/>
        <w:gridCol w:w="437"/>
        <w:gridCol w:w="118"/>
        <w:gridCol w:w="109"/>
        <w:gridCol w:w="109"/>
        <w:gridCol w:w="109"/>
        <w:gridCol w:w="218"/>
        <w:gridCol w:w="470"/>
        <w:gridCol w:w="123"/>
        <w:gridCol w:w="109"/>
        <w:gridCol w:w="109"/>
        <w:gridCol w:w="109"/>
        <w:gridCol w:w="370"/>
        <w:gridCol w:w="625"/>
        <w:gridCol w:w="206"/>
        <w:gridCol w:w="109"/>
        <w:gridCol w:w="109"/>
        <w:gridCol w:w="109"/>
        <w:gridCol w:w="196"/>
        <w:gridCol w:w="421"/>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30, 2022</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Retirements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Payments related to Share-based Awards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30, 2022</w:t>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Year-to-Date 2023 </w:t>
      </w:r>
    </w:p>
    <w:tbl>
      <w:tblPr>
        <w:tblW w:w="11611"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335"/>
        <w:gridCol w:w="694"/>
        <w:gridCol w:w="187"/>
        <w:gridCol w:w="109"/>
        <w:gridCol w:w="109"/>
        <w:gridCol w:w="109"/>
        <w:gridCol w:w="202"/>
        <w:gridCol w:w="435"/>
        <w:gridCol w:w="114"/>
        <w:gridCol w:w="109"/>
        <w:gridCol w:w="109"/>
        <w:gridCol w:w="109"/>
        <w:gridCol w:w="211"/>
        <w:gridCol w:w="437"/>
        <w:gridCol w:w="118"/>
        <w:gridCol w:w="109"/>
        <w:gridCol w:w="109"/>
        <w:gridCol w:w="109"/>
        <w:gridCol w:w="218"/>
        <w:gridCol w:w="470"/>
        <w:gridCol w:w="123"/>
        <w:gridCol w:w="109"/>
        <w:gridCol w:w="109"/>
        <w:gridCol w:w="109"/>
        <w:gridCol w:w="370"/>
        <w:gridCol w:w="625"/>
        <w:gridCol w:w="206"/>
        <w:gridCol w:w="109"/>
        <w:gridCol w:w="109"/>
        <w:gridCol w:w="109"/>
        <w:gridCol w:w="196"/>
        <w:gridCol w:w="42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28, 2023</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Retirements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Payments related to Share-based Awards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29, 2023</w:t>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Year-to-Date 2022 </w:t>
      </w:r>
    </w:p>
    <w:tbl>
      <w:tblPr>
        <w:tblW w:w="11611"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436"/>
        <w:gridCol w:w="536"/>
        <w:gridCol w:w="244"/>
        <w:gridCol w:w="109"/>
        <w:gridCol w:w="109"/>
        <w:gridCol w:w="109"/>
        <w:gridCol w:w="202"/>
        <w:gridCol w:w="435"/>
        <w:gridCol w:w="114"/>
        <w:gridCol w:w="109"/>
        <w:gridCol w:w="109"/>
        <w:gridCol w:w="109"/>
        <w:gridCol w:w="211"/>
        <w:gridCol w:w="437"/>
        <w:gridCol w:w="118"/>
        <w:gridCol w:w="109"/>
        <w:gridCol w:w="109"/>
        <w:gridCol w:w="109"/>
        <w:gridCol w:w="218"/>
        <w:gridCol w:w="470"/>
        <w:gridCol w:w="123"/>
        <w:gridCol w:w="109"/>
        <w:gridCol w:w="109"/>
        <w:gridCol w:w="109"/>
        <w:gridCol w:w="331"/>
        <w:gridCol w:w="685"/>
        <w:gridCol w:w="185"/>
        <w:gridCol w:w="109"/>
        <w:gridCol w:w="109"/>
        <w:gridCol w:w="109"/>
        <w:gridCol w:w="196"/>
        <w:gridCol w:w="42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29, 2022</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Noncontrolling Interest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Retirements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Payments related to Share-based Awards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30, 2022</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04" w:type="dxa"/>
        <w:jc w:val="center"/>
        <w:tblInd w:w="0" w:type="dxa"/>
        <w:tblLayout w:type="fixed"/>
        <w:tblCellMar>
          <w:top w:w="28" w:type="dxa"/>
          <w:left w:w="28" w:type="dxa"/>
          <w:bottom w:w="28" w:type="dxa"/>
          <w:right w:w="28" w:type="dxa"/>
        </w:tblCellMar>
      </w:tblPr>
      <w:tblGrid>
        <w:gridCol w:w="2414"/>
        <w:gridCol w:w="2118"/>
        <w:gridCol w:w="2128"/>
        <w:gridCol w:w="211"/>
        <w:gridCol w:w="466"/>
        <w:gridCol w:w="109"/>
        <w:gridCol w:w="109"/>
        <w:gridCol w:w="109"/>
        <w:gridCol w:w="109"/>
        <w:gridCol w:w="211"/>
        <w:gridCol w:w="466"/>
        <w:gridCol w:w="154"/>
      </w:tblGrid>
      <w:tr>
        <w:trPr/>
        <w:tc>
          <w:tcPr>
            <w:tcW w:w="2414"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Year-to-Date</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for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Long-lived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Fair Value Adjustment to Acquired Inventories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Net of Cash Acquired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Frankies Bikinis, LLC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Asset-based Revolving Credit Facility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 from Asset-based Revolving Credit Facility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Payments related to Share-based Awards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Noncontrolling Interest Partner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Basis of Presentation and Summary of Significant Accounting Policies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 (together with its subsidiaries unless the context otherwise requires, the “Company”) is a specialty retailer of women's intimate and other apparel and beauty products marketed under the Victoria’s Secret, PINK and Adore Me brand names. The Company has more than 900 stores in the U.S., Canada and China as well as its own websites, www.VictoriasSecret.com, www.PINK.com and www.AdoreMe.com and other online channels worldwide. Additionally, the Company has more than 440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online channels.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Company completed its acquisition of 100% of AdoreMe, Inc. (“Adore Me”), a digitally-native intimates brand. For additional information, see Note 2, “Acquisition.”</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the Company announced a new, simplified corporate leadership structure designed to unite the Company's brands, better align its teams with a shifting consumer landscape and enable better execution of its strategy. The restructuring eliminated approximately 160 management roles, or approximately 5% of the Company's home office headcount. In the fourth quarter of 2022 and in the first quarter of 2023, the Company implemented additional restructuring actions to continue to reorganize and improve its organizational structure. For additional information, see Note 4, “Restructuring Activities.” </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fiscal year ends on the Saturday nearest to January 31. As used herein, “second quarter of 2023” and “second quarter of 2022” refer to the thirteen-week periods ended July 29, 2023 and July 30, 2022, respectively. “Year-to-date 2023” and “year-to-date 2022” refer to the twenty-six-week periods ended July 29, 2023 and July 30, 2022, respectively, and “fiscal year 2023” and “fiscal year 2022” refer to the 53-week period ending February 3, 2024 and the 52-week period ended January 28, 2023, respectively. </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in conformity with accounting principles generally accepted in the United States (“GAAP”).</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Interim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as of and for the periods ended July 29, 2023 and July 30, 2022 are unaudited. These Consolidated Financial Statements should be read in conjunction with the audited Consolidated Financial Statements and Notes thereto included in our Annual Report on Form 10-K filed with the Securities and Exchange Commission (“SEC”) on March 17, 2023.</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Consolidated Financial Statements reflect all adjustments, which are of a normal recurring nature, necessary for a fair presentation of the results for the interim periods.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Seasonality of Business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seasonal variations in the retail industry, the results of operations for the thirteen-week and twenty-six week periods ended July 29, 2023 are not necessarily indicative of the results expected for any other interim period or the full fiscal year ending February 3, 2024.</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(Loss), and the Company's share of net income or loss from all other unconsolidated entities is included in General, Administrative and Store Operating Expenses in the Consolidated Statements of Income (Loss). The Company’s equity method investments are required to be reviewed for impairment when it is determined there may be an other-than-temporary loss in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Company acquired a minority interest in swimwear brand Frankies Bikinis, LLC (“Frankies Bikinis”) in exchange for $18 million. The investment in Frankies Bikinis is accounted for using the equity method of accounting.</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equity method investments were $55 million as of July 29, 2023, $56 million as of January 28, 2023 and $57 million as of July 30, 2022. These investments are recorded in Other Assets on the Consolidated Balance Sheets.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Noncontrolling Interest</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(Loss) Attributable to Noncontrolling Interest in the Consolidated Statements of Income (Loss). Noncontrolling interest represents the portion of equity interests in a joint venture in China that is not owned by the Company. For additional information, see Note 4, “Restructuring Activities.”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and cash equivalents with various major financial institutions. The Company monitors the relative credit standing of financial institutions with whom the Company transacts with and limits the amount of credit exposure with any one entity. As of July 29, 2023, the Company's investment portfolio is primarily comprised of bank deposits.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Supplier Finance Programs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$206 million as of July 29, 2023, $213 million as of January 28, 2023 and $214 million as of July 30, 2022. </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 in the Preparation of Financial Statements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adopt any new accounting standards during the second quarter of 2023 that had a material impact on the Company's results of operations, financial position or cash flows. In addition, there are no new accounting standards not yet adopted that are expected to have a material impact on the Company's results of operations, financial position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2. Acquisition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Company completed the acquisition of 100% of Adore Me. Adore Me is a direct-to-consumer lingerie and apparel brand with technology driven commerce service and a series of innovation-driven products. The acquisition creates the opportunity for the Company to leverage Adore Me's expertise and technology to continue to improve the Victoria's Secret and PINK customer shopping experience and accelerate the modernization of the Company's digital platform.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definitive agreement setting forth the terms and conditions of the acquisition (the “Merger Agreement”), the Company made an upfront cash payment of $391 million at closing and will pay further cash consideration in an aggregate amount of at least $80 million, consisting of a fixed payment to be made on or prior to January 15, 2025, and up to $300 million based on the performance of Adore Me and achievement of specified strategic objectives and certain EBITDA and net revenue goals within the two-year period following closing of the transaction. Under the terms of the Merger Agreement, up to $60 million of the further cash consideration is subject to the continued employment of a certain Adore Me employee (“Contingent Compensation Payments”). These Contingent Compensation Payments are not included as consideration when applying the acquisition method of accounting and are recognized as compensation expense within General, Administrative and Store Operating Expenses in the Consolidated Statements of Income (Loss) if and when earned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total consideration when applying the acquisition method of accounting was initially $537 million, net of $22 million of cash acquired. The gross consideration as of the acquisition date of $559 million consisted of $391 million in cash paid at closing, $98 million which represented the fair value of the contingent cash consideration as of the acquisition date and $70 million which represented the fair value of the future fixed payment as of the acquisition date. During the second quarter of 2023, the Company received $1 million in cash for the final working capital settlement, which decreased the total consideration of the acquisition to $536 million.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acquisition of Adore Me using the acquisition method of accounting. Assets acquired and liabilities assumed have been recorded based on their preliminary fair values, and as a result, the estimates and assumptions are subject to change. The Company is still in the process of finalizing the valuation estimates and final purchase price allocation which includes potential adjustments related to amounts allocated to intangible assets. The Company expects to complete this process no later than twelve months after the closing of the acquisition. Year-to-date 2023, the Company recorded certain measurement period adjustments based on additional information, primarily related to assumed deferred income tax liabilities, assumed accrued expenses and other liabilities and acquired accounts receivable, resulting in a $2 million increase to Deferred Income Tax Liabilities, a $2 million decrease to Accrued Expenses and Other and a $1 million decrease to Accounts Receivable. The measurement period adjustments had an offsetting impact to Goodwill.</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preliminary purchase price allocation of assets acquired and liabilities assumed as of December 30, 2022 related to the Adore Me acquisition:</w:t>
      </w:r>
    </w:p>
    <w:tbl>
      <w:tblPr>
        <w:tblW w:w="9984" w:type="dxa"/>
        <w:jc w:val="left"/>
        <w:tblInd w:w="0" w:type="dxa"/>
        <w:tblLayout w:type="fixed"/>
        <w:tblCellMar>
          <w:top w:w="28" w:type="dxa"/>
          <w:left w:w="28" w:type="dxa"/>
          <w:bottom w:w="28" w:type="dxa"/>
          <w:right w:w="28" w:type="dxa"/>
        </w:tblCellMar>
      </w:tblPr>
      <w:tblGrid>
        <w:gridCol w:w="1395"/>
        <w:gridCol w:w="1229"/>
        <w:gridCol w:w="1231"/>
        <w:gridCol w:w="351"/>
        <w:gridCol w:w="802"/>
        <w:gridCol w:w="182"/>
        <w:gridCol w:w="109"/>
        <w:gridCol w:w="109"/>
        <w:gridCol w:w="109"/>
        <w:gridCol w:w="908"/>
        <w:gridCol w:w="1168"/>
        <w:gridCol w:w="474"/>
        <w:gridCol w:w="109"/>
        <w:gridCol w:w="109"/>
        <w:gridCol w:w="109"/>
        <w:gridCol w:w="395"/>
        <w:gridCol w:w="904"/>
        <w:gridCol w:w="291"/>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Initial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 Allocation</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 and Liabilities Assumed</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537</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w:t>
            </w: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definite-lived intangible assets acquired, the preliminary fair values and respective useful lives:</w:t>
      </w:r>
    </w:p>
    <w:tbl>
      <w:tblPr>
        <w:tblW w:w="6371" w:type="dxa"/>
        <w:jc w:val="left"/>
        <w:tblInd w:w="0" w:type="dxa"/>
        <w:tblLayout w:type="fixed"/>
        <w:tblCellMar>
          <w:top w:w="28" w:type="dxa"/>
          <w:left w:w="28" w:type="dxa"/>
          <w:bottom w:w="28" w:type="dxa"/>
          <w:right w:w="28" w:type="dxa"/>
        </w:tblCellMar>
      </w:tblPr>
      <w:tblGrid>
        <w:gridCol w:w="1200"/>
        <w:gridCol w:w="1056"/>
        <w:gridCol w:w="1059"/>
        <w:gridCol w:w="294"/>
        <w:gridCol w:w="294"/>
        <w:gridCol w:w="296"/>
        <w:gridCol w:w="109"/>
        <w:gridCol w:w="109"/>
        <w:gridCol w:w="109"/>
        <w:gridCol w:w="459"/>
        <w:gridCol w:w="1048"/>
        <w:gridCol w:w="338"/>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Fair Value</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Definite-Lived Intangible Assets</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w:t>
            </w:r>
            <w:r>
              <w:rPr>
                <w:color w:val="000000"/>
              </w:rPr>
              <w:t>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multi-period excess earnings method to value the customer relationships intangible assets and the relief from royalty method to value the developed technology and trade name intangible assets. The significant assumptions used to estimate the fair value of customer relationships included forecasted revenues, customer attrition rates and a discount rate. The significant assumptions used to estimate the fair value of developed technology and the trade name included forecasted revenues, royalty rates and a discount rate. These significant assumptions are forward-looking and could be affected by future economic and market conditions. The estimated weighted-average useful life was 7.4 years for definite-lived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Goodwill was calculated as the difference between the acquisition date fair value of the consideration transferred and the fair value of net assets recognized for Adore Me, and represents the future economic benefits, including synergies, and assembled workforce, that are expected to be achieved as a result of the consummation of the acquisition of Adore Me. The goodwill arising from the acquisition is not expected to be deductible for tax purposes.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consolidates Adore Me's financial information on an approximate one-month reporting lag. Accordingly, given the acquisition closing date of December 30, 2022, the operating results of Adore Me for the period subsequent to the acquisition date are recorded in the Company's consolidated financial statements beginning in 2023.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and year-to-date 2023, the Company recognized the financial impact of purchase accounting items and additional acquisition-related costs, including recognition in gross profit of the fair value adjustment to acquired inventories as it is sold, expense related to changes in the estimated fair value of contingent consideration and Contingent Compensation Payments, as well as amortization of acquired intangible assets. During the second quarter of 2023, the Company recognized total related costs of $24 million, including $7 million in Costs of Goods Sold, Buying and Occupancy, $16 million in General, Administrative and Store Operating Expenses and $1 million in Interest Expense. Year-to-date 2023, the Company recognized total related costs of $41 million, including $16 million in Costs of Goods Sold, Buying and Occupancy, $23 million in General, Administrative and Store Operating Expenses and $2 million in Interest Expense. See Note 12, “Fair Value of Financial Instruments” for further information on the contingent consideration. The deferred consideration liability for the future fixed payment is included within Other Long-term Liabilities in the Consolidated Balance Sheets and was $73 million as of July 29, 2023 and $71 million as of January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from revenue-generating activities were $108 million as of July 29, 2023, $101 million as of January 28, 2023 and $101 million as of July 30, 2022. Accounts receivable primarily relate to amounts due from the Company's franchise, license and wholesale partners. Under these arrangements, payment terms are typically 60 to 90 days.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$280 million as of July 29, 2023, $309 million as of January 28, 2023 and $238 million as of July 30, 2022. The Company recognized $107 million as revenue year-to-date 2023 from amounts recorded as deferred revenue at the beginning of the year. As of July 29, 2023, the Company recorded deferred revenue of $263 million within Accrued Expenses and Other, and $17 million within Other Long-term Liabilities on the Consolidated Balance Sheet.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disaggregation of Net Sales for the second quarter and year-to-date 2023 and 2022:</w:t>
      </w:r>
    </w:p>
    <w:tbl>
      <w:tblPr>
        <w:tblW w:w="7080" w:type="dxa"/>
        <w:jc w:val="center"/>
        <w:tblInd w:w="0" w:type="dxa"/>
        <w:tblLayout w:type="fixed"/>
        <w:tblCellMar>
          <w:top w:w="28" w:type="dxa"/>
          <w:left w:w="28" w:type="dxa"/>
          <w:bottom w:w="28" w:type="dxa"/>
          <w:right w:w="28" w:type="dxa"/>
        </w:tblCellMar>
      </w:tblPr>
      <w:tblGrid>
        <w:gridCol w:w="814"/>
        <w:gridCol w:w="715"/>
        <w:gridCol w:w="721"/>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Year-to-Date</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Stores – North America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in 2023 include Adore Me sales.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(b)Results include consolidated joint venture sales in China, royalties associated with franchised stores and wholesale sales.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Victoria's Secret and PINK multi-tender loyalty program along with a co-branded credit card and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third-party is primarily recognized based on credit card sales and usage.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Net Sales of $23 million and $30 million in the second quarter of 2023 and 2022, respectively, related to revenue earned in connection with its credit card arrangements. The Company recognized Net Sales of $46 million and $57 million year-to-date 2023 and 2022, respectively, related to revenue earned in connection with its credit card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$232 million and $199 million for the second quarter of 2023 and 2022, respectively. The Company’s net sales outside of the U.S. totaled $432 million and $383 million year-to-date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4. Restructuring Activities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Organizational Restructuring</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implemented additional restructuring actions to continue to reorganize and improve its organizational structure. As a result, pre-tax severance and related costs of $11 million, of which $8 million are included in General, Administrative and Store Operating Expenses and $3 million are included in Costs of Goods Sold, Buying and Occupancy, are included in the Year-to-Date 2023 Consolidated Statement of Loss.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and fourth quarter of 2022, the Company implemented restructuring actions to reorganize and improve its organizational structure. As a result of the restructuring actions in the second quarter of 2022, the Company incurred pre-tax severance and related costs of $29 million, of which $16 million are included in General, Administrative and Store Operating Expenses and $13 million are included in Costs of Goods Sold, Buying and Occupancy in the 2022 Consolidated Statements of Income. As a result of the restructuring actions in the fourth quarter of 2022, the Company incurred pre-tax severance and related costs of $6 million, of which $5 million are included in General, Administrative and Store Operating Expenses and $1 million are included in Costs of Goods Sold, Buying and Occupancy.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Year-to-date 2023, the Company made payments of $11 million related to severance and related costs associated with these reductions. As of July 29, 2023, liabilities, after accrual adjustments, related to these restructuring activities of $13 million are included in the July 29, 2023 Consolidated Balance Sheet.</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Victoria's Secret China</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announced the completion of the joint venture agreement with Regina Miracle International (Holdings) Limited (“Regina Miracle”), a company listed on the Hong Kong Stock Exchange, related to its existing Company-owned business in China. The Company and Regina Miracle formed a joint venture to operate Victoria's Secret stores and the related online business in China. Under the terms of the agreement, the Company owns 51% of the joint venture and Regina Miracle owns the remaining 49%. The Company received $45 million in cash from Regina Miracle during the first quarter of 2022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Statement of Cash Flows.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Company has retained control over the joint venture, the joint venture's assets, liabilities and results of operations will continue to be consolidated in the Company's consolidated financial statements. Regina Miracle's interest in the joint venture is now reflected in Noncontrolling Interest in the Consolidated Balance Sheets and in Net Income (Loss) Attributable to Noncontrolling Interest in the Consolidated Statements of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5. Earnings (Loss) Per Share and Shareholders' Equity</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Earnings (Loss) Per Share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(loss) per basic share is computed based on the weighted-average number of common shares outstanding. Earnings (loss) per diluted share include the weighted-average effect of dilutive restricted stock units, performance share units and options (collectively, “Dilutive Awards”) on the weighted-average shares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weighted-average shares utilized for the calculation of basic and diluted earnings (loss) per share for the second quarter and year-to-date 2023 and 2022:</w:t>
      </w:r>
    </w:p>
    <w:tbl>
      <w:tblPr>
        <w:tblW w:w="6067" w:type="dxa"/>
        <w:jc w:val="left"/>
        <w:tblInd w:w="0" w:type="dxa"/>
        <w:tblLayout w:type="fixed"/>
        <w:tblCellMar>
          <w:top w:w="28" w:type="dxa"/>
          <w:left w:w="28" w:type="dxa"/>
          <w:bottom w:w="28" w:type="dxa"/>
          <w:right w:w="28" w:type="dxa"/>
        </w:tblCellMar>
      </w:tblPr>
      <w:tblGrid>
        <w:gridCol w:w="960"/>
        <w:gridCol w:w="844"/>
        <w:gridCol w:w="850"/>
        <w:gridCol w:w="202"/>
        <w:gridCol w:w="204"/>
        <w:gridCol w:w="156"/>
        <w:gridCol w:w="140"/>
        <w:gridCol w:w="140"/>
        <w:gridCol w:w="140"/>
        <w:gridCol w:w="202"/>
        <w:gridCol w:w="204"/>
        <w:gridCol w:w="156"/>
        <w:gridCol w:w="109"/>
        <w:gridCol w:w="109"/>
        <w:gridCol w:w="109"/>
        <w:gridCol w:w="202"/>
        <w:gridCol w:w="204"/>
        <w:gridCol w:w="156"/>
        <w:gridCol w:w="119"/>
        <w:gridCol w:w="119"/>
        <w:gridCol w:w="119"/>
        <w:gridCol w:w="202"/>
        <w:gridCol w:w="204"/>
        <w:gridCol w:w="217"/>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Year-to-Date</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Shares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Awards (a)(b)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Shares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Awards (a)</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(a)Shares underlying certain restricted stock units, performance share units and options were excluded from the calculation of diluted earnings per share because their inclusion would have been anti-dilutive.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(b)For the second quarter and year-to-date 2023, shares underlying outstanding restricted stock units, performance share units and options were excluded from dilutive shares as a result of the Company's net loss for the periods.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Shareholders' Equity</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Common Stock Share Repurchases &amp; Treasury Stock Retirements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January 2023 Share Repurchase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Company's Board of Directors approved a share repurchase program (“January 2023 Share Repurchase Program”), authorizing the repurchase of up to $250 million of the Company's common stock. The $250 million authorization is expected to be utilized to repurchase shares in the open market or as otherwise authorized by the Board of Directors, subject to market conditions and other factors. Shares acquired through the January 2023 Share Repurchase Program will be available to meet obligations under the Company's equity compensation plans and for general corporate purposes. The January 2023 Share Repurchase Program began upon completion of the March 2022 Share Repurchase Program and will continue until exhausted, but no later than the end of fiscal year 2023. The Company did not repurchase any shares of its common stock under the January 2023 Share Repurchase Program during fiscal year 2022.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as part of the January 2023 Share Repurchase Program, the Company entered into an accelerated share repurchase agreement (“ASR Agreement”) with Goldman Sachs &amp; Co. LLC (“Goldman Sachs”) to repurchase $125 million of the Company's common stock. In February 2023, the Company made an initial payment of $125 million to Goldman Sachs and received an initial delivery of 2.4 million shares of the Company's common stock. The $125 million payment to Goldman Sachs was recognized as a reduction to shareholders’ equity, consisting of a $100 million increase in Treasury Stock, which reflects the value of the initial 2.4 million shares received upon initial settlement, and a $25 million decrease in Paid-in Capital, which reflects the value of the stock then held by Goldman Sachs pending final settlement of the ASR Agreement. As a result of the initial share delivery, there was an additional $1 million increase in Treasury Stock, which reflects the excise tax liability recorded related to the share repurchase in accordance with the Inflation Reduction Act of 2022. In accordance with the Board of Directors' resolution, upon delivery the Company immediately retired the 2.4 million shares repurchased under the ASR Agreement in the first quarter of 2023. The retirement resulted in a reduction of $101 million in Treasury Stock, less than $1 million in the par value of Common Stock, $6 million in Paid-in Capital and $95 million in Retained Earnings in the first quarter of 2023.</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upon final settlement of the ASR Agreement, the Company received an additional 1.3 million shares of the Company's common stock from Goldman Sachs. The final number of shares received was based on the volume-weighted average price of the Company’s common stock during the term of the ASR Agreement, less a discount and subject to adjustments pursuant to the terms of the ASR Agreement. The average price paid per share pursuant to the ASR Agreement was $34.22. The delivery of shares resulted in an immediate reduction of the outstanding shares used to calculate the weighted-average common shares outstanding for basic and diluted net income (loss) per share. In connection with the final settlement of the ASR Agreement, the $25 million previously recorded in Paid-in Capital as of April 29, 2023 was reclassified to Treasury Stock in the second quarter of 2023. In May 2023, the Company immediately retired the additional 1.3 million shares repurchased in connection with the settlement of the ASR Agreement. The retirement resulted in a reduction of $25 million in Treasury Stock, less than $1 million in the par value of Common Stock, $2 million in Paid-in Capital and $23 million in Retained Earnings in the second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29, 2023, the Company was authorized to repurchase up to $125 million of the Company's common stock under the January 2023 Share Repurchase Program.</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March 2022 Share Repurchase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Company's Board of Directors approved a share repurchase program (“March 2022 Share Repurchase Program”), providing for the repurchase of up to $250 million of the Company's common stock. The $250 million authorization was utilized in fiscal year 2022 to repurchase shares in the open market, subject to market conditions and other factors.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repurchased the following shares of its common stock under the March 2022 Share Repurchase Program during year-to-date 2022:</w:t>
      </w:r>
    </w:p>
    <w:tbl>
      <w:tblPr>
        <w:tblW w:w="10205" w:type="dxa"/>
        <w:jc w:val="left"/>
        <w:tblInd w:w="0" w:type="dxa"/>
        <w:tblLayout w:type="fixed"/>
        <w:tblCellMar>
          <w:top w:w="28" w:type="dxa"/>
          <w:left w:w="28" w:type="dxa"/>
          <w:bottom w:w="28" w:type="dxa"/>
          <w:right w:w="28" w:type="dxa"/>
        </w:tblCellMar>
      </w:tblPr>
      <w:tblGrid>
        <w:gridCol w:w="1114"/>
        <w:gridCol w:w="978"/>
        <w:gridCol w:w="984"/>
        <w:gridCol w:w="395"/>
        <w:gridCol w:w="876"/>
        <w:gridCol w:w="206"/>
        <w:gridCol w:w="109"/>
        <w:gridCol w:w="109"/>
        <w:gridCol w:w="109"/>
        <w:gridCol w:w="500"/>
        <w:gridCol w:w="500"/>
        <w:gridCol w:w="502"/>
        <w:gridCol w:w="109"/>
        <w:gridCol w:w="109"/>
        <w:gridCol w:w="109"/>
        <w:gridCol w:w="429"/>
        <w:gridCol w:w="947"/>
        <w:gridCol w:w="221"/>
        <w:gridCol w:w="109"/>
        <w:gridCol w:w="109"/>
        <w:gridCol w:w="109"/>
        <w:gridCol w:w="336"/>
        <w:gridCol w:w="983"/>
        <w:gridCol w:w="253"/>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Stock Price</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2022 Share Repurchase Program</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$2 million of share repurchases reflected in Accounts Payable on the July 30, 2022 Consolidated Balance Sheet.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Board of Directors' resolution, shares of the Company's common stock repurchased under the March 2022 Share Repurchase Program were retired upon repurchase and are available to meet obligations under equity compensation plans and for general corporate purposes. As a result, year-to-date 2022 the Company retired 3.8 million shares repurchased under the March 2022 Share Repurchase Program, which resulted in reductions of less than $1 million in the par value of Common Stock, $7 million in Paid-in Capital and $162 million in Retained Earnings.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December 2021 Accelerated Share Repurchase Agreement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upon final settlement of the Company's December 2021 accelerated share repurchase agreement (“December 2021 ASR Agreement”) with Goldman Sachs, the Company received an additional 0.3 million shares of the Company's common stock from Goldman Sachs. The delivery of shares resulted in an immediate reduction of the outstanding shares used to calculate the weighted-average common shares outstanding for basic and diluted net income per share. In connection with the settlement of the December 2021 ASR Agreement, $50 million previously recorded in Paid-in Capital as of January 29, 2022, was reclassified to Treasury Stock in the first quarter of 2022. In February 2022, the Company immediately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6. Inventories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Inventories as of July 29, 2023, January 28, 2023 and July 30, 2022:</w:t>
      </w:r>
    </w:p>
    <w:tbl>
      <w:tblPr>
        <w:tblW w:w="7400" w:type="dxa"/>
        <w:jc w:val="left"/>
        <w:tblInd w:w="0" w:type="dxa"/>
        <w:tblLayout w:type="fixed"/>
        <w:tblCellMar>
          <w:top w:w="28" w:type="dxa"/>
          <w:left w:w="28" w:type="dxa"/>
          <w:bottom w:w="28" w:type="dxa"/>
          <w:right w:w="28" w:type="dxa"/>
        </w:tblCellMar>
      </w:tblPr>
      <w:tblGrid>
        <w:gridCol w:w="1379"/>
        <w:gridCol w:w="1214"/>
        <w:gridCol w:w="1217"/>
        <w:gridCol w:w="211"/>
        <w:gridCol w:w="631"/>
        <w:gridCol w:w="109"/>
        <w:gridCol w:w="109"/>
        <w:gridCol w:w="109"/>
        <w:gridCol w:w="109"/>
        <w:gridCol w:w="219"/>
        <w:gridCol w:w="657"/>
        <w:gridCol w:w="113"/>
        <w:gridCol w:w="109"/>
        <w:gridCol w:w="109"/>
        <w:gridCol w:w="109"/>
        <w:gridCol w:w="211"/>
        <w:gridCol w:w="63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w:t>
              <w:br/>
              <w:t>2022</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Merchandise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Merchandise Components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1,052</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7. Long-Lived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Property and Equipment, Net as of July 29, 2023, January 28, 2023 and July 30, 2022:</w:t>
      </w:r>
    </w:p>
    <w:tbl>
      <w:tblPr>
        <w:tblW w:w="7326" w:type="dxa"/>
        <w:jc w:val="left"/>
        <w:tblInd w:w="0" w:type="dxa"/>
        <w:tblLayout w:type="fixed"/>
        <w:tblCellMar>
          <w:top w:w="28" w:type="dxa"/>
          <w:left w:w="28" w:type="dxa"/>
          <w:bottom w:w="28" w:type="dxa"/>
          <w:right w:w="28" w:type="dxa"/>
        </w:tblCellMar>
      </w:tblPr>
      <w:tblGrid>
        <w:gridCol w:w="1363"/>
        <w:gridCol w:w="1198"/>
        <w:gridCol w:w="1204"/>
        <w:gridCol w:w="211"/>
        <w:gridCol w:w="616"/>
        <w:gridCol w:w="109"/>
        <w:gridCol w:w="109"/>
        <w:gridCol w:w="109"/>
        <w:gridCol w:w="109"/>
        <w:gridCol w:w="223"/>
        <w:gridCol w:w="652"/>
        <w:gridCol w:w="115"/>
        <w:gridCol w:w="109"/>
        <w:gridCol w:w="109"/>
        <w:gridCol w:w="109"/>
        <w:gridCol w:w="211"/>
        <w:gridCol w:w="61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w:t>
              <w:br/>
              <w:t>2022</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846</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$65 million and $70 million for the second quarter of 2023 and 2022, respectively. Depreciation expense was $132 million and $140 million for year-to-date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Intangible Assets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goodwill was established as a result of the acquisition of Adore Me on December 30, 2022. For additional information, see Note 2, “Acquisition.” Prior to the acquisition of Adore Me, the Company did not have any goodwill.</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the carrying value of goodwill:</w:t>
      </w:r>
    </w:p>
    <w:tbl>
      <w:tblPr>
        <w:tblW w:w="3389" w:type="dxa"/>
        <w:jc w:val="left"/>
        <w:tblInd w:w="0" w:type="dxa"/>
        <w:tblLayout w:type="fixed"/>
        <w:tblCellMar>
          <w:top w:w="28" w:type="dxa"/>
          <w:left w:w="28" w:type="dxa"/>
          <w:bottom w:w="28" w:type="dxa"/>
          <w:right w:w="28" w:type="dxa"/>
        </w:tblCellMar>
      </w:tblPr>
      <w:tblGrid>
        <w:gridCol w:w="864"/>
        <w:gridCol w:w="758"/>
        <w:gridCol w:w="763"/>
        <w:gridCol w:w="250"/>
        <w:gridCol w:w="571"/>
        <w:gridCol w:w="18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January 28, 2023</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July 29, 2023</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w:t>
            </w:r>
            <w:r>
              <w:rPr>
                <w:color w:val="000000"/>
              </w:rPr>
              <w:t>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(a)Includes offsetting measurement period adjustments related to the acquisition of Adore Me. For additional information, see Note 2, “Acquisition.”</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Trade Name - Indefinite-Lived</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Victoria's Secret trade name, an indefinite-lived intangible asset, was $246 million as of July 29, 2023, January 28, 2023 and July 30, 2022, respectively.</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Definite-Lived Intangible Assets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definite-lived intangible assets were established as a result of the acquisition of Adore Me. Prior to the acquisition of Adore Me, the Company did not have any definite-lived intangible assets.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gross carrying amount and accumulated amortization of the Company's definite-lived intangible assets as of July 29, 2023 and January 28, 2023:</w:t>
      </w:r>
    </w:p>
    <w:tbl>
      <w:tblPr>
        <w:tblW w:w="6115" w:type="dxa"/>
        <w:jc w:val="left"/>
        <w:tblInd w:w="0" w:type="dxa"/>
        <w:tblLayout w:type="fixed"/>
        <w:tblCellMar>
          <w:top w:w="28" w:type="dxa"/>
          <w:left w:w="28" w:type="dxa"/>
          <w:bottom w:w="28" w:type="dxa"/>
          <w:right w:w="28" w:type="dxa"/>
        </w:tblCellMar>
      </w:tblPr>
      <w:tblGrid>
        <w:gridCol w:w="1353"/>
        <w:gridCol w:w="1188"/>
        <w:gridCol w:w="1193"/>
        <w:gridCol w:w="211"/>
        <w:gridCol w:w="481"/>
        <w:gridCol w:w="109"/>
        <w:gridCol w:w="109"/>
        <w:gridCol w:w="109"/>
        <w:gridCol w:w="109"/>
        <w:gridCol w:w="261"/>
        <w:gridCol w:w="595"/>
        <w:gridCol w:w="134"/>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Definite-Lived Intangible 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Trade Name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Definite-Lived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Trade Name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Definite-Lived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was $6 million and $13 million for the second quarter of 2023 and year-to-date 2023, respectively. There was no amortization expense recorded related to these definite-lived intangible assets in fiscal year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9. Accrued Expenses and Other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information about the composition of Accrued Expenses and Other as of July 29, 2023, January 28, 2023 and July 30, 2022:</w:t>
      </w:r>
    </w:p>
    <w:p>
      <w:pPr>
        <w:pStyle w:val="TextBody"/>
        <w:bidi w:val="0"/>
        <w:spacing w:before="0" w:after="0"/>
        <w:jc w:val="left"/>
        <w:rPr/>
      </w:pPr>
      <w:r>
        <w:rPr/>
      </w:r>
    </w:p>
    <w:tbl>
      <w:tblPr>
        <w:tblW w:w="8285" w:type="dxa"/>
        <w:jc w:val="left"/>
        <w:tblInd w:w="0" w:type="dxa"/>
        <w:tblLayout w:type="fixed"/>
        <w:tblCellMar>
          <w:top w:w="28" w:type="dxa"/>
          <w:left w:w="28" w:type="dxa"/>
          <w:bottom w:w="28" w:type="dxa"/>
          <w:right w:w="28" w:type="dxa"/>
        </w:tblCellMar>
      </w:tblPr>
      <w:tblGrid>
        <w:gridCol w:w="1807"/>
        <w:gridCol w:w="1591"/>
        <w:gridCol w:w="1596"/>
        <w:gridCol w:w="211"/>
        <w:gridCol w:w="481"/>
        <w:gridCol w:w="109"/>
        <w:gridCol w:w="109"/>
        <w:gridCol w:w="109"/>
        <w:gridCol w:w="109"/>
        <w:gridCol w:w="261"/>
        <w:gridCol w:w="595"/>
        <w:gridCol w:w="134"/>
        <w:gridCol w:w="109"/>
        <w:gridCol w:w="109"/>
        <w:gridCol w:w="109"/>
        <w:gridCol w:w="211"/>
        <w:gridCol w:w="481"/>
        <w:gridCol w:w="154"/>
      </w:tblGrid>
      <w:tr>
        <w:trPr/>
        <w:tc>
          <w:tcPr>
            <w:tcW w:w="180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w:t>
              <w:br/>
              <w:t>2022</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on Gift Cards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Payroll Taxes and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on Loyalty and Credit Card Programs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Related to Adore Me Acquisition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Marketing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Reserve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 and Other Logistics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on Direct Shipments not yet Delivered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Claims on Self-insured Activities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737</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is based on the current estimate of the annual effective tax rate and is adjusted as necessary for quarterly events.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second quarter of 2023, the Company’s effective tax rate was 144.2% compared to 19.2% in the second quarter of 2022. The second quarter of 2023 rate differed from the Company's combined estimated federal and state statutory rate primarily due to non-deductible liabilities related to contingent consideration and Contingent Compensation Payments. The second quarter of 2022 rate was lower than the Company's combined estimated federal and state statutory rate primarily due to foreign earnings taxed at a rate lower than our combined statutory rate. </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For year-to-date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the Company’s effective tax rate wa</w:t>
      </w:r>
      <w:r>
        <w:rPr>
          <w:rFonts w:ascii="Times New Roman;sans-serif" w:hAnsi="Times New Roman;sans-serif"/>
          <w:b w:val="false"/>
          <w:color w:val="000000"/>
          <w:sz w:val="20"/>
        </w:rPr>
        <w:t>s 62.0% c</w:t>
      </w:r>
      <w:r>
        <w:rPr>
          <w:rFonts w:ascii="Times New Roman;sans-serif" w:hAnsi="Times New Roman;sans-serif"/>
          <w:b w:val="false"/>
          <w:color w:val="000000"/>
          <w:sz w:val="20"/>
          <w:shd w:fill="FFFFFF" w:val="clear"/>
        </w:rPr>
        <w:t xml:space="preserve">ompared to 11.1% for year-to-date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The year-to-date 2023 rate differed from the Company's combined estimated federal and state statutory rate primarily due to non-deductible </w:t>
      </w:r>
      <w:r>
        <w:rPr>
          <w:rFonts w:ascii="Times New Roman;sans-serif" w:hAnsi="Times New Roman;sans-serif"/>
          <w:b w:val="false"/>
          <w:color w:val="000000"/>
          <w:sz w:val="20"/>
        </w:rPr>
        <w:t>liabilities related to contingent consideration and Contingent Compensation Payments</w:t>
      </w:r>
      <w:r>
        <w:rPr>
          <w:rFonts w:ascii="Times New Roman;sans-serif" w:hAnsi="Times New Roman;sans-serif"/>
          <w:b w:val="false"/>
          <w:color w:val="000000"/>
          <w:sz w:val="20"/>
          <w:shd w:fill="FFFFFF" w:val="clear"/>
        </w:rPr>
        <w:t>. The year-to-date 2</w:t>
      </w:r>
      <w:r>
        <w:rPr>
          <w:rFonts w:ascii="Times New Roman;sans-serif" w:hAnsi="Times New Roman;sans-serif"/>
          <w:b w:val="false"/>
          <w:color w:val="000000"/>
          <w:sz w:val="20"/>
        </w:rPr>
        <w:t>022 rate was lower than the Company's combined estimated federal and state statutory rate primarily due to the recognition of excess tax benefits related to share-based compensation awards that vested in the respective period.</w:t>
      </w:r>
    </w:p>
    <w:p>
      <w:pPr>
        <w:pStyle w:val="TextBody"/>
        <w:bidi w:val="0"/>
        <w:spacing w:lineRule="auto" w:line="288" w:before="100" w:after="100"/>
        <w:jc w:val="left"/>
        <w:rPr/>
      </w:pPr>
      <w:r>
        <w:rPr>
          <w:rFonts w:ascii="Times New Roman;sans-serif" w:hAnsi="Times New Roman;sans-serif"/>
          <w:b w:val="false"/>
          <w:color w:val="000000"/>
          <w:sz w:val="20"/>
        </w:rPr>
        <w:t xml:space="preserve">The Company paid income taxes in the amount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f $43 million and $130 million for the second quarter of 2023 and 2022, respectively. Year-to-date income taxes paid were $59 million and $140 million for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11. Long-term Debt and Borrowing Facilities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outstanding debt balance, net of unamortized debt issuance costs and discounts, as of July 29, 2023, January 28, 2023 and July 30, 2022:</w:t>
      </w:r>
    </w:p>
    <w:tbl>
      <w:tblPr>
        <w:tblW w:w="9904" w:type="dxa"/>
        <w:jc w:val="left"/>
        <w:tblInd w:w="0" w:type="dxa"/>
        <w:tblLayout w:type="fixed"/>
        <w:tblCellMar>
          <w:top w:w="28" w:type="dxa"/>
          <w:left w:w="28" w:type="dxa"/>
          <w:bottom w:w="28" w:type="dxa"/>
          <w:right w:w="28" w:type="dxa"/>
        </w:tblCellMar>
      </w:tblPr>
      <w:tblGrid>
        <w:gridCol w:w="2339"/>
        <w:gridCol w:w="2059"/>
        <w:gridCol w:w="2066"/>
        <w:gridCol w:w="211"/>
        <w:gridCol w:w="631"/>
        <w:gridCol w:w="109"/>
        <w:gridCol w:w="109"/>
        <w:gridCol w:w="109"/>
        <w:gridCol w:w="109"/>
        <w:gridCol w:w="219"/>
        <w:gridCol w:w="657"/>
        <w:gridCol w:w="113"/>
        <w:gridCol w:w="109"/>
        <w:gridCol w:w="109"/>
        <w:gridCol w:w="109"/>
        <w:gridCol w:w="211"/>
        <w:gridCol w:w="481"/>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w:t>
              <w:br/>
              <w:t>2022</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Secured Debt with Subsidiary Guarantee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$393 million Term Loan due August 2028 (“Term Loan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Asset-based Revolving Credit Facility due August 2026 (“ABL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Secured Debt with Subsidiary Guarantee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Debt with Subsidiary Guarantee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million, 4.625% Fixed Interest Rate Notes due July 2029 (“2029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Debt with Subsidiary Guarantee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1,271</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was $44 million and $21 million for year-to-date 2023 and year-to-date 2022, respectively.</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Company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the Company is required to make quarterly principal payments on the Term Loan Facility in an amount equal to 0.25% of the original principal amount of $400 million. The Company made principal payments for the Term Loan Facility of $1 million during both the second quarter of 2023 and the second quarter of 2022 and $2 million during both year-to-date 2023 and year-to-date 2022.</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the Company amended its Term Loan Facility to allow for an early transition to using the Term Secured Overnight Financing Rate (“Term SOFR”) as the applicable reference rate to calculate interest instead of the London Interbank Offered Rate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ABL Facility and on a second-priority lien basis by priority collateral of the ABL Facility, subject to customary exceptions. As of July 29, 2023, the interest rate on the loans under the Term Loan Facility was 8.51%.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 May 2023, the Company amended its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Year-to-date 2023, the Company borrowed $115 million and made payments of $115 million under the ABL Facility. As of July 29, 2023, there were borrowings of $295 million outstanding under the ABL Facility and the interest rate on the borrowings was 6.98%. The Company had $30 million of outstanding letters of credit as of July 29, 2023 that further reduced its availability under the ABL Facility. As of July 29, 2023, the Company's remaining availability under the ABL Facility was $254 million. </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July 29, 2023, the Company was in compliance with all covenants under its long-term debt and borrowing facilities.</w:t>
      </w:r>
    </w:p>
    <w:p>
      <w:pPr>
        <w:pStyle w:val="TextBody"/>
        <w:bidi w:val="0"/>
        <w:spacing w:lineRule="auto" w:line="288" w:before="100" w:after="120"/>
        <w:jc w:val="left"/>
        <w:rPr/>
      </w:pPr>
      <w:r>
        <w:rPr>
          <w:rFonts w:ascii="Times New Roman;sans-serif" w:hAnsi="Times New Roman;sans-serif"/>
          <w:b w:val="false"/>
          <w:color w:val="000000"/>
          <w:sz w:val="20"/>
        </w:rPr>
        <w:t xml:space="preserve">The Company elected the optional expedient under Accounting Standards Update No. 2020-04,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in connection with amending its Term Loan Facility and ABL Facility agreements to replace the reference rate from LIBOR to Term SOFR to consider the amendments as a continuation of the existing contract without having to perform an assessment that would otherwise be required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12. Fair Value of Financial Instruments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principal value and estimated fair value of the Company's outstanding debt as of July 29, 2023, January 28, 2023 and July 30, 2022:</w:t>
      </w:r>
    </w:p>
    <w:tbl>
      <w:tblPr>
        <w:tblW w:w="5375" w:type="dxa"/>
        <w:jc w:val="left"/>
        <w:tblInd w:w="0" w:type="dxa"/>
        <w:tblLayout w:type="fixed"/>
        <w:tblCellMar>
          <w:top w:w="28" w:type="dxa"/>
          <w:left w:w="28" w:type="dxa"/>
          <w:bottom w:w="28" w:type="dxa"/>
          <w:right w:w="28" w:type="dxa"/>
        </w:tblCellMar>
      </w:tblPr>
      <w:tblGrid>
        <w:gridCol w:w="766"/>
        <w:gridCol w:w="671"/>
        <w:gridCol w:w="677"/>
        <w:gridCol w:w="211"/>
        <w:gridCol w:w="466"/>
        <w:gridCol w:w="109"/>
        <w:gridCol w:w="109"/>
        <w:gridCol w:w="109"/>
        <w:gridCol w:w="109"/>
        <w:gridCol w:w="266"/>
        <w:gridCol w:w="587"/>
        <w:gridCol w:w="137"/>
        <w:gridCol w:w="109"/>
        <w:gridCol w:w="109"/>
        <w:gridCol w:w="109"/>
        <w:gridCol w:w="211"/>
        <w:gridCol w:w="46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w:t>
              <w:br/>
              <w:t>2022</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Estimated (a)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(a)The estimated fair value of the Company’s publicly traded debt is based on reported transaction prices which are considered Level 2 inputs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estimates presented are not necessarily indicative of the amounts that the Company could realize in a current market exchange.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July 29, 2023 based on the terms of the borrowings from the ABL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summary of the Company's contingent consideration recognized at fair value related to the Adore Me acquisition as of July 29, 2023 and January 28, 2023 (in millions):</w:t>
      </w:r>
    </w:p>
    <w:tbl>
      <w:tblPr>
        <w:tblW w:w="6621" w:type="dxa"/>
        <w:jc w:val="left"/>
        <w:tblInd w:w="0" w:type="dxa"/>
        <w:tblLayout w:type="fixed"/>
        <w:tblCellMar>
          <w:top w:w="28" w:type="dxa"/>
          <w:left w:w="28" w:type="dxa"/>
          <w:bottom w:w="28" w:type="dxa"/>
          <w:right w:w="28" w:type="dxa"/>
        </w:tblCellMar>
      </w:tblPr>
      <w:tblGrid>
        <w:gridCol w:w="884"/>
        <w:gridCol w:w="779"/>
        <w:gridCol w:w="782"/>
        <w:gridCol w:w="109"/>
        <w:gridCol w:w="109"/>
        <w:gridCol w:w="109"/>
        <w:gridCol w:w="214"/>
        <w:gridCol w:w="366"/>
        <w:gridCol w:w="110"/>
        <w:gridCol w:w="109"/>
        <w:gridCol w:w="109"/>
        <w:gridCol w:w="109"/>
        <w:gridCol w:w="211"/>
        <w:gridCol w:w="406"/>
        <w:gridCol w:w="109"/>
        <w:gridCol w:w="109"/>
        <w:gridCol w:w="109"/>
        <w:gridCol w:w="109"/>
        <w:gridCol w:w="211"/>
        <w:gridCol w:w="406"/>
        <w:gridCol w:w="109"/>
        <w:gridCol w:w="109"/>
        <w:gridCol w:w="109"/>
        <w:gridCol w:w="109"/>
        <w:gridCol w:w="211"/>
        <w:gridCol w:w="36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21" w:type="dxa"/>
        <w:jc w:val="left"/>
        <w:tblInd w:w="0" w:type="dxa"/>
        <w:tblLayout w:type="fixed"/>
        <w:tblCellMar>
          <w:top w:w="28" w:type="dxa"/>
          <w:left w:w="28" w:type="dxa"/>
          <w:bottom w:w="28" w:type="dxa"/>
          <w:right w:w="28" w:type="dxa"/>
        </w:tblCellMar>
      </w:tblPr>
      <w:tblGrid>
        <w:gridCol w:w="884"/>
        <w:gridCol w:w="779"/>
        <w:gridCol w:w="782"/>
        <w:gridCol w:w="109"/>
        <w:gridCol w:w="109"/>
        <w:gridCol w:w="109"/>
        <w:gridCol w:w="306"/>
        <w:gridCol w:w="525"/>
        <w:gridCol w:w="159"/>
        <w:gridCol w:w="109"/>
        <w:gridCol w:w="109"/>
        <w:gridCol w:w="109"/>
        <w:gridCol w:w="211"/>
        <w:gridCol w:w="406"/>
        <w:gridCol w:w="109"/>
        <w:gridCol w:w="109"/>
        <w:gridCol w:w="109"/>
        <w:gridCol w:w="109"/>
        <w:gridCol w:w="211"/>
        <w:gridCol w:w="406"/>
        <w:gridCol w:w="109"/>
        <w:gridCol w:w="109"/>
        <w:gridCol w:w="109"/>
        <w:gridCol w:w="109"/>
        <w:gridCol w:w="211"/>
        <w:gridCol w:w="36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ans-serif" w:hAnsi="Times New Roman;sans-serif"/>
          <w:b w:val="false"/>
          <w:color w:val="000000"/>
          <w:sz w:val="20"/>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Changes in the fair value of the contingent consideration are recorded within General, Administrative and Store Operating Expenses on the Consolidated Statements of Income (Loss). For additional information regarding the contingent consideration, see Note 2,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13. Comprehensive Income (Loss)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rollforward of accumulated other comprehensive income (loss) attributable to Victoria's Secret &amp; Co. for year-to-date 2023:</w:t>
      </w:r>
    </w:p>
    <w:tbl>
      <w:tblPr>
        <w:tblW w:w="10205" w:type="dxa"/>
        <w:jc w:val="center"/>
        <w:tblInd w:w="0" w:type="dxa"/>
        <w:tblLayout w:type="fixed"/>
        <w:tblCellMar>
          <w:top w:w="28" w:type="dxa"/>
          <w:left w:w="28" w:type="dxa"/>
          <w:bottom w:w="28" w:type="dxa"/>
          <w:right w:w="28" w:type="dxa"/>
        </w:tblCellMar>
      </w:tblPr>
      <w:tblGrid>
        <w:gridCol w:w="1496"/>
        <w:gridCol w:w="1254"/>
        <w:gridCol w:w="1259"/>
        <w:gridCol w:w="622"/>
        <w:gridCol w:w="1200"/>
        <w:gridCol w:w="324"/>
        <w:gridCol w:w="109"/>
        <w:gridCol w:w="109"/>
        <w:gridCol w:w="109"/>
        <w:gridCol w:w="109"/>
        <w:gridCol w:w="109"/>
        <w:gridCol w:w="958"/>
        <w:gridCol w:w="1844"/>
        <w:gridCol w:w="703"/>
      </w:tblGrid>
      <w:tr>
        <w:trPr/>
        <w:tc>
          <w:tcPr>
            <w:tcW w:w="149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r>
      <w:tr>
        <w:trPr/>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614" w:type="dxa"/>
            <w:gridSpan w:val="4"/>
            <w:tcBorders/>
          </w:tcPr>
          <w:p>
            <w:pPr>
              <w:pStyle w:val="TableContents"/>
              <w:bidi w:val="0"/>
              <w:spacing w:before="0" w:after="283"/>
              <w:jc w:val="left"/>
              <w:rPr>
                <w:sz w:val="4"/>
                <w:szCs w:val="4"/>
              </w:rPr>
            </w:pPr>
            <w:r>
              <w:rPr>
                <w:sz w:val="4"/>
                <w:szCs w:val="4"/>
              </w:rPr>
            </w:r>
          </w:p>
        </w:tc>
      </w:tr>
      <w:tr>
        <w:trPr/>
        <w:tc>
          <w:tcPr>
            <w:tcW w:w="4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28, 2023</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5" w:type="dxa"/>
            <w:gridSpan w:val="3"/>
            <w:tcBorders/>
            <w:vAlign w:val="center"/>
          </w:tcPr>
          <w:p>
            <w:pPr>
              <w:pStyle w:val="TableContents"/>
              <w:bidi w:val="0"/>
              <w:spacing w:before="0" w:after="283"/>
              <w:jc w:val="left"/>
              <w:rPr>
                <w:sz w:val="4"/>
                <w:szCs w:val="4"/>
              </w:rPr>
            </w:pPr>
            <w:r>
              <w:rPr>
                <w:sz w:val="4"/>
                <w:szCs w:val="4"/>
              </w:rPr>
            </w:r>
          </w:p>
        </w:tc>
      </w:tr>
      <w:tr>
        <w:trPr/>
        <w:tc>
          <w:tcPr>
            <w:tcW w:w="4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Other Comprehensive Loss</w:t>
            </w:r>
          </w:p>
        </w:tc>
        <w:tc>
          <w:tcPr>
            <w:tcW w:w="1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July 29, 2023</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rollforward of accumulated other comprehensive income attributable to Victoria's Secret &amp; Co. for year-to-date 2022:</w:t>
      </w:r>
    </w:p>
    <w:tbl>
      <w:tblPr>
        <w:tblW w:w="10205" w:type="dxa"/>
        <w:jc w:val="center"/>
        <w:tblInd w:w="0" w:type="dxa"/>
        <w:tblLayout w:type="fixed"/>
        <w:tblCellMar>
          <w:top w:w="28" w:type="dxa"/>
          <w:left w:w="28" w:type="dxa"/>
          <w:bottom w:w="28" w:type="dxa"/>
          <w:right w:w="28" w:type="dxa"/>
        </w:tblCellMar>
      </w:tblPr>
      <w:tblGrid>
        <w:gridCol w:w="2059"/>
        <w:gridCol w:w="1606"/>
        <w:gridCol w:w="1612"/>
        <w:gridCol w:w="662"/>
        <w:gridCol w:w="804"/>
        <w:gridCol w:w="344"/>
        <w:gridCol w:w="109"/>
        <w:gridCol w:w="109"/>
        <w:gridCol w:w="109"/>
        <w:gridCol w:w="109"/>
        <w:gridCol w:w="109"/>
        <w:gridCol w:w="872"/>
        <w:gridCol w:w="1057"/>
        <w:gridCol w:w="644"/>
      </w:tblGrid>
      <w:tr>
        <w:trPr/>
        <w:tc>
          <w:tcPr>
            <w:tcW w:w="205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r>
      <w:tr>
        <w:trPr/>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82" w:type="dxa"/>
            <w:gridSpan w:val="4"/>
            <w:tcBorders/>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29, 2022</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to Paid-in Capital</w:t>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Other Comprehensive Income</w:t>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July 30, 2022</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China joint venture agreement completed in April 2022, the Company reclassified $3 million of accumulated foreign currency translation adjustments related to the joint venture out of Accumulated Other Comprehensive Income and into Paid-in Capital in the first quarter of 2022 in order to reflect the amount attributable to the noncontrolling interest partner. For additional information see Note 4, “Restructuring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Occupancy-related Legal Matter</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appealed both judgments; on March 2, 2023, the appellate court issued a denial of the appeals. During the first quarter of 2023, the Company paid the Landlord for the judgment amount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SAFE HARBOR STATEMENT UNDER THE PRIVATE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LITIGATION REFORM ACT OF 1995</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Safe Harbor Statement Under the Private Securities Litigation Reform Act of 1995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 xml:space="preserve">the spin-off from our Former Parent may not be tax-free for U.S. federal income tax purposes;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may not realize all of the expected benefits of the spin-off;</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the novel coronavirus (COVID-19) global pandemic has had and may continue to have an adverse effect on our business and results of operations;</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difficulties arising from turnover in company leadership or other key positions;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attract, develop and retain qualified associates and manage labor-related costs;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dependence on mall traffic and the availability of suitable store locations on appropriate terms;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successfully operate and expand internationally and related risks;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independent franchise, license, wholesale, and joint venture partners;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direct channel business;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protect our reputation and the image of our brands;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attract customers with marketing, advertising and promotional programs;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the highly competitive nature of the retail industry and the segments in which we operate;</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consumer acceptance of our products and our ability to manage the life cycle of our brands, keep up with fashion trends, develop new merchandise and launch new product lines successfully;</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realize the potential benefits and synergies sought with the acquisition of Adore Me;</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our ability to source, distribute and sell goods and materials on a global basis, including risks related to:</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political instability, environmental hazards or natural disasters;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significant health hazards or pandemics;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legal and regulatory matters;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delays or disruptions in shipping and transportation and related pricing impacts; and</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 xml:space="preserve">disruption due to labor disputes; </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geographic concentration of vendor and distribution facilities in central Ohio and Southeast Asia;</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the ability of our vendors to deliver products in a timely manner, meet quality standards and comply with applicable laws and regulations;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fluctuations in freight, product input and energy costs, including those caused by inflation;</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and our third-party service providers’ ability to implement and maintain information technology systems and to protect associated data and system availability;</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maintain the security of customer, associate, third-party and company information;</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stock price volatility;</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shareholder activism matters;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maintain our credit rating;</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comply with regulatory requirements; and</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legal, tax, trade and other regulatory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2022 Annual Report on Form 10-K filed with the SEC on March 17,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pPr>
      <w:r>
        <w:rPr>
          <w:rFonts w:ascii="Times New Roman;sans-serif" w:hAnsi="Times New Roman;sans-serif"/>
          <w:b/>
          <w:color w:val="000000"/>
          <w:sz w:val="20"/>
        </w:rPr>
        <w:t>Item 2.</w:t>
      </w:r>
      <w:r>
        <w:rPr>
          <w:color w:val="000000"/>
        </w:rPr>
        <w:t>    </w:t>
      </w:r>
      <w:r>
        <w:rPr>
          <w:rFonts w:ascii="Times New Roman;sans-serif" w:hAnsi="Times New Roman;sans-serif"/>
          <w:b/>
          <w:color w:val="000000"/>
          <w:sz w:val="20"/>
        </w:rPr>
        <w:t xml:space="preserve">MANAGEMENT'S DISCUSSION AND ANALYSIS OF FINANCIAL CONDITION AND RESULTS OF OPERATIONS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Executive Overview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is an iconic global brand of women’s intimate and other apparel, personal care and beauty products. We sell our products through three brands, Victoria’s Secret, PINK and Adore Me. Victoria’s Secret is a category-defining global lingerie brand with a leading market position and a rich, over 45-year history of serving women across the globe. PINK is a lifestyle brand for the college-oriented customer, built around a strong intimates core. We also sell beauty products under both the Victoria’s Secret and PINK brands. Adore Me is a technology-led, digital first innovative intimates brand serving women of all sizes and budgets at all phases of life. Together, Victoria’s Secret, PINK, Victoria’s Secret Beauty and Adore Me support, inspire and celebrate women through every phase of their life.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PINK and Adore Me merchandise is sold online through e-commerce platforms, through retail stores located in the U.S., Canada and China, and through international stores and websites operated by partners under franchise, license, wholesale and joint venture arrangements. We have a presence in nearly 70 countries and we believe we benefit from global brand awareness, a wide and compelling product assortment and a powerful, deep connection with our customers.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our operating income was $26 million compared to $98 million in the second quarter of 2022, and our operating income rate (expressed as a percentage of net sales) was 1.8% compared to 6.4% last year. The operating income decrease in the second quarter of 2023 compared to the second quarter of 2022 was primarily driven by a decrease in net sales and gross profit and an increase in general, administrative and store operating expense. Net sales decreased $94 million, or 6%, to $1.427 billion compared to $1.521 billion in the second quarter of 2022 and comparable sales decreased 11% in the second quarter of 2023. Our North American store sales decreased $151 million, to $817 million compared to $968 million in the second quarter of 2022 primarily driven by a decrease in traffic results which were down compared to the second quarter of 2022. Our North American store sales were also impacted by decreases in conversion (which we define as the percentage of customers who visit our stores and make a purchase) and average unit retail (which we define as the average price per unit purchased) in the quarter compared to the second quarter of 2022. Our direct channel sales increased by 5%, or $20 million, to $434 million compared to $414 million in the second quarter of 2022, driven by the inclusion of Adore Me sales in our results beginning in fiscal year 2023. On a comparable basis, conversion, traffic and average unit retail decreased compared to the second quarter of 2022.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Despite a macro environment that remained challenging on the customer, we continue to focus on our strategic growth plans and the three pillars of our strategy: strengthening our core, igniting growth and transforming the foundation. We are committed to optimizing our performance in the current challenging environment by focusing on what is within our control, and we are confident in our strategic growth plan and remain committed to delivering long-term sustainable value for our shareholders.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related to our second quarter of 2023 financial performance, see “Results of Operations.” </w:t>
      </w:r>
    </w:p>
    <w:p>
      <w:pPr>
        <w:pStyle w:val="TextBody"/>
        <w:bidi w:val="0"/>
        <w:spacing w:lineRule="auto" w:line="288" w:before="100" w:after="120"/>
        <w:jc w:val="left"/>
        <w:rPr>
          <w:rFonts w:ascii="Times New Roman;sans-serif" w:hAnsi="Times New Roman;sans-serif"/>
          <w:b/>
          <w:i/>
          <w:color w:val="000000"/>
          <w:sz w:val="20"/>
        </w:rPr>
      </w:pPr>
      <w:r>
        <w:rPr>
          <w:rFonts w:ascii="Times New Roman;sans-serif" w:hAnsi="Times New Roman;sans-serif"/>
          <w:b/>
          <w:i/>
          <w:color w:val="000000"/>
          <w:sz w:val="20"/>
        </w:rPr>
        <w:t>Financial Impacts of the Adore Me Acquisition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Adore Me's financial information on an approximate one-month reporting lag. Accordingly, given the acquisition closing date of December 30, 2022, the operating results of Adore Me for the period subsequent to the acquisition date are recorded in our results beginning in 2023.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and year-to-date 2023, we recognized the financial impact of purchase accounting items and additional acquisition-related costs, including recognition in gross profit of the fair value adjustment to acquired inventories as it is sold, expense related to changes in the estimated fair value of contingent consideration and Contingent Compensation Payments, as well as amortization of acquired intangible assets. For additional information, see Note 2,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Non-GAAP Financial Information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provided in accordance with GAAP above and throughout this Form 10-Q, provided below are non-GAAP financial measures that present operating income, net income attributable to Victoria's Secret &amp; Co. and net income per diluted share attributable to Victoria's Secret &amp; Co. on an adjusted basis, which remove certain special items. We believe that these special items are not indicative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tbl>
      <w:tblPr>
        <w:tblW w:w="10205" w:type="dxa"/>
        <w:jc w:val="center"/>
        <w:tblInd w:w="0" w:type="dxa"/>
        <w:tblLayout w:type="fixed"/>
        <w:tblCellMar>
          <w:top w:w="28" w:type="dxa"/>
          <w:left w:w="28" w:type="dxa"/>
          <w:bottom w:w="28" w:type="dxa"/>
          <w:right w:w="28" w:type="dxa"/>
        </w:tblCellMar>
      </w:tblPr>
      <w:tblGrid>
        <w:gridCol w:w="2087"/>
        <w:gridCol w:w="1522"/>
        <w:gridCol w:w="1534"/>
        <w:gridCol w:w="273"/>
        <w:gridCol w:w="735"/>
        <w:gridCol w:w="141"/>
        <w:gridCol w:w="141"/>
        <w:gridCol w:w="141"/>
        <w:gridCol w:w="141"/>
        <w:gridCol w:w="273"/>
        <w:gridCol w:w="662"/>
        <w:gridCol w:w="141"/>
        <w:gridCol w:w="109"/>
        <w:gridCol w:w="109"/>
        <w:gridCol w:w="109"/>
        <w:gridCol w:w="211"/>
        <w:gridCol w:w="560"/>
        <w:gridCol w:w="109"/>
        <w:gridCol w:w="109"/>
        <w:gridCol w:w="109"/>
        <w:gridCol w:w="109"/>
        <w:gridCol w:w="211"/>
        <w:gridCol w:w="511"/>
        <w:gridCol w:w="158"/>
      </w:tblGrid>
      <w:tr>
        <w:trPr/>
        <w:tc>
          <w:tcPr>
            <w:tcW w:w="2087"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Year-to-Date</w:t>
            </w:r>
          </w:p>
        </w:tc>
      </w:tr>
      <w:tr>
        <w:trPr/>
        <w:tc>
          <w:tcPr>
            <w:tcW w:w="5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Reported to Adjusted Operating Income</w:t>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Operating Income - GAAP</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Acquisition-related Items (a)</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(b)</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(c)</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Occupancy-related Legal Matter (d)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Reported to Adjusted Net Income (Loss) Attributable to Victoria's Secret &amp;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Net Income (Loss) Attributable to Victoria's Secret &amp; Co. - GAAP</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Acquisition-related Items (a)</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(b)</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(c)</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Occupancy-related Legal Matter (d)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Adjusted Items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Attributable to Victoria's Secret &amp; Co.</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Reported to Adjusted Net Income (Loss) Per Diluted Share Attributable to Victoria's Secret &amp; Co.</w:t>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Net Income (Loss) Per Diluted Share Attributable to Victoria's Secret &amp; Co. - GAAP</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Acquisition-related Items (a)</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(b)</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(c)</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Occupancy-related Legal Matter (d)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Diluted Share Attributable to Victoria's Secret &amp; Co.</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 the second quarter of 2023, we recognized a pre-tax charge of $18 million ($16 million after-tax) within net income, $10 million included in general, administrative and store operating expense, $7 million included in costs of goods sold, buying and occupancy expense and $1 million included in interest expense, related to the financial impact of purchase accounting items related to the acquisition of Adore Me. Year-to-date 2023, we recognized pre-tax charges of $28 million ($24 million after-tax) within net income, $16 million included in costs of goods sold, buying and occupancy expense, $10 million included in general, administrative and store operating expense and $2 million included in interest expense, related to the financial impact of purchase accounting items and professional service costs related to the acquisition of Adore Me. For additional information, see Note 2, “Acquisition” included in Item 1.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(b)In the second quarter of 2023, we recognized $6 million of amortization expense ($5 million after-tax) included in general, administrative and store operating expense related to the acquisition of Adore Me. Year-to-date 2023, we recognized $13 million ($9 million after-tax) included in general, administrative and store operating expense related to the acquisition of Adore Me. For additional information, see Note 2, “Acquisition” and Note 8, “Intangible Assets” included in Item 1. Financial Statements.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(c)In the first quarter of 2023, we recognized a pre-tax charge of $11 million ($8 million after-tax), $8 million included in general, administrative and store operating expense and $3 million included in buying and occupancy expense, related to restructuring activities to continue to reorganize and improve our organizational structure. In the second quarter of 2022, we recognized a pre-tax charge of $29 million ($22 million after-tax), $16 million included in general, administrative and store operating expense and $13 million included in buying and occupancy expense, related to restructuring activities to reorganize our leadership structure. For additional information, see Note 4, “Restructuring Activities” included in Item 1. Financial Statements.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(d)In the first quarter of 2022, we recognized a pre-tax charge of $22 million ($16 million after-tax), included in buying and occupancy expense, related to a legal matter with a landlord regarding a high-profile store that we surrendered to the landlord prior to our separation from the Former Parent. For additional information, see Note 14, “Commitments and Contingencies” included in Item 1. Financial Statements.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Store Data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the second quarter of 2023 U.S. company-operated store data to the second quarter of 2022 and year-to-date 2023 to year-to-date 2022:</w:t>
      </w:r>
    </w:p>
    <w:tbl>
      <w:tblPr>
        <w:tblW w:w="10205" w:type="dxa"/>
        <w:jc w:val="center"/>
        <w:tblInd w:w="0" w:type="dxa"/>
        <w:tblLayout w:type="fixed"/>
        <w:tblCellMar>
          <w:top w:w="28" w:type="dxa"/>
          <w:left w:w="28" w:type="dxa"/>
          <w:bottom w:w="28" w:type="dxa"/>
          <w:right w:w="28" w:type="dxa"/>
        </w:tblCellMar>
      </w:tblPr>
      <w:tblGrid>
        <w:gridCol w:w="1144"/>
        <w:gridCol w:w="977"/>
        <w:gridCol w:w="985"/>
        <w:gridCol w:w="211"/>
        <w:gridCol w:w="466"/>
        <w:gridCol w:w="109"/>
        <w:gridCol w:w="109"/>
        <w:gridCol w:w="109"/>
        <w:gridCol w:w="109"/>
        <w:gridCol w:w="211"/>
        <w:gridCol w:w="616"/>
        <w:gridCol w:w="109"/>
        <w:gridCol w:w="109"/>
        <w:gridCol w:w="109"/>
        <w:gridCol w:w="109"/>
        <w:gridCol w:w="210"/>
        <w:gridCol w:w="211"/>
        <w:gridCol w:w="483"/>
        <w:gridCol w:w="109"/>
        <w:gridCol w:w="109"/>
        <w:gridCol w:w="109"/>
        <w:gridCol w:w="211"/>
        <w:gridCol w:w="616"/>
        <w:gridCol w:w="109"/>
        <w:gridCol w:w="109"/>
        <w:gridCol w:w="109"/>
        <w:gridCol w:w="109"/>
        <w:gridCol w:w="211"/>
        <w:gridCol w:w="616"/>
        <w:gridCol w:w="109"/>
        <w:gridCol w:w="109"/>
        <w:gridCol w:w="109"/>
        <w:gridCol w:w="109"/>
        <w:gridCol w:w="210"/>
        <w:gridCol w:w="211"/>
        <w:gridCol w:w="545"/>
      </w:tblGrid>
      <w:tr>
        <w:trPr/>
        <w:tc>
          <w:tcPr>
            <w:tcW w:w="11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Year-to-Date</w:t>
            </w:r>
          </w:p>
        </w:tc>
      </w:tr>
      <w:tr>
        <w:trPr/>
        <w:tc>
          <w:tcPr>
            <w:tcW w:w="3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per Average Selling Square Foot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per Average Store (in thousands)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Store Size (selling square feet)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Square Feet (in thousands)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store data for year-to-date 2023:</w:t>
      </w:r>
    </w:p>
    <w:tbl>
      <w:tblPr>
        <w:tblW w:w="7516" w:type="dxa"/>
        <w:jc w:val="left"/>
        <w:tblInd w:w="0" w:type="dxa"/>
        <w:tblLayout w:type="fixed"/>
        <w:tblCellMar>
          <w:top w:w="28" w:type="dxa"/>
          <w:left w:w="28" w:type="dxa"/>
          <w:bottom w:w="28" w:type="dxa"/>
          <w:right w:w="28" w:type="dxa"/>
        </w:tblCellMar>
      </w:tblPr>
      <w:tblGrid>
        <w:gridCol w:w="901"/>
        <w:gridCol w:w="793"/>
        <w:gridCol w:w="795"/>
        <w:gridCol w:w="464"/>
        <w:gridCol w:w="464"/>
        <w:gridCol w:w="467"/>
        <w:gridCol w:w="109"/>
        <w:gridCol w:w="109"/>
        <w:gridCol w:w="109"/>
        <w:gridCol w:w="220"/>
        <w:gridCol w:w="220"/>
        <w:gridCol w:w="221"/>
        <w:gridCol w:w="109"/>
        <w:gridCol w:w="109"/>
        <w:gridCol w:w="109"/>
        <w:gridCol w:w="218"/>
        <w:gridCol w:w="218"/>
        <w:gridCol w:w="196"/>
        <w:gridCol w:w="109"/>
        <w:gridCol w:w="109"/>
        <w:gridCol w:w="109"/>
        <w:gridCol w:w="109"/>
        <w:gridCol w:w="109"/>
        <w:gridCol w:w="334"/>
        <w:gridCol w:w="334"/>
        <w:gridCol w:w="472"/>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 2023</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Company-Operated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 (a)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China Joint Venture</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Partner-Operated:</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Partner-Operated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Adore Me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1,350</w:t>
            </w:r>
            <w:r>
              <w:rPr>
                <w:color w:val="000000"/>
              </w:rPr>
              <w:t>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(a)Includes fifteen partner-operated stores as of July 29,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store data for year-to-date 2022:</w:t>
      </w:r>
    </w:p>
    <w:tbl>
      <w:tblPr>
        <w:tblW w:w="8734" w:type="dxa"/>
        <w:jc w:val="left"/>
        <w:tblInd w:w="0" w:type="dxa"/>
        <w:tblLayout w:type="fixed"/>
        <w:tblCellMar>
          <w:top w:w="28" w:type="dxa"/>
          <w:left w:w="28" w:type="dxa"/>
          <w:bottom w:w="28" w:type="dxa"/>
          <w:right w:w="28" w:type="dxa"/>
        </w:tblCellMar>
      </w:tblPr>
      <w:tblGrid>
        <w:gridCol w:w="901"/>
        <w:gridCol w:w="793"/>
        <w:gridCol w:w="795"/>
        <w:gridCol w:w="464"/>
        <w:gridCol w:w="464"/>
        <w:gridCol w:w="467"/>
        <w:gridCol w:w="109"/>
        <w:gridCol w:w="109"/>
        <w:gridCol w:w="109"/>
        <w:gridCol w:w="220"/>
        <w:gridCol w:w="220"/>
        <w:gridCol w:w="221"/>
        <w:gridCol w:w="109"/>
        <w:gridCol w:w="109"/>
        <w:gridCol w:w="109"/>
        <w:gridCol w:w="218"/>
        <w:gridCol w:w="218"/>
        <w:gridCol w:w="196"/>
        <w:gridCol w:w="109"/>
        <w:gridCol w:w="109"/>
        <w:gridCol w:w="109"/>
        <w:gridCol w:w="369"/>
        <w:gridCol w:w="369"/>
        <w:gridCol w:w="371"/>
        <w:gridCol w:w="109"/>
        <w:gridCol w:w="109"/>
        <w:gridCol w:w="109"/>
        <w:gridCol w:w="334"/>
        <w:gridCol w:w="334"/>
        <w:gridCol w:w="472"/>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Reclassed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 2022</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Company-Operated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 (a)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China Joint Venture</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Partner-Operated:</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Partner-Operated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1,362</w:t>
            </w:r>
            <w:r>
              <w:rPr>
                <w:color w:val="000000"/>
              </w:rPr>
              <w:t>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1,340</w:t>
            </w:r>
            <w:r>
              <w:rPr>
                <w:color w:val="000000"/>
              </w:rPr>
              <w:t>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(a)Includes eight partner-operated stores as of July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Second Quarter of 2023 Compared to Second Quarter of 2022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the second quarter of 2023, operating income decreased $72 million, to $26 million, compared to operating income of $98 million in the second quarter of 2022, and the operating income rate (expressed as a percentage of net sales) decreased to 1.8% from 6.4%. The drivers of the operating income results are discussed in the following sections.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net sales for the second quarter of 2023 in comparison to the second quarter of 2022:</w:t>
      </w:r>
    </w:p>
    <w:tbl>
      <w:tblPr>
        <w:tblW w:w="5788" w:type="dxa"/>
        <w:jc w:val="left"/>
        <w:tblInd w:w="0" w:type="dxa"/>
        <w:tblLayout w:type="fixed"/>
        <w:tblCellMar>
          <w:top w:w="28" w:type="dxa"/>
          <w:left w:w="28" w:type="dxa"/>
          <w:bottom w:w="28" w:type="dxa"/>
          <w:right w:w="28" w:type="dxa"/>
        </w:tblCellMar>
      </w:tblPr>
      <w:tblGrid>
        <w:gridCol w:w="814"/>
        <w:gridCol w:w="715"/>
        <w:gridCol w:w="720"/>
        <w:gridCol w:w="211"/>
        <w:gridCol w:w="631"/>
        <w:gridCol w:w="109"/>
        <w:gridCol w:w="109"/>
        <w:gridCol w:w="109"/>
        <w:gridCol w:w="109"/>
        <w:gridCol w:w="211"/>
        <w:gridCol w:w="631"/>
        <w:gridCol w:w="109"/>
        <w:gridCol w:w="109"/>
        <w:gridCol w:w="109"/>
        <w:gridCol w:w="109"/>
        <w:gridCol w:w="210"/>
        <w:gridCol w:w="211"/>
        <w:gridCol w:w="562"/>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Second Quarter</w:t>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Stores – North America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for the second quarter of 2023 include Adore Me sales.</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(b)Results include consolidated joint venture sales in China, royalties associated with franchised stores and wholesale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sales from the second quarter of 2022 to the second quarter of 2023:</w:t>
      </w:r>
    </w:p>
    <w:tbl>
      <w:tblPr>
        <w:tblW w:w="7829" w:type="dxa"/>
        <w:jc w:val="left"/>
        <w:tblInd w:w="0" w:type="dxa"/>
        <w:tblLayout w:type="fixed"/>
        <w:tblCellMar>
          <w:top w:w="28" w:type="dxa"/>
          <w:left w:w="28" w:type="dxa"/>
          <w:bottom w:w="28" w:type="dxa"/>
          <w:right w:w="28" w:type="dxa"/>
        </w:tblCellMar>
      </w:tblPr>
      <w:tblGrid>
        <w:gridCol w:w="2466"/>
        <w:gridCol w:w="2174"/>
        <w:gridCol w:w="2184"/>
        <w:gridCol w:w="213"/>
        <w:gridCol w:w="637"/>
        <w:gridCol w:w="155"/>
      </w:tblGrid>
      <w:tr>
        <w:trPr/>
        <w:tc>
          <w:tcPr>
            <w:tcW w:w="246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 Net Sales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Sales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Associated with New, Closed and Non-comparable Remodeled Stores, Net (a)</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Channels (a)(b)</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 Programs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Wholesale, Royalty and Sourcing</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 Net Sales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for the second quarter of 2023 include Adore Me sales.</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(b)Results include consolidated joint venture direct sales in China.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the second quarter of 2023 comparable sales to the second quarter of 2022:</w:t>
      </w:r>
    </w:p>
    <w:tbl>
      <w:tblPr>
        <w:tblW w:w="5145" w:type="dxa"/>
        <w:jc w:val="left"/>
        <w:tblInd w:w="0" w:type="dxa"/>
        <w:tblLayout w:type="fixed"/>
        <w:tblCellMar>
          <w:top w:w="28" w:type="dxa"/>
          <w:left w:w="28" w:type="dxa"/>
          <w:bottom w:w="28" w:type="dxa"/>
          <w:right w:w="28" w:type="dxa"/>
        </w:tblCellMar>
      </w:tblPr>
      <w:tblGrid>
        <w:gridCol w:w="1221"/>
        <w:gridCol w:w="1075"/>
        <w:gridCol w:w="1078"/>
        <w:gridCol w:w="210"/>
        <w:gridCol w:w="211"/>
        <w:gridCol w:w="331"/>
        <w:gridCol w:w="109"/>
        <w:gridCol w:w="109"/>
        <w:gridCol w:w="109"/>
        <w:gridCol w:w="158"/>
        <w:gridCol w:w="158"/>
        <w:gridCol w:w="376"/>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Sales (Stores and Direct) (a)</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Sales (a)</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in the second quarter of 2023 decreased $94 million, or 6%, to $1.427 billion compared to $1.521 billion in the second quarter of 2022.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stores channel, our North America net sales decreased $151 million, or 16%, to $817 million compared to the second quarter of 2022 driven by a decrease in traffic which was down compared to the second quarter last year. Our North American store sales were also impacted by decreases in conversion and average unit retail in the quarter compared to the second quarter of 2022.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direct channel, net sales increased $20 million, or 5%, to $434 million, driven by the inclusion of Adore Me sales in our results beginning in fiscal year 2023. On a comparable basis, conversion, traffic and average unit retail decreased compared to the second quarter of 2022.</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international channel, net sales increased $37 million, or 26%, to $176 million compared to the second quarter of 2022, as stores and online sales increased due to increased traffic in many countries outside of North America and positive customer acceptance of our product assortment.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Gross Profit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second quarter of 2023, our gross profit decreased $48 million compared to the second quarter of 2022 to $487 million, and our gross profit rate (expressed as a percentage of net sales) decreased to 34.1% from 35.2%.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gross profit dollars was due to the decrease in merchandise margin dollars driven by the decrease in net sales and the increase in promotional activity, partially offset by a decrease in supply chain costs compared to the second quarter of 2022. Buying and occupancy expenses were down compared to the second quarter of 2022, primarily driven by restructuring charges of $13 million in the second quarter of 2022, partially offset by the inclusion of Adore Me buying and occupancy expenses in the current year. Additionally, the decrease in gross profit dollars was driven by the partial recognition in gross profit of the inventory fair value step-up adjustment related to acquired inventory from Adore 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gross profit rate decrease was driven by increased promotional activity and deleverage in buying and occupancy expenses in the quarter as a result of the decrease in sales compared to the second quarter of 2022, partially offset by a decrease in supply chain costs compared to the second quarter of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General, Administrative and Store Operating Expenses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second quarter of 2023, our general, administrative and store operating expenses increased $24 million, or 5%, compared to the second quarter of 2022 to $461 million. The increase in general, administrative and store operating expenses compared to the second quarter of 2022 was primarily due to the inclusion of Adore Me general, administrative and store operating expenses beginning in fiscal year 2023. General, administrative and store operating expenses in the second quarter of 2023 also increased due to the recognition of $10 million of Adore Me acquisition-related items and amortization of intangible assets acquired from Adore Me of $6 million. These increases were partially offset by restructuring charges of $16 million in the second quarter of 2022 and lower store selling expenses in the second quarter of 2023 due to improvements in our labor model.</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general, administrative and store operating expense rate (expressed as a percentage of net sales) increased to 32.3% from 28.8% due to the decrease in sales compared to the second quarter of 2022 and the inclusion of Adore Me general, administrative and store operating expenses beginning in fiscal year 2023.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second quarter of 2023, our interest expense increased $11 million to $24 million compared to the second quarter of 2022, primarily driven by the increase in our outstanding debt due to the borrowings from the ABL Facility during the third and fourth quarters of 2022 and a higher average borrowing rate for our Term Loan Facility.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second quarter of 2023, the Company's effective tax rate was 144.2% compared to 19.2% in the second quarter of 2022. The second quarter of 2023 rate differed from the Company's combined estimated federal and state statutory rate primarily due to non-deductible liabilities related to contingent consideration and Contingent Compensation Payments. The second quarter of 2022 rate was lower than the Company's combined estimated federal and state statutory rate primarily due to foreign earnings taxed at a rate lower than our combined statutory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Year-to-Date 2023 Compared to Year-to-Date 2022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year-to-date 2023, operating income decreased $138 million, to $54 million, from $192 million year-to-date 2022, and the operating income rate (expressed as a percentage of net sales) decreased to 1.9% from 6.4%. The drivers of the operating income results are discussed in the following sections.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net sales for year-to-date 2023 in comparison to year-to-date 2022:</w:t>
      </w:r>
    </w:p>
    <w:tbl>
      <w:tblPr>
        <w:tblW w:w="5788" w:type="dxa"/>
        <w:jc w:val="left"/>
        <w:tblInd w:w="0" w:type="dxa"/>
        <w:tblLayout w:type="fixed"/>
        <w:tblCellMar>
          <w:top w:w="28" w:type="dxa"/>
          <w:left w:w="28" w:type="dxa"/>
          <w:bottom w:w="28" w:type="dxa"/>
          <w:right w:w="28" w:type="dxa"/>
        </w:tblCellMar>
      </w:tblPr>
      <w:tblGrid>
        <w:gridCol w:w="815"/>
        <w:gridCol w:w="716"/>
        <w:gridCol w:w="718"/>
        <w:gridCol w:w="211"/>
        <w:gridCol w:w="631"/>
        <w:gridCol w:w="109"/>
        <w:gridCol w:w="109"/>
        <w:gridCol w:w="109"/>
        <w:gridCol w:w="109"/>
        <w:gridCol w:w="211"/>
        <w:gridCol w:w="631"/>
        <w:gridCol w:w="109"/>
        <w:gridCol w:w="109"/>
        <w:gridCol w:w="109"/>
        <w:gridCol w:w="109"/>
        <w:gridCol w:w="210"/>
        <w:gridCol w:w="211"/>
        <w:gridCol w:w="562"/>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Year-to-Date</w:t>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Stores – North America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for year-to-date 2023 include Adore Me sales.</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(b)Results include consolidated joint venture sales in China, royalties associated with franchised stores and wholesale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sales from year-to-date 2022 to year-to-date 2023:</w:t>
      </w:r>
    </w:p>
    <w:tbl>
      <w:tblPr>
        <w:tblW w:w="7829" w:type="dxa"/>
        <w:jc w:val="left"/>
        <w:tblInd w:w="0" w:type="dxa"/>
        <w:tblLayout w:type="fixed"/>
        <w:tblCellMar>
          <w:top w:w="28" w:type="dxa"/>
          <w:left w:w="28" w:type="dxa"/>
          <w:bottom w:w="28" w:type="dxa"/>
          <w:right w:w="28" w:type="dxa"/>
        </w:tblCellMar>
      </w:tblPr>
      <w:tblGrid>
        <w:gridCol w:w="2466"/>
        <w:gridCol w:w="2174"/>
        <w:gridCol w:w="2184"/>
        <w:gridCol w:w="213"/>
        <w:gridCol w:w="637"/>
        <w:gridCol w:w="155"/>
      </w:tblGrid>
      <w:tr>
        <w:trPr/>
        <w:tc>
          <w:tcPr>
            <w:tcW w:w="246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 Net Sales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Sales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Associated with New, Closed and Non-comparable Remodeled Stores, Net (a)</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Channels (a)(b)</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 Programs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Wholesale, Royalty and Sourcing</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 Net Sales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2,834</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for year-to-date 2023 include Adore Me sales.</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(b)Results include consolidated joint venture direct sales in China.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year-to-date 2023 comparable sales to year-to-date 2022:</w:t>
      </w:r>
    </w:p>
    <w:tbl>
      <w:tblPr>
        <w:tblW w:w="5145" w:type="dxa"/>
        <w:jc w:val="left"/>
        <w:tblInd w:w="0" w:type="dxa"/>
        <w:tblLayout w:type="fixed"/>
        <w:tblCellMar>
          <w:top w:w="28" w:type="dxa"/>
          <w:left w:w="28" w:type="dxa"/>
          <w:bottom w:w="28" w:type="dxa"/>
          <w:right w:w="28" w:type="dxa"/>
        </w:tblCellMar>
      </w:tblPr>
      <w:tblGrid>
        <w:gridCol w:w="1221"/>
        <w:gridCol w:w="1075"/>
        <w:gridCol w:w="1078"/>
        <w:gridCol w:w="210"/>
        <w:gridCol w:w="211"/>
        <w:gridCol w:w="331"/>
        <w:gridCol w:w="109"/>
        <w:gridCol w:w="109"/>
        <w:gridCol w:w="109"/>
        <w:gridCol w:w="158"/>
        <w:gridCol w:w="158"/>
        <w:gridCol w:w="376"/>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Sales (Stores and Direct) (a)</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Sales (a)</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year-to-date 2023 decreased $171 million, or 6%, to $2.834 billion compared to $3.005 billion year-to-date 2022.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stores channel year-to-date 2023, our North America net sales decreased $297 million, or 16%, to $1.603 billion, compared to year-to-date 2022 driven by a decrease in traffic which was down compared to year-to-date 2022. Our North American store sales were also impacted by decreases in conversion and average unit retail compared to year-to-date 2022.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direct channel, net sales increased $64 million, or 8%, to $898 million, driven by the inclusion of Adore Me sales in our results beginning in fiscal year 2023. On a comparable basis, conversion, average unit retail and traffic decreased compared to year-to-date 2022.</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international channel, net sales increased $62 million, or 23%, to $333 million compared to year-to-date 2022, as stores and online sales increased due to increased traffic in many countries outside of North America and positive customer acceptance of our product assortment.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Gross Profit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year-to-date 2023, our gross profit decreased $68 million to $989 million, and our gross profit rate (expressed as a percentage of net sales) decreased to 34.9% from 35.2%.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gross profit dollars was primarily due to the decrease in merchandise margin dollars driven by the decrease in net sales and the increase in promotional activity, partially offset by a decrease in supply chain costs compared to year-to-date 2022. Buying and occupancy expenses were down compared to year-to-date 2022, primarily driven by a legal reserve of $22 million related to a landlord matter in the first quarter of 2022 and restructuring charges of $13 million in the second quarter of 2022, partially offset by the inclusion of Adore Me buying and occupancy expenses beginning in fiscal year 2023. Additionally, the decrease in gross profit dollars was driven by the partial recognition in gross profit of the inventory fair value step-up adjustment related to acquired inventory from Adore Me.</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gross profit rate decrease was primarily driven by increased promotional activity and deleverage in buying and occupancy expenses as a result of the decrease in net sales compared to year-to-date 2022, partially offset by a decrease in supply chain costs compared to year-to-date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General, Administrative and Store Operating Expenses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year-to-date 2023, our general, administrative and store operating expenses increased $70 million, or 8%, to $935 million. The increase in general, administrative and store operating expenses compared to year-to-date 2022 was primarily due to the inclusion of Adore Me general, administrative and store operating expenses beginning in fiscal year 2023. The increase in general, administrative and store operating expenses in 2023 was also due to the amortization of intangible assets acquired from Adore Me of $13 million, recognition of $11 million of Adore Me acquisition-related items and $8 million of restructuring charges to continue to reorganize and improve our organizational structure in the first quarter of 2023, partially offset by restructuring charges of $16 million in the second quarter of 2022 and lower store selling expenses in the current year due to improvements in our labor model.</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general, administrative and store operating expense rate (expressed as a percentage of net sales) increased to 33.0% from 28.8% due to the decrease in sales compared to 2022 and the inclusion of Adore Me general, administrative and store operating expenses beginning in fiscal year 2023. </w:t>
      </w:r>
    </w:p>
    <w:p>
      <w:pPr>
        <w:pStyle w:val="TextBody"/>
        <w:bidi w:val="0"/>
        <w:spacing w:lineRule="auto" w:line="288" w:before="100" w:after="12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year-to-date 2023, our interest expense increased $21 million to $46 million compared to year-to-date 2022, primarily driven by the increase in our outstanding debt due to the borrowings from the ABL Facility during the third and fourth quarters of 2022 and a higher average borrowing rate for our Term Loan Facility.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year-to-date 2023, the Company's effective tax rate was 62.0% compared to 11.1% year-to-date 2022. The year-to-date 2023 rate differed from the Company's combined estimated federal and state statutory rate primarily due to non-deductible liabilities related to contingent consideration and Contingent Compensation Payments. The year-to-date 2022 rate was lower than the Company's combined estimated federal and state statutory rate primarily due to the recognition of excess tax benefits related to share-based compensation awards that vested in the respective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by (used for) operations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assurances that we will be able to obtain additional debt or equity financing on acceptable terms, if at all, in the future. </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utilize our cash flows to continue to invest in our brands, talent and capabilities, and growth strategies as well as to repay our indebtedness over time. We believe that our available short-term and long-term capital resources are sufficient to fund our working capital and other cash flow requirements over the next 12 months.</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Working Capital and Capitalization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our cash balances and funds provided by operating activities, along with the borrowing capacity under our ABL Facility, we believe we will be able to continue to meet our working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our working capital position and capitalization as of July 29, 2023, January 28, 2023 and July 30, 2022:</w:t>
      </w:r>
    </w:p>
    <w:tbl>
      <w:tblPr>
        <w:tblW w:w="8241" w:type="dxa"/>
        <w:jc w:val="left"/>
        <w:tblInd w:w="0" w:type="dxa"/>
        <w:tblLayout w:type="fixed"/>
        <w:tblCellMar>
          <w:top w:w="28" w:type="dxa"/>
          <w:left w:w="28" w:type="dxa"/>
          <w:bottom w:w="28" w:type="dxa"/>
          <w:right w:w="28" w:type="dxa"/>
        </w:tblCellMar>
      </w:tblPr>
      <w:tblGrid>
        <w:gridCol w:w="1696"/>
        <w:gridCol w:w="1487"/>
        <w:gridCol w:w="1497"/>
        <w:gridCol w:w="211"/>
        <w:gridCol w:w="616"/>
        <w:gridCol w:w="109"/>
        <w:gridCol w:w="109"/>
        <w:gridCol w:w="109"/>
        <w:gridCol w:w="109"/>
        <w:gridCol w:w="223"/>
        <w:gridCol w:w="652"/>
        <w:gridCol w:w="115"/>
        <w:gridCol w:w="109"/>
        <w:gridCol w:w="109"/>
        <w:gridCol w:w="109"/>
        <w:gridCol w:w="211"/>
        <w:gridCol w:w="61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w:t>
              <w:br/>
              <w:t>2022</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Operating Activities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 Shareholders'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Available Under the ABL Facility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July 29, 2023 and July 30, 2022 amounts represent twenty-six-week periods and the January 28, 2023 amounts represent a fifty-two-week period.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(b)For the reporting period ended July 29, 2023, the availability under the ABL Facility was limited by our borrowing base of $579 million, less outstanding borrowings of $295 million and letters of credit of $30 million. For the reporting period ended January 28, 2023, the availability was limited by our borrowing base of $596 million, less outstanding borrowings of $295 million and letters of credit of $42 million. For the reporting period ended July 30, 2022, the availability was limited by our borrowing base of $585 million, less letters of credit of $40 million. There were no outstanding borrowings under the ABL Facility as of July 30,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our cash flow activity for year-to-date 2023 and 2022:</w:t>
      </w:r>
    </w:p>
    <w:tbl>
      <w:tblPr>
        <w:tblW w:w="7374" w:type="dxa"/>
        <w:jc w:val="left"/>
        <w:tblInd w:w="0" w:type="dxa"/>
        <w:tblLayout w:type="fixed"/>
        <w:tblCellMar>
          <w:top w:w="28" w:type="dxa"/>
          <w:left w:w="28" w:type="dxa"/>
          <w:bottom w:w="28" w:type="dxa"/>
          <w:right w:w="28" w:type="dxa"/>
        </w:tblCellMar>
      </w:tblPr>
      <w:tblGrid>
        <w:gridCol w:w="1966"/>
        <w:gridCol w:w="1727"/>
        <w:gridCol w:w="1737"/>
        <w:gridCol w:w="211"/>
        <w:gridCol w:w="466"/>
        <w:gridCol w:w="109"/>
        <w:gridCol w:w="109"/>
        <w:gridCol w:w="109"/>
        <w:gridCol w:w="109"/>
        <w:gridCol w:w="211"/>
        <w:gridCol w:w="46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Year-to-Date</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for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for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for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operating activities reflects net income adjusted for non-cash items, including depreciation and amortization, share-based compensation expense and deferred tax expense, as well as changes in working capital. Net cash used for operating activities year-to-date 2023 was $19 million, an increase in net cash flows from operating activities of $32 million compared to year-to-date 2022. The increase in net cash from operating activities year-to-date 2023 was primarily driven by lower cash outflows associated with working capital changes, partially offset by lower net income. The most significant working capital driver resulting in the increase in operating cash flows this year compared to last year was the timing of payments related to the increased inventory levels last year, which were primarily driven by modal mix changes and longer in-transit shipment times. The other significant working capital driver resulting in the increase in operating cash flows this year is related to income taxes paid of $59 million year-to-date 2023 compared to $140 million paid year-to-date 2022.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year-to-date 2023 was $143 million, consisting primarily of capital expenditures. The capital expenditures were primarily related to our store capital program and investments in technology related to our strategic initiatives to drive growth and technology investments relating to separation activities from our Former Parent.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year-to-date 2022 was $83 million, consisting primarily of capital expenditures of $58 million and our $18 million investment in Frankies Bikinis. The capital expenditures were primarily related to our store capital program, along with investments in technology, distribution and logistics to support our retail capabilities.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estimating capital expenditures to be approximately $255 million for fiscal year 2023. Capital investments during fiscal year 2023 will be primarily focused on our store capital program along with investments in technology related to our strategic initiatives to drive growth and technology investments relating to separation activities from our Former Parent.</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year-to-date 2023 was $133 million, consisting primarily of $125 million of share repurchases and offsetting borrowings and repayments of $115 million from the ABL Facility.</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year-to-date 2022 was $153 million, consisting primarily of $169 million of share repurchases and $39 million of payments for taxes on share-based compensation awards issued, partially offset by $55 million of cash received from Regina Miracle in connection with the joint venture agreement completed in the first quarter of 2022.</w:t>
      </w:r>
    </w:p>
    <w:p>
      <w:pPr>
        <w:pStyle w:val="TextBody"/>
        <w:bidi w:val="0"/>
        <w:spacing w:lineRule="auto" w:line="288" w:before="120" w:after="100"/>
        <w:jc w:val="left"/>
        <w:rPr>
          <w:rFonts w:ascii="Times New Roman;sans-serif" w:hAnsi="Times New Roman;sans-serif"/>
          <w:b/>
          <w:color w:val="000000"/>
          <w:sz w:val="20"/>
        </w:rPr>
      </w:pPr>
      <w:r>
        <w:rPr>
          <w:rFonts w:ascii="Times New Roman;sans-serif" w:hAnsi="Times New Roman;sans-serif"/>
          <w:b/>
          <w:color w:val="000000"/>
          <w:sz w:val="20"/>
        </w:rPr>
        <w:t>Common Stock Share Repurchases &amp; Treasury Stock Retirements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determines share repurchase authorizations, giving consideration to our levels of profit and cash flows, capital requirements, current and forecasted liquidity, the restrictions placed upon us by our borrowing arrangements and the Tax Matters Agreement with the Former Parent, as well as financial and other conditions existing at the time. We use cash flows generated from operating activities to fund our share repurchase programs. Once authorized by our Board of Directors, the timing and amount of any share repurchases are made at our discretion, taking into account a number of factors, including market conditions.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January 2023 Share Repurchase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our Board of Directors approved the January 2023 Share Repurchase Program, authorizing the repurchase of up to $250 million of our common stock. The $250 million authorization is expected to be utilized to repurchase shares in the open market or as otherwise authorized by the Board of Directors, subject to market conditions and other factors. Shares acquired through the January 2023 Share Repurchase Program will be available to meet obligations under our equity compensation plans and for general corporate purposes. The January 2023 Share Repurchase Program began upon completion of the March 2022 Share Repurchase Program and will continue until exhausted, but no later than the end of fiscal year 2023. We did not repurchase any shares of our common stock under the January 2023 Share Repurchase Program during fiscal year 2022.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as part of the January 2023 Share Repurchase Program, we entered into the ASR Agreement with Goldman Sachs to repurchase $125 million of our common stock. In February 2023, we made an initial payment of $125 million to Goldman Sachs and received an initial delivery of 2.4 million shares of our common stock. The $125 million payment to Goldman Sachs was recognized as a reduction to shareholders’ equity, consisting of a $100 million increase in Treasury Stock, which reflects the value of the initial 2.4 million shares received upon initial settlement, and a $25 million decrease in Paid-in Capital, which reflects the value of the stock then held by Goldman Sachs pending final settlement of the ASR Agreement. As a result of the initial share delivery, there was an additional $1 million increase in Treasury Stock, which reflects the excise tax liability recorded related to the share repurchase in accordance with the Inflation Reduction Act of 2022. In accordance with the Board of Directors' resolution, upon delivery we immediately retired the 2.4 million shares repurchased under the ASR Agreement in the first quarter of 2023. The retirement resulted in a reduction of $101 million in Treasury Stock, less than $1 million in the par value of Common Stock, $6 million in Paid-in Capital and $95 million in Retained Earnings in the first quarter of 2023.</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upon final settlement of the ASR Agreement, we received an additional 1.3 million shares of our common stock from Goldman Sachs. The final number of shares received was based on the volume-weighted average price of our common stock during the term of the ASR Agreement, less a discount and subject to adjustments pursuant to the terms of the ASR Agreement. The average price paid per share pursuant to the ASR Agreement was $34.22. The delivery of shares resulted in an immediate reduction of the outstanding shares used to calculate the weighted-average common shares outstanding for basic and diluted net income (loss) per share. In connection with the final settlement of the ASR Agreement, the $25 million previously recorded in Paid-in Capital as of April 29, 2023 was reclassified to Treasury Stock in the second quarter of 2023. In May 2023, we immediately retired the additional 1.3 million shares repurchased in connection with the settlement of the ASR Agreement. The retirement resulted in a reduction of $25 million in Treasury Stock, less than $1 million in the par value of Common Stock, $2 million in Paid-in Capital and $23 million in Retained Earnings in the second quarter of 2023.</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29, 2023, we were authorized to repurchase up to $125 million of our common stock under the January 2023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March 2022 Share Repurchase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our Board of Directors approved the March 2022 Share Repurchase Program, providing for the repurchase of up to $250 million of our common stock. The $250 million authorization was utilized in fiscal year 2022 to repurchase shares in the open market, subject to market conditions and other factors.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the following shares of its common stock under the March 2022 Share Repurchase Program during year-to-date 2022:</w:t>
      </w:r>
    </w:p>
    <w:tbl>
      <w:tblPr>
        <w:tblW w:w="10205" w:type="dxa"/>
        <w:jc w:val="left"/>
        <w:tblInd w:w="0" w:type="dxa"/>
        <w:tblLayout w:type="fixed"/>
        <w:tblCellMar>
          <w:top w:w="28" w:type="dxa"/>
          <w:left w:w="28" w:type="dxa"/>
          <w:bottom w:w="28" w:type="dxa"/>
          <w:right w:w="28" w:type="dxa"/>
        </w:tblCellMar>
      </w:tblPr>
      <w:tblGrid>
        <w:gridCol w:w="1114"/>
        <w:gridCol w:w="978"/>
        <w:gridCol w:w="984"/>
        <w:gridCol w:w="395"/>
        <w:gridCol w:w="876"/>
        <w:gridCol w:w="206"/>
        <w:gridCol w:w="109"/>
        <w:gridCol w:w="109"/>
        <w:gridCol w:w="109"/>
        <w:gridCol w:w="500"/>
        <w:gridCol w:w="500"/>
        <w:gridCol w:w="502"/>
        <w:gridCol w:w="109"/>
        <w:gridCol w:w="109"/>
        <w:gridCol w:w="109"/>
        <w:gridCol w:w="429"/>
        <w:gridCol w:w="947"/>
        <w:gridCol w:w="221"/>
        <w:gridCol w:w="109"/>
        <w:gridCol w:w="109"/>
        <w:gridCol w:w="109"/>
        <w:gridCol w:w="336"/>
        <w:gridCol w:w="983"/>
        <w:gridCol w:w="253"/>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Stock Price</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2022 Share Repurchase Program</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$2 million of share repurchases reflected in Accounts Payable on the July 30, 2022 Consolidated Balance Sheet.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Board of Directors' resolution, shares of our common stock repurchased under the March 2022 Share Repurchase Program were retired upon repurchase and are available to meet obligations under equity compensation plans and for general corporate purposes. As a result, year-to-date 2022 we retired 3.8 million shares repurchased under the March 2022 Share Repurchase Program, which resulted in reductions of less than $1 million in the par value of Common Stock, $7 million in Paid-in Capital and $162 million in Retained Earnings.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December 2021 ASR Agreement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upon final settlement of our December 2021 ASR Agreement with Goldman Sachs, we received an additional 0.3 million shares of our common stock from Goldman Sachs. The delivery of shares resulted in an immediate reduction of the outstanding shares used to calculate the weighted-average common shares outstanding for basic and diluted net income per share. In connection with the settlement of the December 2021 ASR Agreement, $50 million previously recorded in Paid-in Capital as of January 29, 2022, was reclassified to Treasury Stock in the first quarter of 2022. In February 2022, we immediately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pStyle w:val="TextBody"/>
        <w:bidi w:val="0"/>
        <w:spacing w:lineRule="auto" w:line="288" w:before="120" w:after="100"/>
        <w:jc w:val="left"/>
        <w:rPr>
          <w:rFonts w:ascii="Times New Roman;sans-serif" w:hAnsi="Times New Roman;sans-serif"/>
          <w:b/>
          <w:color w:val="000000"/>
          <w:sz w:val="20"/>
        </w:rPr>
      </w:pPr>
      <w:r>
        <w:rPr>
          <w:rFonts w:ascii="Times New Roman;sans-serif" w:hAnsi="Times New Roman;sans-serif"/>
          <w:b/>
          <w:color w:val="000000"/>
          <w:sz w:val="20"/>
        </w:rPr>
        <w:t>Dividend Policy and Procedures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Long-term Debt and Borrowing Facilities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our outstanding debt balance, net of unamortized debt issuance costs and discounts, as of July 29, 2023, January 28, 2023 and July 30, 2022:</w:t>
      </w:r>
    </w:p>
    <w:tbl>
      <w:tblPr>
        <w:tblW w:w="9904" w:type="dxa"/>
        <w:jc w:val="left"/>
        <w:tblInd w:w="0" w:type="dxa"/>
        <w:tblLayout w:type="fixed"/>
        <w:tblCellMar>
          <w:top w:w="28" w:type="dxa"/>
          <w:left w:w="28" w:type="dxa"/>
          <w:bottom w:w="28" w:type="dxa"/>
          <w:right w:w="28" w:type="dxa"/>
        </w:tblCellMar>
      </w:tblPr>
      <w:tblGrid>
        <w:gridCol w:w="2339"/>
        <w:gridCol w:w="2059"/>
        <w:gridCol w:w="2066"/>
        <w:gridCol w:w="211"/>
        <w:gridCol w:w="631"/>
        <w:gridCol w:w="109"/>
        <w:gridCol w:w="109"/>
        <w:gridCol w:w="109"/>
        <w:gridCol w:w="109"/>
        <w:gridCol w:w="219"/>
        <w:gridCol w:w="657"/>
        <w:gridCol w:w="113"/>
        <w:gridCol w:w="109"/>
        <w:gridCol w:w="109"/>
        <w:gridCol w:w="109"/>
        <w:gridCol w:w="211"/>
        <w:gridCol w:w="481"/>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w:t>
              <w:br/>
              <w:t>2022</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Secured Debt with Subsidiary Guarantee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$393 million Term Loan due August 2028 (“Term Loan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Asset-based Revolving Credit Facility due August 2026 (“ABL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Secured Debt with Subsidiary Guarantee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Debt with Subsidiary Guarantee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million, 4.625% Fixed Interest Rate Notes due July 2029 (“2029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Debt with Subsidiary Guarantee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1,271</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was $44 million and $21 million for year-to-date 2023 and year-to-date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we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we are required to make quarterly principal payments on the Term Loan Facility in an amount equal to 0.25% of the original principal amount of $400 million. We made principal payments for the Term Loan Facility of $1 million during both the second quarter of 2023 and the second quarter of 2022 and $2 million during both year-to-date 2023 and year-to-date 2022.</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we amended our Term Loan Facility to allow for an early transition to using Term SOFR as the applicable reference rate to calculate interest instead of LIBOR. Prior to the amendment, interest under the Term Loan Facility was calculated by reference to the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ABL Facility and on a second-priority lien basis by priority collateral of the ABL Facility, subject to customary exceptions. As of July 29, 2023, the interest rate on the loans under the Term Loan Facility was 8.51%.</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 May 2023, we amended our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Year-to-date 2023, we borrowed $115 million and made payments of $115 million under the ABL Facility. As of July 29, 2023, there were borrowings of $295 million outstanding under the ABL Facility and the interest rate on the borrowings was 6.98%. We had $30 million of outstanding letters of credit as of July 29, 2023 that further reduced our availability under the ABL Facility. As of July 29, 2023, our remaining availability under the ABL Facility was $254 million. </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July 29, 2023, we were in compliance with all covenants under our long-term debt and borrowing facilities.</w:t>
      </w:r>
    </w:p>
    <w:p>
      <w:pPr>
        <w:pStyle w:val="TextBody"/>
        <w:bidi w:val="0"/>
        <w:spacing w:lineRule="auto" w:line="288" w:before="100" w:after="120"/>
        <w:jc w:val="left"/>
        <w:rPr/>
      </w:pPr>
      <w:r>
        <w:rPr>
          <w:rFonts w:ascii="Times New Roman;sans-serif" w:hAnsi="Times New Roman;sans-serif"/>
          <w:b w:val="false"/>
          <w:color w:val="000000"/>
          <w:sz w:val="20"/>
        </w:rPr>
        <w:t xml:space="preserve">We elected the optional expedient under Accounting Standards Update No. 2020-04,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in connection with amending our Term Loan Facility and ABL Facility agreements to replace the reference rate from LIBOR to Term SOFR to consider the amendments as a continuation of the existing contract without having to perform an assessment that would otherwise be required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Credit Ratings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our credit ratings as of July 29, 2023:</w:t>
      </w:r>
    </w:p>
    <w:tbl>
      <w:tblPr>
        <w:tblW w:w="5999" w:type="dxa"/>
        <w:jc w:val="left"/>
        <w:tblInd w:w="0" w:type="dxa"/>
        <w:tblLayout w:type="fixed"/>
        <w:tblCellMar>
          <w:top w:w="28" w:type="dxa"/>
          <w:left w:w="28" w:type="dxa"/>
          <w:bottom w:w="28" w:type="dxa"/>
          <w:right w:w="28" w:type="dxa"/>
        </w:tblCellMar>
      </w:tblPr>
      <w:tblGrid>
        <w:gridCol w:w="1506"/>
        <w:gridCol w:w="1326"/>
        <w:gridCol w:w="1338"/>
        <w:gridCol w:w="280"/>
        <w:gridCol w:w="280"/>
        <w:gridCol w:w="281"/>
        <w:gridCol w:w="109"/>
        <w:gridCol w:w="109"/>
        <w:gridCol w:w="109"/>
        <w:gridCol w:w="193"/>
        <w:gridCol w:w="193"/>
        <w:gridCol w:w="275"/>
      </w:tblGrid>
      <w:tr>
        <w:trPr/>
        <w:tc>
          <w:tcPr>
            <w:tcW w:w="150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S&amp;P</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Debt with Subsidiary Guarantee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Debt with Subsidiary Guarantee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Outlook</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Contingent Liabilities and Contractual Obligations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There have been no material changes in our contractual obligations since January 28, 2023, as discussed in “Contingent Liabilities and Contractual Obligations” in our 2022 Annual Report on Form 10-K filed with the SEC on March 17, 2023. Certain of our contractual obligations may fluctuate during the normal course of business (primarily changes in our merchandise inventory-related purchase obligations, which fluctuate throughout the year as a result of the seasonal nature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adopt any new accounting standards during the second quarter of 2023 that had a material impact on our results of operations, financial position or cash flows. In addition, there are no new accounting standards not yet adopted that are expected to have a material impact on our results of operations, financial position or cash flows.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critical accounting policies and estimates disclosed in our 2022 Annual Report on Form 10-K filed with the SEC on March 17,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Foreign Exchange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July 29, 2023, our investment portfolio is primarily comprised of bank deposits. Given the short-term nature and quality of investments in our portfolio, we do not believe there is any material risk to principal associated with increases or decreases in interest rates.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debt as of July 29, 2023 consists of the 2029 Notes, which have a fixed interest rate, the $393 million in outstanding borrowing under the Term Loan Facility, which has a variable interest rate based on Term SOFR, and the $295 million in outstanding borrowing under the ABL Facility, which has a variable interest rate based on Term SOFR. Our exposure to interest rate changes is limited to the fair value of the debt outstanding as well as the interest we pay on the Term Loan Facility and ABL Facility, which we believe would not have a material impact on our earnings or cash flows.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principal value and estimated fair value of our outstanding debt as of July 29, 2023, January 28, 2023 and July 30, 2022:</w:t>
      </w:r>
    </w:p>
    <w:tbl>
      <w:tblPr>
        <w:tblW w:w="5375" w:type="dxa"/>
        <w:jc w:val="left"/>
        <w:tblInd w:w="0" w:type="dxa"/>
        <w:tblLayout w:type="fixed"/>
        <w:tblCellMar>
          <w:top w:w="28" w:type="dxa"/>
          <w:left w:w="28" w:type="dxa"/>
          <w:bottom w:w="28" w:type="dxa"/>
          <w:right w:w="28" w:type="dxa"/>
        </w:tblCellMar>
      </w:tblPr>
      <w:tblGrid>
        <w:gridCol w:w="766"/>
        <w:gridCol w:w="671"/>
        <w:gridCol w:w="677"/>
        <w:gridCol w:w="211"/>
        <w:gridCol w:w="466"/>
        <w:gridCol w:w="109"/>
        <w:gridCol w:w="109"/>
        <w:gridCol w:w="109"/>
        <w:gridCol w:w="109"/>
        <w:gridCol w:w="266"/>
        <w:gridCol w:w="587"/>
        <w:gridCol w:w="137"/>
        <w:gridCol w:w="109"/>
        <w:gridCol w:w="109"/>
        <w:gridCol w:w="109"/>
        <w:gridCol w:w="211"/>
        <w:gridCol w:w="46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29,</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30,</w:t>
              <w:br/>
              <w:t>2022</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Estimated (a)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(a)The estimated fair value of our publicly traded debt is based on reported transaction prices which are considered Level 2 inputs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estimates presented are not necessarily indicative of the amounts that we could realize in a current market exchange.</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29, 2023, we believe that the carrying values of accounts receivable, accounts payable and accrued expenses approximate fair value because of their short maturity. We further believe the principal value of the outstanding debt under the ABL Facility approximates its fair value as of July 29, 2023 based on the terms of the borrowings from the ABL Facility.</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cash and cash equivalents with various major financial institutions. We monitor the relative credit standing of financial institutions with whom we transact and limit the amount of credit exposure with any one entity. As of July 29, 2023, our investment portfolio is primarily comprised of bank deposits. We also periodically review the relative credit standing of franchise, license and wholesale partners and other entities to which we grant credit terms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hanging="144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Evaluation of disclosure controls and procedures.</w:t>
      </w:r>
      <w:r>
        <w:rPr>
          <w:color w:val="000000"/>
        </w:rPr>
        <w:t xml:space="preserve"> </w:t>
      </w:r>
      <w:r>
        <w:rPr>
          <w:rFonts w:ascii="Times New Roman;sans-serif" w:hAnsi="Times New Roman;sans-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pStyle w:val="TextBody"/>
        <w:bidi w:val="0"/>
        <w:spacing w:lineRule="auto" w:line="288" w:before="100" w:after="283"/>
        <w:jc w:val="left"/>
        <w:rPr/>
      </w:pPr>
      <w:r>
        <w:rPr>
          <w:rFonts w:ascii="Times New Roman;sans-serif" w:hAnsi="Times New Roman;sans-serif"/>
          <w:b w:val="false"/>
          <w:i/>
          <w:color w:val="000000"/>
          <w:sz w:val="20"/>
        </w:rPr>
        <w:t xml:space="preserve">Changes in internal control over financial reporting. </w:t>
      </w:r>
      <w:r>
        <w:rPr>
          <w:rFonts w:ascii="Times New Roman;sans-serif" w:hAnsi="Times New Roman;sans-serif"/>
          <w:b w:val="false"/>
          <w:color w:val="000000"/>
          <w:sz w:val="20"/>
        </w:rPr>
        <w:t>We are integrating Adore Me into our internal controls over financial reporting beginning in fiscal year 2023. Other than the changes with regard to Adore Me, there were no changes in our internal control over financial reporting that occurred during the second quarter of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risk factors that affect our business and financial results are set forth under “Item 1A. Risk Factors” in our 2022 Annual Report on Form 10-K filed with the SEC on March 17, 2023. There have been no material changes to the risk factors from those described in the 2022 Annual Report on Form 10-K. We wish to caution the reader that the risk factors discussed in “Item 1A. Risk Factors” in our 2022 Annual Report on Form 10-K and those described in this report or other SEC filings could cause actual results to differ materially from those stated in any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our repurchases of shares of our common stock during the second quarter of 2023:</w:t>
      </w:r>
    </w:p>
    <w:tbl>
      <w:tblPr>
        <w:tblW w:w="10205" w:type="dxa"/>
        <w:jc w:val="left"/>
        <w:tblInd w:w="0" w:type="dxa"/>
        <w:tblLayout w:type="fixed"/>
        <w:tblCellMar>
          <w:top w:w="28" w:type="dxa"/>
          <w:left w:w="28" w:type="dxa"/>
          <w:bottom w:w="28" w:type="dxa"/>
          <w:right w:w="28" w:type="dxa"/>
        </w:tblCellMar>
      </w:tblPr>
      <w:tblGrid>
        <w:gridCol w:w="477"/>
        <w:gridCol w:w="419"/>
        <w:gridCol w:w="425"/>
        <w:gridCol w:w="370"/>
        <w:gridCol w:w="370"/>
        <w:gridCol w:w="338"/>
        <w:gridCol w:w="109"/>
        <w:gridCol w:w="109"/>
        <w:gridCol w:w="109"/>
        <w:gridCol w:w="323"/>
        <w:gridCol w:w="945"/>
        <w:gridCol w:w="168"/>
        <w:gridCol w:w="109"/>
        <w:gridCol w:w="109"/>
        <w:gridCol w:w="109"/>
        <w:gridCol w:w="782"/>
        <w:gridCol w:w="782"/>
        <w:gridCol w:w="784"/>
        <w:gridCol w:w="109"/>
        <w:gridCol w:w="109"/>
        <w:gridCol w:w="109"/>
        <w:gridCol w:w="536"/>
        <w:gridCol w:w="2104"/>
        <w:gridCol w:w="401"/>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Number of</w:t>
              <w:br/>
              <w:t>Shares</w:t>
              <w:br/>
              <w:t>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(or Approximate Dollar Value) that May Yet be Purchased Under the Plans or Programs (c)</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2023 - May 27, 2023 (“May 2023”)</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2023 - July 1, 2023 (“June 2023”)</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2, 2023 - July 29, 2023 (“July 2023”)</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total number of shares repurchased includes shares repurchased as part of publicly announced programs, with the remainder relating to shares repurchased in connection with tax withholding payments due upon vesting of employee restricted stock awards and the use of shares of our common stock to pay the exercise price on employee stock options.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(b)The amount purchased in May 2023 includes the delivery of 1.280 million shares pursuant to the ASR Agreement discussed in Note 5, “Earnings (Loss) Per Share and Shareholders' Equity” included in Item 1. Financial Statements. The average price paid per share, including any broker commissions, in May 2023 for shares not purchased pursuant to the ASR Agreement was $27.31. The average price paid per share pursuant to the ASR Agreement was $34.22, which was based on the volume-weighted average price of our common stock during the term of the ASR Agreement, less a discount and subject to adjustments pursuant to the terms of the ASR Agreement.</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(c)The January 2023 Share Repurchase Program, which was publicly announced on January 11, 2023, authorizes the purchase of up to $250 million of our common stock, subject to market conditions and other factors. The January 2023 Share Repurchase Program will continue until exhausted, but no later than the end of fiscal year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8"/>
        <w:gridCol w:w="271"/>
        <w:gridCol w:w="272"/>
        <w:gridCol w:w="109"/>
        <w:gridCol w:w="109"/>
        <w:gridCol w:w="109"/>
        <w:gridCol w:w="2641"/>
        <w:gridCol w:w="2641"/>
        <w:gridCol w:w="3745"/>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Victoria’s Secret &amp; Co. (incorporated by reference to Exhibit 3.1 to the Company’s Form 8-K filed on August 3, 2021).</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Victoria’s Secret &amp; Co. (incorporated by reference to Exhibit 3.2 to the Company’s Form 10-K filed on March 17, 2023).</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vsco-202372910q_ex101.htm">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First Lien Credit Agreement by and among Victoria’s Secret &amp; Co. and the Lenders named therein and JP Morgan Chase Bank, N.A., dated May 8, 2023.</w:t>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02372910q_ex102.htm">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Revolving Credit Agreement by and among Victoria’s Secret &amp; Co. and the Lenders named therein and JPMorgan Chase Bank, N.A., dated May 8, 2023.</w:t>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vsco-202372910q_ex311.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 of CEO.</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02372910q_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 of CFO.</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vsco-202372910q_ex32.htm">
              <w:r>
                <w:rPr>
                  <w:rStyle w:val="InternetLink"/>
                  <w:rFonts w:ascii="Times New Roman;sans-serif" w:hAnsi="Times New Roman;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 (by CEO and CFO).</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Previously filed.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Certain exhibits and schedules have been omitted pursuant to Item 601(a)(5) of Regulation S-K. The registrant hereby undertakes to furnish supplementally a copy of any omitted exhibit or schedule upon request by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9da704a62874fa99dd78260a321e337_10">
        <w:r>
          <w:rPr>
            <w:rStyle w:val="InternetLink"/>
          </w:rPr>
          <w:t>Table of Content</w:t>
        </w:r>
      </w:hyperlink>
      <w:hyperlink w:anchor="i99da704a62874fa99dd78260a321e337_10">
        <w:r>
          <w:rPr>
            <w:rStyle w:val="InternetLink"/>
          </w:rPr>
          <w: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lineRule="auto" w:line="288" w:before="100" w:after="283"/>
        <w:jc w:val="left"/>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r>
        <w:rPr>
          <w:color w:val="000000"/>
        </w:rPr>
        <w:t> </w:t>
      </w:r>
    </w:p>
    <w:tbl>
      <w:tblPr>
        <w:tblW w:w="5288" w:type="dxa"/>
        <w:jc w:val="left"/>
        <w:tblInd w:w="0" w:type="dxa"/>
        <w:tblLayout w:type="fixed"/>
        <w:tblCellMar>
          <w:top w:w="28" w:type="dxa"/>
          <w:left w:w="28" w:type="dxa"/>
          <w:bottom w:w="28" w:type="dxa"/>
          <w:right w:w="28" w:type="dxa"/>
        </w:tblCellMar>
      </w:tblPr>
      <w:tblGrid>
        <w:gridCol w:w="124"/>
        <w:gridCol w:w="109"/>
        <w:gridCol w:w="109"/>
        <w:gridCol w:w="394"/>
        <w:gridCol w:w="394"/>
        <w:gridCol w:w="394"/>
        <w:gridCol w:w="1099"/>
        <w:gridCol w:w="1099"/>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br/>
              <w:t>Chief Financial and Administrative Officer *</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September 1, 2023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Mr. Johnson is the principal financial officer and the principal accounting officer and has been duly authorized to sign on behalf of the Registrant.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AMENDMENT NO. 1 dated as of May 8, 2023 (this “</w:t>
      </w:r>
      <w:r>
        <w:rPr>
          <w:rFonts w:ascii="Times New Roman;sans-serif" w:hAnsi="Times New Roman;sans-serif"/>
          <w:b w:val="false"/>
          <w:color w:val="000000"/>
          <w:sz w:val="20"/>
          <w:u w:val="single"/>
        </w:rPr>
        <w:t>Amendment</w:t>
      </w:r>
      <w:r>
        <w:rPr>
          <w:color w:val="000000"/>
        </w:rPr>
        <w:t>”</w:t>
      </w:r>
      <w:r>
        <w:rPr>
          <w:rFonts w:ascii="Times New Roman;sans-serif" w:hAnsi="Times New Roman;sans-serif"/>
          <w:b w:val="false"/>
          <w:color w:val="000000"/>
          <w:sz w:val="20"/>
        </w:rPr>
        <w:t>), among VICTORIA’S SECRET &amp; CO., a Delaware corporation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and JPMORGAN CHASE BANK, N.A., as administrative agent (in such capacity, the “</w:t>
      </w:r>
      <w:r>
        <w:rPr>
          <w:rFonts w:ascii="Times New Roman;sans-serif" w:hAnsi="Times New Roman;sans-serif"/>
          <w:b w:val="false"/>
          <w:color w:val="000000"/>
          <w:sz w:val="20"/>
          <w:u w:val="single"/>
        </w:rPr>
        <w:t>Administrative Agent</w:t>
      </w:r>
      <w:r>
        <w:rPr>
          <w:color w:val="000000"/>
        </w:rPr>
        <w:t>”</w:t>
      </w:r>
      <w:r>
        <w:rPr>
          <w:rFonts w:ascii="Times New Roman;sans-serif" w:hAnsi="Times New Roman;sans-serif"/>
          <w:b w:val="false"/>
          <w:color w:val="000000"/>
          <w:sz w:val="20"/>
        </w:rPr>
        <w:t>), to the First Lien Credit Agreement dated as of August 2, 2021 (as amended, supplemented or otherwise modified from time to time prior to the date hereof, the “</w:t>
      </w:r>
      <w:r>
        <w:rPr>
          <w:rFonts w:ascii="Times New Roman;sans-serif" w:hAnsi="Times New Roman;sans-serif"/>
          <w:b w:val="false"/>
          <w:color w:val="000000"/>
          <w:sz w:val="20"/>
          <w:u w:val="single"/>
        </w:rPr>
        <w:t>Credit Agreement</w:t>
      </w:r>
      <w:r>
        <w:rPr>
          <w:color w:val="000000"/>
        </w:rPr>
        <w:t>”</w:t>
      </w:r>
      <w:r>
        <w:rPr>
          <w:rFonts w:ascii="Times New Roman;sans-serif" w:hAnsi="Times New Roman;sans-serif"/>
          <w:b w:val="false"/>
          <w:color w:val="000000"/>
          <w:sz w:val="20"/>
        </w:rPr>
        <w:t>; the Credit Agreement, as amended by this Amendment, the “</w:t>
      </w:r>
      <w:r>
        <w:rPr>
          <w:rFonts w:ascii="Times New Roman;sans-serif" w:hAnsi="Times New Roman;sans-serif"/>
          <w:b w:val="false"/>
          <w:color w:val="000000"/>
          <w:sz w:val="20"/>
          <w:u w:val="single"/>
        </w:rPr>
        <w:t>Amended Credit Agreement</w:t>
      </w:r>
      <w:r>
        <w:rPr>
          <w:color w:val="000000"/>
        </w:rPr>
        <w:t>”</w:t>
      </w:r>
      <w:r>
        <w:rPr>
          <w:rFonts w:ascii="Times New Roman;sans-serif" w:hAnsi="Times New Roman;sans-serif"/>
          <w:b w:val="false"/>
          <w:color w:val="000000"/>
          <w:sz w:val="20"/>
        </w:rPr>
        <w:t>), by and among the Company, the Lenders (as defined therein) from time to time party thereto and the Administrative Agent. Capitalized terms used but not defined herein shall have the meanings assigned to such terms in the Credit Agreement, except as otherwise expressly set forth herein.</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WHEREAS, Loans and/or other extensions of credit under the Credit Agreement incur or are permitted to incur interest, fees, commissions or other amounts based on the LIBO Rate (as defined in the Credit Agreement as in effect immediately prior to the Amendment Effective Date) in accordance with the terms of the Credit Agreement;</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WHEREAS, Section 2.14(b) of the Credit Agreement provides that on the Benchmark Replacement Date with respect to an Early Opt-in Election (as defined in the Credit Agreement as in effect immediately prior to the Amendment Effective Date), the Benchmark Replacement will replace such Benchmark for all purposes thereunder and under any other Loan Document; and</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WHEREAS, the Credit Agreement provides that the Benchmark Replacement Date with respect to an Early Opt-in Election (as defined in the Credit Agreement as in effect immediately prior to the Amendment Effective Date) occurs on the sixth (6</w:t>
      </w:r>
      <w:r>
        <w:rPr>
          <w:rFonts w:ascii="Times New Roman;sans-serif" w:hAnsi="Times New Roman;sans-serif"/>
          <w:b w:val="false"/>
          <w:color w:val="000000"/>
          <w:sz w:val="13"/>
        </w:rPr>
        <w:t>th</w:t>
      </w:r>
      <w:r>
        <w:rPr>
          <w:rFonts w:ascii="Times New Roman;sans-serif" w:hAnsi="Times New Roman;sans-serif"/>
          <w:b w:val="false"/>
          <w:color w:val="000000"/>
          <w:sz w:val="20"/>
        </w:rPr>
        <w:t>) Business Day after the date notice of an Early Opt-in Election (as defined in the Credit Agreement as in effect immediately prior to the Amendment Effective Date) is provided to the Lenders, so long as the Administrative Agent has not received, by 5:00 p.m. (New York City time) on the fifth (5</w:t>
      </w:r>
      <w:r>
        <w:rPr>
          <w:rFonts w:ascii="Times New Roman;sans-serif" w:hAnsi="Times New Roman;sans-serif"/>
          <w:b w:val="false"/>
          <w:color w:val="000000"/>
          <w:sz w:val="13"/>
        </w:rPr>
        <w:t>th</w:t>
      </w:r>
      <w:r>
        <w:rPr>
          <w:rFonts w:ascii="Times New Roman;sans-serif" w:hAnsi="Times New Roman;sans-serif"/>
          <w:b w:val="false"/>
          <w:color w:val="000000"/>
          <w:sz w:val="20"/>
        </w:rPr>
        <w:t>) Business Day after the date notice of such Early Opt-in Election (as defined in the Credit Agreement as in effect immediately prior to the Amendment Effective Date) is provided to the Lenders (such time, the “</w:t>
      </w:r>
      <w:r>
        <w:rPr>
          <w:rFonts w:ascii="Times New Roman;sans-serif" w:hAnsi="Times New Roman;sans-serif"/>
          <w:b w:val="false"/>
          <w:color w:val="000000"/>
          <w:sz w:val="20"/>
          <w:u w:val="single"/>
        </w:rPr>
        <w:t>Objection Deadline</w:t>
      </w:r>
      <w:r>
        <w:rPr>
          <w:color w:val="000000"/>
        </w:rPr>
        <w:t>”</w:t>
      </w:r>
      <w:r>
        <w:rPr>
          <w:rFonts w:ascii="Times New Roman;sans-serif" w:hAnsi="Times New Roman;sans-serif"/>
          <w:b w:val="false"/>
          <w:color w:val="000000"/>
          <w:sz w:val="20"/>
        </w:rPr>
        <w:t xml:space="preserve">), written notice of objection to such Early Opt-in Election (as defined in the Credit Agreement as in effect immediately prior to the Amendment Effective Date) from Lenders comprising the Required Lenders. </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SECTION a. </w:t>
      </w:r>
      <w:r>
        <w:rPr>
          <w:rFonts w:ascii="Times New Roman;sans-serif" w:hAnsi="Times New Roman;sans-serif"/>
          <w:b w:val="false"/>
          <w:color w:val="000000"/>
          <w:sz w:val="20"/>
          <w:u w:val="single"/>
        </w:rPr>
        <w:t>Rules of Interpretation</w:t>
      </w:r>
      <w:r>
        <w:rPr>
          <w:rFonts w:ascii="Times New Roman;sans-serif" w:hAnsi="Times New Roman;sans-serif"/>
          <w:b w:val="false"/>
          <w:color w:val="000000"/>
          <w:sz w:val="20"/>
        </w:rPr>
        <w:t xml:space="preserve">. The rules of interpretation set forth in Section 1.03 of the Credit Agreement are hereby incorporated by reference herein, </w:t>
      </w:r>
      <w:r>
        <w:rPr>
          <w:rFonts w:ascii="Times New Roman;sans-serif" w:hAnsi="Times New Roman;sans-serif"/>
          <w:b w:val="false"/>
          <w:color w:val="000000"/>
          <w:sz w:val="20"/>
          <w:u w:val="single"/>
        </w:rPr>
        <w:t>mutatis</w:t>
      </w:r>
      <w:r>
        <w:rPr>
          <w:color w:val="000000"/>
        </w:rPr>
        <w:t xml:space="preserve"> </w:t>
      </w:r>
      <w:r>
        <w:rPr>
          <w:rFonts w:ascii="Times New Roman;sans-serif" w:hAnsi="Times New Roman;sans-serif"/>
          <w:b w:val="false"/>
          <w:color w:val="000000"/>
          <w:sz w:val="20"/>
          <w:u w:val="single"/>
        </w:rPr>
        <w:t>mutandis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SECTION b. </w:t>
      </w:r>
      <w:r>
        <w:rPr>
          <w:rFonts w:ascii="Times New Roman;sans-serif" w:hAnsi="Times New Roman;sans-serif"/>
          <w:b w:val="false"/>
          <w:color w:val="000000"/>
          <w:sz w:val="20"/>
          <w:u w:val="single"/>
        </w:rPr>
        <w:t>Early Opt-in Election; Amendment</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151"/>
        <w:jc w:val="left"/>
        <w:rPr/>
      </w:pPr>
      <w:r>
        <w:rPr>
          <w:rFonts w:ascii="Times New Roman;sans-serif" w:hAnsi="Times New Roman;sans-serif"/>
          <w:b w:val="false"/>
          <w:color w:val="000000"/>
          <w:sz w:val="20"/>
        </w:rPr>
        <w:t xml:space="preserve">(i) Effective as of the Amendment Effective Date, each of the Credit Agreement, Exhibit B to the Credit Agreement and Exhibit D to the Credit Agreement are hereby amended to delete the stricken text (indicated textually in the same manner as the following example: </w:t>
      </w:r>
      <w:r>
        <w:rPr>
          <w:rFonts w:ascii="Times New Roman;sans-serif" w:hAnsi="Times New Roman;sans-serif"/>
          <w:b w:val="false"/>
          <w:strike/>
          <w:color w:val="FF0000"/>
          <w:sz w:val="20"/>
        </w:rPr>
        <w:t>stricken text</w:t>
      </w:r>
      <w:r>
        <w:rPr>
          <w:rFonts w:ascii="Times New Roman;sans-serif" w:hAnsi="Times New Roman;sans-serif"/>
          <w:b w:val="false"/>
          <w:color w:val="000000"/>
          <w:sz w:val="20"/>
        </w:rPr>
        <w:t xml:space="preserve">) and to add the bold-underlined text (indicated textually in the same manner as the following example: </w:t>
      </w:r>
      <w:r>
        <w:rPr>
          <w:rFonts w:ascii="Times New Roman;sans-serif" w:hAnsi="Times New Roman;sans-serif"/>
          <w:b/>
          <w:color w:val="0070C0"/>
          <w:sz w:val="20"/>
          <w:u w:val="single"/>
        </w:rPr>
        <w:t>bold underline</w:t>
      </w:r>
      <w:r>
        <w:rPr>
          <w:rFonts w:ascii="Times New Roman;sans-serif" w:hAnsi="Times New Roman;sans-serif"/>
          <w:b w:val="false"/>
          <w:color w:val="000000"/>
          <w:sz w:val="20"/>
        </w:rPr>
        <w:t>) as set forth in the pages attached as Exhibits A, B and D hereto.</w:t>
      </w:r>
    </w:p>
    <w:p>
      <w:pPr>
        <w:pStyle w:val="TextBody"/>
        <w:bidi w:val="0"/>
        <w:spacing w:lineRule="auto" w:line="240" w:before="0" w:after="240"/>
        <w:ind w:left="0" w:right="0" w:firstLine="1096"/>
        <w:jc w:val="left"/>
        <w:rPr/>
      </w:pPr>
      <w:r>
        <w:rPr>
          <w:rFonts w:ascii="Times New Roman;sans-serif" w:hAnsi="Times New Roman;sans-serif"/>
          <w:b w:val="false"/>
          <w:color w:val="000000"/>
          <w:sz w:val="20"/>
        </w:rPr>
        <w:t>(ii) Notwithstanding anything to the contrary contained in the Credit Agreement as amended hereby, (i) each LIBO Rate Loan (as defined in the Credit Agreement as in effect immediately prior to the Amendment Effective Date) outstanding on the Amendment Effective Date (each, an “</w:t>
      </w:r>
      <w:r>
        <w:rPr>
          <w:rFonts w:ascii="Times New Roman;sans-serif" w:hAnsi="Times New Roman;sans-serif"/>
          <w:b w:val="false"/>
          <w:color w:val="000000"/>
          <w:sz w:val="20"/>
          <w:u w:val="single"/>
        </w:rPr>
        <w:t>Existing LIBO Rate Loan</w:t>
      </w:r>
      <w:r>
        <w:rPr>
          <w:color w:val="000000"/>
        </w:rPr>
        <w:t>”</w:t>
      </w:r>
      <w:r>
        <w:rPr>
          <w:rFonts w:ascii="Times New Roman;sans-serif" w:hAnsi="Times New Roman;sans-serif"/>
          <w:b w:val="false"/>
          <w:color w:val="000000"/>
          <w:sz w:val="20"/>
        </w:rPr>
        <w:t>) shall remain outstanding as such until the expiration of the Interest Period (as defined in the Credit Agreement as in effect immediately prior to the Amendment Effective Date) applicable to such Existing LIBO Rate Loan, in accordance with, and subject to all of the terms and conditions of, the Credit Agreement as in effect immediately prior to the Amendment Effective Date and (ii) interest on each such Existing LIBO Rate Loan shall continue to accrue to, and shall be payable on, each Interest Payment Date applicable thereto until the Interest Period for such Existing LIBO Rate Loan ends, in each case in accordance with Section 2.13 of the Credit Agreement as in effect immediately prior to the Amendment Effective Date. From and after the Amendment Effective Date, (x) the Company shall not be permitted to request that any Lender fund, and no Lender shall fund, any LIBO Rate Loan, (y) no Existing LIBO Rate Loan may be continued as a LIBO Rate Loan and (z) each Existing LIBO Rate Loan may be converted to a Term SOFR Loan or an ABR Loan in accordance with the Credit Agreement as amended 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SECTION c. </w:t>
      </w:r>
      <w:r>
        <w:rPr>
          <w:rFonts w:ascii="Times New Roman;sans-serif" w:hAnsi="Times New Roman;sans-serif"/>
          <w:b w:val="false"/>
          <w:color w:val="000000"/>
          <w:sz w:val="20"/>
          <w:u w:val="single"/>
        </w:rPr>
        <w:t>Representations and Warranties</w:t>
      </w:r>
      <w:r>
        <w:rPr>
          <w:rFonts w:ascii="Times New Roman;sans-serif" w:hAnsi="Times New Roman;sans-serif"/>
          <w:b w:val="false"/>
          <w:color w:val="000000"/>
          <w:sz w:val="20"/>
        </w:rPr>
        <w:t>. The Company hereby represents and warrants to the Administrative Agent that:</w:t>
      </w:r>
    </w:p>
    <w:p>
      <w:pPr>
        <w:pStyle w:val="TextBody"/>
        <w:bidi w:val="0"/>
        <w:spacing w:lineRule="auto" w:line="240" w:before="0" w:after="240"/>
        <w:ind w:left="0" w:right="0" w:firstLine="1151"/>
        <w:jc w:val="left"/>
        <w:rPr>
          <w:rFonts w:ascii="Times New Roman;sans-serif" w:hAnsi="Times New Roman;sans-serif"/>
          <w:b w:val="false"/>
          <w:color w:val="000000"/>
          <w:sz w:val="20"/>
        </w:rPr>
      </w:pPr>
      <w:r>
        <w:rPr>
          <w:rFonts w:ascii="Times New Roman;sans-serif" w:hAnsi="Times New Roman;sans-serif"/>
          <w:b w:val="false"/>
          <w:color w:val="000000"/>
          <w:sz w:val="20"/>
        </w:rPr>
        <w:t>(i) This Amendment has been duly authorized, executed and delivered by it and constitutes a legal, valid and binding obligation of the Company, enforceable against the Company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40" w:before="0" w:after="240"/>
        <w:ind w:left="0" w:right="0" w:firstLine="1096"/>
        <w:jc w:val="left"/>
        <w:rPr>
          <w:rFonts w:ascii="Times New Roman;sans-serif" w:hAnsi="Times New Roman;sans-serif"/>
          <w:b w:val="false"/>
          <w:color w:val="000000"/>
          <w:sz w:val="20"/>
        </w:rPr>
      </w:pPr>
      <w:r>
        <w:rPr>
          <w:rFonts w:ascii="Times New Roman;sans-serif" w:hAnsi="Times New Roman;sans-serif"/>
          <w:b w:val="false"/>
          <w:color w:val="000000"/>
          <w:sz w:val="20"/>
        </w:rPr>
        <w:t>(ii) At the time of and immediately after giving effect to this Amendment, no Default has occurred and is continuing.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SECTION d. </w:t>
      </w:r>
      <w:r>
        <w:rPr>
          <w:rFonts w:ascii="Times New Roman;sans-serif" w:hAnsi="Times New Roman;sans-serif"/>
          <w:b w:val="false"/>
          <w:color w:val="000000"/>
          <w:sz w:val="20"/>
          <w:u w:val="single"/>
        </w:rPr>
        <w:t>Effectiveness</w:t>
      </w:r>
      <w:r>
        <w:rPr>
          <w:rFonts w:ascii="Times New Roman;sans-serif" w:hAnsi="Times New Roman;sans-serif"/>
          <w:b w:val="false"/>
          <w:color w:val="000000"/>
          <w:sz w:val="20"/>
        </w:rPr>
        <w:t>. The effectiveness of this Amendment is subject to satisfaction of each of the following conditions (the date of satisfaction of all such conditions, the “</w:t>
      </w:r>
      <w:r>
        <w:rPr>
          <w:rFonts w:ascii="Times New Roman;sans-serif" w:hAnsi="Times New Roman;sans-serif"/>
          <w:b w:val="false"/>
          <w:color w:val="000000"/>
          <w:sz w:val="20"/>
          <w:u w:val="single"/>
        </w:rPr>
        <w:t>Amendment Effective Date</w:t>
      </w:r>
      <w:r>
        <w:rPr>
          <w:color w:val="000000"/>
        </w:rPr>
        <w:t>”</w:t>
      </w:r>
      <w:r>
        <w:rPr>
          <w:rFonts w:ascii="Times New Roman;sans-serif" w:hAnsi="Times New Roman;sans-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151"/>
        <w:jc w:val="both"/>
        <w:rPr>
          <w:rFonts w:ascii="Times New Roman;sans-serif" w:hAnsi="Times New Roman;sans-serif"/>
          <w:b w:val="false"/>
          <w:color w:val="000000"/>
          <w:sz w:val="20"/>
        </w:rPr>
      </w:pPr>
      <w:r>
        <w:rPr>
          <w:rFonts w:ascii="Times New Roman;sans-serif" w:hAnsi="Times New Roman;sans-serif"/>
          <w:b w:val="false"/>
          <w:color w:val="000000"/>
          <w:sz w:val="20"/>
        </w:rPr>
        <w:t>(i) The Administrative Agent (or its counsel) shall have received from the Company either (i) a counterpart of this Amendment signed on behalf of the Company or (ii) written evidence reasonably satisfactory to the Administrative Agent (which may include delivery of a signed signature page of this Amendment by facsimile or other means of electronic transmission (e.g., “pdf”)) that the Company has signed a counterpart of this Amendment.</w:t>
      </w:r>
    </w:p>
    <w:p>
      <w:pPr>
        <w:pStyle w:val="TextBody"/>
        <w:bidi w:val="0"/>
        <w:spacing w:lineRule="auto" w:line="240" w:before="0" w:after="240"/>
        <w:ind w:left="0" w:right="0" w:firstLine="1096"/>
        <w:jc w:val="both"/>
        <w:rPr>
          <w:rFonts w:ascii="Times New Roman;sans-serif" w:hAnsi="Times New Roman;sans-serif"/>
          <w:b w:val="false"/>
          <w:color w:val="000000"/>
          <w:sz w:val="20"/>
        </w:rPr>
      </w:pPr>
      <w:r>
        <w:rPr>
          <w:rFonts w:ascii="Times New Roman;sans-serif" w:hAnsi="Times New Roman;sans-serif"/>
          <w:b w:val="false"/>
          <w:color w:val="000000"/>
          <w:sz w:val="20"/>
        </w:rPr>
        <w:t>(ii) The Administrative Agent has not received, by the Objection Deadline, written notice of objection to the amendments to the Credit Agreement as provided herein from the Lenders comprising the Required Lenders.</w:t>
      </w:r>
    </w:p>
    <w:p>
      <w:pPr>
        <w:pStyle w:val="TextBody"/>
        <w:bidi w:val="0"/>
        <w:spacing w:lineRule="auto" w:line="240" w:before="0" w:after="240"/>
        <w:ind w:left="0" w:right="0" w:firstLine="1041"/>
        <w:jc w:val="both"/>
        <w:rPr/>
      </w:pPr>
      <w:r>
        <w:rPr>
          <w:rFonts w:ascii="Times New Roman;sans-serif" w:hAnsi="Times New Roman;sans-serif"/>
          <w:b w:val="false"/>
          <w:color w:val="000000"/>
          <w:sz w:val="20"/>
        </w:rPr>
        <w:t xml:space="preserve">(iii) The Administrative Agent shall have received payment of all expenses required to be paid or reimbursed by the Company under or in connection with this Amendment, including those fees and expenses set forth in Section 8 hereof; </w:t>
      </w:r>
      <w:r>
        <w:rPr>
          <w:rFonts w:ascii="Times New Roman;sans-serif" w:hAnsi="Times New Roman;sans-serif"/>
          <w:b w:val="false"/>
          <w:color w:val="000000"/>
          <w:sz w:val="20"/>
          <w:u w:val="single"/>
        </w:rPr>
        <w:t>provided that</w:t>
      </w:r>
      <w:r>
        <w:rPr>
          <w:rFonts w:ascii="Times New Roman;sans-serif" w:hAnsi="Times New Roman;sans-serif"/>
          <w:b w:val="false"/>
          <w:color w:val="000000"/>
          <w:sz w:val="20"/>
        </w:rPr>
        <w:t>, the Company shall have received invoices for all expenses described herein no later than three (3) Business Days prior to the Amendment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SECTION e. </w:t>
      </w:r>
      <w:r>
        <w:rPr>
          <w:rFonts w:ascii="Times New Roman;sans-serif" w:hAnsi="Times New Roman;sans-serif"/>
          <w:b w:val="false"/>
          <w:color w:val="000000"/>
          <w:sz w:val="20"/>
          <w:u w:val="single"/>
        </w:rPr>
        <w:t>Credit Agreement</w:t>
      </w:r>
      <w:r>
        <w:rPr>
          <w:rFonts w:ascii="Times New Roman;sans-serif" w:hAnsi="Times New Roman;sans-serif"/>
          <w:b w:val="false"/>
          <w:color w:val="000000"/>
          <w:sz w:val="20"/>
        </w:rPr>
        <w:t>. Except as expressly set forth herein, this Amendment (a) shall not by implication or otherwise limit, impair, constitute a waiver of or otherwise affect the rights and remedies of the Lenders, the Administrative Agent, the Company or any other Loan Party under the Credit Agreement or any other Loan Document and (b)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the Company or any other Loan Party to any future consent to, or waiver, amendment, modification or other change of, any of the terms, conditions, obligations, covenants or agreements contained in the Amended Credit Agreement or any other Loan Document in similar or different circumstances. After the date hereof, any reference in the Loan Documents to the Credit Agreement shall mean the Amended Credit Agreement. This Amendment shall constitute a “Loan Document” for all purposes of the Amended Credit Agreement and the other Loan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SECTION f. </w:t>
      </w:r>
      <w:r>
        <w:rPr>
          <w:rFonts w:ascii="Times New Roman;sans-serif" w:hAnsi="Times New Roman;sans-serif"/>
          <w:b w:val="false"/>
          <w:color w:val="000000"/>
          <w:sz w:val="20"/>
          <w:u w:val="single"/>
        </w:rPr>
        <w:t>Applicable Law; Waiver of Jury Trial</w:t>
      </w:r>
      <w:r>
        <w:rPr>
          <w:rFonts w:ascii="Times New Roman;sans-serif" w:hAnsi="Times New Roman;sans-serif"/>
          <w:b w:val="false"/>
          <w:color w:val="000000"/>
          <w:sz w:val="20"/>
        </w:rPr>
        <w:t xml:space="preserve">. (a) </w:t>
      </w:r>
      <w:r>
        <w:rPr>
          <w:rFonts w:ascii="Times New Roman;sans-serif" w:hAnsi="Times New Roman;sans-serif"/>
          <w:b/>
          <w:color w:val="000000"/>
          <w:sz w:val="20"/>
        </w:rPr>
        <w:t>THIS AMENDMENT AND ANY CLAIM, CONTROVERSY OR DISPUTE ARISING UNDER OR RELATED TO THIS AMENDMENT WHETHER IN TORT, CONTRACT (AT LAW OR IN EQUITY) OR OTHERWISE, SHALL BE GOVERNED BY, AND CONSTRUED AND INTERPRETED IN ACCORDANCE WITH, THE LAWS OF THE STATE OF NEW YORK</w:t>
      </w:r>
    </w:p>
    <w:p>
      <w:pPr>
        <w:pStyle w:val="TextBody"/>
        <w:bidi w:val="0"/>
        <w:spacing w:lineRule="auto" w:line="240" w:before="0" w:after="240"/>
        <w:ind w:left="0" w:right="0" w:firstLine="1151"/>
        <w:jc w:val="both"/>
        <w:rPr/>
      </w:pPr>
      <w:r>
        <w:rPr>
          <w:rFonts w:ascii="Times New Roman;sans-serif" w:hAnsi="Times New Roman;sans-serif"/>
          <w:b w:val="false"/>
          <w:color w:val="000000"/>
          <w:sz w:val="20"/>
        </w:rPr>
        <w:t xml:space="preserve">(i) </w:t>
      </w:r>
      <w:r>
        <w:rPr>
          <w:rFonts w:ascii="Times New Roman;sans-serif" w:hAnsi="Times New Roman;sans-serif"/>
          <w:b/>
          <w:color w:val="000000"/>
          <w:sz w:val="20"/>
        </w:rPr>
        <w:t xml:space="preserve">EACH PARTY HERETO HEREBY AGREES AS SET FORTH IN SECTIONS 9.10(b), 9.10(c), 9.10(d) AND 9.11 OF THE CREDIT AGREEMENT AS IF SUCH SECTIONS WERE SET FORTH IN FULL HEREIN </w:t>
      </w:r>
      <w:r>
        <w:rPr>
          <w:rFonts w:ascii="Times New Roman;sans-serif" w:hAnsi="Times New Roman;sans-serif"/>
          <w:b/>
          <w:color w:val="000000"/>
          <w:sz w:val="20"/>
          <w:u w:val="single"/>
        </w:rPr>
        <w:t>MUTATIS MUTANDIS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SECTION g. </w:t>
      </w:r>
      <w:r>
        <w:rPr>
          <w:rFonts w:ascii="Times New Roman;sans-serif" w:hAnsi="Times New Roman;sans-serif"/>
          <w:b w:val="false"/>
          <w:color w:val="000000"/>
          <w:sz w:val="20"/>
          <w:u w:val="single"/>
        </w:rPr>
        <w:t>Counterparts; Amendment</w:t>
      </w:r>
      <w:r>
        <w:rPr>
          <w:rFonts w:ascii="Times New Roman;sans-serif" w:hAnsi="Times New Roman;sans-serif"/>
          <w:b w:val="false"/>
          <w:color w:val="000000"/>
          <w:sz w:val="20"/>
        </w:rPr>
        <w:t>. This Agreement may be executed in counterparts, each of which when so executed shall be deemed to be an original and all of which when taken together shall constitute one and the same instrument. Any signature to this Amendment and any other Loan Document and/or the transactions contemplated hereby and/or thereby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As used herein, “</w:t>
      </w:r>
      <w:r>
        <w:rPr>
          <w:rFonts w:ascii="Times New Roman;sans-serif" w:hAnsi="Times New Roman;sans-serif"/>
          <w:b w:val="false"/>
          <w:color w:val="000000"/>
          <w:sz w:val="20"/>
          <w:u w:val="single"/>
        </w:rPr>
        <w:t>Electronic Signatures</w:t>
      </w:r>
      <w:r>
        <w:rPr>
          <w:color w:val="000000"/>
        </w:rPr>
        <w:t xml:space="preserve">” </w:t>
      </w:r>
      <w:r>
        <w:rPr>
          <w:rFonts w:ascii="Times New Roman;sans-serif" w:hAnsi="Times New Roman;sans-serif"/>
          <w:b w:val="false"/>
          <w:color w:val="000000"/>
          <w:sz w:val="20"/>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SECTION h. </w:t>
      </w:r>
      <w:r>
        <w:rPr>
          <w:rFonts w:ascii="Times New Roman;sans-serif" w:hAnsi="Times New Roman;sans-serif"/>
          <w:b w:val="false"/>
          <w:color w:val="000000"/>
          <w:sz w:val="20"/>
          <w:u w:val="single"/>
        </w:rPr>
        <w:t>Expenses</w:t>
      </w:r>
      <w:r>
        <w:rPr>
          <w:rFonts w:ascii="Times New Roman;sans-serif" w:hAnsi="Times New Roman;sans-serif"/>
          <w:b w:val="false"/>
          <w:color w:val="000000"/>
          <w:sz w:val="20"/>
        </w:rPr>
        <w:t>. The Company agrees to reimburse the Administrative Agent for its reasonable out-of-pocket expenses in connection with this Amendment to the extent required under Section 9.03(a) of the Credit Agreement.</w:t>
      </w:r>
    </w:p>
    <w:p>
      <w:pPr>
        <w:pStyle w:val="TextBody"/>
        <w:bidi w:val="0"/>
        <w:spacing w:lineRule="auto" w:line="240" w:before="0" w:after="0"/>
        <w:ind w:left="0" w:right="0" w:firstLine="1440"/>
        <w:jc w:val="both"/>
        <w:rPr/>
      </w:pPr>
      <w:r>
        <w:rPr>
          <w:rFonts w:ascii="Times New Roman;sans-serif" w:hAnsi="Times New Roman;sans-serif"/>
          <w:b w:val="false"/>
          <w:color w:val="000000"/>
          <w:sz w:val="20"/>
        </w:rPr>
        <w:t xml:space="preserve">SECTION i. </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 The Section headings used herein are for convenience of reference only, are not part of this Amendment and are not to affect the construction of, or to be taken into consideration in interpreting, this Amendment.</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25780"/>
                <wp:effectExtent l="0" t="0" r="0" b="0"/>
                <wp:wrapNone/>
                <wp:docPr id="40" name="Frame4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Amendment to be duly executed by their respective authorized officers as of the day and year first written above.</w:t>
      </w:r>
    </w:p>
    <w:p>
      <w:pPr>
        <w:pStyle w:val="TextBody"/>
        <w:bidi w:val="0"/>
        <w:spacing w:before="0" w:after="0"/>
        <w:jc w:val="both"/>
        <w:rPr/>
      </w:pPr>
      <w:r>
        <w:rPr/>
      </w:r>
    </w:p>
    <w:tbl>
      <w:tblPr>
        <w:tblW w:w="4368" w:type="dxa"/>
        <w:jc w:val="right"/>
        <w:tblInd w:w="0" w:type="dxa"/>
        <w:tblLayout w:type="fixed"/>
        <w:tblCellMar>
          <w:top w:w="28" w:type="dxa"/>
          <w:left w:w="28" w:type="dxa"/>
          <w:bottom w:w="28" w:type="dxa"/>
          <w:right w:w="28" w:type="dxa"/>
        </w:tblCellMar>
      </w:tblPr>
      <w:tblGrid>
        <w:gridCol w:w="447"/>
        <w:gridCol w:w="393"/>
        <w:gridCol w:w="393"/>
        <w:gridCol w:w="916"/>
        <w:gridCol w:w="916"/>
        <w:gridCol w:w="1303"/>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43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w:t>
            </w:r>
          </w:p>
        </w:tc>
      </w:tr>
      <w:tr>
        <w:trPr/>
        <w:tc>
          <w:tcPr>
            <w:tcW w:w="4368"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r>
      <w:tr>
        <w:trPr/>
        <w:tc>
          <w:tcPr>
            <w:tcW w:w="1233"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Todd S. Helvie</w:t>
            </w:r>
          </w:p>
        </w:tc>
      </w:tr>
      <w:tr>
        <w:trPr/>
        <w:tc>
          <w:tcPr>
            <w:tcW w:w="1233"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1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Todd S. Helvie</w:t>
            </w:r>
          </w:p>
        </w:tc>
      </w:tr>
      <w:tr>
        <w:trPr/>
        <w:tc>
          <w:tcPr>
            <w:tcW w:w="1233"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Treasury</w:t>
            </w:r>
          </w:p>
        </w:tc>
      </w:tr>
    </w:tbl>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 the First Lien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 the First Lien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4964" w:type="dxa"/>
        <w:jc w:val="right"/>
        <w:tblInd w:w="0" w:type="dxa"/>
        <w:tblLayout w:type="fixed"/>
        <w:tblCellMar>
          <w:top w:w="28" w:type="dxa"/>
          <w:left w:w="28" w:type="dxa"/>
          <w:bottom w:w="28" w:type="dxa"/>
          <w:right w:w="28" w:type="dxa"/>
        </w:tblCellMar>
      </w:tblPr>
      <w:tblGrid>
        <w:gridCol w:w="859"/>
        <w:gridCol w:w="755"/>
        <w:gridCol w:w="755"/>
        <w:gridCol w:w="755"/>
        <w:gridCol w:w="755"/>
        <w:gridCol w:w="1085"/>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4964"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 as Administrative Agent</w:t>
            </w:r>
          </w:p>
        </w:tc>
      </w:tr>
      <w:tr>
        <w:trPr/>
        <w:tc>
          <w:tcPr>
            <w:tcW w:w="4964"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r>
      <w:tr>
        <w:trPr/>
        <w:tc>
          <w:tcPr>
            <w:tcW w:w="236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Sean Bodkin</w:t>
            </w:r>
          </w:p>
        </w:tc>
      </w:tr>
      <w:tr>
        <w:trPr/>
        <w:tc>
          <w:tcPr>
            <w:tcW w:w="236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Sean Bodkin</w:t>
            </w:r>
          </w:p>
        </w:tc>
      </w:tr>
      <w:tr>
        <w:trPr/>
        <w:tc>
          <w:tcPr>
            <w:tcW w:w="236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Executive Director</w:t>
            </w:r>
          </w:p>
        </w:tc>
      </w:tr>
      <w:tr>
        <w:trPr/>
        <w:tc>
          <w:tcPr>
            <w:tcW w:w="236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595" w:type="dxa"/>
            <w:gridSpan w:val="3"/>
            <w:tcBorders/>
            <w:tcMar>
              <w:top w:w="0" w:type="dxa"/>
              <w:left w:w="0" w:type="dxa"/>
              <w:bottom w:w="0" w:type="dxa"/>
              <w:right w:w="0" w:type="dxa"/>
            </w:tcMar>
            <w:vAlign w:val="center"/>
          </w:tcPr>
          <w:p>
            <w:pPr>
              <w:pStyle w:val="TableContents"/>
              <w:bidi w:val="0"/>
              <w:spacing w:before="0" w:after="0"/>
              <w:ind w:left="0" w:right="0" w:hanging="720"/>
              <w:jc w:val="both"/>
              <w:rPr/>
            </w:pPr>
            <w:r>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 the First Lien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 the First Lien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689" w:type="dxa"/>
        <w:jc w:val="left"/>
        <w:tblInd w:w="0" w:type="dxa"/>
        <w:tblLayout w:type="fixed"/>
        <w:tblCellMar>
          <w:top w:w="28" w:type="dxa"/>
          <w:left w:w="28" w:type="dxa"/>
          <w:bottom w:w="28" w:type="dxa"/>
          <w:right w:w="28" w:type="dxa"/>
        </w:tblCellMar>
      </w:tblPr>
      <w:tblGrid>
        <w:gridCol w:w="1180"/>
        <w:gridCol w:w="1037"/>
        <w:gridCol w:w="1472"/>
      </w:tblGrid>
      <w:tr>
        <w:trPr/>
        <w:tc>
          <w:tcPr>
            <w:tcW w:w="11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bottom w:val="double" w:sz="5" w:space="0" w:color="000000"/>
            </w:tcBorders>
            <w:tcMar>
              <w:top w:w="0" w:type="dxa"/>
              <w:left w:w="0" w:type="dxa"/>
              <w:bottom w:w="3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FF0000"/>
                <w:sz w:val="22"/>
              </w:rPr>
              <w:t>EXECUTION VERSION</w:t>
            </w:r>
            <w:r>
              <w:rPr>
                <w:rFonts w:ascii="Times New Roman;sans-serif" w:hAnsi="Times New Roman;sans-serif"/>
                <w:b/>
                <w:color w:val="0000FF"/>
                <w:sz w:val="22"/>
                <w:u w:val="single"/>
              </w:rPr>
              <w:t>EXHIBIT A</w:t>
            </w:r>
          </w:p>
        </w:tc>
      </w:tr>
    </w:tbl>
    <w:p>
      <w:pPr>
        <w:pStyle w:val="TextBody"/>
        <w:bidi w:val="0"/>
        <w:spacing w:lineRule="auto" w:line="240" w:before="0" w:after="240"/>
        <w:ind w:left="0" w:right="0" w:hanging="720"/>
        <w:jc w:val="center"/>
        <w:rPr>
          <w:rFonts w:ascii="Times New Roman;sans-serif" w:hAnsi="Times New Roman;sans-serif"/>
          <w:b w:val="false"/>
          <w:color w:val="000000"/>
          <w:sz w:val="22"/>
        </w:rPr>
      </w:pPr>
      <w:r>
        <w:rPr>
          <w:rFonts w:ascii="Times New Roman;sans-serif" w:hAnsi="Times New Roman;sans-serif"/>
          <w:b w:val="false"/>
          <w:color w:val="000000"/>
          <w:sz w:val="22"/>
        </w:rPr>
        <w:t>FIRST LIEN CREDIT AGREEMENT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August 2, 2021</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VICTORIA’S SECRET &amp; CO.,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the Company,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THE FINANCIAL INSTITUTIONS PARTY HERETO, </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Lenders,</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JPMORGAN CHASE BANK, N.A., </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JPMORGAN CHASE BANK, N.A., GOLDMAN SACHS BANK USA, BANK OF AMERICA, N.A., CITIBANK, N.A., HSBC SECURITIES (USA) INC., WELLS FARGO SECURITIES, LLC and BARCLAYS BANK PLC,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Joint Lead Arrangers and Joint Bookrunners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GOLDMAN SACHS BANK USA, BANK OF AMERICA, N.A., CITIBANK, N.A., HSBC BANK USA, N.A., WELLS FARGO SECURITIES, LLC and BARCLAYS BANK PLC,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Co-Syndication Agents</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and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KEYBANK NATIONAL ASSOCIATION, MIZUHO BANK, LTD., THE HUNTINGTON NATIONAL BANK, U.S. BANK NATIONAL ASSOCIATION and MUFG UNION BANK, N.A.,</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Co-Documentation Agents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8170"/>
                <wp:effectExtent l="0" t="0" r="0" b="0"/>
                <wp:wrapNone/>
                <wp:docPr id="43" name="Frame43"/>
                <a:graphic xmlns:a="http://schemas.openxmlformats.org/drawingml/2006/main">
                  <a:graphicData uri="http://schemas.microsoft.com/office/word/2010/wordprocessingShape">
                    <wps:wsp>
                      <wps:cNvSpPr txBox="1"/>
                      <wps:spPr>
                        <a:xfrm>
                          <a:off x="0" y="0"/>
                          <a:ext cx="6480175" cy="5981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p>
      <w:pPr>
        <w:pStyle w:val="TextBody"/>
        <w:bidi w:val="0"/>
        <w:spacing w:before="0" w:after="0"/>
        <w:jc w:val="both"/>
        <w:rPr/>
      </w:pPr>
      <w:r>
        <w:rPr/>
      </w:r>
    </w:p>
    <w:p>
      <w:pPr>
        <w:pStyle w:val="TextBody"/>
        <w:bidi w:val="0"/>
        <w:spacing w:lineRule="auto" w:line="240" w:before="0" w:after="12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p>
      <w:pPr>
        <w:pStyle w:val="TextBody"/>
        <w:bidi w:val="0"/>
        <w:spacing w:lineRule="auto" w:line="240" w:before="240" w:after="120"/>
        <w:ind w:left="0" w:right="0" w:hanging="1440"/>
        <w:jc w:val="left"/>
        <w:rPr>
          <w:rFonts w:ascii="Times New Roman;sans-serif" w:hAnsi="Times New Roman;sans-serif"/>
          <w:b w:val="false"/>
          <w:color w:val="000000"/>
          <w:sz w:val="22"/>
        </w:rPr>
      </w:pPr>
      <w:r>
        <w:rPr>
          <w:rFonts w:ascii="Times New Roman;sans-serif" w:hAnsi="Times New Roman;sans-serif"/>
          <w:b w:val="false"/>
          <w:color w:val="000000"/>
          <w:sz w:val="22"/>
        </w:rPr>
        <w:t>ARTICLE 1    DEFINITIONS    1</w:t>
      </w:r>
    </w:p>
    <w:p>
      <w:pPr>
        <w:pStyle w:val="TextBody"/>
        <w:bidi w:val="0"/>
        <w:spacing w:lineRule="auto" w:line="240" w:before="0" w:after="0"/>
        <w:ind w:left="0" w:right="0" w:hanging="1728"/>
        <w:jc w:val="left"/>
        <w:rPr>
          <w:rFonts w:ascii="Times New Roman;sans-serif" w:hAnsi="Times New Roman;sans-serif"/>
          <w:b w:val="false"/>
          <w:color w:val="000000"/>
          <w:sz w:val="22"/>
        </w:rPr>
      </w:pPr>
      <w:r>
        <w:rPr>
          <w:rFonts w:ascii="Times New Roman;sans-serif" w:hAnsi="Times New Roman;sans-serif"/>
          <w:b w:val="false"/>
          <w:color w:val="000000"/>
          <w:sz w:val="22"/>
        </w:rPr>
        <w:t>SECTION 1.01.    Defined Terms    1</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1.02.    Classification of Loans and Borrowings    </w:t>
      </w:r>
      <w:r>
        <w:rPr>
          <w:rFonts w:ascii="Times New Roman;sans-serif" w:hAnsi="Times New Roman;sans-serif"/>
          <w:b w:val="false"/>
          <w:strike/>
          <w:color w:val="FF0000"/>
          <w:sz w:val="22"/>
        </w:rPr>
        <w:t>68</w:t>
      </w:r>
      <w:r>
        <w:rPr>
          <w:rFonts w:ascii="Times New Roman;sans-serif" w:hAnsi="Times New Roman;sans-serif"/>
          <w:b/>
          <w:color w:val="0000FF"/>
          <w:sz w:val="22"/>
          <w:u w:val="single"/>
        </w:rPr>
        <w:t>67</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1.03.    Terms Generally    </w:t>
      </w:r>
      <w:r>
        <w:rPr>
          <w:rFonts w:ascii="Times New Roman;sans-serif" w:hAnsi="Times New Roman;sans-serif"/>
          <w:b w:val="false"/>
          <w:strike/>
          <w:color w:val="FF0000"/>
          <w:sz w:val="22"/>
        </w:rPr>
        <w:t>69</w:t>
      </w:r>
      <w:r>
        <w:rPr>
          <w:rFonts w:ascii="Times New Roman;sans-serif" w:hAnsi="Times New Roman;sans-serif"/>
          <w:b/>
          <w:color w:val="0000FF"/>
          <w:sz w:val="22"/>
          <w:u w:val="single"/>
        </w:rPr>
        <w:t>67</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1.04.    Accounting Terms; GAAP    </w:t>
      </w:r>
      <w:r>
        <w:rPr>
          <w:rFonts w:ascii="Times New Roman;sans-serif" w:hAnsi="Times New Roman;sans-serif"/>
          <w:b w:val="false"/>
          <w:strike/>
          <w:color w:val="FF0000"/>
          <w:sz w:val="22"/>
        </w:rPr>
        <w:t>70</w:t>
      </w:r>
      <w:r>
        <w:rPr>
          <w:rFonts w:ascii="Times New Roman;sans-serif" w:hAnsi="Times New Roman;sans-serif"/>
          <w:b/>
          <w:color w:val="0000FF"/>
          <w:sz w:val="22"/>
          <w:u w:val="single"/>
        </w:rPr>
        <w:t>69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1.05.    Effectuation of Transactions    </w:t>
      </w:r>
      <w:r>
        <w:rPr>
          <w:rFonts w:ascii="Times New Roman;sans-serif" w:hAnsi="Times New Roman;sans-serif"/>
          <w:b w:val="false"/>
          <w:strike/>
          <w:color w:val="FF0000"/>
          <w:sz w:val="22"/>
        </w:rPr>
        <w:t>73</w:t>
      </w:r>
      <w:r>
        <w:rPr>
          <w:rFonts w:ascii="Times New Roman;sans-serif" w:hAnsi="Times New Roman;sans-serif"/>
          <w:b/>
          <w:color w:val="0000FF"/>
          <w:sz w:val="22"/>
          <w:u w:val="single"/>
        </w:rPr>
        <w:t>72</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1.06.    Timing of Payment and Performance    </w:t>
      </w:r>
      <w:r>
        <w:rPr>
          <w:rFonts w:ascii="Times New Roman;sans-serif" w:hAnsi="Times New Roman;sans-serif"/>
          <w:b w:val="false"/>
          <w:strike/>
          <w:color w:val="FF0000"/>
          <w:sz w:val="22"/>
        </w:rPr>
        <w:t>73</w:t>
      </w:r>
      <w:r>
        <w:rPr>
          <w:rFonts w:ascii="Times New Roman;sans-serif" w:hAnsi="Times New Roman;sans-serif"/>
          <w:b/>
          <w:color w:val="0000FF"/>
          <w:sz w:val="22"/>
          <w:u w:val="single"/>
        </w:rPr>
        <w:t>72</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1.07.    Times of Day    </w:t>
      </w:r>
      <w:r>
        <w:rPr>
          <w:rFonts w:ascii="Times New Roman;sans-serif" w:hAnsi="Times New Roman;sans-serif"/>
          <w:b w:val="false"/>
          <w:strike/>
          <w:color w:val="FF0000"/>
          <w:sz w:val="22"/>
        </w:rPr>
        <w:t>73</w:t>
      </w:r>
      <w:r>
        <w:rPr>
          <w:rFonts w:ascii="Times New Roman;sans-serif" w:hAnsi="Times New Roman;sans-serif"/>
          <w:b/>
          <w:color w:val="0000FF"/>
          <w:sz w:val="22"/>
          <w:u w:val="single"/>
        </w:rPr>
        <w:t>72</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1.08.    Currency Equivalents Generally    </w:t>
      </w:r>
      <w:r>
        <w:rPr>
          <w:rFonts w:ascii="Times New Roman;sans-serif" w:hAnsi="Times New Roman;sans-serif"/>
          <w:b w:val="false"/>
          <w:strike/>
          <w:color w:val="FF0000"/>
          <w:sz w:val="22"/>
        </w:rPr>
        <w:t>74</w:t>
      </w:r>
      <w:r>
        <w:rPr>
          <w:rFonts w:ascii="Times New Roman;sans-serif" w:hAnsi="Times New Roman;sans-serif"/>
          <w:b/>
          <w:color w:val="0000FF"/>
          <w:sz w:val="22"/>
          <w:u w:val="single"/>
        </w:rPr>
        <w:t>72</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1.09.    Cashless Rollovers    </w:t>
      </w:r>
      <w:r>
        <w:rPr>
          <w:rFonts w:ascii="Times New Roman;sans-serif" w:hAnsi="Times New Roman;sans-serif"/>
          <w:b w:val="false"/>
          <w:strike/>
          <w:color w:val="FF0000"/>
          <w:sz w:val="22"/>
        </w:rPr>
        <w:t>74</w:t>
      </w:r>
      <w:r>
        <w:rPr>
          <w:rFonts w:ascii="Times New Roman;sans-serif" w:hAnsi="Times New Roman;sans-serif"/>
          <w:b/>
          <w:color w:val="0000FF"/>
          <w:sz w:val="22"/>
          <w:u w:val="single"/>
        </w:rPr>
        <w:t>73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1.10.    Divisions    </w:t>
      </w:r>
      <w:r>
        <w:rPr>
          <w:rFonts w:ascii="Times New Roman;sans-serif" w:hAnsi="Times New Roman;sans-serif"/>
          <w:b w:val="false"/>
          <w:strike/>
          <w:color w:val="FF0000"/>
          <w:sz w:val="22"/>
        </w:rPr>
        <w:t>75</w:t>
      </w:r>
      <w:r>
        <w:rPr>
          <w:rFonts w:ascii="Times New Roman;sans-serif" w:hAnsi="Times New Roman;sans-serif"/>
          <w:b/>
          <w:color w:val="0000FF"/>
          <w:sz w:val="22"/>
          <w:u w:val="single"/>
        </w:rPr>
        <w:t>73</w:t>
      </w:r>
    </w:p>
    <w:p>
      <w:pPr>
        <w:pStyle w:val="TextBody"/>
        <w:bidi w:val="0"/>
        <w:spacing w:lineRule="auto" w:line="240" w:before="0" w:after="240"/>
        <w:ind w:left="0" w:right="0" w:hanging="1728"/>
        <w:jc w:val="left"/>
        <w:rPr/>
      </w:pPr>
      <w:r>
        <w:rPr>
          <w:rFonts w:ascii="Times New Roman;sans-serif" w:hAnsi="Times New Roman;sans-serif"/>
          <w:b w:val="false"/>
          <w:color w:val="000000"/>
          <w:sz w:val="22"/>
        </w:rPr>
        <w:t>SECTION 1.11.    Guarantees and Collateral    </w:t>
      </w:r>
      <w:r>
        <w:rPr>
          <w:rFonts w:ascii="Times New Roman;sans-serif" w:hAnsi="Times New Roman;sans-serif"/>
          <w:b w:val="false"/>
          <w:strike/>
          <w:color w:val="FF0000"/>
          <w:sz w:val="22"/>
        </w:rPr>
        <w:t>75</w:t>
      </w:r>
      <w:r>
        <w:rPr>
          <w:rFonts w:ascii="Times New Roman;sans-serif" w:hAnsi="Times New Roman;sans-serif"/>
          <w:b/>
          <w:color w:val="0000FF"/>
          <w:sz w:val="22"/>
          <w:u w:val="single"/>
        </w:rPr>
        <w:t>74</w:t>
      </w:r>
    </w:p>
    <w:p>
      <w:pPr>
        <w:pStyle w:val="TextBody"/>
        <w:bidi w:val="0"/>
        <w:spacing w:lineRule="auto" w:line="240" w:before="240" w:after="120"/>
        <w:ind w:left="0" w:right="0" w:hanging="1440"/>
        <w:jc w:val="left"/>
        <w:rPr/>
      </w:pPr>
      <w:r>
        <w:rPr>
          <w:rFonts w:ascii="Times New Roman;sans-serif" w:hAnsi="Times New Roman;sans-serif"/>
          <w:b w:val="false"/>
          <w:color w:val="000000"/>
          <w:sz w:val="22"/>
        </w:rPr>
        <w:t>ARTICLE 2    THE CREDITS    </w:t>
      </w:r>
      <w:r>
        <w:rPr>
          <w:rFonts w:ascii="Times New Roman;sans-serif" w:hAnsi="Times New Roman;sans-serif"/>
          <w:b w:val="false"/>
          <w:strike/>
          <w:color w:val="FF0000"/>
          <w:sz w:val="22"/>
        </w:rPr>
        <w:t>75</w:t>
      </w:r>
      <w:r>
        <w:rPr>
          <w:rFonts w:ascii="Times New Roman;sans-serif" w:hAnsi="Times New Roman;sans-serif"/>
          <w:b/>
          <w:color w:val="0000FF"/>
          <w:sz w:val="22"/>
          <w:u w:val="single"/>
        </w:rPr>
        <w:t>74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2.01.    Commitments    </w:t>
      </w:r>
      <w:r>
        <w:rPr>
          <w:rFonts w:ascii="Times New Roman;sans-serif" w:hAnsi="Times New Roman;sans-serif"/>
          <w:b w:val="false"/>
          <w:strike/>
          <w:color w:val="FF0000"/>
          <w:sz w:val="22"/>
        </w:rPr>
        <w:t>75</w:t>
      </w:r>
      <w:r>
        <w:rPr>
          <w:rFonts w:ascii="Times New Roman;sans-serif" w:hAnsi="Times New Roman;sans-serif"/>
          <w:b/>
          <w:color w:val="0000FF"/>
          <w:sz w:val="22"/>
          <w:u w:val="single"/>
        </w:rPr>
        <w:t>74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2.02.    Loans and Borrowings    </w:t>
      </w:r>
      <w:r>
        <w:rPr>
          <w:rFonts w:ascii="Times New Roman;sans-serif" w:hAnsi="Times New Roman;sans-serif"/>
          <w:b w:val="false"/>
          <w:strike/>
          <w:color w:val="FF0000"/>
          <w:sz w:val="22"/>
        </w:rPr>
        <w:t>76</w:t>
      </w:r>
      <w:r>
        <w:rPr>
          <w:rFonts w:ascii="Times New Roman;sans-serif" w:hAnsi="Times New Roman;sans-serif"/>
          <w:b/>
          <w:color w:val="0000FF"/>
          <w:sz w:val="22"/>
          <w:u w:val="single"/>
        </w:rPr>
        <w:t>74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2.03.    Requests for Borrowings    </w:t>
      </w:r>
      <w:r>
        <w:rPr>
          <w:rFonts w:ascii="Times New Roman;sans-serif" w:hAnsi="Times New Roman;sans-serif"/>
          <w:b w:val="false"/>
          <w:strike/>
          <w:color w:val="FF0000"/>
          <w:sz w:val="22"/>
        </w:rPr>
        <w:t>76</w:t>
      </w:r>
      <w:r>
        <w:rPr>
          <w:rFonts w:ascii="Times New Roman;sans-serif" w:hAnsi="Times New Roman;sans-serif"/>
          <w:b/>
          <w:color w:val="0000FF"/>
          <w:sz w:val="22"/>
          <w:u w:val="single"/>
        </w:rPr>
        <w:t>75</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2.04.    [Reserved]    </w:t>
      </w:r>
      <w:r>
        <w:rPr>
          <w:rFonts w:ascii="Times New Roman;sans-serif" w:hAnsi="Times New Roman;sans-serif"/>
          <w:b w:val="false"/>
          <w:strike/>
          <w:color w:val="FF0000"/>
          <w:sz w:val="22"/>
        </w:rPr>
        <w:t>77</w:t>
      </w:r>
      <w:r>
        <w:rPr>
          <w:rFonts w:ascii="Times New Roman;sans-serif" w:hAnsi="Times New Roman;sans-serif"/>
          <w:b/>
          <w:color w:val="0000FF"/>
          <w:sz w:val="22"/>
          <w:u w:val="single"/>
        </w:rPr>
        <w:t>76</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2.05.    [Reserved]    </w:t>
      </w:r>
      <w:r>
        <w:rPr>
          <w:rFonts w:ascii="Times New Roman;sans-serif" w:hAnsi="Times New Roman;sans-serif"/>
          <w:b w:val="false"/>
          <w:strike/>
          <w:color w:val="FF0000"/>
          <w:sz w:val="22"/>
        </w:rPr>
        <w:t>77</w:t>
      </w:r>
      <w:r>
        <w:rPr>
          <w:rFonts w:ascii="Times New Roman;sans-serif" w:hAnsi="Times New Roman;sans-serif"/>
          <w:b/>
          <w:color w:val="0000FF"/>
          <w:sz w:val="22"/>
          <w:u w:val="single"/>
        </w:rPr>
        <w:t>76</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2.06.    [Reserved]    </w:t>
      </w:r>
      <w:r>
        <w:rPr>
          <w:rFonts w:ascii="Times New Roman;sans-serif" w:hAnsi="Times New Roman;sans-serif"/>
          <w:b w:val="false"/>
          <w:strike/>
          <w:color w:val="FF0000"/>
          <w:sz w:val="22"/>
        </w:rPr>
        <w:t>77</w:t>
      </w:r>
      <w:r>
        <w:rPr>
          <w:rFonts w:ascii="Times New Roman;sans-serif" w:hAnsi="Times New Roman;sans-serif"/>
          <w:b/>
          <w:color w:val="0000FF"/>
          <w:sz w:val="22"/>
          <w:u w:val="single"/>
        </w:rPr>
        <w:t>76</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2.07.    Funding of Borrowings    </w:t>
      </w:r>
      <w:r>
        <w:rPr>
          <w:rFonts w:ascii="Times New Roman;sans-serif" w:hAnsi="Times New Roman;sans-serif"/>
          <w:b w:val="false"/>
          <w:strike/>
          <w:color w:val="FF0000"/>
          <w:sz w:val="22"/>
        </w:rPr>
        <w:t>77</w:t>
      </w:r>
      <w:r>
        <w:rPr>
          <w:rFonts w:ascii="Times New Roman;sans-serif" w:hAnsi="Times New Roman;sans-serif"/>
          <w:b/>
          <w:color w:val="0000FF"/>
          <w:sz w:val="22"/>
          <w:u w:val="single"/>
        </w:rPr>
        <w:t>76</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2.08.    Type; Interest Elections    </w:t>
      </w:r>
      <w:r>
        <w:rPr>
          <w:rFonts w:ascii="Times New Roman;sans-serif" w:hAnsi="Times New Roman;sans-serif"/>
          <w:b w:val="false"/>
          <w:strike/>
          <w:color w:val="FF0000"/>
          <w:sz w:val="22"/>
        </w:rPr>
        <w:t>78</w:t>
      </w:r>
      <w:r>
        <w:rPr>
          <w:rFonts w:ascii="Times New Roman;sans-serif" w:hAnsi="Times New Roman;sans-serif"/>
          <w:b/>
          <w:color w:val="0000FF"/>
          <w:sz w:val="22"/>
          <w:u w:val="single"/>
        </w:rPr>
        <w:t>76</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2.09.    Termination and Reduction of Commitments    </w:t>
      </w:r>
      <w:r>
        <w:rPr>
          <w:rFonts w:ascii="Times New Roman;sans-serif" w:hAnsi="Times New Roman;sans-serif"/>
          <w:b w:val="false"/>
          <w:strike/>
          <w:color w:val="FF0000"/>
          <w:sz w:val="22"/>
        </w:rPr>
        <w:t>79</w:t>
      </w:r>
      <w:r>
        <w:rPr>
          <w:rFonts w:ascii="Times New Roman;sans-serif" w:hAnsi="Times New Roman;sans-serif"/>
          <w:b/>
          <w:color w:val="0000FF"/>
          <w:sz w:val="22"/>
          <w:u w:val="single"/>
        </w:rPr>
        <w:t>77</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2.10.    Repayment of Loans; Evidence of Debt    </w:t>
      </w:r>
      <w:r>
        <w:rPr>
          <w:rFonts w:ascii="Times New Roman;sans-serif" w:hAnsi="Times New Roman;sans-serif"/>
          <w:b w:val="false"/>
          <w:strike/>
          <w:color w:val="FF0000"/>
          <w:sz w:val="22"/>
        </w:rPr>
        <w:t>79</w:t>
      </w:r>
      <w:r>
        <w:rPr>
          <w:rFonts w:ascii="Times New Roman;sans-serif" w:hAnsi="Times New Roman;sans-serif"/>
          <w:b/>
          <w:color w:val="0000FF"/>
          <w:sz w:val="22"/>
          <w:u w:val="single"/>
        </w:rPr>
        <w:t>78</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2.11.    Prepayment of Loans    </w:t>
      </w:r>
      <w:r>
        <w:rPr>
          <w:rFonts w:ascii="Times New Roman;sans-serif" w:hAnsi="Times New Roman;sans-serif"/>
          <w:b w:val="false"/>
          <w:strike/>
          <w:color w:val="FF0000"/>
          <w:sz w:val="22"/>
        </w:rPr>
        <w:t>80</w:t>
      </w:r>
      <w:r>
        <w:rPr>
          <w:rFonts w:ascii="Times New Roman;sans-serif" w:hAnsi="Times New Roman;sans-serif"/>
          <w:b/>
          <w:color w:val="0000FF"/>
          <w:sz w:val="22"/>
          <w:u w:val="single"/>
        </w:rPr>
        <w:t>79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2.12.    Fees    </w:t>
      </w:r>
      <w:r>
        <w:rPr>
          <w:rFonts w:ascii="Times New Roman;sans-serif" w:hAnsi="Times New Roman;sans-serif"/>
          <w:b w:val="false"/>
          <w:strike/>
          <w:color w:val="FF0000"/>
          <w:sz w:val="22"/>
        </w:rPr>
        <w:t>87</w:t>
      </w:r>
      <w:r>
        <w:rPr>
          <w:rFonts w:ascii="Times New Roman;sans-serif" w:hAnsi="Times New Roman;sans-serif"/>
          <w:b/>
          <w:color w:val="0000FF"/>
          <w:sz w:val="22"/>
          <w:u w:val="single"/>
        </w:rPr>
        <w:t>86</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2.13.    Interest    </w:t>
      </w:r>
      <w:r>
        <w:rPr>
          <w:rFonts w:ascii="Times New Roman;sans-serif" w:hAnsi="Times New Roman;sans-serif"/>
          <w:b w:val="false"/>
          <w:strike/>
          <w:color w:val="FF0000"/>
          <w:sz w:val="22"/>
        </w:rPr>
        <w:t>88</w:t>
      </w:r>
      <w:r>
        <w:rPr>
          <w:rFonts w:ascii="Times New Roman;sans-serif" w:hAnsi="Times New Roman;sans-serif"/>
          <w:b/>
          <w:color w:val="0000FF"/>
          <w:sz w:val="22"/>
          <w:u w:val="single"/>
        </w:rPr>
        <w:t>86</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2.14.    Alternate Rate of Interest    </w:t>
      </w:r>
      <w:r>
        <w:rPr>
          <w:rFonts w:ascii="Times New Roman;sans-serif" w:hAnsi="Times New Roman;sans-serif"/>
          <w:b w:val="false"/>
          <w:strike/>
          <w:color w:val="FF0000"/>
          <w:sz w:val="22"/>
        </w:rPr>
        <w:t>89</w:t>
      </w:r>
      <w:r>
        <w:rPr>
          <w:rFonts w:ascii="Times New Roman;sans-serif" w:hAnsi="Times New Roman;sans-serif"/>
          <w:b/>
          <w:color w:val="0000FF"/>
          <w:sz w:val="22"/>
          <w:u w:val="single"/>
        </w:rPr>
        <w:t>87</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2.15.    Increased Costs    </w:t>
      </w:r>
      <w:r>
        <w:rPr>
          <w:rFonts w:ascii="Times New Roman;sans-serif" w:hAnsi="Times New Roman;sans-serif"/>
          <w:b w:val="false"/>
          <w:strike/>
          <w:color w:val="FF0000"/>
          <w:sz w:val="22"/>
        </w:rPr>
        <w:t>91</w:t>
      </w:r>
      <w:r>
        <w:rPr>
          <w:rFonts w:ascii="Times New Roman;sans-serif" w:hAnsi="Times New Roman;sans-serif"/>
          <w:b/>
          <w:color w:val="0000FF"/>
          <w:sz w:val="22"/>
          <w:u w:val="single"/>
        </w:rPr>
        <w:t>89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2.16.    Break Funding Payments    </w:t>
      </w:r>
      <w:r>
        <w:rPr>
          <w:rFonts w:ascii="Times New Roman;sans-serif" w:hAnsi="Times New Roman;sans-serif"/>
          <w:b w:val="false"/>
          <w:strike/>
          <w:color w:val="FF0000"/>
          <w:sz w:val="22"/>
        </w:rPr>
        <w:t>92</w:t>
      </w:r>
      <w:r>
        <w:rPr>
          <w:rFonts w:ascii="Times New Roman;sans-serif" w:hAnsi="Times New Roman;sans-serif"/>
          <w:b/>
          <w:color w:val="0000FF"/>
          <w:sz w:val="22"/>
          <w:u w:val="single"/>
        </w:rPr>
        <w:t>90</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2.17.    Taxes    </w:t>
      </w:r>
      <w:r>
        <w:rPr>
          <w:rFonts w:ascii="Times New Roman;sans-serif" w:hAnsi="Times New Roman;sans-serif"/>
          <w:b w:val="false"/>
          <w:strike/>
          <w:color w:val="FF0000"/>
          <w:sz w:val="22"/>
        </w:rPr>
        <w:t>92</w:t>
      </w:r>
      <w:r>
        <w:rPr>
          <w:rFonts w:ascii="Times New Roman;sans-serif" w:hAnsi="Times New Roman;sans-serif"/>
          <w:b/>
          <w:color w:val="0000FF"/>
          <w:sz w:val="22"/>
          <w:u w:val="single"/>
        </w:rPr>
        <w:t>90</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 xml:space="preserve">SECTION 2.18.    Payments Generally; Allocation of Proceeds; Sharing of Payments </w:t>
      </w:r>
      <w:r>
        <w:rPr>
          <w:rFonts w:ascii="Times New Roman;sans-serif" w:hAnsi="Times New Roman;sans-serif"/>
          <w:b w:val="false"/>
          <w:strike/>
          <w:color w:val="FF0000"/>
          <w:sz w:val="22"/>
        </w:rPr>
        <w:t>95</w:t>
      </w:r>
      <w:r>
        <w:rPr>
          <w:rFonts w:ascii="Times New Roman;sans-serif" w:hAnsi="Times New Roman;sans-serif"/>
          <w:b/>
          <w:color w:val="0000FF"/>
          <w:sz w:val="22"/>
          <w:u w:val="single"/>
        </w:rPr>
        <w:t>93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2.19.    Mitigation Obligations; Replacement of Lenders    </w:t>
      </w:r>
      <w:r>
        <w:rPr>
          <w:rFonts w:ascii="Times New Roman;sans-serif" w:hAnsi="Times New Roman;sans-serif"/>
          <w:b w:val="false"/>
          <w:strike/>
          <w:color w:val="FF0000"/>
          <w:sz w:val="22"/>
        </w:rPr>
        <w:t>96</w:t>
      </w:r>
      <w:r>
        <w:rPr>
          <w:rFonts w:ascii="Times New Roman;sans-serif" w:hAnsi="Times New Roman;sans-serif"/>
          <w:b/>
          <w:color w:val="0000FF"/>
          <w:sz w:val="22"/>
          <w:u w:val="single"/>
        </w:rPr>
        <w:t>95</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2.20.    Illegality    </w:t>
      </w:r>
      <w:r>
        <w:rPr>
          <w:rFonts w:ascii="Times New Roman;sans-serif" w:hAnsi="Times New Roman;sans-serif"/>
          <w:b w:val="false"/>
          <w:strike/>
          <w:color w:val="FF0000"/>
          <w:sz w:val="22"/>
        </w:rPr>
        <w:t>98</w:t>
      </w:r>
      <w:r>
        <w:rPr>
          <w:rFonts w:ascii="Times New Roman;sans-serif" w:hAnsi="Times New Roman;sans-serif"/>
          <w:b/>
          <w:color w:val="0000FF"/>
          <w:sz w:val="22"/>
          <w:u w:val="single"/>
        </w:rPr>
        <w:t>96</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2.21.    Defaulting Lenders    </w:t>
      </w:r>
      <w:r>
        <w:rPr>
          <w:rFonts w:ascii="Times New Roman;sans-serif" w:hAnsi="Times New Roman;sans-serif"/>
          <w:b w:val="false"/>
          <w:strike/>
          <w:color w:val="FF0000"/>
          <w:sz w:val="22"/>
        </w:rPr>
        <w:t>98</w:t>
      </w:r>
      <w:r>
        <w:rPr>
          <w:rFonts w:ascii="Times New Roman;sans-serif" w:hAnsi="Times New Roman;sans-serif"/>
          <w:b/>
          <w:color w:val="0000FF"/>
          <w:sz w:val="22"/>
          <w:u w:val="single"/>
        </w:rPr>
        <w:t>97</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2.22.    Incremental Facilities    </w:t>
      </w:r>
      <w:r>
        <w:rPr>
          <w:rFonts w:ascii="Times New Roman;sans-serif" w:hAnsi="Times New Roman;sans-serif"/>
          <w:b w:val="false"/>
          <w:strike/>
          <w:color w:val="FF0000"/>
          <w:sz w:val="22"/>
        </w:rPr>
        <w:t>99</w:t>
      </w:r>
      <w:r>
        <w:rPr>
          <w:rFonts w:ascii="Times New Roman;sans-serif" w:hAnsi="Times New Roman;sans-serif"/>
          <w:b/>
          <w:color w:val="0000FF"/>
          <w:sz w:val="22"/>
          <w:u w:val="single"/>
        </w:rPr>
        <w:t>97</w:t>
      </w:r>
    </w:p>
    <w:p>
      <w:pPr>
        <w:pStyle w:val="TextBody"/>
        <w:bidi w:val="0"/>
        <w:spacing w:lineRule="auto" w:line="240" w:before="0" w:after="240"/>
        <w:ind w:left="0" w:right="0" w:hanging="1728"/>
        <w:jc w:val="left"/>
        <w:rPr/>
      </w:pPr>
      <w:r>
        <w:rPr>
          <w:rFonts w:ascii="Times New Roman;sans-serif" w:hAnsi="Times New Roman;sans-serif"/>
          <w:b w:val="false"/>
          <w:color w:val="000000"/>
          <w:sz w:val="22"/>
        </w:rPr>
        <w:t>SECTION 2.23.    Extensions of Loans    </w:t>
      </w:r>
      <w:r>
        <w:rPr>
          <w:rFonts w:ascii="Times New Roman;sans-serif" w:hAnsi="Times New Roman;sans-serif"/>
          <w:b w:val="false"/>
          <w:strike/>
          <w:color w:val="FF0000"/>
          <w:sz w:val="22"/>
        </w:rPr>
        <w:t>102</w:t>
      </w:r>
      <w:r>
        <w:rPr>
          <w:rFonts w:ascii="Times New Roman;sans-serif" w:hAnsi="Times New Roman;sans-serif"/>
          <w:b/>
          <w:color w:val="0000FF"/>
          <w:sz w:val="22"/>
          <w:u w:val="single"/>
        </w:rPr>
        <w:t>100</w:t>
      </w:r>
    </w:p>
    <w:p>
      <w:pPr>
        <w:pStyle w:val="TextBody"/>
        <w:bidi w:val="0"/>
        <w:spacing w:lineRule="auto" w:line="240" w:before="240" w:after="120"/>
        <w:ind w:left="0" w:right="0" w:hanging="1440"/>
        <w:jc w:val="left"/>
        <w:rPr/>
      </w:pPr>
      <w:r>
        <w:rPr>
          <w:rFonts w:ascii="Times New Roman;sans-serif" w:hAnsi="Times New Roman;sans-serif"/>
          <w:b w:val="false"/>
          <w:color w:val="000000"/>
          <w:sz w:val="22"/>
        </w:rPr>
        <w:t>ARTICLE 3    REPRESENTATIONS AND WARRANTIES    </w:t>
      </w:r>
      <w:r>
        <w:rPr>
          <w:rFonts w:ascii="Times New Roman;sans-serif" w:hAnsi="Times New Roman;sans-serif"/>
          <w:b w:val="false"/>
          <w:strike/>
          <w:color w:val="FF0000"/>
          <w:sz w:val="22"/>
        </w:rPr>
        <w:t>104</w:t>
      </w:r>
      <w:r>
        <w:rPr>
          <w:rFonts w:ascii="Times New Roman;sans-serif" w:hAnsi="Times New Roman;sans-serif"/>
          <w:b/>
          <w:color w:val="0000FF"/>
          <w:sz w:val="22"/>
          <w:u w:val="single"/>
        </w:rPr>
        <w:t>103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3.01.    Corporate Existence and Power    </w:t>
      </w:r>
      <w:r>
        <w:rPr>
          <w:rFonts w:ascii="Times New Roman;sans-serif" w:hAnsi="Times New Roman;sans-serif"/>
          <w:b w:val="false"/>
          <w:strike/>
          <w:color w:val="FF0000"/>
          <w:sz w:val="22"/>
        </w:rPr>
        <w:t>104</w:t>
      </w:r>
      <w:r>
        <w:rPr>
          <w:rFonts w:ascii="Times New Roman;sans-serif" w:hAnsi="Times New Roman;sans-serif"/>
          <w:b/>
          <w:color w:val="0000FF"/>
          <w:sz w:val="22"/>
          <w:u w:val="single"/>
        </w:rPr>
        <w:t>103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 xml:space="preserve">SECTION 3.02.    Corporate and Governmental Authorization; No Contravention </w:t>
      </w:r>
      <w:r>
        <w:rPr>
          <w:rFonts w:ascii="Times New Roman;sans-serif" w:hAnsi="Times New Roman;sans-serif"/>
          <w:b w:val="false"/>
          <w:strike/>
          <w:color w:val="FF0000"/>
          <w:sz w:val="22"/>
        </w:rPr>
        <w:t>104</w:t>
      </w:r>
      <w:r>
        <w:rPr>
          <w:rFonts w:ascii="Times New Roman;sans-serif" w:hAnsi="Times New Roman;sans-serif"/>
          <w:b/>
          <w:color w:val="0000FF"/>
          <w:sz w:val="22"/>
          <w:u w:val="single"/>
        </w:rPr>
        <w:t>103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3.03.    Binding Effect    </w:t>
      </w:r>
      <w:r>
        <w:rPr>
          <w:rFonts w:ascii="Times New Roman;sans-serif" w:hAnsi="Times New Roman;sans-serif"/>
          <w:b w:val="false"/>
          <w:strike/>
          <w:color w:val="FF0000"/>
          <w:sz w:val="22"/>
        </w:rPr>
        <w:t>104</w:t>
      </w:r>
      <w:r>
        <w:rPr>
          <w:rFonts w:ascii="Times New Roman;sans-serif" w:hAnsi="Times New Roman;sans-serif"/>
          <w:b/>
          <w:color w:val="0000FF"/>
          <w:sz w:val="22"/>
          <w:u w:val="single"/>
        </w:rPr>
        <w:t>103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3.04.    Financial Information    </w:t>
      </w:r>
      <w:r>
        <w:rPr>
          <w:rFonts w:ascii="Times New Roman;sans-serif" w:hAnsi="Times New Roman;sans-serif"/>
          <w:b w:val="false"/>
          <w:strike/>
          <w:color w:val="FF0000"/>
          <w:sz w:val="22"/>
        </w:rPr>
        <w:t>105</w:t>
      </w:r>
      <w:r>
        <w:rPr>
          <w:rFonts w:ascii="Times New Roman;sans-serif" w:hAnsi="Times New Roman;sans-serif"/>
          <w:b/>
          <w:color w:val="0000FF"/>
          <w:sz w:val="22"/>
          <w:u w:val="single"/>
        </w:rPr>
        <w:t>103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3.05.    Litigation and Environmental Matters    </w:t>
      </w:r>
      <w:r>
        <w:rPr>
          <w:rFonts w:ascii="Times New Roman;sans-serif" w:hAnsi="Times New Roman;sans-serif"/>
          <w:b w:val="false"/>
          <w:strike/>
          <w:color w:val="FF0000"/>
          <w:sz w:val="22"/>
        </w:rPr>
        <w:t>105</w:t>
      </w:r>
      <w:r>
        <w:rPr>
          <w:rFonts w:ascii="Times New Roman;sans-serif" w:hAnsi="Times New Roman;sans-serif"/>
          <w:b/>
          <w:color w:val="0000FF"/>
          <w:sz w:val="22"/>
          <w:u w:val="single"/>
        </w:rPr>
        <w:t>103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3.06.    Anti-Corruption Laws and Sanctions    </w:t>
      </w:r>
      <w:r>
        <w:rPr>
          <w:rFonts w:ascii="Times New Roman;sans-serif" w:hAnsi="Times New Roman;sans-serif"/>
          <w:b w:val="false"/>
          <w:strike/>
          <w:color w:val="FF0000"/>
          <w:sz w:val="22"/>
        </w:rPr>
        <w:t>105</w:t>
      </w:r>
      <w:r>
        <w:rPr>
          <w:rFonts w:ascii="Times New Roman;sans-serif" w:hAnsi="Times New Roman;sans-serif"/>
          <w:b/>
          <w:color w:val="0000FF"/>
          <w:sz w:val="22"/>
          <w:u w:val="single"/>
        </w:rPr>
        <w:t>104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3.07.    Subsidiaries    </w:t>
      </w:r>
      <w:r>
        <w:rPr>
          <w:rFonts w:ascii="Times New Roman;sans-serif" w:hAnsi="Times New Roman;sans-serif"/>
          <w:b w:val="false"/>
          <w:strike/>
          <w:color w:val="FF0000"/>
          <w:sz w:val="22"/>
        </w:rPr>
        <w:t>106</w:t>
      </w:r>
      <w:r>
        <w:rPr>
          <w:rFonts w:ascii="Times New Roman;sans-serif" w:hAnsi="Times New Roman;sans-serif"/>
          <w:b/>
          <w:color w:val="0000FF"/>
          <w:sz w:val="22"/>
          <w:u w:val="single"/>
        </w:rPr>
        <w:t>104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3.08.    Not an Investment Company    </w:t>
      </w:r>
      <w:r>
        <w:rPr>
          <w:rFonts w:ascii="Times New Roman;sans-serif" w:hAnsi="Times New Roman;sans-serif"/>
          <w:b w:val="false"/>
          <w:strike/>
          <w:color w:val="FF0000"/>
          <w:sz w:val="22"/>
        </w:rPr>
        <w:t>106</w:t>
      </w:r>
      <w:r>
        <w:rPr>
          <w:rFonts w:ascii="Times New Roman;sans-serif" w:hAnsi="Times New Roman;sans-serif"/>
          <w:b/>
          <w:color w:val="0000FF"/>
          <w:sz w:val="22"/>
          <w:u w:val="single"/>
        </w:rPr>
        <w:t>104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3.09.    ERISA    </w:t>
      </w:r>
      <w:r>
        <w:rPr>
          <w:rFonts w:ascii="Times New Roman;sans-serif" w:hAnsi="Times New Roman;sans-serif"/>
          <w:b w:val="false"/>
          <w:strike/>
          <w:color w:val="FF0000"/>
          <w:sz w:val="22"/>
        </w:rPr>
        <w:t>106</w:t>
      </w:r>
      <w:r>
        <w:rPr>
          <w:rFonts w:ascii="Times New Roman;sans-serif" w:hAnsi="Times New Roman;sans-serif"/>
          <w:b/>
          <w:color w:val="0000FF"/>
          <w:sz w:val="22"/>
          <w:u w:val="single"/>
        </w:rPr>
        <w:t>104</w:t>
      </w:r>
    </w:p>
    <w:p>
      <w:pPr>
        <w:pStyle w:val="TextBody"/>
        <w:bidi w:val="0"/>
        <w:spacing w:lineRule="auto" w:line="240" w:before="0" w:after="240"/>
        <w:ind w:left="0" w:right="0" w:hanging="1728"/>
        <w:jc w:val="left"/>
        <w:rPr/>
      </w:pPr>
      <w:r>
        <w:rPr>
          <w:rFonts w:ascii="Times New Roman;sans-serif" w:hAnsi="Times New Roman;sans-serif"/>
          <w:b w:val="false"/>
          <w:color w:val="000000"/>
          <w:sz w:val="22"/>
        </w:rPr>
        <w:t>SECTION 3.10.    Taxes    </w:t>
      </w:r>
      <w:r>
        <w:rPr>
          <w:rFonts w:ascii="Times New Roman;sans-serif" w:hAnsi="Times New Roman;sans-serif"/>
          <w:b w:val="false"/>
          <w:strike/>
          <w:color w:val="FF0000"/>
          <w:sz w:val="22"/>
        </w:rPr>
        <w:t>106</w:t>
      </w:r>
      <w:r>
        <w:rPr>
          <w:rFonts w:ascii="Times New Roman;sans-serif" w:hAnsi="Times New Roman;sans-serif"/>
          <w:b/>
          <w:color w:val="0000FF"/>
          <w:sz w:val="22"/>
          <w:u w:val="single"/>
        </w:rPr>
        <w:t>105</w:t>
      </w:r>
    </w:p>
    <w:p>
      <w:pPr>
        <w:pStyle w:val="TextBody"/>
        <w:bidi w:val="0"/>
        <w:spacing w:lineRule="auto" w:line="240" w:before="240" w:after="120"/>
        <w:ind w:left="0" w:right="0" w:hanging="1440"/>
        <w:jc w:val="left"/>
        <w:rPr/>
      </w:pPr>
      <w:r>
        <w:rPr>
          <w:rFonts w:ascii="Times New Roman;sans-serif" w:hAnsi="Times New Roman;sans-serif"/>
          <w:b w:val="false"/>
          <w:color w:val="000000"/>
          <w:sz w:val="22"/>
        </w:rPr>
        <w:t>ARTICLE 4    CONDITIONS    </w:t>
      </w:r>
      <w:r>
        <w:rPr>
          <w:rFonts w:ascii="Times New Roman;sans-serif" w:hAnsi="Times New Roman;sans-serif"/>
          <w:b w:val="false"/>
          <w:strike/>
          <w:color w:val="FF0000"/>
          <w:sz w:val="22"/>
        </w:rPr>
        <w:t>106</w:t>
      </w:r>
      <w:r>
        <w:rPr>
          <w:rFonts w:ascii="Times New Roman;sans-serif" w:hAnsi="Times New Roman;sans-serif"/>
          <w:b/>
          <w:color w:val="0000FF"/>
          <w:sz w:val="22"/>
          <w:u w:val="single"/>
        </w:rPr>
        <w:t>105</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62890"/>
                <wp:effectExtent l="0" t="0" r="0" b="0"/>
                <wp:wrapNone/>
                <wp:docPr id="44" name="Frame4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4.01.    Closing Date    </w:t>
      </w:r>
      <w:r>
        <w:rPr>
          <w:rFonts w:ascii="Times New Roman;sans-serif" w:hAnsi="Times New Roman;sans-serif"/>
          <w:b w:val="false"/>
          <w:strike/>
          <w:color w:val="FF0000"/>
          <w:sz w:val="22"/>
        </w:rPr>
        <w:t>106</w:t>
      </w:r>
      <w:r>
        <w:rPr>
          <w:rFonts w:ascii="Times New Roman;sans-serif" w:hAnsi="Times New Roman;sans-serif"/>
          <w:b/>
          <w:color w:val="0000FF"/>
          <w:sz w:val="22"/>
          <w:u w:val="single"/>
        </w:rPr>
        <w:t>105</w:t>
      </w:r>
    </w:p>
    <w:p>
      <w:pPr>
        <w:pStyle w:val="TextBody"/>
        <w:bidi w:val="0"/>
        <w:spacing w:lineRule="auto" w:line="240" w:before="0" w:after="240"/>
        <w:ind w:left="0" w:right="0" w:hanging="1728"/>
        <w:jc w:val="left"/>
        <w:rPr/>
      </w:pPr>
      <w:r>
        <w:rPr>
          <w:rFonts w:ascii="Times New Roman;sans-serif" w:hAnsi="Times New Roman;sans-serif"/>
          <w:b w:val="false"/>
          <w:color w:val="000000"/>
          <w:sz w:val="22"/>
        </w:rPr>
        <w:t>SECTION 4.02.    [Reserved]    </w:t>
      </w:r>
      <w:r>
        <w:rPr>
          <w:rFonts w:ascii="Times New Roman;sans-serif" w:hAnsi="Times New Roman;sans-serif"/>
          <w:b w:val="false"/>
          <w:strike/>
          <w:color w:val="FF0000"/>
          <w:sz w:val="22"/>
        </w:rPr>
        <w:t>108</w:t>
      </w:r>
      <w:r>
        <w:rPr>
          <w:rFonts w:ascii="Times New Roman;sans-serif" w:hAnsi="Times New Roman;sans-serif"/>
          <w:b/>
          <w:color w:val="0000FF"/>
          <w:sz w:val="22"/>
          <w:u w:val="single"/>
        </w:rPr>
        <w:t>107</w:t>
      </w:r>
    </w:p>
    <w:p>
      <w:pPr>
        <w:pStyle w:val="TextBody"/>
        <w:bidi w:val="0"/>
        <w:spacing w:lineRule="auto" w:line="240" w:before="240" w:after="120"/>
        <w:ind w:left="0" w:right="0" w:hanging="1440"/>
        <w:jc w:val="left"/>
        <w:rPr/>
      </w:pPr>
      <w:r>
        <w:rPr>
          <w:rFonts w:ascii="Times New Roman;sans-serif" w:hAnsi="Times New Roman;sans-serif"/>
          <w:b w:val="false"/>
          <w:color w:val="000000"/>
          <w:sz w:val="22"/>
        </w:rPr>
        <w:t>ARTICLE 5    AFFIRMATIVE COVENANTS    </w:t>
      </w:r>
      <w:r>
        <w:rPr>
          <w:rFonts w:ascii="Times New Roman;sans-serif" w:hAnsi="Times New Roman;sans-serif"/>
          <w:b w:val="false"/>
          <w:strike/>
          <w:color w:val="FF0000"/>
          <w:sz w:val="22"/>
        </w:rPr>
        <w:t>108</w:t>
      </w:r>
      <w:r>
        <w:rPr>
          <w:rFonts w:ascii="Times New Roman;sans-serif" w:hAnsi="Times New Roman;sans-serif"/>
          <w:b/>
          <w:color w:val="0000FF"/>
          <w:sz w:val="22"/>
          <w:u w:val="single"/>
        </w:rPr>
        <w:t>107</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5.01.    Information    </w:t>
      </w:r>
      <w:r>
        <w:rPr>
          <w:rFonts w:ascii="Times New Roman;sans-serif" w:hAnsi="Times New Roman;sans-serif"/>
          <w:b w:val="false"/>
          <w:strike/>
          <w:color w:val="FF0000"/>
          <w:sz w:val="22"/>
        </w:rPr>
        <w:t>108</w:t>
      </w:r>
      <w:r>
        <w:rPr>
          <w:rFonts w:ascii="Times New Roman;sans-serif" w:hAnsi="Times New Roman;sans-serif"/>
          <w:b/>
          <w:color w:val="0000FF"/>
          <w:sz w:val="22"/>
          <w:u w:val="single"/>
        </w:rPr>
        <w:t>107</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5.02.    Maintenance of Properties    </w:t>
      </w:r>
      <w:r>
        <w:rPr>
          <w:rFonts w:ascii="Times New Roman;sans-serif" w:hAnsi="Times New Roman;sans-serif"/>
          <w:b w:val="false"/>
          <w:strike/>
          <w:color w:val="FF0000"/>
          <w:sz w:val="22"/>
        </w:rPr>
        <w:t>110</w:t>
      </w:r>
      <w:r>
        <w:rPr>
          <w:rFonts w:ascii="Times New Roman;sans-serif" w:hAnsi="Times New Roman;sans-serif"/>
          <w:b/>
          <w:color w:val="0000FF"/>
          <w:sz w:val="22"/>
          <w:u w:val="single"/>
        </w:rPr>
        <w:t>109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5.03.    Maintenance of Insurance    </w:t>
      </w:r>
      <w:r>
        <w:rPr>
          <w:rFonts w:ascii="Times New Roman;sans-serif" w:hAnsi="Times New Roman;sans-serif"/>
          <w:b w:val="false"/>
          <w:strike/>
          <w:color w:val="FF0000"/>
          <w:sz w:val="22"/>
        </w:rPr>
        <w:t>110</w:t>
      </w:r>
      <w:r>
        <w:rPr>
          <w:rFonts w:ascii="Times New Roman;sans-serif" w:hAnsi="Times New Roman;sans-serif"/>
          <w:b/>
          <w:color w:val="0000FF"/>
          <w:sz w:val="22"/>
          <w:u w:val="single"/>
        </w:rPr>
        <w:t>109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5.04.    Preservation of Corporate Existence    </w:t>
      </w:r>
      <w:r>
        <w:rPr>
          <w:rFonts w:ascii="Times New Roman;sans-serif" w:hAnsi="Times New Roman;sans-serif"/>
          <w:b w:val="false"/>
          <w:strike/>
          <w:color w:val="FF0000"/>
          <w:sz w:val="22"/>
        </w:rPr>
        <w:t>111</w:t>
      </w:r>
      <w:r>
        <w:rPr>
          <w:rFonts w:ascii="Times New Roman;sans-serif" w:hAnsi="Times New Roman;sans-serif"/>
          <w:b/>
          <w:color w:val="0000FF"/>
          <w:sz w:val="22"/>
          <w:u w:val="single"/>
        </w:rPr>
        <w:t>109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5.05.    Inspections    </w:t>
      </w:r>
      <w:r>
        <w:rPr>
          <w:rFonts w:ascii="Times New Roman;sans-serif" w:hAnsi="Times New Roman;sans-serif"/>
          <w:b w:val="false"/>
          <w:strike/>
          <w:color w:val="FF0000"/>
          <w:sz w:val="22"/>
        </w:rPr>
        <w:t>111</w:t>
      </w:r>
      <w:r>
        <w:rPr>
          <w:rFonts w:ascii="Times New Roman;sans-serif" w:hAnsi="Times New Roman;sans-serif"/>
          <w:b/>
          <w:color w:val="0000FF"/>
          <w:sz w:val="22"/>
          <w:u w:val="single"/>
        </w:rPr>
        <w:t>109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5.06.    [Reserved]    </w:t>
      </w:r>
      <w:r>
        <w:rPr>
          <w:rFonts w:ascii="Times New Roman;sans-serif" w:hAnsi="Times New Roman;sans-serif"/>
          <w:b w:val="false"/>
          <w:strike/>
          <w:color w:val="FF0000"/>
          <w:sz w:val="22"/>
        </w:rPr>
        <w:t>112</w:t>
      </w:r>
      <w:r>
        <w:rPr>
          <w:rFonts w:ascii="Times New Roman;sans-serif" w:hAnsi="Times New Roman;sans-serif"/>
          <w:b/>
          <w:color w:val="0000FF"/>
          <w:sz w:val="22"/>
          <w:u w:val="single"/>
        </w:rPr>
        <w:t>110</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5.07.    Compliance with Laws    </w:t>
      </w:r>
      <w:r>
        <w:rPr>
          <w:rFonts w:ascii="Times New Roman;sans-serif" w:hAnsi="Times New Roman;sans-serif"/>
          <w:b w:val="false"/>
          <w:strike/>
          <w:color w:val="FF0000"/>
          <w:sz w:val="22"/>
        </w:rPr>
        <w:t>112</w:t>
      </w:r>
      <w:r>
        <w:rPr>
          <w:rFonts w:ascii="Times New Roman;sans-serif" w:hAnsi="Times New Roman;sans-serif"/>
          <w:b/>
          <w:color w:val="0000FF"/>
          <w:sz w:val="22"/>
          <w:u w:val="single"/>
        </w:rPr>
        <w:t>110</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5.08.    Use of Proceeds    </w:t>
      </w:r>
      <w:r>
        <w:rPr>
          <w:rFonts w:ascii="Times New Roman;sans-serif" w:hAnsi="Times New Roman;sans-serif"/>
          <w:b w:val="false"/>
          <w:strike/>
          <w:color w:val="FF0000"/>
          <w:sz w:val="22"/>
        </w:rPr>
        <w:t>112</w:t>
      </w:r>
      <w:r>
        <w:rPr>
          <w:rFonts w:ascii="Times New Roman;sans-serif" w:hAnsi="Times New Roman;sans-serif"/>
          <w:b/>
          <w:color w:val="0000FF"/>
          <w:sz w:val="22"/>
          <w:u w:val="single"/>
        </w:rPr>
        <w:t>110</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5.09.    Information Regarding Collateral    </w:t>
      </w:r>
      <w:r>
        <w:rPr>
          <w:rFonts w:ascii="Times New Roman;sans-serif" w:hAnsi="Times New Roman;sans-serif"/>
          <w:b w:val="false"/>
          <w:strike/>
          <w:color w:val="FF0000"/>
          <w:sz w:val="22"/>
        </w:rPr>
        <w:t>112</w:t>
      </w:r>
      <w:r>
        <w:rPr>
          <w:rFonts w:ascii="Times New Roman;sans-serif" w:hAnsi="Times New Roman;sans-serif"/>
          <w:b/>
          <w:color w:val="0000FF"/>
          <w:sz w:val="22"/>
          <w:u w:val="single"/>
        </w:rPr>
        <w:t>110</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5.10.    Collateral and Guarantee Requirement    </w:t>
      </w:r>
      <w:r>
        <w:rPr>
          <w:rFonts w:ascii="Times New Roman;sans-serif" w:hAnsi="Times New Roman;sans-serif"/>
          <w:b w:val="false"/>
          <w:strike/>
          <w:color w:val="FF0000"/>
          <w:sz w:val="22"/>
        </w:rPr>
        <w:t>112</w:t>
      </w:r>
      <w:r>
        <w:rPr>
          <w:rFonts w:ascii="Times New Roman;sans-serif" w:hAnsi="Times New Roman;sans-serif"/>
          <w:b/>
          <w:color w:val="0000FF"/>
          <w:sz w:val="22"/>
          <w:u w:val="single"/>
        </w:rPr>
        <w:t>111</w:t>
      </w:r>
    </w:p>
    <w:p>
      <w:pPr>
        <w:pStyle w:val="TextBody"/>
        <w:bidi w:val="0"/>
        <w:spacing w:lineRule="auto" w:line="240" w:before="0" w:after="240"/>
        <w:ind w:left="0" w:right="0" w:hanging="1728"/>
        <w:jc w:val="left"/>
        <w:rPr/>
      </w:pPr>
      <w:r>
        <w:rPr>
          <w:rFonts w:ascii="Times New Roman;sans-serif" w:hAnsi="Times New Roman;sans-serif"/>
          <w:b w:val="false"/>
          <w:color w:val="000000"/>
          <w:sz w:val="22"/>
        </w:rPr>
        <w:t>SECTION 5.11.    Credit Ratings    </w:t>
      </w:r>
      <w:r>
        <w:rPr>
          <w:rFonts w:ascii="Times New Roman;sans-serif" w:hAnsi="Times New Roman;sans-serif"/>
          <w:b w:val="false"/>
          <w:strike/>
          <w:color w:val="FF0000"/>
          <w:sz w:val="22"/>
        </w:rPr>
        <w:t>112</w:t>
      </w:r>
      <w:r>
        <w:rPr>
          <w:rFonts w:ascii="Times New Roman;sans-serif" w:hAnsi="Times New Roman;sans-serif"/>
          <w:b/>
          <w:color w:val="0000FF"/>
          <w:sz w:val="22"/>
          <w:u w:val="single"/>
        </w:rPr>
        <w:t>111</w:t>
      </w:r>
    </w:p>
    <w:p>
      <w:pPr>
        <w:pStyle w:val="TextBody"/>
        <w:bidi w:val="0"/>
        <w:spacing w:lineRule="auto" w:line="240" w:before="240" w:after="120"/>
        <w:ind w:left="0" w:right="0" w:hanging="1440"/>
        <w:jc w:val="left"/>
        <w:rPr/>
      </w:pPr>
      <w:r>
        <w:rPr>
          <w:rFonts w:ascii="Times New Roman;sans-serif" w:hAnsi="Times New Roman;sans-serif"/>
          <w:b w:val="false"/>
          <w:color w:val="000000"/>
          <w:sz w:val="22"/>
        </w:rPr>
        <w:t>ARTICLE 6    NEGATIVE COVENANTS    </w:t>
      </w:r>
      <w:r>
        <w:rPr>
          <w:rFonts w:ascii="Times New Roman;sans-serif" w:hAnsi="Times New Roman;sans-serif"/>
          <w:b w:val="false"/>
          <w:strike/>
          <w:color w:val="FF0000"/>
          <w:sz w:val="22"/>
        </w:rPr>
        <w:t>113</w:t>
      </w:r>
      <w:r>
        <w:rPr>
          <w:rFonts w:ascii="Times New Roman;sans-serif" w:hAnsi="Times New Roman;sans-serif"/>
          <w:b/>
          <w:color w:val="0000FF"/>
          <w:sz w:val="22"/>
          <w:u w:val="single"/>
        </w:rPr>
        <w:t>111</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6.01.    Limitation on Indebtedness    </w:t>
      </w:r>
      <w:r>
        <w:rPr>
          <w:rFonts w:ascii="Times New Roman;sans-serif" w:hAnsi="Times New Roman;sans-serif"/>
          <w:b w:val="false"/>
          <w:strike/>
          <w:color w:val="FF0000"/>
          <w:sz w:val="22"/>
        </w:rPr>
        <w:t>113</w:t>
      </w:r>
      <w:r>
        <w:rPr>
          <w:rFonts w:ascii="Times New Roman;sans-serif" w:hAnsi="Times New Roman;sans-serif"/>
          <w:b/>
          <w:color w:val="0000FF"/>
          <w:sz w:val="22"/>
          <w:u w:val="single"/>
        </w:rPr>
        <w:t>111</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6.02.    Limitation on Restricted Payments    </w:t>
      </w:r>
      <w:r>
        <w:rPr>
          <w:rFonts w:ascii="Times New Roman;sans-serif" w:hAnsi="Times New Roman;sans-serif"/>
          <w:b w:val="false"/>
          <w:strike/>
          <w:color w:val="FF0000"/>
          <w:sz w:val="22"/>
        </w:rPr>
        <w:t>117</w:t>
      </w:r>
      <w:r>
        <w:rPr>
          <w:rFonts w:ascii="Times New Roman;sans-serif" w:hAnsi="Times New Roman;sans-serif"/>
          <w:b/>
          <w:color w:val="0000FF"/>
          <w:sz w:val="22"/>
          <w:u w:val="single"/>
        </w:rPr>
        <w:t>115</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6.03.    Limitation on Restrictions on Distributions from Restricted Subsidiaries    </w:t>
      </w:r>
      <w:r>
        <w:rPr>
          <w:rFonts w:ascii="Times New Roman;sans-serif" w:hAnsi="Times New Roman;sans-serif"/>
          <w:b w:val="false"/>
          <w:strike/>
          <w:color w:val="FF0000"/>
          <w:sz w:val="22"/>
        </w:rPr>
        <w:t>121</w:t>
      </w:r>
      <w:r>
        <w:rPr>
          <w:rFonts w:ascii="Times New Roman;sans-serif" w:hAnsi="Times New Roman;sans-serif"/>
          <w:b/>
          <w:color w:val="0000FF"/>
          <w:sz w:val="22"/>
          <w:u w:val="single"/>
        </w:rPr>
        <w:t>119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6.04.    Limitation on Sales of Assets and Subsidiary Stock    </w:t>
      </w:r>
      <w:r>
        <w:rPr>
          <w:rFonts w:ascii="Times New Roman;sans-serif" w:hAnsi="Times New Roman;sans-serif"/>
          <w:b w:val="false"/>
          <w:strike/>
          <w:color w:val="FF0000"/>
          <w:sz w:val="22"/>
        </w:rPr>
        <w:t>123</w:t>
      </w:r>
      <w:r>
        <w:rPr>
          <w:rFonts w:ascii="Times New Roman;sans-serif" w:hAnsi="Times New Roman;sans-serif"/>
          <w:b/>
          <w:color w:val="0000FF"/>
          <w:sz w:val="22"/>
          <w:u w:val="single"/>
        </w:rPr>
        <w:t>121</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6.05.    Limitation on Transaction with Affiliates    </w:t>
      </w:r>
      <w:r>
        <w:rPr>
          <w:rFonts w:ascii="Times New Roman;sans-serif" w:hAnsi="Times New Roman;sans-serif"/>
          <w:b w:val="false"/>
          <w:strike/>
          <w:color w:val="FF0000"/>
          <w:sz w:val="22"/>
        </w:rPr>
        <w:t>124</w:t>
      </w:r>
      <w:r>
        <w:rPr>
          <w:rFonts w:ascii="Times New Roman;sans-serif" w:hAnsi="Times New Roman;sans-serif"/>
          <w:b/>
          <w:color w:val="0000FF"/>
          <w:sz w:val="22"/>
          <w:u w:val="single"/>
        </w:rPr>
        <w:t>122</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6.06.    Limitation on Liens    </w:t>
      </w:r>
      <w:r>
        <w:rPr>
          <w:rFonts w:ascii="Times New Roman;sans-serif" w:hAnsi="Times New Roman;sans-serif"/>
          <w:b w:val="false"/>
          <w:strike/>
          <w:color w:val="FF0000"/>
          <w:sz w:val="22"/>
        </w:rPr>
        <w:t>125</w:t>
      </w:r>
      <w:r>
        <w:rPr>
          <w:rFonts w:ascii="Times New Roman;sans-serif" w:hAnsi="Times New Roman;sans-serif"/>
          <w:b/>
          <w:color w:val="0000FF"/>
          <w:sz w:val="22"/>
          <w:u w:val="single"/>
        </w:rPr>
        <w:t>124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6.07.    Additional Limitations on Intellectual Property Transfers    </w:t>
      </w:r>
      <w:r>
        <w:rPr>
          <w:rFonts w:ascii="Times New Roman;sans-serif" w:hAnsi="Times New Roman;sans-serif"/>
          <w:b w:val="false"/>
          <w:strike/>
          <w:color w:val="FF0000"/>
          <w:sz w:val="22"/>
        </w:rPr>
        <w:t>126</w:t>
      </w:r>
      <w:r>
        <w:rPr>
          <w:rFonts w:ascii="Times New Roman;sans-serif" w:hAnsi="Times New Roman;sans-serif"/>
          <w:b/>
          <w:color w:val="0000FF"/>
          <w:sz w:val="22"/>
          <w:u w:val="single"/>
        </w:rPr>
        <w:t>124</w:t>
      </w:r>
    </w:p>
    <w:p>
      <w:pPr>
        <w:pStyle w:val="TextBody"/>
        <w:bidi w:val="0"/>
        <w:spacing w:lineRule="auto" w:line="240" w:before="0" w:after="240"/>
        <w:ind w:left="0" w:right="0" w:hanging="1728"/>
        <w:jc w:val="left"/>
        <w:rPr/>
      </w:pPr>
      <w:r>
        <w:rPr>
          <w:rFonts w:ascii="Times New Roman;sans-serif" w:hAnsi="Times New Roman;sans-serif"/>
          <w:b w:val="false"/>
          <w:color w:val="000000"/>
          <w:sz w:val="22"/>
        </w:rPr>
        <w:t>SECTION 6.08.    Mergers, Consolidations, Etc    </w:t>
      </w:r>
      <w:r>
        <w:rPr>
          <w:rFonts w:ascii="Times New Roman;sans-serif" w:hAnsi="Times New Roman;sans-serif"/>
          <w:b w:val="false"/>
          <w:strike/>
          <w:color w:val="FF0000"/>
          <w:sz w:val="22"/>
        </w:rPr>
        <w:t>126</w:t>
      </w:r>
      <w:r>
        <w:rPr>
          <w:rFonts w:ascii="Times New Roman;sans-serif" w:hAnsi="Times New Roman;sans-serif"/>
          <w:b/>
          <w:color w:val="0000FF"/>
          <w:sz w:val="22"/>
          <w:u w:val="single"/>
        </w:rPr>
        <w:t>125</w:t>
      </w:r>
    </w:p>
    <w:p>
      <w:pPr>
        <w:pStyle w:val="TextBody"/>
        <w:bidi w:val="0"/>
        <w:spacing w:lineRule="auto" w:line="240" w:before="240" w:after="120"/>
        <w:ind w:left="0" w:right="0" w:hanging="1440"/>
        <w:jc w:val="left"/>
        <w:rPr/>
      </w:pPr>
      <w:r>
        <w:rPr>
          <w:rFonts w:ascii="Times New Roman;sans-serif" w:hAnsi="Times New Roman;sans-serif"/>
          <w:b w:val="false"/>
          <w:color w:val="000000"/>
          <w:sz w:val="22"/>
        </w:rPr>
        <w:t>ARTICLE 7    EVENTS OF DEFAULT    </w:t>
      </w:r>
      <w:r>
        <w:rPr>
          <w:rFonts w:ascii="Times New Roman;sans-serif" w:hAnsi="Times New Roman;sans-serif"/>
          <w:b w:val="false"/>
          <w:strike/>
          <w:color w:val="FF0000"/>
          <w:sz w:val="22"/>
        </w:rPr>
        <w:t>127</w:t>
      </w:r>
      <w:r>
        <w:rPr>
          <w:rFonts w:ascii="Times New Roman;sans-serif" w:hAnsi="Times New Roman;sans-serif"/>
          <w:b/>
          <w:color w:val="0000FF"/>
          <w:sz w:val="22"/>
          <w:u w:val="single"/>
        </w:rPr>
        <w:t>126</w:t>
      </w:r>
    </w:p>
    <w:p>
      <w:pPr>
        <w:pStyle w:val="TextBody"/>
        <w:bidi w:val="0"/>
        <w:spacing w:lineRule="auto" w:line="240" w:before="0" w:after="240"/>
        <w:ind w:left="0" w:right="0" w:hanging="1728"/>
        <w:jc w:val="left"/>
        <w:rPr/>
      </w:pPr>
      <w:r>
        <w:rPr>
          <w:rFonts w:ascii="Times New Roman;sans-serif" w:hAnsi="Times New Roman;sans-serif"/>
          <w:b w:val="false"/>
          <w:color w:val="000000"/>
          <w:sz w:val="22"/>
        </w:rPr>
        <w:t>SECTION 7.01.    Events of Default    </w:t>
      </w:r>
      <w:r>
        <w:rPr>
          <w:rFonts w:ascii="Times New Roman;sans-serif" w:hAnsi="Times New Roman;sans-serif"/>
          <w:b w:val="false"/>
          <w:strike/>
          <w:color w:val="FF0000"/>
          <w:sz w:val="22"/>
        </w:rPr>
        <w:t>127</w:t>
      </w:r>
      <w:r>
        <w:rPr>
          <w:rFonts w:ascii="Times New Roman;sans-serif" w:hAnsi="Times New Roman;sans-serif"/>
          <w:b/>
          <w:color w:val="0000FF"/>
          <w:sz w:val="22"/>
          <w:u w:val="single"/>
        </w:rPr>
        <w:t>126</w:t>
      </w:r>
    </w:p>
    <w:p>
      <w:pPr>
        <w:pStyle w:val="TextBody"/>
        <w:bidi w:val="0"/>
        <w:spacing w:lineRule="auto" w:line="240" w:before="240" w:after="120"/>
        <w:ind w:left="0" w:right="0" w:hanging="1440"/>
        <w:jc w:val="left"/>
        <w:rPr/>
      </w:pPr>
      <w:r>
        <w:rPr>
          <w:rFonts w:ascii="Times New Roman;sans-serif" w:hAnsi="Times New Roman;sans-serif"/>
          <w:b w:val="false"/>
          <w:color w:val="000000"/>
          <w:sz w:val="22"/>
        </w:rPr>
        <w:t>ARTICLE 8    THE ADMINISTRATIVE AGENT    </w:t>
      </w:r>
      <w:r>
        <w:rPr>
          <w:rFonts w:ascii="Times New Roman;sans-serif" w:hAnsi="Times New Roman;sans-serif"/>
          <w:b w:val="false"/>
          <w:strike/>
          <w:color w:val="FF0000"/>
          <w:sz w:val="22"/>
        </w:rPr>
        <w:t>131</w:t>
      </w:r>
      <w:r>
        <w:rPr>
          <w:rFonts w:ascii="Times New Roman;sans-serif" w:hAnsi="Times New Roman;sans-serif"/>
          <w:b/>
          <w:color w:val="0000FF"/>
          <w:sz w:val="22"/>
          <w:u w:val="single"/>
        </w:rPr>
        <w:t>129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8.01.    The Agents    </w:t>
      </w:r>
      <w:r>
        <w:rPr>
          <w:rFonts w:ascii="Times New Roman;sans-serif" w:hAnsi="Times New Roman;sans-serif"/>
          <w:b w:val="false"/>
          <w:strike/>
          <w:color w:val="FF0000"/>
          <w:sz w:val="22"/>
        </w:rPr>
        <w:t>131</w:t>
      </w:r>
      <w:r>
        <w:rPr>
          <w:rFonts w:ascii="Times New Roman;sans-serif" w:hAnsi="Times New Roman;sans-serif"/>
          <w:b/>
          <w:color w:val="0000FF"/>
          <w:sz w:val="22"/>
          <w:u w:val="single"/>
        </w:rPr>
        <w:t>129</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8.02.    Certain ERISA Matters    </w:t>
      </w:r>
      <w:r>
        <w:rPr>
          <w:rFonts w:ascii="Times New Roman;sans-serif" w:hAnsi="Times New Roman;sans-serif"/>
          <w:b w:val="false"/>
          <w:strike/>
          <w:color w:val="FF0000"/>
          <w:sz w:val="22"/>
        </w:rPr>
        <w:t>133</w:t>
      </w:r>
      <w:r>
        <w:rPr>
          <w:rFonts w:ascii="Times New Roman;sans-serif" w:hAnsi="Times New Roman;sans-serif"/>
          <w:b/>
          <w:color w:val="0000FF"/>
          <w:sz w:val="22"/>
          <w:u w:val="single"/>
        </w:rPr>
        <w:t>132</w:t>
      </w:r>
    </w:p>
    <w:p>
      <w:pPr>
        <w:pStyle w:val="TextBody"/>
        <w:bidi w:val="0"/>
        <w:spacing w:lineRule="auto" w:line="240" w:before="0" w:after="240"/>
        <w:ind w:left="0" w:right="0" w:hanging="1728"/>
        <w:jc w:val="left"/>
        <w:rPr/>
      </w:pPr>
      <w:r>
        <w:rPr>
          <w:rFonts w:ascii="Times New Roman;sans-serif" w:hAnsi="Times New Roman;sans-serif"/>
          <w:b w:val="false"/>
          <w:color w:val="000000"/>
          <w:sz w:val="22"/>
        </w:rPr>
        <w:t>SECTION 8.03.    Erroneous Payments    </w:t>
      </w:r>
      <w:r>
        <w:rPr>
          <w:rFonts w:ascii="Times New Roman;sans-serif" w:hAnsi="Times New Roman;sans-serif"/>
          <w:b w:val="false"/>
          <w:strike/>
          <w:color w:val="FF0000"/>
          <w:sz w:val="22"/>
        </w:rPr>
        <w:t>134</w:t>
      </w:r>
      <w:r>
        <w:rPr>
          <w:rFonts w:ascii="Times New Roman;sans-serif" w:hAnsi="Times New Roman;sans-serif"/>
          <w:b/>
          <w:color w:val="0000FF"/>
          <w:sz w:val="22"/>
          <w:u w:val="single"/>
        </w:rPr>
        <w:t>133</w:t>
      </w:r>
    </w:p>
    <w:p>
      <w:pPr>
        <w:pStyle w:val="TextBody"/>
        <w:bidi w:val="0"/>
        <w:spacing w:lineRule="auto" w:line="240" w:before="240" w:after="120"/>
        <w:ind w:left="0" w:right="0" w:hanging="1440"/>
        <w:jc w:val="left"/>
        <w:rPr/>
      </w:pPr>
      <w:r>
        <w:rPr>
          <w:rFonts w:ascii="Times New Roman;sans-serif" w:hAnsi="Times New Roman;sans-serif"/>
          <w:b w:val="false"/>
          <w:color w:val="000000"/>
          <w:sz w:val="22"/>
        </w:rPr>
        <w:t>ARTICLE 9    MISCELLANEOUS    </w:t>
      </w:r>
      <w:r>
        <w:rPr>
          <w:rFonts w:ascii="Times New Roman;sans-serif" w:hAnsi="Times New Roman;sans-serif"/>
          <w:b w:val="false"/>
          <w:strike/>
          <w:color w:val="FF0000"/>
          <w:sz w:val="22"/>
        </w:rPr>
        <w:t>135</w:t>
      </w:r>
      <w:r>
        <w:rPr>
          <w:rFonts w:ascii="Times New Roman;sans-serif" w:hAnsi="Times New Roman;sans-serif"/>
          <w:b/>
          <w:color w:val="0000FF"/>
          <w:sz w:val="22"/>
          <w:u w:val="single"/>
        </w:rPr>
        <w:t>134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9.01.    Notices    </w:t>
      </w:r>
      <w:r>
        <w:rPr>
          <w:rFonts w:ascii="Times New Roman;sans-serif" w:hAnsi="Times New Roman;sans-serif"/>
          <w:b w:val="false"/>
          <w:strike/>
          <w:color w:val="FF0000"/>
          <w:sz w:val="22"/>
        </w:rPr>
        <w:t>135</w:t>
      </w:r>
      <w:r>
        <w:rPr>
          <w:rFonts w:ascii="Times New Roman;sans-serif" w:hAnsi="Times New Roman;sans-serif"/>
          <w:b/>
          <w:color w:val="0000FF"/>
          <w:sz w:val="22"/>
          <w:u w:val="single"/>
        </w:rPr>
        <w:t>134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9.02.    Waivers; Amendments    </w:t>
      </w:r>
      <w:r>
        <w:rPr>
          <w:rFonts w:ascii="Times New Roman;sans-serif" w:hAnsi="Times New Roman;sans-serif"/>
          <w:b w:val="false"/>
          <w:strike/>
          <w:color w:val="FF0000"/>
          <w:sz w:val="22"/>
        </w:rPr>
        <w:t>137</w:t>
      </w:r>
      <w:r>
        <w:rPr>
          <w:rFonts w:ascii="Times New Roman;sans-serif" w:hAnsi="Times New Roman;sans-serif"/>
          <w:b/>
          <w:color w:val="0000FF"/>
          <w:sz w:val="22"/>
          <w:u w:val="single"/>
        </w:rPr>
        <w:t>136</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9.03.    Expenses; Indemnity; Indemnity; Damage Waiver    </w:t>
      </w:r>
      <w:r>
        <w:rPr>
          <w:rFonts w:ascii="Times New Roman;sans-serif" w:hAnsi="Times New Roman;sans-serif"/>
          <w:b w:val="false"/>
          <w:strike/>
          <w:color w:val="FF0000"/>
          <w:sz w:val="22"/>
        </w:rPr>
        <w:t>144</w:t>
      </w:r>
      <w:r>
        <w:rPr>
          <w:rFonts w:ascii="Times New Roman;sans-serif" w:hAnsi="Times New Roman;sans-serif"/>
          <w:b/>
          <w:color w:val="0000FF"/>
          <w:sz w:val="22"/>
          <w:u w:val="single"/>
        </w:rPr>
        <w:t>142</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9.04.    Waiver of Claim    </w:t>
      </w:r>
      <w:r>
        <w:rPr>
          <w:rFonts w:ascii="Times New Roman;sans-serif" w:hAnsi="Times New Roman;sans-serif"/>
          <w:b w:val="false"/>
          <w:strike/>
          <w:color w:val="FF0000"/>
          <w:sz w:val="22"/>
        </w:rPr>
        <w:t>145</w:t>
      </w:r>
      <w:r>
        <w:rPr>
          <w:rFonts w:ascii="Times New Roman;sans-serif" w:hAnsi="Times New Roman;sans-serif"/>
          <w:b/>
          <w:color w:val="0000FF"/>
          <w:sz w:val="22"/>
          <w:u w:val="single"/>
        </w:rPr>
        <w:t>143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9.05.    Successors and Assigns    </w:t>
      </w:r>
      <w:r>
        <w:rPr>
          <w:rFonts w:ascii="Times New Roman;sans-serif" w:hAnsi="Times New Roman;sans-serif"/>
          <w:b w:val="false"/>
          <w:strike/>
          <w:color w:val="FF0000"/>
          <w:sz w:val="22"/>
        </w:rPr>
        <w:t>145</w:t>
      </w:r>
      <w:r>
        <w:rPr>
          <w:rFonts w:ascii="Times New Roman;sans-serif" w:hAnsi="Times New Roman;sans-serif"/>
          <w:b/>
          <w:color w:val="0000FF"/>
          <w:sz w:val="22"/>
          <w:u w:val="single"/>
        </w:rPr>
        <w:t>144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9.06.    Survival    </w:t>
      </w:r>
      <w:r>
        <w:rPr>
          <w:rFonts w:ascii="Times New Roman;sans-serif" w:hAnsi="Times New Roman;sans-serif"/>
          <w:b w:val="false"/>
          <w:strike/>
          <w:color w:val="FF0000"/>
          <w:sz w:val="22"/>
        </w:rPr>
        <w:t>152</w:t>
      </w:r>
      <w:r>
        <w:rPr>
          <w:rFonts w:ascii="Times New Roman;sans-serif" w:hAnsi="Times New Roman;sans-serif"/>
          <w:b/>
          <w:color w:val="0000FF"/>
          <w:sz w:val="22"/>
          <w:u w:val="single"/>
        </w:rPr>
        <w:t>151</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9.07.    Counterparts; Integration; Effectiveness    </w:t>
      </w:r>
      <w:r>
        <w:rPr>
          <w:rFonts w:ascii="Times New Roman;sans-serif" w:hAnsi="Times New Roman;sans-serif"/>
          <w:b w:val="false"/>
          <w:strike/>
          <w:color w:val="FF0000"/>
          <w:sz w:val="22"/>
        </w:rPr>
        <w:t>152</w:t>
      </w:r>
      <w:r>
        <w:rPr>
          <w:rFonts w:ascii="Times New Roman;sans-serif" w:hAnsi="Times New Roman;sans-serif"/>
          <w:b/>
          <w:color w:val="0000FF"/>
          <w:sz w:val="22"/>
          <w:u w:val="single"/>
        </w:rPr>
        <w:t>151</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9.08.    Severability    </w:t>
      </w:r>
      <w:r>
        <w:rPr>
          <w:rFonts w:ascii="Times New Roman;sans-serif" w:hAnsi="Times New Roman;sans-serif"/>
          <w:b w:val="false"/>
          <w:strike/>
          <w:color w:val="FF0000"/>
          <w:sz w:val="22"/>
        </w:rPr>
        <w:t>153</w:t>
      </w:r>
      <w:r>
        <w:rPr>
          <w:rFonts w:ascii="Times New Roman;sans-serif" w:hAnsi="Times New Roman;sans-serif"/>
          <w:b/>
          <w:color w:val="0000FF"/>
          <w:sz w:val="22"/>
          <w:u w:val="single"/>
        </w:rPr>
        <w:t>151</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9.09.    Right of Setoff    </w:t>
      </w:r>
      <w:r>
        <w:rPr>
          <w:rFonts w:ascii="Times New Roman;sans-serif" w:hAnsi="Times New Roman;sans-serif"/>
          <w:b w:val="false"/>
          <w:strike/>
          <w:color w:val="FF0000"/>
          <w:sz w:val="22"/>
        </w:rPr>
        <w:t>153</w:t>
      </w:r>
      <w:r>
        <w:rPr>
          <w:rFonts w:ascii="Times New Roman;sans-serif" w:hAnsi="Times New Roman;sans-serif"/>
          <w:b/>
          <w:color w:val="0000FF"/>
          <w:sz w:val="22"/>
          <w:u w:val="single"/>
        </w:rPr>
        <w:t>151</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9.10.    Governing Law; Jurisdiction; Consent to Service of Process    </w:t>
      </w:r>
      <w:r>
        <w:rPr>
          <w:rFonts w:ascii="Times New Roman;sans-serif" w:hAnsi="Times New Roman;sans-serif"/>
          <w:b w:val="false"/>
          <w:strike/>
          <w:color w:val="FF0000"/>
          <w:sz w:val="22"/>
        </w:rPr>
        <w:t>153</w:t>
      </w:r>
      <w:r>
        <w:rPr>
          <w:rFonts w:ascii="Times New Roman;sans-serif" w:hAnsi="Times New Roman;sans-serif"/>
          <w:b/>
          <w:color w:val="0000FF"/>
          <w:sz w:val="22"/>
          <w:u w:val="single"/>
        </w:rPr>
        <w:t>152</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9.11.    Waiver of Jury Trial    </w:t>
      </w:r>
      <w:r>
        <w:rPr>
          <w:rFonts w:ascii="Times New Roman;sans-serif" w:hAnsi="Times New Roman;sans-serif"/>
          <w:b w:val="false"/>
          <w:strike/>
          <w:color w:val="FF0000"/>
          <w:sz w:val="22"/>
        </w:rPr>
        <w:t>154</w:t>
      </w:r>
      <w:r>
        <w:rPr>
          <w:rFonts w:ascii="Times New Roman;sans-serif" w:hAnsi="Times New Roman;sans-serif"/>
          <w:b/>
          <w:color w:val="0000FF"/>
          <w:sz w:val="22"/>
          <w:u w:val="single"/>
        </w:rPr>
        <w:t>153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9.12.    Headings    </w:t>
      </w:r>
      <w:r>
        <w:rPr>
          <w:rFonts w:ascii="Times New Roman;sans-serif" w:hAnsi="Times New Roman;sans-serif"/>
          <w:b w:val="false"/>
          <w:strike/>
          <w:color w:val="FF0000"/>
          <w:sz w:val="22"/>
        </w:rPr>
        <w:t>154</w:t>
      </w:r>
      <w:r>
        <w:rPr>
          <w:rFonts w:ascii="Times New Roman;sans-serif" w:hAnsi="Times New Roman;sans-serif"/>
          <w:b/>
          <w:color w:val="0000FF"/>
          <w:sz w:val="22"/>
          <w:u w:val="single"/>
        </w:rPr>
        <w:t>153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9.13.    Confidentiality    </w:t>
      </w:r>
      <w:r>
        <w:rPr>
          <w:rFonts w:ascii="Times New Roman;sans-serif" w:hAnsi="Times New Roman;sans-serif"/>
          <w:b w:val="false"/>
          <w:strike/>
          <w:color w:val="FF0000"/>
          <w:sz w:val="22"/>
        </w:rPr>
        <w:t>154</w:t>
      </w:r>
      <w:r>
        <w:rPr>
          <w:rFonts w:ascii="Times New Roman;sans-serif" w:hAnsi="Times New Roman;sans-serif"/>
          <w:b/>
          <w:color w:val="0000FF"/>
          <w:sz w:val="22"/>
          <w:u w:val="single"/>
        </w:rPr>
        <w:t>153</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9.14.    No Fiduciary Duty    </w:t>
      </w:r>
      <w:r>
        <w:rPr>
          <w:rFonts w:ascii="Times New Roman;sans-serif" w:hAnsi="Times New Roman;sans-serif"/>
          <w:b w:val="false"/>
          <w:strike/>
          <w:color w:val="FF0000"/>
          <w:sz w:val="22"/>
        </w:rPr>
        <w:t>156</w:t>
      </w:r>
      <w:r>
        <w:rPr>
          <w:rFonts w:ascii="Times New Roman;sans-serif" w:hAnsi="Times New Roman;sans-serif"/>
          <w:b/>
          <w:color w:val="0000FF"/>
          <w:sz w:val="22"/>
          <w:u w:val="single"/>
        </w:rPr>
        <w:t>154</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9.15.    Several Obligations    </w:t>
      </w:r>
      <w:r>
        <w:rPr>
          <w:rFonts w:ascii="Times New Roman;sans-serif" w:hAnsi="Times New Roman;sans-serif"/>
          <w:b w:val="false"/>
          <w:strike/>
          <w:color w:val="FF0000"/>
          <w:sz w:val="22"/>
        </w:rPr>
        <w:t>156</w:t>
      </w:r>
      <w:r>
        <w:rPr>
          <w:rFonts w:ascii="Times New Roman;sans-serif" w:hAnsi="Times New Roman;sans-serif"/>
          <w:b/>
          <w:color w:val="0000FF"/>
          <w:sz w:val="22"/>
          <w:u w:val="single"/>
        </w:rPr>
        <w:t>155</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9.16.    USA PATRIOT Act    </w:t>
      </w:r>
      <w:r>
        <w:rPr>
          <w:rFonts w:ascii="Times New Roman;sans-serif" w:hAnsi="Times New Roman;sans-serif"/>
          <w:b w:val="false"/>
          <w:strike/>
          <w:color w:val="FF0000"/>
          <w:sz w:val="22"/>
        </w:rPr>
        <w:t>156</w:t>
      </w:r>
      <w:r>
        <w:rPr>
          <w:rFonts w:ascii="Times New Roman;sans-serif" w:hAnsi="Times New Roman;sans-serif"/>
          <w:b/>
          <w:color w:val="0000FF"/>
          <w:sz w:val="22"/>
          <w:u w:val="single"/>
        </w:rPr>
        <w:t>155</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9.17.    Disclosure    </w:t>
      </w:r>
      <w:r>
        <w:rPr>
          <w:rFonts w:ascii="Times New Roman;sans-serif" w:hAnsi="Times New Roman;sans-serif"/>
          <w:b w:val="false"/>
          <w:strike/>
          <w:color w:val="FF0000"/>
          <w:sz w:val="22"/>
        </w:rPr>
        <w:t>156</w:t>
      </w:r>
      <w:r>
        <w:rPr>
          <w:rFonts w:ascii="Times New Roman;sans-serif" w:hAnsi="Times New Roman;sans-serif"/>
          <w:b/>
          <w:color w:val="0000FF"/>
          <w:sz w:val="22"/>
          <w:u w:val="single"/>
        </w:rPr>
        <w:t>155</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9.18.    Appointment for Perfection    </w:t>
      </w:r>
      <w:r>
        <w:rPr>
          <w:rFonts w:ascii="Times New Roman;sans-serif" w:hAnsi="Times New Roman;sans-serif"/>
          <w:b w:val="false"/>
          <w:strike/>
          <w:color w:val="FF0000"/>
          <w:sz w:val="22"/>
        </w:rPr>
        <w:t>156</w:t>
      </w:r>
      <w:r>
        <w:rPr>
          <w:rFonts w:ascii="Times New Roman;sans-serif" w:hAnsi="Times New Roman;sans-serif"/>
          <w:b/>
          <w:color w:val="0000FF"/>
          <w:sz w:val="22"/>
          <w:u w:val="single"/>
        </w:rPr>
        <w:t>155</w:t>
      </w:r>
    </w:p>
    <w:p>
      <w:pPr>
        <w:pStyle w:val="TextBody"/>
        <w:bidi w:val="0"/>
        <w:spacing w:lineRule="auto" w:line="240"/>
        <w:ind w:left="0" w:right="0" w:hanging="1728"/>
        <w:jc w:val="left"/>
        <w:rPr/>
      </w:pPr>
      <w:r>
        <w:rPr>
          <w:rFonts w:ascii="Times New Roman;sans-serif" w:hAnsi="Times New Roman;sans-serif"/>
          <w:b w:val="false"/>
          <w:color w:val="000000"/>
          <w:sz w:val="22"/>
        </w:rPr>
        <w:t>SECTION 9.19.    Interest Rate Limitation    </w:t>
      </w:r>
      <w:r>
        <w:rPr>
          <w:rFonts w:ascii="Times New Roman;sans-serif" w:hAnsi="Times New Roman;sans-serif"/>
          <w:b w:val="false"/>
          <w:strike/>
          <w:color w:val="FF0000"/>
          <w:sz w:val="22"/>
        </w:rPr>
        <w:t>156</w:t>
      </w:r>
      <w:r>
        <w:rPr>
          <w:rFonts w:ascii="Times New Roman;sans-serif" w:hAnsi="Times New Roman;sans-serif"/>
          <w:b/>
          <w:color w:val="0000FF"/>
          <w:sz w:val="22"/>
          <w:u w:val="single"/>
        </w:rPr>
        <w:t>155</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62890"/>
                <wp:effectExtent l="0" t="0" r="0" b="0"/>
                <wp:wrapNone/>
                <wp:docPr id="45" name="Frame4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9.20.    [Reserved]    </w:t>
      </w:r>
      <w:r>
        <w:rPr>
          <w:rFonts w:ascii="Times New Roman;sans-serif" w:hAnsi="Times New Roman;sans-serif"/>
          <w:b w:val="false"/>
          <w:strike/>
          <w:color w:val="FF0000"/>
          <w:sz w:val="22"/>
        </w:rPr>
        <w:t>157</w:t>
      </w:r>
      <w:r>
        <w:rPr>
          <w:rFonts w:ascii="Times New Roman;sans-serif" w:hAnsi="Times New Roman;sans-serif"/>
          <w:b/>
          <w:color w:val="0000FF"/>
          <w:sz w:val="22"/>
          <w:u w:val="single"/>
        </w:rPr>
        <w:t>155</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9.21.    Conflicts    </w:t>
      </w:r>
      <w:r>
        <w:rPr>
          <w:rFonts w:ascii="Times New Roman;sans-serif" w:hAnsi="Times New Roman;sans-serif"/>
          <w:b w:val="false"/>
          <w:strike/>
          <w:color w:val="FF0000"/>
          <w:sz w:val="22"/>
        </w:rPr>
        <w:t>157</w:t>
      </w:r>
      <w:r>
        <w:rPr>
          <w:rFonts w:ascii="Times New Roman;sans-serif" w:hAnsi="Times New Roman;sans-serif"/>
          <w:b/>
          <w:color w:val="0000FF"/>
          <w:sz w:val="22"/>
          <w:u w:val="single"/>
        </w:rPr>
        <w:t>155</w:t>
      </w:r>
    </w:p>
    <w:p>
      <w:pPr>
        <w:pStyle w:val="TextBody"/>
        <w:bidi w:val="0"/>
        <w:spacing w:lineRule="auto" w:line="240" w:before="0" w:after="0"/>
        <w:ind w:left="0" w:right="0" w:hanging="1728"/>
        <w:jc w:val="left"/>
        <w:rPr/>
      </w:pPr>
      <w:r>
        <w:rPr>
          <w:rFonts w:ascii="Times New Roman;sans-serif" w:hAnsi="Times New Roman;sans-serif"/>
          <w:b w:val="false"/>
          <w:color w:val="000000"/>
          <w:sz w:val="22"/>
        </w:rPr>
        <w:t>SECTION 9.22.    Release of Guarantors and Discretionary Borrowers    </w:t>
      </w:r>
      <w:r>
        <w:rPr>
          <w:rFonts w:ascii="Times New Roman;sans-serif" w:hAnsi="Times New Roman;sans-serif"/>
          <w:b w:val="false"/>
          <w:strike/>
          <w:color w:val="FF0000"/>
          <w:sz w:val="22"/>
        </w:rPr>
        <w:t>157</w:t>
      </w:r>
      <w:r>
        <w:rPr>
          <w:rFonts w:ascii="Times New Roman;sans-serif" w:hAnsi="Times New Roman;sans-serif"/>
          <w:b/>
          <w:color w:val="0000FF"/>
          <w:sz w:val="22"/>
          <w:u w:val="single"/>
        </w:rPr>
        <w:t>156</w:t>
      </w:r>
    </w:p>
    <w:p>
      <w:pPr>
        <w:pStyle w:val="TextBody"/>
        <w:bidi w:val="0"/>
        <w:spacing w:lineRule="auto" w:line="240" w:before="0" w:after="240"/>
        <w:ind w:left="0" w:right="0" w:hanging="1728"/>
        <w:jc w:val="left"/>
        <w:rPr/>
      </w:pPr>
      <w:r>
        <w:rPr>
          <w:rFonts w:ascii="Times New Roman;sans-serif" w:hAnsi="Times New Roman;sans-serif"/>
          <w:b w:val="false"/>
          <w:color w:val="000000"/>
          <w:sz w:val="22"/>
        </w:rPr>
        <w:t>SECTION 9.23.    Acknowledgment and Consent to Bail-In of Affected Financial Institutions    </w:t>
      </w:r>
      <w:r>
        <w:rPr>
          <w:rFonts w:ascii="Times New Roman;sans-serif" w:hAnsi="Times New Roman;sans-serif"/>
          <w:b w:val="false"/>
          <w:strike/>
          <w:color w:val="FF0000"/>
          <w:sz w:val="22"/>
        </w:rPr>
        <w:t>158</w:t>
      </w:r>
      <w:r>
        <w:rPr>
          <w:rFonts w:ascii="Times New Roman;sans-serif" w:hAnsi="Times New Roman;sans-serif"/>
          <w:b/>
          <w:color w:val="0000FF"/>
          <w:sz w:val="22"/>
          <w:u w:val="single"/>
        </w:rPr>
        <w:t>156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SCHEDULES:</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Schedule 1.01(a)    –    Commitment Schedule</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Schedule 3.05    –    Disclosed Matters</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Schedule 3.07    –    Subsidiaries</w:t>
      </w:r>
    </w:p>
    <w:p>
      <w:pPr>
        <w:pStyle w:val="TextBody"/>
        <w:bidi w:val="0"/>
        <w:spacing w:before="0" w:after="0"/>
        <w:ind w:left="0" w:right="0" w:hanging="2340"/>
        <w:jc w:val="both"/>
        <w:rPr/>
      </w:pPr>
      <w:r>
        <w:rPr/>
      </w:r>
    </w:p>
    <w:p>
      <w:pPr>
        <w:pStyle w:val="TextBody"/>
        <w:bidi w:val="0"/>
        <w:spacing w:lineRule="auto" w:line="240" w:before="0" w:after="24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EXHIBITS:</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A-1    –    Form of Assignment and Assumption</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A-2    –    Form of Affiliated Lender Assignment and Assumption</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B    –    Form of Borrowing Request </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C    –    [Reserved]</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D    –    Form of Interest Election Request</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E    –    [Reserved]</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F    –    [Reserved]</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G    –    Form of Promissory Note</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H-1    –    Form of Trademark Security Agreement</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H-2    –    Form of Patent Security Agreement</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H-3    –    Form of Copyright Security Agreement</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I    –    [Reserved]</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J    –    Form of Collateral Agreement</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K    –    Form of Solvency Certificate</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L    –    [Reserved]</w:t>
      </w:r>
    </w:p>
    <w:p>
      <w:pPr>
        <w:pStyle w:val="TextBody"/>
        <w:bidi w:val="0"/>
        <w:spacing w:lineRule="auto" w:line="240" w:before="0" w:after="0"/>
        <w:ind w:left="0" w:right="0" w:hanging="2340"/>
        <w:jc w:val="both"/>
        <w:rPr>
          <w:rFonts w:ascii="Times New Roman;sans-serif" w:hAnsi="Times New Roman;sans-serif"/>
          <w:b w:val="false"/>
          <w:color w:val="000000"/>
          <w:sz w:val="22"/>
        </w:rPr>
      </w:pPr>
      <w:r>
        <w:rPr>
          <w:rFonts w:ascii="Times New Roman;sans-serif" w:hAnsi="Times New Roman;sans-serif"/>
          <w:b w:val="false"/>
          <w:color w:val="000000"/>
          <w:sz w:val="22"/>
        </w:rPr>
        <w:t>Exhibit M    –    Form of Pari Passu Intercreditor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62890"/>
                <wp:effectExtent l="0" t="0" r="0" b="0"/>
                <wp:wrapNone/>
                <wp:docPr id="46" name="Frame4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FIRST LIEN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FIRST LIEN CREDIT AGREEMENT, dated as of August 2, 2021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by and among Victoria’s Secret &amp; Co., a Delaware corporation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as the borrower hereunder, the Lenders from time to time party hereto, and JPMorgan Chase Bank, N.A, in its capacities as administrative agent and collateral agent for the Lenders (in such capacities, the “</w:t>
      </w:r>
      <w:r>
        <w:rPr>
          <w:rFonts w:ascii="Times New Roman;sans-serif" w:hAnsi="Times New Roman;sans-serif"/>
          <w:b/>
          <w:color w:val="000000"/>
          <w:sz w:val="22"/>
        </w:rPr>
        <w:t>Administrative Agent</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RECITALS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Company has requested that the Term Lenders extend credit in the form of Initial Term Loans in an original aggregate principal amount equal to $400,000,000.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     On July 15, 2021, the Company issued and sold senior unsecured notes due 2029 in an aggregate principal amount of $600,000,000 (the “</w:t>
      </w:r>
      <w:r>
        <w:rPr>
          <w:rFonts w:ascii="Times New Roman;sans-serif" w:hAnsi="Times New Roman;sans-serif"/>
          <w:b/>
          <w:color w:val="000000"/>
          <w:sz w:val="22"/>
        </w:rPr>
        <w:t>Senior Notes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Company will use the proceeds from the Initial Term Loans, together with the proceeds of the Senior Notes and the ABL Facility, directly or indirectly, to pay the Closing Date Payment and to pay Transaction Costs.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The Lenders are willing to extend such credit on the terms and subject to the conditions set forth herein. Accordingly, the parties hereto agree as follows:</w:t>
      </w:r>
    </w:p>
    <w:p>
      <w:pPr>
        <w:pStyle w:val="TextBody"/>
        <w:bidi w:val="0"/>
        <w:spacing w:lineRule="auto" w:line="240" w:before="0" w:after="240"/>
        <w:jc w:val="center"/>
        <w:rPr/>
      </w:pPr>
      <w:r>
        <w:rPr>
          <w:rFonts w:ascii="Times New Roman;sans-serif" w:hAnsi="Times New Roman;sans-serif"/>
          <w:b w:val="false"/>
          <w:color w:val="000000"/>
          <w:sz w:val="22"/>
        </w:rPr>
        <w:t>Article 1</w:t>
      </w:r>
      <w:r>
        <w:rPr>
          <w:rFonts w:ascii="Times New Roman;sans-serif" w:hAnsi="Times New Roman;sans-serif"/>
          <w:b w:val="false"/>
          <w:color w:val="000000"/>
          <w:sz w:val="22"/>
        </w:rPr>
        <w:t>DEFINITIONS</w:t>
      </w:r>
    </w:p>
    <w:p>
      <w:pPr>
        <w:pStyle w:val="TextBody"/>
        <w:bidi w:val="0"/>
        <w:spacing w:lineRule="auto" w:line="240" w:before="0" w:after="240"/>
        <w:jc w:val="both"/>
        <w:rPr/>
      </w:pPr>
      <w:r>
        <w:rPr>
          <w:rFonts w:ascii="Times New Roman;sans-serif" w:hAnsi="Times New Roman;sans-serif"/>
          <w:b w:val="false"/>
          <w:color w:val="000000"/>
          <w:sz w:val="22"/>
        </w:rPr>
        <w:t>Section 1.0a.</w:t>
      </w:r>
      <w:r>
        <w:rPr>
          <w:rFonts w:ascii="Times New Roman;sans-serif" w:hAnsi="Times New Roman;sans-serif"/>
          <w:b w:val="false"/>
          <w:color w:val="000000"/>
          <w:sz w:val="22"/>
        </w:rPr>
        <w:t>Defined Terms. As used in this Agreement, the following terms have the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Collateral Agent</w:t>
      </w:r>
      <w:r>
        <w:rPr>
          <w:color w:val="000000"/>
        </w:rPr>
        <w:t xml:space="preserve">” </w:t>
      </w:r>
      <w:r>
        <w:rPr>
          <w:rFonts w:ascii="Times New Roman;sans-serif" w:hAnsi="Times New Roman;sans-serif"/>
          <w:b w:val="false"/>
          <w:color w:val="000000"/>
          <w:sz w:val="22"/>
        </w:rPr>
        <w:t>has the meaning set forth in the ABL Intercreditor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Credit Agreement</w:t>
      </w:r>
      <w:r>
        <w:rPr>
          <w:color w:val="000000"/>
        </w:rPr>
        <w:t xml:space="preserve">” </w:t>
      </w:r>
      <w:r>
        <w:rPr>
          <w:rFonts w:ascii="Times New Roman;sans-serif" w:hAnsi="Times New Roman;sans-serif"/>
          <w:b w:val="false"/>
          <w:color w:val="000000"/>
          <w:sz w:val="22"/>
        </w:rPr>
        <w:t>means the Revolving Credit Agreement, dated as of the Closing Date, among, inter alios, the Company, certain subsidiaries party thereto, JPMorgan Chase Bank, N.A., as administrative agent and collateral agent and the lenders from time to time party thereto, as amended, restated,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 and whether provided under the original ABL Credit Agreement or other credit agreements or otherwise), except to the extent such agreement, instrument or document expressly provides that it is not intended to be and is not an ABL Credit Agreement. Any references to the ABL Credit Agreement hereunder shall be deemed a reference to each ABL Credit Agreement then in existence.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Facility</w:t>
      </w:r>
      <w:r>
        <w:rPr>
          <w:color w:val="000000"/>
        </w:rPr>
        <w:t xml:space="preserve">” </w:t>
      </w:r>
      <w:r>
        <w:rPr>
          <w:rFonts w:ascii="Times New Roman;sans-serif" w:hAnsi="Times New Roman;sans-serif"/>
          <w:b w:val="false"/>
          <w:color w:val="000000"/>
          <w:sz w:val="22"/>
        </w:rPr>
        <w:t>means the collective reference to the ABL Credit Agreement, any Loan Documents (as defined therein), any notes and letters of credit issued pursuant thereto and any guarantee and collateral agreement, letter of credit applications and other guarantees, pledge agreements, security agreements (including Intellectual Property Security Agreements) and collateral documents, and other instruments and documents, executed and delivered pursuant to or in connection with any of the foregoing, in each case as the same may be amended, supplemented, waived or otherwise modified from time to time, or refunded, refinanced, restructured, replaced, renewed, repaid, increased or extended from time to time (whether in whole or in part, whether with the original agent and lenders or other agents and lenders or otherwise, and whether provided under the original ABL Credit Agreement or one or more other credit agreements, indentures or financing agreements or otherwise) except to the extent such agreement, instrument or document expressly provides that it is not intended to be and is not an ABL Facility. Without limiting the generality of the foregoing, the term “ABL Facility” shall include any agreement (i) changing the maturity of any Indebtedness Incurred thereunder or contemplated thereby, (ii) adding Subsidiaries of the Company as additional borrowers or guarantors thereunder, (iii) increasing the amount of Indebtedness Incurred thereunder or available to be borrowed thereunder or (iv) otherwise altering the terms and conditions thereof.</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38150"/>
                <wp:effectExtent l="0" t="0" r="0" b="0"/>
                <wp:wrapNone/>
                <wp:docPr id="47" name="Frame47"/>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Incremental Debt</w:t>
      </w:r>
      <w:r>
        <w:rPr>
          <w:color w:val="000000"/>
        </w:rPr>
        <w:t xml:space="preserve">” </w:t>
      </w:r>
      <w:r>
        <w:rPr>
          <w:rFonts w:ascii="Times New Roman;sans-serif" w:hAnsi="Times New Roman;sans-serif"/>
          <w:b w:val="false"/>
          <w:color w:val="000000"/>
          <w:sz w:val="22"/>
        </w:rPr>
        <w:t>has the meaning given to the term “Incremental Revolving Loans” in the ABL Credit Agreement (or any equivalent term under any ABL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w:t>
      </w:r>
      <w:r>
        <w:rPr>
          <w:color w:val="000000"/>
        </w:rPr>
        <w:t xml:space="preserve"> </w:t>
      </w:r>
      <w:r>
        <w:rPr>
          <w:rFonts w:ascii="Times New Roman;sans-serif" w:hAnsi="Times New Roman;sans-serif"/>
          <w:b/>
          <w:color w:val="000000"/>
          <w:sz w:val="22"/>
        </w:rPr>
        <w:t>Intercreditor Agreement</w:t>
      </w:r>
      <w:r>
        <w:rPr>
          <w:color w:val="000000"/>
        </w:rPr>
        <w:t xml:space="preserve">” </w:t>
      </w:r>
      <w:r>
        <w:rPr>
          <w:rFonts w:ascii="Times New Roman;sans-serif" w:hAnsi="Times New Roman;sans-serif"/>
          <w:b w:val="false"/>
          <w:color w:val="000000"/>
          <w:sz w:val="22"/>
        </w:rPr>
        <w:t>means the ABL Intercreditor Agreement dated as of August 2, 2021, among the Administrative Agent and the ABL Collateral Agent, and acknowledged by the grantors from time to time party thereto, as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Priority Collateral</w:t>
      </w:r>
      <w:r>
        <w:rPr>
          <w:color w:val="000000"/>
        </w:rPr>
        <w:t xml:space="preserve">” </w:t>
      </w:r>
      <w:r>
        <w:rPr>
          <w:rFonts w:ascii="Times New Roman;sans-serif" w:hAnsi="Times New Roman;sans-serif"/>
          <w:b w:val="false"/>
          <w:color w:val="000000"/>
          <w:sz w:val="22"/>
        </w:rPr>
        <w:t>has the meaning assigned to such term in the ABL Intercreditor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ABR</w:t>
      </w:r>
      <w:r>
        <w:rPr>
          <w:color w:val="000000"/>
        </w:rPr>
        <w:t>”</w:t>
      </w:r>
      <w:r>
        <w:rPr>
          <w:rFonts w:ascii="Times New Roman;sans-serif" w:hAnsi="Times New Roman;sans-serif"/>
          <w:b w:val="false"/>
          <w:color w:val="000000"/>
          <w:sz w:val="22"/>
        </w:rPr>
        <w:t>, when used in reference to any Loan or Borrowing, refers to whether such Loan, or the Loans comprising such Borrowing, bears interest at a rate determined by reference to the Alternate Base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Acceptable Intercreditor Agreement</w:t>
      </w:r>
      <w:r>
        <w:rPr>
          <w:color w:val="000000"/>
        </w:rPr>
        <w:t xml:space="preserve">” </w:t>
      </w:r>
      <w:r>
        <w:rPr>
          <w:rFonts w:ascii="Times New Roman;sans-serif" w:hAnsi="Times New Roman;sans-serif"/>
          <w:b w:val="false"/>
          <w:color w:val="000000"/>
          <w:sz w:val="22"/>
        </w:rPr>
        <w:t>means the ABL Intercreditor Agreement, a Market Intercreditor Agreement, or another intercreditor agreement that is reasonably satisfactory to the Administrative Agent (which may, if applicable, consist of a payment “waterfall”).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ACH</w:t>
      </w:r>
      <w:r>
        <w:rPr>
          <w:color w:val="000000"/>
        </w:rPr>
        <w:t xml:space="preserve">” </w:t>
      </w:r>
      <w:r>
        <w:rPr>
          <w:rFonts w:ascii="Times New Roman;sans-serif" w:hAnsi="Times New Roman;sans-serif"/>
          <w:b w:val="false"/>
          <w:color w:val="000000"/>
          <w:sz w:val="22"/>
        </w:rPr>
        <w:t>means automated clearing house transfers.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Acquired Indebtedness</w:t>
      </w:r>
      <w:r>
        <w:rPr>
          <w:color w:val="000000"/>
        </w:rPr>
        <w:t xml:space="preserve">” </w:t>
      </w:r>
      <w:r>
        <w:rPr>
          <w:rFonts w:ascii="Times New Roman;sans-serif" w:hAnsi="Times New Roman;sans-serif"/>
          <w:b w:val="false"/>
          <w:color w:val="000000"/>
          <w:sz w:val="22"/>
        </w:rPr>
        <w:t>means Indebtedness of a Person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existing at the time such Person becomes a Subsidiary or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assumed in connection with the acquisition of assets from such Person, in each case other than Indebtedness Incurred in connection with, or in contemplation of, such Person becoming a Subsidiary or such acquisition. Acquired Indebtedness shall be deemed to be Incurred on the date of the related acquisition of assets from any Person or the date the acquired Person becomes a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Assets</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any property or assets that replace the property or assets that are the subject of an Asset Disposition;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any property or assets (other than Indebtedness and Capital Stock) used or to be used by the Company or a Restricted Subsidiary or otherwise useful in a Related Business, and any capital expenditures in respect of any property or assets already so used; (</w:t>
      </w:r>
      <w:r>
        <w:rPr>
          <w:rFonts w:ascii="Times New Roman;sans-serif" w:hAnsi="Times New Roman;sans-serif"/>
          <w:b w:val="false"/>
          <w:color w:val="000000"/>
          <w:sz w:val="22"/>
          <w:u w:val="single"/>
        </w:rPr>
        <w:t>iii</w:t>
      </w:r>
      <w:r>
        <w:rPr>
          <w:rFonts w:ascii="Times New Roman;sans-serif" w:hAnsi="Times New Roman;sans-serif"/>
          <w:b w:val="false"/>
          <w:color w:val="000000"/>
          <w:sz w:val="22"/>
        </w:rPr>
        <w:t>) the Capital Stock of a Person that is engaged in a Related Business and becomes a Restricted Subsidiary as a result of the acquisition of such Capital Stock by the Company or another Restricted Subsidiary; or (</w:t>
      </w:r>
      <w:r>
        <w:rPr>
          <w:rFonts w:ascii="Times New Roman;sans-serif" w:hAnsi="Times New Roman;sans-serif"/>
          <w:b w:val="false"/>
          <w:color w:val="000000"/>
          <w:sz w:val="22"/>
          <w:u w:val="single"/>
        </w:rPr>
        <w:t>iv</w:t>
      </w:r>
      <w:r>
        <w:rPr>
          <w:rFonts w:ascii="Times New Roman;sans-serif" w:hAnsi="Times New Roman;sans-serif"/>
          <w:b w:val="false"/>
          <w:color w:val="000000"/>
          <w:sz w:val="22"/>
        </w:rPr>
        <w:t>) Capital Stock of any Person that at such time is a Restricted Subsidiary acquired from a third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Commitment</w:t>
      </w:r>
      <w:r>
        <w:rPr>
          <w:color w:val="000000"/>
        </w:rPr>
        <w:t xml:space="preserve">” </w:t>
      </w:r>
      <w:r>
        <w:rPr>
          <w:rFonts w:ascii="Times New Roman;sans-serif" w:hAnsi="Times New Roman;sans-serif"/>
          <w:b w:val="false"/>
          <w:color w:val="000000"/>
          <w:sz w:val="22"/>
        </w:rPr>
        <w:t xml:space="preserve">means any commitment hereunder added pursuant to </w:t>
      </w:r>
      <w:r>
        <w:rPr>
          <w:rFonts w:ascii="Times New Roman;sans-serif" w:hAnsi="Times New Roman;sans-serif"/>
          <w:b w:val="false"/>
          <w:color w:val="000000"/>
          <w:sz w:val="22"/>
          <w:u w:val="single"/>
        </w:rPr>
        <w:t>Sections 2.22</w:t>
      </w:r>
      <w:r>
        <w:rPr>
          <w:rFonts w:ascii="Times New Roman;sans-serif" w:hAnsi="Times New Roman;sans-serif"/>
          <w:b w:val="false"/>
          <w:color w:val="000000"/>
          <w:sz w:val="22"/>
        </w:rPr>
        <w:t>, 2.23 or 9.02(b).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Credit Facilities</w:t>
      </w:r>
      <w:r>
        <w:rPr>
          <w:color w:val="000000"/>
        </w:rPr>
        <w:t xml:space="preserve">” </w:t>
      </w:r>
      <w:r>
        <w:rPr>
          <w:rFonts w:ascii="Times New Roman;sans-serif" w:hAnsi="Times New Roman;sans-serif"/>
          <w:b w:val="false"/>
          <w:color w:val="000000"/>
          <w:sz w:val="22"/>
        </w:rPr>
        <w:t xml:space="preserve">means any credit facilities added pursuant to </w:t>
      </w:r>
      <w:r>
        <w:rPr>
          <w:rFonts w:ascii="Times New Roman;sans-serif" w:hAnsi="Times New Roman;sans-serif"/>
          <w:b w:val="false"/>
          <w:color w:val="000000"/>
          <w:sz w:val="22"/>
          <w:u w:val="single"/>
        </w:rPr>
        <w:t>Sections 2.22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2.22(b)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Loans</w:t>
      </w:r>
      <w:r>
        <w:rPr>
          <w:color w:val="000000"/>
        </w:rPr>
        <w:t xml:space="preserve">” </w:t>
      </w:r>
      <w:r>
        <w:rPr>
          <w:rFonts w:ascii="Times New Roman;sans-serif" w:hAnsi="Times New Roman;sans-serif"/>
          <w:b w:val="false"/>
          <w:color w:val="000000"/>
          <w:sz w:val="22"/>
        </w:rPr>
        <w:t>means any Additional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Non-ABL Secured Debt Obligations</w:t>
      </w:r>
      <w:r>
        <w:rPr>
          <w:color w:val="000000"/>
        </w:rPr>
        <w:t xml:space="preserve">” </w:t>
      </w:r>
      <w:r>
        <w:rPr>
          <w:rFonts w:ascii="Times New Roman;sans-serif" w:hAnsi="Times New Roman;sans-serif"/>
          <w:b w:val="false"/>
          <w:color w:val="000000"/>
          <w:sz w:val="22"/>
        </w:rPr>
        <w:t>means any Obligations secured by a Lien on the Non-ABL Priority Collateral and by a Lien on the ABL Priority Collateral, in each case that ranks pari passu as to priority (but without regard to control of remedies) with the Lien on such Collateral securing the Obligations hereunder (including the Subsidiary Guarantees), and that are permitted to be incurred and permitted to be so secured by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Term Loan Commitments</w:t>
      </w:r>
      <w:r>
        <w:rPr>
          <w:color w:val="000000"/>
        </w:rPr>
        <w:t xml:space="preserve">” </w:t>
      </w:r>
      <w:r>
        <w:rPr>
          <w:rFonts w:ascii="Times New Roman;sans-serif" w:hAnsi="Times New Roman;sans-serif"/>
          <w:b w:val="false"/>
          <w:color w:val="000000"/>
          <w:sz w:val="22"/>
        </w:rPr>
        <w:t xml:space="preserve">means any term loan commitment added hereunder pursuant to </w:t>
      </w:r>
      <w:r>
        <w:rPr>
          <w:rFonts w:ascii="Times New Roman;sans-serif" w:hAnsi="Times New Roman;sans-serif"/>
          <w:b w:val="false"/>
          <w:color w:val="000000"/>
          <w:sz w:val="22"/>
          <w:u w:val="single"/>
        </w:rPr>
        <w:t>Sections 2.22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9.02(b)(i)</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Term Loans</w:t>
      </w:r>
      <w:r>
        <w:rPr>
          <w:color w:val="000000"/>
        </w:rPr>
        <w:t xml:space="preserve">” </w:t>
      </w:r>
      <w:r>
        <w:rPr>
          <w:rFonts w:ascii="Times New Roman;sans-serif" w:hAnsi="Times New Roman;sans-serif"/>
          <w:b w:val="false"/>
          <w:color w:val="000000"/>
          <w:sz w:val="22"/>
        </w:rPr>
        <w:t xml:space="preserve">means any term loan added hereunder pursuant to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2.23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9.02(b)(i)</w:t>
      </w:r>
      <w:r>
        <w:rPr>
          <w:rFonts w:ascii="Times New Roman;sans-serif" w:hAnsi="Times New Roman;sans-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62890"/>
                <wp:effectExtent l="0" t="0" r="0" b="0"/>
                <wp:wrapNone/>
                <wp:docPr id="48" name="Frame4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Adjusted Daily Simple SOFR” means an interest rate per annum equal to (a) the Daily Simple SOFR, plus (b) 0.11448%; provided that, notwithstanding the foregoing, Adjusted Daily Simple SOFR shall at no time be less than 0.50% per annum.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 xml:space="preserve">Adjusted </w:t>
      </w:r>
      <w:r>
        <w:rPr>
          <w:rFonts w:ascii="Times New Roman;sans-serif" w:hAnsi="Times New Roman;sans-serif"/>
          <w:b/>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val="false"/>
          <w:strike/>
          <w:color w:val="FF0000"/>
          <w:sz w:val="22"/>
        </w:rPr>
        <w:t xml:space="preserve">with respect to any LIBO Rate Borrowing </w:t>
      </w:r>
      <w:r>
        <w:rPr>
          <w:rFonts w:ascii="Times New Roman;sans-serif" w:hAnsi="Times New Roman;sans-serif"/>
          <w:b w:val="false"/>
          <w:color w:val="000000"/>
          <w:sz w:val="22"/>
        </w:rPr>
        <w:t xml:space="preserve">for any Interest Period, an interest rate per annum </w:t>
      </w:r>
      <w:r>
        <w:rPr>
          <w:rFonts w:ascii="Times New Roman;sans-serif" w:hAnsi="Times New Roman;sans-serif"/>
          <w:b w:val="false"/>
          <w:strike/>
          <w:color w:val="FF0000"/>
          <w:sz w:val="22"/>
        </w:rPr>
        <w:t xml:space="preserve">(rounded upwards, if necessary, to the next 1/100 of 1%) </w:t>
      </w:r>
      <w:r>
        <w:rPr>
          <w:rFonts w:ascii="Times New Roman;sans-serif" w:hAnsi="Times New Roman;sans-serif"/>
          <w:b w:val="false"/>
          <w:color w:val="000000"/>
          <w:sz w:val="22"/>
        </w:rPr>
        <w:t xml:space="preserve">equal to (a)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for such Interest Period</w:t>
      </w:r>
      <w:r>
        <w:rPr>
          <w:strike/>
          <w:color w:val="FF0000"/>
        </w:rPr>
        <w:t xml:space="preserve"> </w:t>
      </w:r>
      <w:r>
        <w:rPr>
          <w:rFonts w:ascii="Times New Roman;sans-serif" w:hAnsi="Times New Roman;sans-serif"/>
          <w:b w:val="false"/>
          <w:strike/>
          <w:color w:val="FF0000"/>
          <w:sz w:val="22"/>
        </w:rPr>
        <w:t>multiplied by (b) the Statutory Reserve Rate</w:t>
      </w:r>
      <w:r>
        <w:rPr>
          <w:rFonts w:ascii="Times New Roman;sans-serif" w:hAnsi="Times New Roman;sans-serif"/>
          <w:b/>
          <w:color w:val="0000FF"/>
          <w:sz w:val="22"/>
          <w:u w:val="single"/>
        </w:rPr>
        <w:t>, plus (b)(i) 0.11448% for a one-month Interest Period, (ii) 0.26161% for a three-month Interest Period and (iii) 0.42826% for a six-month Interest Period</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the foregoing, </w:t>
      </w:r>
      <w:r>
        <w:rPr>
          <w:rFonts w:ascii="Times New Roman;sans-serif" w:hAnsi="Times New Roman;sans-serif"/>
          <w:b w:val="false"/>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shall at no time be less than 0.50% per annum.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Administrative Agent</w:t>
      </w:r>
      <w:r>
        <w:rPr>
          <w:color w:val="000000"/>
        </w:rPr>
        <w:t xml:space="preserve">” </w:t>
      </w:r>
      <w:r>
        <w:rPr>
          <w:rFonts w:ascii="Times New Roman;sans-serif" w:hAnsi="Times New Roman;sans-serif"/>
          <w:b w:val="false"/>
          <w:color w:val="000000"/>
          <w:sz w:val="22"/>
        </w:rPr>
        <w:t>means JPMorgan Chase Bank, N.A., in its capacity as administrative agent for the Lenders hereunder, and its Affiliates in such capacity.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Affiliated Lender</w:t>
      </w:r>
      <w:r>
        <w:rPr>
          <w:color w:val="000000"/>
        </w:rPr>
        <w:t xml:space="preserve">” </w:t>
      </w:r>
      <w:r>
        <w:rPr>
          <w:rFonts w:ascii="Times New Roman;sans-serif" w:hAnsi="Times New Roman;sans-serif"/>
          <w:b w:val="false"/>
          <w:color w:val="000000"/>
          <w:sz w:val="22"/>
        </w:rPr>
        <w:t>means the Company and/or any of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Affiliated Lender 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Affiliated Lender (with the consent of any party whose consent is required by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xml:space="preserve">) and accepted by the Administrative Agent in the form of </w:t>
      </w:r>
      <w:r>
        <w:rPr>
          <w:rFonts w:ascii="Times New Roman;sans-serif" w:hAnsi="Times New Roman;sans-serif"/>
          <w:b w:val="false"/>
          <w:color w:val="000000"/>
          <w:sz w:val="22"/>
          <w:u w:val="single"/>
        </w:rPr>
        <w:t>Exhibit A-2</w:t>
      </w:r>
      <w:r>
        <w:rPr>
          <w:color w:val="000000"/>
        </w:rPr>
        <w:t xml:space="preserve"> </w:t>
      </w:r>
      <w:r>
        <w:rPr>
          <w:rFonts w:ascii="Times New Roman;sans-serif" w:hAnsi="Times New Roman;sans-serif"/>
          <w:b w:val="false"/>
          <w:color w:val="000000"/>
          <w:sz w:val="22"/>
        </w:rPr>
        <w:t>or any other form approved by the Administrative Agent and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Agents</w:t>
      </w:r>
      <w:r>
        <w:rPr>
          <w:color w:val="000000"/>
        </w:rPr>
        <w:t xml:space="preserve">” </w:t>
      </w:r>
      <w:r>
        <w:rPr>
          <w:rFonts w:ascii="Times New Roman;sans-serif" w:hAnsi="Times New Roman;sans-serif"/>
          <w:b w:val="false"/>
          <w:color w:val="000000"/>
          <w:sz w:val="22"/>
        </w:rPr>
        <w:t>means the Administrative Agent and the Collateral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Agreement</w:t>
      </w:r>
      <w:r>
        <w:rPr>
          <w:color w:val="000000"/>
        </w:rPr>
        <w:t xml:space="preserve">” </w:t>
      </w:r>
      <w:r>
        <w:rPr>
          <w:rFonts w:ascii="Times New Roman;sans-serif" w:hAnsi="Times New Roman;sans-serif"/>
          <w:b w:val="false"/>
          <w:color w:val="000000"/>
          <w:sz w:val="22"/>
        </w:rPr>
        <w:t>has the meaning assigned to such term in the preamble to this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Alternate Base Rate</w:t>
      </w:r>
      <w:r>
        <w:rPr>
          <w:color w:val="000000"/>
        </w:rPr>
        <w:t xml:space="preserve">” </w:t>
      </w:r>
      <w:r>
        <w:rPr>
          <w:rFonts w:ascii="Times New Roman;sans-serif" w:hAnsi="Times New Roman;sans-serif"/>
          <w:b w:val="false"/>
          <w:color w:val="000000"/>
          <w:sz w:val="22"/>
        </w:rPr>
        <w:t>means, for any day, a rate per annum equal to the greatest of (a) the Prime Rate in effect on such day, (b) the NYFRB Rate in effect on such day plus ½ of 1% per annum and (c) </w:t>
      </w:r>
      <w:r>
        <w:rPr>
          <w:rFonts w:ascii="Times New Roman;sans-serif" w:hAnsi="Times New Roman;sans-serif"/>
          <w:b w:val="false"/>
          <w:strike/>
          <w:color w:val="FF0000"/>
          <w:sz w:val="22"/>
        </w:rPr>
        <w:t>the Adjusted LIBO Rate on</w:t>
      </w:r>
      <w:r>
        <w:rPr>
          <w:rFonts w:ascii="Times New Roman;sans-serif" w:hAnsi="Times New Roman;sans-serif"/>
          <w:b/>
          <w:color w:val="0000FF"/>
          <w:sz w:val="22"/>
          <w:u w:val="single"/>
        </w:rPr>
        <w:t>Adjusted Term SOFR for a one-month Interest Period as published two U.S. Government Securities Business Days prior to</w:t>
      </w:r>
      <w:r>
        <w:rPr>
          <w:color w:val="000000"/>
        </w:rPr>
        <w:t xml:space="preserve"> </w:t>
      </w:r>
      <w:r>
        <w:rPr>
          <w:rFonts w:ascii="Times New Roman;sans-serif" w:hAnsi="Times New Roman;sans-serif"/>
          <w:b w:val="false"/>
          <w:color w:val="000000"/>
          <w:sz w:val="22"/>
        </w:rPr>
        <w:t xml:space="preserve">such day (or if such day is not a </w:t>
      </w:r>
      <w:r>
        <w:rPr>
          <w:rFonts w:ascii="Times New Roman;sans-serif" w:hAnsi="Times New Roman;sans-serif"/>
          <w:b/>
          <w:color w:val="0000FF"/>
          <w:sz w:val="22"/>
          <w:u w:val="single"/>
        </w:rPr>
        <w:t xml:space="preserve">U.S. Government Securities </w:t>
      </w:r>
      <w:r>
        <w:rPr>
          <w:rFonts w:ascii="Times New Roman;sans-serif" w:hAnsi="Times New Roman;sans-serif"/>
          <w:b w:val="false"/>
          <w:color w:val="000000"/>
          <w:sz w:val="22"/>
        </w:rPr>
        <w:t xml:space="preserve">Business Day, the immediately preceding </w:t>
      </w:r>
      <w:r>
        <w:rPr>
          <w:rFonts w:ascii="Times New Roman;sans-serif" w:hAnsi="Times New Roman;sans-serif"/>
          <w:b/>
          <w:color w:val="0000FF"/>
          <w:sz w:val="22"/>
          <w:u w:val="single"/>
        </w:rPr>
        <w:t xml:space="preserve">U.S. Government Securities </w:t>
      </w:r>
      <w:r>
        <w:rPr>
          <w:rFonts w:ascii="Times New Roman;sans-serif" w:hAnsi="Times New Roman;sans-serif"/>
          <w:b w:val="false"/>
          <w:color w:val="000000"/>
          <w:sz w:val="22"/>
        </w:rPr>
        <w:t xml:space="preserve">Business Day) </w:t>
      </w:r>
      <w:r>
        <w:rPr>
          <w:rFonts w:ascii="Times New Roman;sans-serif" w:hAnsi="Times New Roman;sans-serif"/>
          <w:b w:val="false"/>
          <w:strike/>
          <w:color w:val="FF0000"/>
          <w:sz w:val="22"/>
        </w:rPr>
        <w:t xml:space="preserve">for a deposit in dollars with a maturity of one month </w:t>
      </w:r>
      <w:r>
        <w:rPr>
          <w:rFonts w:ascii="Times New Roman;sans-serif" w:hAnsi="Times New Roman;sans-serif"/>
          <w:b w:val="false"/>
          <w:color w:val="000000"/>
          <w:sz w:val="22"/>
        </w:rPr>
        <w:t xml:space="preserve">plus 1% per annum;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for purposes of this definition, </w:t>
      </w:r>
      <w:r>
        <w:rPr>
          <w:rFonts w:ascii="Times New Roman;sans-serif" w:hAnsi="Times New Roman;sans-serif"/>
          <w:b w:val="false"/>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for any day shall be based on the </w:t>
      </w:r>
      <w:r>
        <w:rPr>
          <w:rFonts w:ascii="Times New Roman;sans-serif" w:hAnsi="Times New Roman;sans-serif"/>
          <w:b w:val="false"/>
          <w:strike/>
          <w:color w:val="FF0000"/>
          <w:sz w:val="22"/>
        </w:rPr>
        <w:t>LIBO Screen Rate on such day for deposits in dollars with a maturity of one month (or, if the LIBO Screen Rate is not available for such one month maturity, the Interpolated Rate) at approximately 11:00 a.m., London time</w:t>
      </w:r>
      <w:r>
        <w:rPr>
          <w:rFonts w:ascii="Times New Roman;sans-serif" w:hAnsi="Times New Roman;sans-serif"/>
          <w:b/>
          <w:color w:val="0000FF"/>
          <w:sz w:val="22"/>
          <w:u w:val="single"/>
        </w:rPr>
        <w:t>Term SOFR Reference Rate at approximately 5:00 a.m. Chicago time on such day (or any amended publication time for the Term SOFR Reference Rate, as specified by the CME Term SOFR Administrator in the Term SOFR Reference Rate methodology)</w:t>
      </w:r>
      <w:r>
        <w:rPr>
          <w:rFonts w:ascii="Times New Roman;sans-serif" w:hAnsi="Times New Roman;sans-serif"/>
          <w:b w:val="false"/>
          <w:color w:val="000000"/>
          <w:sz w:val="22"/>
        </w:rPr>
        <w:t xml:space="preserve">. Any change in the Alternate Base Rate due to a change in the Prime Rate, the NYFRB Rate or </w:t>
      </w:r>
      <w:r>
        <w:rPr>
          <w:rFonts w:ascii="Times New Roman;sans-serif" w:hAnsi="Times New Roman;sans-serif"/>
          <w:b w:val="false"/>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shall be effective from and including the effective date of such change in the Prime Rate, the NYFRB Rate or </w:t>
      </w:r>
      <w:r>
        <w:rPr>
          <w:rFonts w:ascii="Times New Roman;sans-serif" w:hAnsi="Times New Roman;sans-serif"/>
          <w:b w:val="false"/>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rFonts w:ascii="Times New Roman;sans-serif" w:hAnsi="Times New Roman;sans-serif"/>
          <w:b w:val="false"/>
          <w:color w:val="000000"/>
          <w:sz w:val="22"/>
        </w:rPr>
        <w:t xml:space="preserve">, respectively. If the Alternate Base Rate is being used as an alternate rate of interest pursuant to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(for the avoidance of doubt, only until the applicable Benchmark Replacement has been determined pursuant to </w:t>
      </w:r>
      <w:r>
        <w:rPr>
          <w:rFonts w:ascii="Times New Roman;sans-serif" w:hAnsi="Times New Roman;sans-serif"/>
          <w:b w:val="false"/>
          <w:color w:val="000000"/>
          <w:sz w:val="22"/>
          <w:u w:val="single"/>
        </w:rPr>
        <w:t>Section 2.14(b)</w:t>
      </w:r>
      <w:r>
        <w:rPr>
          <w:rFonts w:ascii="Times New Roman;sans-serif" w:hAnsi="Times New Roman;sans-serif"/>
          <w:b w:val="false"/>
          <w:color w:val="000000"/>
          <w:sz w:val="22"/>
        </w:rPr>
        <w:t xml:space="preserve">), then </w:t>
      </w:r>
      <w:r>
        <w:rPr>
          <w:rFonts w:ascii="Times New Roman;sans-serif" w:hAnsi="Times New Roman;sans-serif"/>
          <w:b w:val="false"/>
          <w:strike/>
          <w:color w:val="FF0000"/>
          <w:sz w:val="22"/>
        </w:rPr>
        <w:t>for purposes of</w:t>
      </w:r>
      <w:r>
        <w:rPr>
          <w:rFonts w:ascii="Times New Roman;sans-serif" w:hAnsi="Times New Roman;sans-serif"/>
          <w:b/>
          <w:color w:val="0000FF"/>
          <w:sz w:val="22"/>
          <w:u w:val="single"/>
        </w:rPr>
        <w:t>the Alternate Base Rate shall be the greater of clauses (a) and (b) above and shall be determined without reference to</w:t>
      </w:r>
      <w:r>
        <w:rPr>
          <w:color w:val="000000"/>
        </w:rPr>
        <w:t xml:space="preserve"> </w:t>
      </w:r>
      <w:r>
        <w:rPr>
          <w:rFonts w:ascii="Times New Roman;sans-serif" w:hAnsi="Times New Roman;sans-serif"/>
          <w:b w:val="false"/>
          <w:color w:val="000000"/>
          <w:sz w:val="22"/>
        </w:rPr>
        <w:t>clause (c) above</w:t>
      </w:r>
      <w:r>
        <w:rPr>
          <w:strike/>
          <w:color w:val="FF0000"/>
        </w:rPr>
        <w:t xml:space="preserve"> </w:t>
      </w:r>
      <w:r>
        <w:rPr>
          <w:rFonts w:ascii="Times New Roman;sans-serif" w:hAnsi="Times New Roman;sans-serif"/>
          <w:b w:val="false"/>
          <w:strike/>
          <w:color w:val="FF0000"/>
          <w:sz w:val="22"/>
        </w:rPr>
        <w:t>the Adjusted LIBO Rate shall be deemed to be 0.50%</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62890"/>
                <wp:effectExtent l="0" t="0" r="0" b="0"/>
                <wp:wrapNone/>
                <wp:docPr id="49" name="Frame4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Amendment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6.03(iii)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Anti-Corruption Laws</w:t>
      </w:r>
      <w:r>
        <w:rPr>
          <w:color w:val="000000"/>
        </w:rPr>
        <w:t xml:space="preserve">” </w:t>
      </w:r>
      <w:r>
        <w:rPr>
          <w:rFonts w:ascii="Times New Roman;sans-serif" w:hAnsi="Times New Roman;sans-serif"/>
          <w:b w:val="false"/>
          <w:color w:val="000000"/>
          <w:sz w:val="22"/>
        </w:rPr>
        <w:t>means FCPA, the U.K. Bribery Act 2010 and all other laws, rules and regulations of any jurisdiction concerning or relating to bribery, corruption or money laundering, in each case to the extent applicable to the Company and its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Applicable Administrative Agent</w:t>
      </w:r>
      <w:r>
        <w:rPr>
          <w:color w:val="000000"/>
        </w:rPr>
        <w:t xml:space="preserve">” </w:t>
      </w:r>
      <w:r>
        <w:rPr>
          <w:rFonts w:ascii="Times New Roman;sans-serif" w:hAnsi="Times New Roman;sans-serif"/>
          <w:b w:val="false"/>
          <w:color w:val="000000"/>
          <w:sz w:val="22"/>
        </w:rPr>
        <w:t>means (i) with respect to ABL Priority Collateral, the ABL Collateral Agent (or other analogous term in another Acceptable Intercreditor Agreement, as applicable), (ii) with respect to Term Loan Priority Collateral, the Term Collateral Representative (as defined in the ABL Intercreditor Agreement) (or other analogous term in another Acceptable Intercreditor Agreement, as applicable) or (iii) if at any time there is no Intercreditor Agreement or other intercreditor agreement as described in the definition of Acceptable Intercreditor Agreement then in effect,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Applicable Charges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9.19</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Applicable Percentage</w:t>
      </w:r>
      <w:r>
        <w:rPr>
          <w:color w:val="000000"/>
        </w:rPr>
        <w:t xml:space="preserve">” </w:t>
      </w:r>
      <w:r>
        <w:rPr>
          <w:rFonts w:ascii="Times New Roman;sans-serif" w:hAnsi="Times New Roman;sans-serif"/>
          <w:b w:val="false"/>
          <w:color w:val="000000"/>
          <w:sz w:val="22"/>
        </w:rPr>
        <w:t>means, with respect to any Term Lender of any Class, a percentage equal to a fraction the numerator of which is the aggregate outstanding principal amount of the Term Loans and unused Additional Term Loan Commitments of such Term Lender under such Class and the denominator of which is the aggregate outstanding principal amount of the Term Loans and unused Additional Term Loan Commitments of all Term Lenders under such Class.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Applicable Price</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Applicable Rate</w:t>
      </w:r>
      <w:r>
        <w:rPr>
          <w:color w:val="000000"/>
        </w:rPr>
        <w:t xml:space="preserve">” </w:t>
      </w:r>
      <w:r>
        <w:rPr>
          <w:rFonts w:ascii="Times New Roman;sans-serif" w:hAnsi="Times New Roman;sans-serif"/>
          <w:b w:val="false"/>
          <w:color w:val="000000"/>
          <w:sz w:val="22"/>
        </w:rPr>
        <w:t xml:space="preserve">means, for any day, with respect to the Initial Term Loans, (x) with respect to ABR Loans, 2.25% per annum and (y) with respect to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Loans 3.25% per annum. The Applicable Rate for any Class of Additional Term Loans shall be as set forth in the applicable Refinancing Amendment, Incremental Facility Amendment or Extension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Approved Commercial Bank</w:t>
      </w:r>
      <w:r>
        <w:rPr>
          <w:color w:val="000000"/>
        </w:rPr>
        <w:t xml:space="preserve">” </w:t>
      </w:r>
      <w:r>
        <w:rPr>
          <w:rFonts w:ascii="Times New Roman;sans-serif" w:hAnsi="Times New Roman;sans-serif"/>
          <w:b w:val="false"/>
          <w:color w:val="000000"/>
          <w:sz w:val="22"/>
        </w:rPr>
        <w:t>means a commercial bank with a consolidated combined capital and surplus of at least $5,000,000,000.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Approved Fund</w:t>
      </w:r>
      <w:r>
        <w:rPr>
          <w:color w:val="000000"/>
        </w:rPr>
        <w:t xml:space="preserve">” </w:t>
      </w:r>
      <w:r>
        <w:rPr>
          <w:rFonts w:ascii="Times New Roman;sans-serif" w:hAnsi="Times New Roman;sans-serif"/>
          <w:b w:val="false"/>
          <w:color w:val="000000"/>
          <w:sz w:val="22"/>
        </w:rPr>
        <w:t>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Arrangers</w:t>
      </w:r>
      <w:r>
        <w:rPr>
          <w:color w:val="000000"/>
        </w:rPr>
        <w:t xml:space="preserve">” </w:t>
      </w:r>
      <w:r>
        <w:rPr>
          <w:rFonts w:ascii="Times New Roman;sans-serif" w:hAnsi="Times New Roman;sans-serif"/>
          <w:b w:val="false"/>
          <w:color w:val="000000"/>
          <w:sz w:val="22"/>
        </w:rPr>
        <w:t>means the financial institutions listed as such on the cover page to this Agreement, in their capacities as such.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Asset Disposition</w:t>
      </w:r>
      <w:r>
        <w:rPr>
          <w:color w:val="000000"/>
        </w:rPr>
        <w:t xml:space="preserve">” </w:t>
      </w:r>
      <w:r>
        <w:rPr>
          <w:rFonts w:ascii="Times New Roman;sans-serif" w:hAnsi="Times New Roman;sans-serif"/>
          <w:b w:val="false"/>
          <w:color w:val="000000"/>
          <w:sz w:val="22"/>
        </w:rPr>
        <w:t>means any sale, lease, transfer or other disposition of shares of Capital Stock of a Restricted Subsidiary (other than directors’ qualifying shares, or (in the case of a Foreign Subsidiary) to the extent required by applicable law), property or other assets (each referred to for the purposes of this definition as a “</w:t>
      </w:r>
      <w:r>
        <w:rPr>
          <w:rFonts w:ascii="Times New Roman;sans-serif" w:hAnsi="Times New Roman;sans-serif"/>
          <w:b w:val="false"/>
          <w:color w:val="000000"/>
          <w:sz w:val="22"/>
          <w:u w:val="single"/>
        </w:rPr>
        <w:t>disposition</w:t>
      </w:r>
      <w:r>
        <w:rPr>
          <w:color w:val="000000"/>
        </w:rPr>
        <w:t>”</w:t>
      </w:r>
      <w:r>
        <w:rPr>
          <w:rFonts w:ascii="Times New Roman;sans-serif" w:hAnsi="Times New Roman;sans-serif"/>
          <w:b w:val="false"/>
          <w:color w:val="000000"/>
          <w:sz w:val="22"/>
        </w:rPr>
        <w:t>) by the Company or any of its Restricted Subsidiaries (including any disposition by means of a merger, consolidation or similar transaction) other than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a disposition to the Company or a Restricted Subsidiary,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a disposition in the ordinary course of business, (</w:t>
      </w:r>
      <w:r>
        <w:rPr>
          <w:rFonts w:ascii="Times New Roman;sans-serif" w:hAnsi="Times New Roman;sans-serif"/>
          <w:b w:val="false"/>
          <w:color w:val="000000"/>
          <w:sz w:val="22"/>
          <w:u w:val="single"/>
        </w:rPr>
        <w:t>iii</w:t>
      </w:r>
      <w:r>
        <w:rPr>
          <w:rFonts w:ascii="Times New Roman;sans-serif" w:hAnsi="Times New Roman;sans-serif"/>
          <w:b w:val="false"/>
          <w:color w:val="000000"/>
          <w:sz w:val="22"/>
        </w:rPr>
        <w:t>) a disposition of Cash Equivalents, Investment Grade Securities or Temporary Cash Investments, (</w:t>
      </w:r>
      <w:r>
        <w:rPr>
          <w:rFonts w:ascii="Times New Roman;sans-serif" w:hAnsi="Times New Roman;sans-serif"/>
          <w:b w:val="false"/>
          <w:color w:val="000000"/>
          <w:sz w:val="22"/>
          <w:u w:val="single"/>
        </w:rPr>
        <w:t>iv</w:t>
      </w:r>
      <w:r>
        <w:rPr>
          <w:rFonts w:ascii="Times New Roman;sans-serif" w:hAnsi="Times New Roman;sans-serif"/>
          <w:b w:val="false"/>
          <w:color w:val="000000"/>
          <w:sz w:val="22"/>
        </w:rPr>
        <w:t>) the sale or discount (with or without recourse, and on customary or commercially reasonable terms, as determined by the Company in good faith) of accounts receivable or notes receivable arising in the ordinary course of business, or the conversion or exchange of accounts receivable for notes receivable, (</w:t>
      </w:r>
      <w:r>
        <w:rPr>
          <w:rFonts w:ascii="Times New Roman;sans-serif" w:hAnsi="Times New Roman;sans-serif"/>
          <w:b w:val="false"/>
          <w:color w:val="000000"/>
          <w:sz w:val="22"/>
          <w:u w:val="single"/>
        </w:rPr>
        <w:t>v</w:t>
      </w:r>
      <w:r>
        <w:rPr>
          <w:rFonts w:ascii="Times New Roman;sans-serif" w:hAnsi="Times New Roman;sans-serif"/>
          <w:b w:val="false"/>
          <w:color w:val="000000"/>
          <w:sz w:val="22"/>
        </w:rPr>
        <w:t>) any Restricted Payment Transaction, (</w:t>
      </w:r>
      <w:r>
        <w:rPr>
          <w:rFonts w:ascii="Times New Roman;sans-serif" w:hAnsi="Times New Roman;sans-serif"/>
          <w:b w:val="false"/>
          <w:color w:val="000000"/>
          <w:sz w:val="22"/>
          <w:u w:val="single"/>
        </w:rPr>
        <w:t>vi</w:t>
      </w:r>
      <w:r>
        <w:rPr>
          <w:rFonts w:ascii="Times New Roman;sans-serif" w:hAnsi="Times New Roman;sans-serif"/>
          <w:b w:val="false"/>
          <w:color w:val="000000"/>
          <w:sz w:val="22"/>
        </w:rPr>
        <w:t xml:space="preserve">) a disposition that is governed by </w:t>
      </w:r>
      <w:r>
        <w:rPr>
          <w:rFonts w:ascii="Times New Roman;sans-serif" w:hAnsi="Times New Roman;sans-serif"/>
          <w:b w:val="false"/>
          <w:color w:val="000000"/>
          <w:sz w:val="22"/>
          <w:u w:val="single"/>
        </w:rPr>
        <w:t>Section 6.08</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any Financing Disposition, (</w:t>
      </w:r>
      <w:r>
        <w:rPr>
          <w:rFonts w:ascii="Times New Roman;sans-serif" w:hAnsi="Times New Roman;sans-serif"/>
          <w:b w:val="false"/>
          <w:color w:val="000000"/>
          <w:sz w:val="22"/>
          <w:u w:val="single"/>
        </w:rPr>
        <w:t>viii</w:t>
      </w:r>
      <w:r>
        <w:rPr>
          <w:rFonts w:ascii="Times New Roman;sans-serif" w:hAnsi="Times New Roman;sans-serif"/>
          <w:b w:val="false"/>
          <w:color w:val="000000"/>
          <w:sz w:val="22"/>
        </w:rPr>
        <w:t>) any “fee in lieu” or other disposition of assets to any Governmental Authority that continue in use by the Company or any Restricted Subsidiary, so long as the Company or any Restricted Subsidiary may obtain title to such assets upon reasonable notice by paying a nominal fee, (</w:t>
      </w:r>
      <w:r>
        <w:rPr>
          <w:rFonts w:ascii="Times New Roman;sans-serif" w:hAnsi="Times New Roman;sans-serif"/>
          <w:b w:val="false"/>
          <w:color w:val="000000"/>
          <w:sz w:val="22"/>
          <w:u w:val="single"/>
        </w:rPr>
        <w:t>ix</w:t>
      </w:r>
      <w:r>
        <w:rPr>
          <w:rFonts w:ascii="Times New Roman;sans-serif" w:hAnsi="Times New Roman;sans-serif"/>
          <w:b w:val="false"/>
          <w:color w:val="000000"/>
          <w:sz w:val="22"/>
        </w:rPr>
        <w:t>) any exchange of property pursuant to or intended to qualify under Section 1031 (or any successor section) of the Code, or any exchange of equipment to be leased, rented or otherwise used in a Related Business,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xml:space="preserve">) any financing transaction with respect to property built or acquired by the Company or any Restricted Subsidiary after the Closing Date, including without limitation any sale/leaseback transaction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62890"/>
                <wp:effectExtent l="0" t="0" r="0" b="0"/>
                <wp:wrapNone/>
                <wp:docPr id="50" name="Frame5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or asset securitization, (</w:t>
      </w:r>
      <w:r>
        <w:rPr>
          <w:rFonts w:ascii="Times New Roman;sans-serif" w:hAnsi="Times New Roman;sans-serif"/>
          <w:b w:val="false"/>
          <w:color w:val="000000"/>
          <w:sz w:val="22"/>
          <w:u w:val="single"/>
        </w:rPr>
        <w:t>xi</w:t>
      </w:r>
      <w:r>
        <w:rPr>
          <w:rFonts w:ascii="Times New Roman;sans-serif" w:hAnsi="Times New Roman;sans-serif"/>
          <w:b w:val="false"/>
          <w:color w:val="000000"/>
          <w:sz w:val="22"/>
        </w:rPr>
        <w:t>) any disposition arising from foreclosure, condemnation, eminent domain or similar action with respect to any property or other assets, or exercise of termination rights under any lease, license, sublicense, concession or other agreement, or necessary or advisable (as determined by the Company in good faith) in order to consummate any acquisition of any Person, business or assets, or pursuant to buy/sell arrangements under any joint venture or similar agreement or arrangement, or of non-core assets acquired in connection with any acquisition of any Person, business or assets or any Investment, (</w:t>
      </w:r>
      <w:r>
        <w:rPr>
          <w:rFonts w:ascii="Times New Roman;sans-serif" w:hAnsi="Times New Roman;sans-serif"/>
          <w:b w:val="false"/>
          <w:color w:val="000000"/>
          <w:sz w:val="22"/>
          <w:u w:val="single"/>
        </w:rPr>
        <w:t>xii</w:t>
      </w:r>
      <w:r>
        <w:rPr>
          <w:rFonts w:ascii="Times New Roman;sans-serif" w:hAnsi="Times New Roman;sans-serif"/>
          <w:b w:val="false"/>
          <w:color w:val="000000"/>
          <w:sz w:val="22"/>
        </w:rPr>
        <w:t>) any disposition of Capital Stock, Indebtedness or other securities of an Unrestricted Subsidiary, (</w:t>
      </w:r>
      <w:r>
        <w:rPr>
          <w:rFonts w:ascii="Times New Roman;sans-serif" w:hAnsi="Times New Roman;sans-serif"/>
          <w:b w:val="false"/>
          <w:color w:val="000000"/>
          <w:sz w:val="22"/>
          <w:u w:val="single"/>
        </w:rPr>
        <w:t>xiii</w:t>
      </w:r>
      <w:r>
        <w:rPr>
          <w:rFonts w:ascii="Times New Roman;sans-serif" w:hAnsi="Times New Roman;sans-serif"/>
          <w:b w:val="false"/>
          <w:color w:val="000000"/>
          <w:sz w:val="22"/>
        </w:rPr>
        <w:t>) a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entered into in connection with such acquisition, (</w:t>
      </w:r>
      <w:r>
        <w:rPr>
          <w:rFonts w:ascii="Times New Roman;sans-serif" w:hAnsi="Times New Roman;sans-serif"/>
          <w:b w:val="false"/>
          <w:color w:val="000000"/>
          <w:sz w:val="22"/>
          <w:u w:val="single"/>
        </w:rPr>
        <w:t>xiv</w:t>
      </w:r>
      <w:r>
        <w:rPr>
          <w:rFonts w:ascii="Times New Roman;sans-serif" w:hAnsi="Times New Roman;sans-serif"/>
          <w:b w:val="false"/>
          <w:color w:val="000000"/>
          <w:sz w:val="22"/>
        </w:rPr>
        <w:t>) a disposition of not more than 5.0% of the outstanding Capital Stock of a Foreign Subsidiary that has been approved by the Board of Directors, (</w:t>
      </w:r>
      <w:r>
        <w:rPr>
          <w:rFonts w:ascii="Times New Roman;sans-serif" w:hAnsi="Times New Roman;sans-serif"/>
          <w:b w:val="false"/>
          <w:color w:val="000000"/>
          <w:sz w:val="22"/>
          <w:u w:val="single"/>
        </w:rPr>
        <w:t>xv</w:t>
      </w:r>
      <w:r>
        <w:rPr>
          <w:rFonts w:ascii="Times New Roman;sans-serif" w:hAnsi="Times New Roman;sans-serif"/>
          <w:b w:val="false"/>
          <w:color w:val="000000"/>
          <w:sz w:val="22"/>
        </w:rPr>
        <w:t>) any disposition or series of related dispositions for aggregate consideration not to exceed $25.0 million, (</w:t>
      </w:r>
      <w:r>
        <w:rPr>
          <w:rFonts w:ascii="Times New Roman;sans-serif" w:hAnsi="Times New Roman;sans-serif"/>
          <w:b w:val="false"/>
          <w:color w:val="000000"/>
          <w:sz w:val="22"/>
          <w:u w:val="single"/>
        </w:rPr>
        <w:t>xvi</w:t>
      </w:r>
      <w:r>
        <w:rPr>
          <w:rFonts w:ascii="Times New Roman;sans-serif" w:hAnsi="Times New Roman;sans-serif"/>
          <w:b w:val="false"/>
          <w:color w:val="000000"/>
          <w:sz w:val="22"/>
        </w:rPr>
        <w:t>) any Exempt Sale and Leaseback Transaction, (</w:t>
      </w:r>
      <w:r>
        <w:rPr>
          <w:rFonts w:ascii="Times New Roman;sans-serif" w:hAnsi="Times New Roman;sans-serif"/>
          <w:b w:val="false"/>
          <w:color w:val="000000"/>
          <w:sz w:val="22"/>
          <w:u w:val="single"/>
        </w:rPr>
        <w:t>xvii</w:t>
      </w:r>
      <w:r>
        <w:rPr>
          <w:rFonts w:ascii="Times New Roman;sans-serif" w:hAnsi="Times New Roman;sans-serif"/>
          <w:b w:val="false"/>
          <w:color w:val="000000"/>
          <w:sz w:val="22"/>
        </w:rPr>
        <w:t>) the assignment, sale, transfer, lapse, abandonment (including failure to maintain) or other disposition of any Patents, Trademarks, Copyrights or other intellectual property that are, in the good faith judgment of the Company, no longer economically practicable to maintain or useful in the conduct of the business of the Company and its Subsidiaries taken as a whole, (</w:t>
      </w:r>
      <w:r>
        <w:rPr>
          <w:rFonts w:ascii="Times New Roman;sans-serif" w:hAnsi="Times New Roman;sans-serif"/>
          <w:b w:val="false"/>
          <w:color w:val="000000"/>
          <w:sz w:val="22"/>
          <w:u w:val="single"/>
        </w:rPr>
        <w:t>xviii</w:t>
      </w:r>
      <w:r>
        <w:rPr>
          <w:rFonts w:ascii="Times New Roman;sans-serif" w:hAnsi="Times New Roman;sans-serif"/>
          <w:b w:val="false"/>
          <w:color w:val="000000"/>
          <w:sz w:val="22"/>
        </w:rPr>
        <w:t>) any license, sublicense, covenant not to sue or other grant of rights in or to any Patents, Trademarks, Copyrights or other intellectual property, or (</w:t>
      </w:r>
      <w:r>
        <w:rPr>
          <w:rFonts w:ascii="Times New Roman;sans-serif" w:hAnsi="Times New Roman;sans-serif"/>
          <w:b w:val="false"/>
          <w:color w:val="000000"/>
          <w:sz w:val="22"/>
          <w:u w:val="single"/>
        </w:rPr>
        <w:t>xix</w:t>
      </w:r>
      <w:r>
        <w:rPr>
          <w:rFonts w:ascii="Times New Roman;sans-serif" w:hAnsi="Times New Roman;sans-serif"/>
          <w:b w:val="false"/>
          <w:color w:val="000000"/>
          <w:sz w:val="22"/>
        </w:rPr>
        <w:t>) the creation or granting of any Lien permitted under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Assignment Agreement</w:t>
      </w:r>
      <w:r>
        <w:rPr>
          <w:color w:val="000000"/>
        </w:rPr>
        <w:t xml:space="preserve">” </w:t>
      </w:r>
      <w:r>
        <w:rPr>
          <w:rFonts w:ascii="Times New Roman;sans-serif" w:hAnsi="Times New Roman;sans-serif"/>
          <w:b w:val="false"/>
          <w:color w:val="000000"/>
          <w:sz w:val="22"/>
        </w:rPr>
        <w:t>means, collectively, each Assignment and Assumption and each Affiliated Lender Assignment and Assumption.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Eligible Assignee (with the consent of any party whose consent is required by </w:t>
      </w:r>
      <w:r>
        <w:rPr>
          <w:rFonts w:ascii="Times New Roman;sans-serif" w:hAnsi="Times New Roman;sans-serif"/>
          <w:b w:val="false"/>
          <w:color w:val="000000"/>
          <w:sz w:val="22"/>
          <w:u w:val="single"/>
        </w:rPr>
        <w:t>Section </w:t>
      </w:r>
      <w:r>
        <w:rPr>
          <w:rFonts w:ascii="Times New Roman;sans-serif" w:hAnsi="Times New Roman;sans-serif"/>
          <w:b/>
          <w:color w:val="000000"/>
          <w:sz w:val="22"/>
          <w:u w:val="single"/>
        </w:rPr>
        <w:t>9.05</w:t>
      </w:r>
      <w:r>
        <w:rPr>
          <w:rFonts w:ascii="Times New Roman;sans-serif" w:hAnsi="Times New Roman;sans-serif"/>
          <w:b w:val="false"/>
          <w:color w:val="000000"/>
          <w:sz w:val="22"/>
        </w:rPr>
        <w:t>), and accepted by the Administrative Agent, in the form of Exhibit A or any other form approved by the Administrative Agent and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ASU</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1.04(c)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Available Tenor</w:t>
      </w:r>
      <w:r>
        <w:rPr>
          <w:color w:val="000000"/>
        </w:rPr>
        <w:t xml:space="preserve">” </w:t>
      </w:r>
      <w:r>
        <w:rPr>
          <w:rFonts w:ascii="Times New Roman;sans-serif" w:hAnsi="Times New Roman;sans-serif"/>
          <w:b w:val="false"/>
          <w:color w:val="000000"/>
          <w:sz w:val="22"/>
        </w:rPr>
        <w:t>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Auction</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Auction Agent</w:t>
      </w:r>
      <w:r>
        <w:rPr>
          <w:color w:val="000000"/>
        </w:rPr>
        <w:t xml:space="preserve">” </w:t>
      </w:r>
      <w:r>
        <w:rPr>
          <w:rFonts w:ascii="Times New Roman;sans-serif" w:hAnsi="Times New Roman;sans-serif"/>
          <w:b w:val="false"/>
          <w:color w:val="000000"/>
          <w:sz w:val="22"/>
        </w:rPr>
        <w:t>means (a) the Administrative Agent or any of its Affiliates or (b) any other financial institution or advisor engaged by the Company (whether or not an Affiliate of the Administrative Agent) to act as an arranger in connection with any Auction pursuant to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Auction Amount</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Auction Notice</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Auction Party</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Auction Response Date</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62890"/>
                <wp:effectExtent l="0" t="0" r="0" b="0"/>
                <wp:wrapNone/>
                <wp:docPr id="51" name="Frame5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Bail-In Legislation</w:t>
      </w:r>
      <w:r>
        <w:rPr>
          <w:color w:val="000000"/>
        </w:rPr>
        <w:t xml:space="preserve">” </w:t>
      </w:r>
      <w:r>
        <w:rPr>
          <w:rFonts w:ascii="Times New Roman;sans-serif" w:hAnsi="Times New Roman;sans-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Bank Products Agreement</w:t>
      </w:r>
      <w:r>
        <w:rPr>
          <w:color w:val="000000"/>
        </w:rPr>
        <w:t xml:space="preserve">” </w:t>
      </w:r>
      <w:r>
        <w:rPr>
          <w:rFonts w:ascii="Times New Roman;sans-serif" w:hAnsi="Times New Roman;sans-serif"/>
          <w:b w:val="false"/>
          <w:color w:val="000000"/>
          <w:sz w:val="22"/>
        </w:rPr>
        <w:t xml:space="preserve">means any agreement pursuant to which a bank or other financial institution agrees to provide cash management services or facilities, including: (a) ACH transactions, (b) controlled disbursement services, treasury, depository, overdraft, and electronic funds transfer services, (c) credit card processing services, (d) purchase cards and (e) credit or debit cards.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Bank Products Obligations</w:t>
      </w:r>
      <w:r>
        <w:rPr>
          <w:color w:val="000000"/>
        </w:rPr>
        <w:t xml:space="preserve">” </w:t>
      </w:r>
      <w:r>
        <w:rPr>
          <w:rFonts w:ascii="Times New Roman;sans-serif" w:hAnsi="Times New Roman;sans-serif"/>
          <w:b w:val="false"/>
          <w:color w:val="000000"/>
          <w:sz w:val="22"/>
        </w:rPr>
        <w:t>of any Person means the obligations of such Person pursuant to any Bank Products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Bankruptcy Code</w:t>
      </w:r>
      <w:r>
        <w:rPr>
          <w:color w:val="000000"/>
        </w:rPr>
        <w:t xml:space="preserve">” </w:t>
      </w:r>
      <w:r>
        <w:rPr>
          <w:rFonts w:ascii="Times New Roman;sans-serif" w:hAnsi="Times New Roman;sans-serif"/>
          <w:b w:val="false"/>
          <w:color w:val="000000"/>
          <w:sz w:val="22"/>
        </w:rPr>
        <w:t>means title 11 of the United States Code,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Benchmark</w:t>
      </w:r>
      <w:r>
        <w:rPr>
          <w:color w:val="000000"/>
        </w:rPr>
        <w:t xml:space="preserve">” </w:t>
      </w:r>
      <w:r>
        <w:rPr>
          <w:rFonts w:ascii="Times New Roman;sans-serif" w:hAnsi="Times New Roman;sans-serif"/>
          <w:b w:val="false"/>
          <w:color w:val="000000"/>
          <w:sz w:val="22"/>
        </w:rPr>
        <w:t xml:space="preserve">means, initially, </w:t>
      </w:r>
      <w:r>
        <w:rPr>
          <w:rFonts w:ascii="Times New Roman;sans-serif" w:hAnsi="Times New Roman;sans-serif"/>
          <w:b w:val="false"/>
          <w:strike/>
          <w:color w:val="FF0000"/>
          <w:sz w:val="22"/>
        </w:rPr>
        <w:t>the Adjusted LIBO Rate</w:t>
      </w:r>
      <w:r>
        <w:rPr>
          <w:rFonts w:ascii="Times New Roman;sans-serif" w:hAnsi="Times New Roman;sans-serif"/>
          <w:b/>
          <w:color w:val="0000FF"/>
          <w:sz w:val="22"/>
          <w:u w:val="single"/>
        </w:rPr>
        <w:t>Term SOFR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 Benchmark Transition Event</w:t>
      </w:r>
      <w:r>
        <w:rPr>
          <w:rFonts w:ascii="Times New Roman;sans-serif" w:hAnsi="Times New Roman;sans-serif"/>
          <w:b w:val="false"/>
          <w:strike/>
          <w:color w:val="FF0000"/>
          <w:sz w:val="22"/>
        </w:rPr>
        <w:t xml:space="preserve">, a Term SOFR Transition Event or an Early Opt-in Election, as applicable, </w:t>
      </w:r>
      <w:r>
        <w:rPr>
          <w:rFonts w:ascii="Times New Roman;sans-serif" w:hAnsi="Times New Roman;sans-serif"/>
          <w:b w:val="false"/>
          <w:color w:val="000000"/>
          <w:sz w:val="22"/>
        </w:rPr>
        <w:t xml:space="preserve">and its related Benchmark Replacement Date have occurred with respect to </w:t>
      </w:r>
      <w:r>
        <w:rPr>
          <w:rFonts w:ascii="Times New Roman;sans-serif" w:hAnsi="Times New Roman;sans-serif"/>
          <w:b w:val="false"/>
          <w:strike/>
          <w:color w:val="FF0000"/>
          <w:sz w:val="22"/>
        </w:rPr>
        <w:t>the Adjusted 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or the then-current Benchmark, then “Benchmark” means the applicable Benchmark Replacement to the extent that such Benchmark Replacement has replaced such prior benchmark rate pursuant to clause (b) </w:t>
      </w:r>
      <w:r>
        <w:rPr>
          <w:rFonts w:ascii="Times New Roman;sans-serif" w:hAnsi="Times New Roman;sans-serif"/>
          <w:b w:val="false"/>
          <w:strike/>
          <w:color w:val="FF0000"/>
          <w:sz w:val="22"/>
        </w:rPr>
        <w:t xml:space="preserve">or clause (c) </w:t>
      </w:r>
      <w:r>
        <w:rPr>
          <w:rFonts w:ascii="Times New Roman;sans-serif" w:hAnsi="Times New Roman;sans-serif"/>
          <w:b w:val="false"/>
          <w:color w:val="000000"/>
          <w:sz w:val="22"/>
        </w:rPr>
        <w:t>of Section 2.14.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Benchmark Replacement</w:t>
      </w:r>
      <w:r>
        <w:rPr>
          <w:color w:val="000000"/>
        </w:rPr>
        <w:t xml:space="preserve">” </w:t>
      </w:r>
      <w:r>
        <w:rPr>
          <w:rFonts w:ascii="Times New Roman;sans-serif" w:hAnsi="Times New Roman;sans-serif"/>
          <w:b w:val="false"/>
          <w:color w:val="000000"/>
          <w:sz w:val="22"/>
        </w:rPr>
        <w:t>means, for any Available Tenor, the first alternative set forth in the order below that can be determined by the Administrative Agent for the applicable Benchmark Replacement Date:</w:t>
      </w:r>
    </w:p>
    <w:p>
      <w:pPr>
        <w:pStyle w:val="TextBody"/>
        <w:bidi w:val="0"/>
        <w:spacing w:lineRule="auto" w:line="240" w:before="0" w:after="240"/>
        <w:ind w:left="0" w:right="0" w:firstLine="720"/>
        <w:jc w:val="left"/>
        <w:rPr>
          <w:rFonts w:ascii="Times New Roman;sans-serif" w:hAnsi="Times New Roman;sans-serif"/>
          <w:b w:val="false"/>
          <w:strike/>
          <w:color w:val="FF0000"/>
          <w:sz w:val="22"/>
        </w:rPr>
      </w:pPr>
      <w:r>
        <w:rPr>
          <w:rFonts w:ascii="Times New Roman;sans-serif" w:hAnsi="Times New Roman;sans-serif"/>
          <w:b w:val="false"/>
          <w:strike/>
          <w:color w:val="FF0000"/>
          <w:sz w:val="22"/>
        </w:rPr>
        <w:t>(1) the sum of: (a) Term SOFR and (b) the related Benchmark Replacement Adjustment;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strike/>
          <w:color w:val="FF0000"/>
          <w:sz w:val="22"/>
        </w:rPr>
        <w:t>2</w:t>
      </w:r>
      <w:r>
        <w:rPr>
          <w:rFonts w:ascii="Times New Roman;sans-serif" w:hAnsi="Times New Roman;sans-serif"/>
          <w:b/>
          <w:color w:val="0000FF"/>
          <w:sz w:val="22"/>
          <w:u w:val="single"/>
        </w:rPr>
        <w:t>1</w:t>
      </w:r>
      <w:r>
        <w:rPr>
          <w:rFonts w:ascii="Times New Roman;sans-serif" w:hAnsi="Times New Roman;sans-serif"/>
          <w:b w:val="false"/>
          <w:color w:val="000000"/>
          <w:sz w:val="22"/>
        </w:rPr>
        <w:t>) </w:t>
      </w:r>
      <w:r>
        <w:rPr>
          <w:rFonts w:ascii="Times New Roman;sans-serif" w:hAnsi="Times New Roman;sans-serif"/>
          <w:b w:val="false"/>
          <w:strike/>
          <w:color w:val="FF0000"/>
          <w:sz w:val="22"/>
        </w:rPr>
        <w:t>the sum of: (a)</w:t>
      </w:r>
      <w:r>
        <w:rPr>
          <w:rFonts w:ascii="Times New Roman;sans-serif" w:hAnsi="Times New Roman;sans-serif"/>
          <w:b/>
          <w:color w:val="0000FF"/>
          <w:sz w:val="22"/>
          <w:u w:val="single"/>
        </w:rPr>
        <w:t>Adjusted</w:t>
      </w:r>
      <w:r>
        <w:rPr>
          <w:color w:val="000000"/>
        </w:rPr>
        <w:t xml:space="preserve"> </w:t>
      </w:r>
      <w:r>
        <w:rPr>
          <w:rFonts w:ascii="Times New Roman;sans-serif" w:hAnsi="Times New Roman;sans-serif"/>
          <w:b w:val="false"/>
          <w:color w:val="000000"/>
          <w:sz w:val="22"/>
        </w:rPr>
        <w:t>Daily Simple SOFR</w:t>
      </w:r>
      <w:r>
        <w:rPr>
          <w:strike/>
          <w:color w:val="FF0000"/>
        </w:rPr>
        <w:t xml:space="preserve"> </w:t>
      </w:r>
      <w:r>
        <w:rPr>
          <w:rFonts w:ascii="Times New Roman;sans-serif" w:hAnsi="Times New Roman;sans-serif"/>
          <w:b w:val="false"/>
          <w:strike/>
          <w:color w:val="FF0000"/>
          <w:sz w:val="22"/>
        </w:rPr>
        <w:t>and (b) the related Benchmark Replacement Adjustment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strike/>
          <w:color w:val="FF0000"/>
          <w:sz w:val="22"/>
        </w:rPr>
        <w:t>3</w:t>
      </w:r>
      <w:r>
        <w:rPr>
          <w:rFonts w:ascii="Times New Roman;sans-serif" w:hAnsi="Times New Roman;sans-serif"/>
          <w:b/>
          <w:color w:val="0000FF"/>
          <w:sz w:val="22"/>
          <w:u w:val="single"/>
        </w:rPr>
        <w:t>2</w:t>
      </w:r>
      <w:r>
        <w:rPr>
          <w:rFonts w:ascii="Times New Roman;sans-serif" w:hAnsi="Times New Roman;sans-serif"/>
          <w:b w:val="false"/>
          <w:color w:val="000000"/>
          <w:sz w:val="22"/>
        </w:rPr>
        <w:t>)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r>
        <w:rPr>
          <w:rFonts w:ascii="Times New Roman;sans-serif" w:hAnsi="Times New Roman;sans-serif"/>
          <w:b w:val="false"/>
          <w:strike/>
          <w:color w:val="FF0000"/>
          <w:sz w:val="22"/>
        </w:rPr>
        <w:t>;</w:t>
      </w:r>
      <w:r>
        <w:rPr>
          <w:rFonts w:ascii="Times New Roman;sans-serif" w:hAnsi="Times New Roman;sans-serif"/>
          <w:b/>
          <w:color w:val="0000FF"/>
          <w:sz w:val="22"/>
          <w:u w:val="single"/>
        </w:rPr>
        <w:t>.</w:t>
      </w:r>
    </w:p>
    <w:p>
      <w:pPr>
        <w:pStyle w:val="TextBody"/>
        <w:bidi w:val="0"/>
        <w:spacing w:lineRule="auto" w:line="240" w:before="0" w:after="240"/>
        <w:ind w:left="0" w:right="0" w:firstLine="720"/>
        <w:jc w:val="left"/>
        <w:rPr/>
      </w:pP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u w:val="single"/>
        </w:rPr>
        <w:t>that</w:t>
      </w:r>
      <w:r>
        <w:rPr>
          <w:rFonts w:ascii="Times New Roman;sans-serif" w:hAnsi="Times New Roman;sans-serif"/>
          <w:b w:val="false"/>
          <w:strike/>
          <w:color w:val="FF0000"/>
          <w:sz w:val="22"/>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Times New Roman;sans-serif" w:hAnsi="Times New Roman;sans-serif"/>
          <w:b w:val="false"/>
          <w:strike/>
          <w:color w:val="FF0000"/>
          <w:sz w:val="22"/>
          <w:u w:val="single"/>
        </w:rPr>
        <w:t>provided</w:t>
      </w:r>
      <w:r>
        <w:rPr>
          <w:rFonts w:ascii="Times New Roman;sans-serif" w:hAnsi="Times New Roman;sans-serif"/>
          <w:b w:val="false"/>
          <w:strike/>
          <w:color w:val="FF0000"/>
          <w:sz w:val="22"/>
        </w:rPr>
        <w:t xml:space="preserve">, </w:t>
      </w:r>
      <w:r>
        <w:rPr>
          <w:rFonts w:ascii="Times New Roman;sans-serif" w:hAnsi="Times New Roman;sans-serif"/>
          <w:b w:val="false"/>
          <w:strike/>
          <w:color w:val="FF0000"/>
          <w:sz w:val="22"/>
          <w:u w:val="single"/>
        </w:rPr>
        <w:t>further</w:t>
      </w:r>
      <w:r>
        <w:rPr>
          <w:rFonts w:ascii="Times New Roman;sans-serif" w:hAnsi="Times New Roman;sans-serif"/>
          <w:b w:val="false"/>
          <w:strike/>
          <w:color w:val="FF0000"/>
          <w:sz w:val="22"/>
        </w:rPr>
        <w:t>,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 xml:space="preserve">If the Benchmark Replacement </w:t>
      </w:r>
      <w:r>
        <w:rPr>
          <w:rFonts w:ascii="Times New Roman;sans-serif" w:hAnsi="Times New Roman;sans-serif"/>
          <w:b w:val="false"/>
          <w:strike/>
          <w:color w:val="FF0000"/>
          <w:sz w:val="22"/>
        </w:rPr>
        <w:t xml:space="preserve">as </w:t>
      </w:r>
      <w:r>
        <w:rPr>
          <w:rFonts w:ascii="Times New Roman;sans-serif" w:hAnsi="Times New Roman;sans-serif"/>
          <w:b w:val="false"/>
          <w:color w:val="000000"/>
          <w:sz w:val="22"/>
        </w:rPr>
        <w:t xml:space="preserve">determined </w:t>
      </w:r>
      <w:r>
        <w:rPr>
          <w:rFonts w:ascii="Times New Roman;sans-serif" w:hAnsi="Times New Roman;sans-serif"/>
          <w:b w:val="false"/>
          <w:strike/>
          <w:color w:val="FF0000"/>
          <w:sz w:val="22"/>
        </w:rPr>
        <w:t>pursuant to clause (1), (2) or (3)</w:t>
      </w:r>
      <w:r>
        <w:rPr>
          <w:rFonts w:ascii="Times New Roman;sans-serif" w:hAnsi="Times New Roman;sans-serif"/>
          <w:b/>
          <w:color w:val="0000FF"/>
          <w:sz w:val="22"/>
          <w:u w:val="single"/>
        </w:rPr>
        <w:t>as set forth</w:t>
      </w:r>
      <w:r>
        <w:rPr>
          <w:color w:val="000000"/>
        </w:rPr>
        <w:t xml:space="preserve"> </w:t>
      </w:r>
      <w:r>
        <w:rPr>
          <w:rFonts w:ascii="Times New Roman;sans-serif" w:hAnsi="Times New Roman;sans-serif"/>
          <w:b w:val="false"/>
          <w:color w:val="000000"/>
          <w:sz w:val="22"/>
        </w:rPr>
        <w:t xml:space="preserve">above would be less than the Floor, the Benchmark Replacement will be deemed to be the Floor for the purposes of this Agreement and the other Loan Documents. </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62890"/>
                <wp:effectExtent l="0" t="0" r="0" b="0"/>
                <wp:wrapNone/>
                <wp:docPr id="52" name="Frame5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Benchmark Replacement Adjustment</w:t>
      </w:r>
      <w:r>
        <w:rPr>
          <w:color w:val="000000"/>
        </w:rPr>
        <w:t xml:space="preserve">” </w:t>
      </w:r>
      <w:r>
        <w:rPr>
          <w:rFonts w:ascii="Times New Roman;sans-serif" w:hAnsi="Times New Roman;sans-serif"/>
          <w:b w:val="false"/>
          <w:color w:val="000000"/>
          <w:sz w:val="22"/>
        </w:rPr>
        <w:t>means, with respect to any replacement of the then-current Benchmark with an Unadjusted Benchmark Replacement for any applicable Interest Period and Available Tenor for any setting of such Unadjusted Benchmark Replacement</w:t>
      </w:r>
      <w:r>
        <w:rPr>
          <w:rFonts w:ascii="Times New Roman;sans-serif" w:hAnsi="Times New Roman;sans-serif"/>
          <w:b w:val="false"/>
          <w:strike/>
          <w:color w:val="FF0000"/>
          <w:sz w:val="22"/>
        </w:rPr>
        <w:t>:</w:t>
      </w:r>
    </w:p>
    <w:p>
      <w:pPr>
        <w:pStyle w:val="TextBody"/>
        <w:bidi w:val="0"/>
        <w:spacing w:lineRule="auto" w:line="240" w:before="0" w:after="240"/>
        <w:ind w:left="0" w:right="0" w:firstLine="720"/>
        <w:jc w:val="left"/>
        <w:rPr/>
      </w:pPr>
      <w:r>
        <w:rPr>
          <w:rFonts w:ascii="Times New Roman;sans-serif" w:hAnsi="Times New Roman;sans-serif"/>
          <w:b/>
          <w:color w:val="0000FF"/>
          <w:sz w:val="22"/>
          <w:u w:val="single"/>
        </w:rPr>
        <w:t>, the spread adjustment, or method for calculating or determining such spread adjustment</w:t>
      </w:r>
      <w:r>
        <w:rPr>
          <w:rFonts w:ascii="Times New Roman;sans-serif" w:hAnsi="Times New Roman;sans-serif"/>
          <w:b w:val="false"/>
          <w:strike/>
          <w:color w:val="FF0000"/>
          <w:sz w:val="22"/>
        </w:rPr>
        <w:t>(1) for purposes of clauses (1) and (2) of the definition of “Benchmark Replacement,” the first alternative set forth in the order below that can be determined by the Administrative Agent:</w:t>
      </w:r>
    </w:p>
    <w:p>
      <w:pPr>
        <w:pStyle w:val="TextBody"/>
        <w:bidi w:val="0"/>
        <w:spacing w:lineRule="auto" w:line="240" w:before="0" w:after="240"/>
        <w:ind w:left="0" w:right="0" w:firstLine="720"/>
        <w:jc w:val="left"/>
        <w:rPr>
          <w:rFonts w:ascii="Times New Roman;sans-serif" w:hAnsi="Times New Roman;sans-serif"/>
          <w:b w:val="false"/>
          <w:strike/>
          <w:color w:val="FF0000"/>
          <w:sz w:val="22"/>
        </w:rPr>
      </w:pPr>
      <w:r>
        <w:rPr>
          <w:rFonts w:ascii="Times New Roman;sans-serif" w:hAnsi="Times New Roman;sans-serif"/>
          <w:b w:val="false"/>
          <w:strike/>
          <w:color w:val="FF0000"/>
          <w:sz w:val="22"/>
        </w:rPr>
        <w:t>(a)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pStyle w:val="TextBody"/>
        <w:bidi w:val="0"/>
        <w:spacing w:lineRule="auto" w:line="240" w:before="0" w:after="240"/>
        <w:ind w:left="0" w:right="0" w:firstLine="720"/>
        <w:jc w:val="left"/>
        <w:rPr>
          <w:rFonts w:ascii="Times New Roman;sans-serif" w:hAnsi="Times New Roman;sans-serif"/>
          <w:b w:val="false"/>
          <w:strike/>
          <w:color w:val="FF0000"/>
          <w:sz w:val="22"/>
        </w:rPr>
      </w:pPr>
      <w:r>
        <w:rPr>
          <w:rFonts w:ascii="Times New Roman;sans-serif" w:hAnsi="Times New Roman;sans-serif"/>
          <w:b w:val="false"/>
          <w:strike/>
          <w:color w:val="FF0000"/>
          <w:sz w:val="22"/>
        </w:rPr>
        <w:t>(b)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pStyle w:val="TextBody"/>
        <w:bidi w:val="0"/>
        <w:spacing w:lineRule="auto" w:line="240" w:before="0" w:after="240"/>
        <w:ind w:left="0" w:right="0" w:firstLine="720"/>
        <w:jc w:val="both"/>
        <w:rPr/>
      </w:pPr>
      <w:r>
        <w:rPr>
          <w:rFonts w:ascii="Times New Roman;sans-serif" w:hAnsi="Times New Roman;sans-serif"/>
          <w:b w:val="false"/>
          <w:strike/>
          <w:color w:val="FF0000"/>
          <w:sz w:val="22"/>
        </w:rPr>
        <w:t>(2) for purposes of clause (3) of the definition of “Benchmark Replacement,” the spread adjustment, or method for calculating or determining such spread adjustment,</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 xml:space="preserve">(which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w:t>
      </w:r>
      <w:r>
        <w:rPr>
          <w:rFonts w:ascii="Times New Roman;sans-serif" w:hAnsi="Times New Roman;sans-serif"/>
          <w:b/>
          <w:color w:val="0000FF"/>
          <w:sz w:val="22"/>
          <w:u w:val="single"/>
        </w:rPr>
        <w:t>and/</w:t>
      </w:r>
      <w:r>
        <w:rPr>
          <w:rFonts w:ascii="Times New Roman;sans-serif" w:hAnsi="Times New Roman;sans-serif"/>
          <w:b w:val="false"/>
          <w:color w:val="000000"/>
          <w:sz w:val="22"/>
        </w:rPr>
        <w:t xml:space="preserve">or (ii) any evolving or then-prevailing market convention for determining a spread adjustment, or method for calculating or determining such spread adjustment, for the replacement of such Benchmark with the applicable Unadjusted Benchmark Replacement for </w:t>
      </w:r>
      <w:r>
        <w:rPr>
          <w:rFonts w:ascii="Times New Roman;sans-serif" w:hAnsi="Times New Roman;sans-serif"/>
          <w:b w:val="false"/>
          <w:strike/>
          <w:color w:val="FF0000"/>
          <w:sz w:val="22"/>
        </w:rPr>
        <w:t>Dollar-denominated</w:t>
      </w:r>
      <w:r>
        <w:rPr>
          <w:rFonts w:ascii="Times New Roman;sans-serif" w:hAnsi="Times New Roman;sans-serif"/>
          <w:b/>
          <w:color w:val="0000FF"/>
          <w:sz w:val="22"/>
          <w:u w:val="single"/>
        </w:rPr>
        <w:t>dollar-denominated</w:t>
      </w:r>
      <w:r>
        <w:rPr>
          <w:color w:val="000000"/>
        </w:rPr>
        <w:t xml:space="preserve"> </w:t>
      </w:r>
      <w:r>
        <w:rPr>
          <w:rFonts w:ascii="Times New Roman;sans-serif" w:hAnsi="Times New Roman;sans-serif"/>
          <w:b w:val="false"/>
          <w:color w:val="000000"/>
          <w:sz w:val="22"/>
        </w:rPr>
        <w:t>syndicated credit facilities</w:t>
      </w:r>
      <w:r>
        <w:rPr>
          <w:rFonts w:ascii="Times New Roman;sans-serif" w:hAnsi="Times New Roman;sans-serif"/>
          <w:b w:val="false"/>
          <w:strike/>
          <w:color w:val="FF0000"/>
          <w:sz w:val="22"/>
        </w:rPr>
        <w:t>;</w:t>
      </w:r>
      <w:r>
        <w:rPr>
          <w:rFonts w:ascii="Times New Roman;sans-serif" w:hAnsi="Times New Roman;sans-serif"/>
          <w:b/>
          <w:color w:val="0000FF"/>
          <w:sz w:val="22"/>
          <w:u w:val="single"/>
        </w:rPr>
        <w:t>.</w:t>
      </w:r>
      <w:r>
        <w:rPr>
          <w:color w:val="000000"/>
        </w:rPr>
        <w:t xml:space="preserve"> </w:t>
      </w:r>
    </w:p>
    <w:p>
      <w:pPr>
        <w:pStyle w:val="TextBody"/>
        <w:bidi w:val="0"/>
        <w:spacing w:lineRule="auto" w:line="240" w:before="0" w:after="240"/>
        <w:ind w:left="0" w:right="0" w:firstLine="720"/>
        <w:jc w:val="left"/>
        <w:rPr/>
      </w:pP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that, in the case of clause (1) above, such adjustment is displayed on a screen or other information service that publishes such Benchmark Replacement Adjustment from time to time as selected by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Benchmark Replacement Conforming Changes</w:t>
      </w:r>
      <w:r>
        <w:rPr>
          <w:color w:val="000000"/>
        </w:rPr>
        <w:t xml:space="preserve">” </w:t>
      </w:r>
      <w:r>
        <w:rPr>
          <w:rFonts w:ascii="Times New Roman;sans-serif" w:hAnsi="Times New Roman;sans-serif"/>
          <w:b w:val="false"/>
          <w:color w:val="000000"/>
          <w:sz w:val="22"/>
        </w:rPr>
        <w:t>means, with respect to any Benchmark Replacement</w:t>
      </w:r>
      <w:r>
        <w:rPr>
          <w:color w:val="0000FF"/>
          <w:u w:val="single"/>
        </w:rPr>
        <w:t xml:space="preserve"> </w:t>
      </w:r>
      <w:r>
        <w:rPr>
          <w:rFonts w:ascii="Times New Roman;sans-serif" w:hAnsi="Times New Roman;sans-serif"/>
          <w:b/>
          <w:color w:val="0000FF"/>
          <w:sz w:val="22"/>
          <w:u w:val="single"/>
        </w:rPr>
        <w:t>and/or Adjusted Term SOFR</w:t>
      </w:r>
      <w:r>
        <w:rPr>
          <w:rFonts w:ascii="Times New Roman;sans-serif" w:hAnsi="Times New Roman;sans-serif"/>
          <w:b w:val="false"/>
          <w:color w:val="000000"/>
          <w:sz w:val="22"/>
        </w:rPr>
        <w:t>, any technical, administrative or operational changes (including changes to the definition of “Alternate Base Rate,” the definition of “</w:t>
      </w:r>
      <w:r>
        <w:rPr>
          <w:rFonts w:ascii="Times New Roman;sans-serif" w:hAnsi="Times New Roman;sans-serif"/>
          <w:b/>
          <w:color w:val="0000FF"/>
          <w:sz w:val="22"/>
          <w:u w:val="single"/>
        </w:rPr>
        <w:t xml:space="preserve">Business Day,” the definition of “U.S. Government Securities </w:t>
      </w:r>
      <w:r>
        <w:rPr>
          <w:rFonts w:ascii="Times New Roman;sans-serif" w:hAnsi="Times New Roman;sans-serif"/>
          <w:b w:val="false"/>
          <w:color w:val="000000"/>
          <w:sz w:val="22"/>
        </w:rPr>
        <w:t>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w:t>
      </w:r>
      <w:r>
        <w:rPr>
          <w:rFonts w:ascii="Times New Roman;sans-serif" w:hAnsi="Times New Roman;sans-serif"/>
          <w:b w:val="false"/>
          <w:strike/>
          <w:color w:val="FF0000"/>
          <w:sz w:val="22"/>
        </w:rPr>
        <w:t xml:space="preserve">, following consultation with the Company, </w:t>
      </w:r>
      <w:r>
        <w:rPr>
          <w:rFonts w:ascii="Times New Roman;sans-serif" w:hAnsi="Times New Roman;sans-serif"/>
          <w:b w:val="false"/>
          <w:color w:val="000000"/>
          <w:sz w:val="22"/>
        </w:rPr>
        <w:t xml:space="preserve">may be appropriate to reflect the adoption and implementation of such Benchmark </w:t>
      </w:r>
      <w:r>
        <w:rPr>
          <w:rFonts w:ascii="Times New Roman;sans-serif" w:hAnsi="Times New Roman;sans-serif"/>
          <w:b w:val="false"/>
          <w:strike/>
          <w:color w:val="FF0000"/>
          <w:sz w:val="22"/>
        </w:rPr>
        <w:t xml:space="preserve">Replacement </w:t>
      </w:r>
      <w:r>
        <w:rPr>
          <w:rFonts w:ascii="Times New Roman;sans-serif" w:hAnsi="Times New Roman;sans-serif"/>
          <w:b w:val="false"/>
          <w:color w:val="000000"/>
          <w:sz w:val="22"/>
        </w:rPr>
        <w:t xml:space="preserve">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w:t>
      </w:r>
      <w:r>
        <w:rPr>
          <w:rFonts w:ascii="Times New Roman;sans-serif" w:hAnsi="Times New Roman;sans-serif"/>
          <w:b w:val="false"/>
          <w:strike/>
          <w:color w:val="FF0000"/>
          <w:sz w:val="22"/>
        </w:rPr>
        <w:t xml:space="preserve">Replacement </w:t>
      </w:r>
      <w:r>
        <w:rPr>
          <w:rFonts w:ascii="Times New Roman;sans-serif" w:hAnsi="Times New Roman;sans-serif"/>
          <w:b w:val="false"/>
          <w:color w:val="000000"/>
          <w:sz w:val="22"/>
        </w:rPr>
        <w:t>exists, in such other manner of administration as the Administrative Agent decides is reasonably necessary in connection with the administration of this Agreement and the other Loan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Benchmark Replacement Date</w:t>
      </w:r>
      <w:r>
        <w:rPr>
          <w:color w:val="000000"/>
        </w:rPr>
        <w:t xml:space="preserve">” </w:t>
      </w:r>
      <w:r>
        <w:rPr>
          <w:rFonts w:ascii="Times New Roman;sans-serif" w:hAnsi="Times New Roman;sans-serif"/>
          <w:b w:val="false"/>
          <w:color w:val="000000"/>
          <w:sz w:val="22"/>
        </w:rPr>
        <w:t>means</w:t>
      </w:r>
      <w:r>
        <w:rPr>
          <w:rFonts w:ascii="Times New Roman;sans-serif" w:hAnsi="Times New Roman;sans-serif"/>
          <w:b/>
          <w:color w:val="0000FF"/>
          <w:sz w:val="22"/>
          <w:u w:val="single"/>
        </w:rPr>
        <w:t>, with respect to any Benchmark,</w:t>
      </w:r>
      <w:r>
        <w:rPr>
          <w:color w:val="000000"/>
        </w:rPr>
        <w:t xml:space="preserve"> </w:t>
      </w:r>
      <w:r>
        <w:rPr>
          <w:rFonts w:ascii="Times New Roman;sans-serif" w:hAnsi="Times New Roman;sans-serif"/>
          <w:b w:val="false"/>
          <w:color w:val="000000"/>
          <w:sz w:val="22"/>
        </w:rPr>
        <w:t xml:space="preserve">the earliest to occur of the following events with respect to </w:t>
      </w:r>
      <w:r>
        <w:rPr>
          <w:rFonts w:ascii="Times New Roman;sans-serif" w:hAnsi="Times New Roman;sans-serif"/>
          <w:b w:val="false"/>
          <w:strike/>
          <w:color w:val="FF0000"/>
          <w:sz w:val="22"/>
        </w:rPr>
        <w:t>the</w:t>
      </w:r>
      <w:r>
        <w:rPr>
          <w:rFonts w:ascii="Times New Roman;sans-serif" w:hAnsi="Times New Roman;sans-serif"/>
          <w:b/>
          <w:color w:val="0000FF"/>
          <w:sz w:val="22"/>
          <w:u w:val="single"/>
        </w:rPr>
        <w:t>such</w:t>
      </w:r>
      <w:r>
        <w:rPr>
          <w:color w:val="000000"/>
        </w:rPr>
        <w:t xml:space="preserve"> </w:t>
      </w:r>
      <w:r>
        <w:rPr>
          <w:rFonts w:ascii="Times New Roman;sans-serif" w:hAnsi="Times New Roman;sans-serif"/>
          <w:b w:val="false"/>
          <w:color w:val="000000"/>
          <w:sz w:val="22"/>
        </w:rPr>
        <w:t>then-current Benchmark:</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62890"/>
                <wp:effectExtent l="0" t="0" r="0" b="0"/>
                <wp:wrapNone/>
                <wp:docPr id="53" name="Frame5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ans-serif" w:hAnsi="Times New Roman;sans-serif"/>
          <w:b w:val="false"/>
          <w:color w:val="000000"/>
          <w:sz w:val="22"/>
        </w:rPr>
        <w:t>permanently or indefinitely ceases to provide all Available Tenors of such Benchmark (or such component thereof);</w:t>
      </w:r>
      <w:r>
        <w:rPr>
          <w:color w:val="0000FF"/>
          <w:u w:val="single"/>
        </w:rPr>
        <w:t xml:space="preserve"> </w:t>
      </w:r>
      <w:r>
        <w:rPr>
          <w:rFonts w:ascii="Times New Roman;sans-serif" w:hAnsi="Times New Roman;sans-serif"/>
          <w:b/>
          <w:color w:val="0000FF"/>
          <w:sz w:val="22"/>
          <w:u w:val="single"/>
        </w:rPr>
        <w:t>or</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(2) in the case of clause (3) of the definition of “Benchmark Transition Event</w:t>
      </w:r>
      <w:r>
        <w:rPr>
          <w:rFonts w:ascii="Times New Roman;sans-serif" w:hAnsi="Times New Roman;sans-serif"/>
          <w:b w:val="false"/>
          <w:strike/>
          <w:color w:val="FF0000"/>
          <w:sz w:val="22"/>
        </w:rPr>
        <w:t>,</w:t>
      </w:r>
      <w:r>
        <w:rPr>
          <w:color w:val="000000"/>
        </w:rPr>
        <w:t>”</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 xml:space="preserve">the </w:t>
      </w:r>
      <w:r>
        <w:rPr>
          <w:rFonts w:ascii="Times New Roman;sans-serif" w:hAnsi="Times New Roman;sans-serif"/>
          <w:b/>
          <w:color w:val="0000FF"/>
          <w:sz w:val="22"/>
          <w:u w:val="single"/>
        </w:rPr>
        <w:t xml:space="preserve">first </w:t>
      </w:r>
      <w:r>
        <w:rPr>
          <w:rFonts w:ascii="Times New Roman;sans-serif" w:hAnsi="Times New Roman;sans-serif"/>
          <w:b w:val="false"/>
          <w:color w:val="000000"/>
          <w:sz w:val="22"/>
        </w:rPr>
        <w:t xml:space="preserve">date </w:t>
      </w:r>
      <w:r>
        <w:rPr>
          <w:rFonts w:ascii="Times New Roman;sans-serif" w:hAnsi="Times New Roman;sans-serif"/>
          <w:b w:val="false"/>
          <w:strike/>
          <w:color w:val="FF0000"/>
          <w:sz w:val="22"/>
        </w:rPr>
        <w:t>of the public</w:t>
      </w:r>
      <w:r>
        <w:rPr>
          <w:rFonts w:ascii="Times New Roman;sans-serif" w:hAnsi="Times New Roman;sans-serif"/>
          <w:b/>
          <w:color w:val="0000FF"/>
          <w:sz w:val="22"/>
          <w:u w:val="single"/>
        </w:rPr>
        <w:t>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w:t>
      </w:r>
      <w:r>
        <w:rPr>
          <w:color w:val="000000"/>
        </w:rPr>
        <w:t xml:space="preserve"> </w:t>
      </w:r>
      <w:r>
        <w:rPr>
          <w:rFonts w:ascii="Times New Roman;sans-serif" w:hAnsi="Times New Roman;sans-serif"/>
          <w:b w:val="false"/>
          <w:color w:val="000000"/>
          <w:sz w:val="22"/>
        </w:rPr>
        <w:t xml:space="preserve">statement or publication </w:t>
      </w:r>
      <w:r>
        <w:rPr>
          <w:rFonts w:ascii="Times New Roman;sans-serif" w:hAnsi="Times New Roman;sans-serif"/>
          <w:b w:val="false"/>
          <w:strike/>
          <w:color w:val="FF0000"/>
          <w:sz w:val="22"/>
        </w:rPr>
        <w:t xml:space="preserve">of information </w:t>
      </w:r>
      <w:r>
        <w:rPr>
          <w:rFonts w:ascii="Times New Roman;sans-serif" w:hAnsi="Times New Roman;sans-serif"/>
          <w:b w:val="false"/>
          <w:color w:val="000000"/>
          <w:sz w:val="22"/>
        </w:rPr>
        <w:t xml:space="preserve">referenced </w:t>
      </w:r>
      <w:r>
        <w:rPr>
          <w:rFonts w:ascii="Times New Roman;sans-serif" w:hAnsi="Times New Roman;sans-serif"/>
          <w:b w:val="false"/>
          <w:strike/>
          <w:color w:val="FF0000"/>
          <w:sz w:val="22"/>
        </w:rPr>
        <w:t xml:space="preserve">therein; </w:t>
      </w:r>
      <w:r>
        <w:rPr>
          <w:rFonts w:ascii="Times New Roman;sans-serif" w:hAnsi="Times New Roman;sans-serif"/>
          <w:b/>
          <w:color w:val="0000FF"/>
          <w:sz w:val="22"/>
          <w:u w:val="single"/>
        </w:rPr>
        <w:t>in such clause (3) and even if any Available Tenor of such Benchmark (or such component thereof) continues to be provided on such date.</w:t>
      </w:r>
    </w:p>
    <w:p>
      <w:pPr>
        <w:pStyle w:val="TextBody"/>
        <w:bidi w:val="0"/>
        <w:spacing w:lineRule="auto" w:line="240" w:before="0" w:after="240"/>
        <w:ind w:left="0" w:right="0" w:firstLine="720"/>
        <w:jc w:val="left"/>
        <w:rPr/>
      </w:pPr>
      <w:r>
        <w:rPr>
          <w:rFonts w:ascii="Times New Roman;sans-serif" w:hAnsi="Times New Roman;sans-serif"/>
          <w:b w:val="false"/>
          <w:strike/>
          <w:color w:val="FF0000"/>
          <w:sz w:val="22"/>
        </w:rPr>
        <w:t xml:space="preserve">(3) in the case of a Term SOFR Transition Event, the date that is thirty (30) days after the date a Term SOFR Notice is provided to the Lenders and the Company pursuant to </w:t>
      </w:r>
      <w:r>
        <w:rPr>
          <w:rFonts w:ascii="Times New Roman;sans-serif" w:hAnsi="Times New Roman;sans-serif"/>
          <w:b w:val="false"/>
          <w:strike/>
          <w:color w:val="FF0000"/>
          <w:sz w:val="22"/>
          <w:u w:val="single"/>
        </w:rPr>
        <w:t>Section 2.14(c)</w:t>
      </w:r>
      <w:r>
        <w:rPr>
          <w:rFonts w:ascii="Times New Roman;sans-serif" w:hAnsi="Times New Roman;sans-serif"/>
          <w:b w:val="false"/>
          <w:strike/>
          <w:color w:val="FF0000"/>
          <w:sz w:val="22"/>
        </w:rPr>
        <w:t>; or</w:t>
      </w:r>
    </w:p>
    <w:p>
      <w:pPr>
        <w:pStyle w:val="TextBody"/>
        <w:bidi w:val="0"/>
        <w:spacing w:lineRule="auto" w:line="240" w:before="0" w:after="240"/>
        <w:ind w:left="0" w:right="0" w:firstLine="720"/>
        <w:jc w:val="left"/>
        <w:rPr>
          <w:rFonts w:ascii="Times New Roman;sans-serif" w:hAnsi="Times New Roman;sans-serif"/>
          <w:b w:val="false"/>
          <w:strike/>
          <w:color w:val="FF0000"/>
          <w:sz w:val="22"/>
        </w:rPr>
      </w:pPr>
      <w:r>
        <w:rPr>
          <w:rFonts w:ascii="Times New Roman;sans-serif" w:hAnsi="Times New Roman;sans-serif"/>
          <w:b w:val="false"/>
          <w:strike/>
          <w:color w:val="FF0000"/>
          <w:sz w:val="22"/>
        </w:rPr>
        <w:t>(4) 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Benchmark Transition Event</w:t>
      </w:r>
      <w:r>
        <w:rPr>
          <w:color w:val="000000"/>
        </w:rPr>
        <w:t xml:space="preserve">” </w:t>
      </w:r>
      <w:r>
        <w:rPr>
          <w:rFonts w:ascii="Times New Roman;sans-serif" w:hAnsi="Times New Roman;sans-serif"/>
          <w:b w:val="false"/>
          <w:color w:val="000000"/>
          <w:sz w:val="22"/>
        </w:rPr>
        <w:t>means</w:t>
      </w:r>
      <w:r>
        <w:rPr>
          <w:rFonts w:ascii="Times New Roman;sans-serif" w:hAnsi="Times New Roman;sans-serif"/>
          <w:b/>
          <w:color w:val="0000FF"/>
          <w:sz w:val="22"/>
          <w:u w:val="single"/>
        </w:rPr>
        <w:t>, with respect to any Benchmark,</w:t>
      </w:r>
      <w:r>
        <w:rPr>
          <w:color w:val="000000"/>
        </w:rPr>
        <w:t xml:space="preserve"> </w:t>
      </w:r>
      <w:r>
        <w:rPr>
          <w:rFonts w:ascii="Times New Roman;sans-serif" w:hAnsi="Times New Roman;sans-serif"/>
          <w:b w:val="false"/>
          <w:color w:val="000000"/>
          <w:sz w:val="22"/>
        </w:rPr>
        <w:t xml:space="preserve">the occurrence of one or more of the following events with respect to </w:t>
      </w:r>
      <w:r>
        <w:rPr>
          <w:rFonts w:ascii="Times New Roman;sans-serif" w:hAnsi="Times New Roman;sans-serif"/>
          <w:b w:val="false"/>
          <w:strike/>
          <w:color w:val="FF0000"/>
          <w:sz w:val="22"/>
        </w:rPr>
        <w:t>the</w:t>
      </w:r>
      <w:r>
        <w:rPr>
          <w:rFonts w:ascii="Times New Roman;sans-serif" w:hAnsi="Times New Roman;sans-serif"/>
          <w:b/>
          <w:color w:val="0000FF"/>
          <w:sz w:val="22"/>
          <w:u w:val="single"/>
        </w:rPr>
        <w:t>such</w:t>
      </w:r>
      <w:r>
        <w:rPr>
          <w:color w:val="000000"/>
        </w:rPr>
        <w:t xml:space="preserve"> </w:t>
      </w:r>
      <w:r>
        <w:rPr>
          <w:rFonts w:ascii="Times New Roman;sans-serif" w:hAnsi="Times New Roman;sans-serif"/>
          <w:b w:val="false"/>
          <w:color w:val="000000"/>
          <w:sz w:val="22"/>
        </w:rPr>
        <w:t>then-current Benchmark:</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 xml:space="preserve">(2) a public statement or publication of information by the regulatory supervisor for the administrator of such Benchmark (or the published component used in the calculation thereof), the Board, the NYFRB, </w:t>
      </w:r>
      <w:r>
        <w:rPr>
          <w:rFonts w:ascii="Times New Roman;sans-serif" w:hAnsi="Times New Roman;sans-serif"/>
          <w:b/>
          <w:color w:val="0000FF"/>
          <w:sz w:val="22"/>
          <w:u w:val="single"/>
        </w:rPr>
        <w:t xml:space="preserve">the CME Term SOFR Administrator, </w:t>
      </w:r>
      <w:r>
        <w:rPr>
          <w:rFonts w:ascii="Times New Roman;sans-serif" w:hAnsi="Times New Roman;sans-serif"/>
          <w:b w:val="false"/>
          <w:color w:val="000000"/>
          <w:sz w:val="22"/>
        </w:rPr>
        <w:t xml:space="preserve">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at the time of such statement or publication, there is no successor administrator that will continue to provide any Available Tenor of such Benchmark (or such component thereof); or</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62890"/>
                <wp:effectExtent l="0" t="0" r="0" b="0"/>
                <wp:wrapNone/>
                <wp:docPr id="54" name="Frame5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Benchmark Unavailability Period</w:t>
      </w:r>
      <w:r>
        <w:rPr>
          <w:color w:val="000000"/>
        </w:rPr>
        <w:t xml:space="preserve">” </w:t>
      </w:r>
      <w:r>
        <w:rPr>
          <w:rFonts w:ascii="Times New Roman;sans-serif" w:hAnsi="Times New Roman;sans-serif"/>
          <w:b w:val="false"/>
          <w:color w:val="000000"/>
          <w:sz w:val="22"/>
        </w:rPr>
        <w:t>means</w:t>
      </w:r>
      <w:r>
        <w:rPr>
          <w:rFonts w:ascii="Times New Roman;sans-serif" w:hAnsi="Times New Roman;sans-serif"/>
          <w:b/>
          <w:color w:val="0000FF"/>
          <w:sz w:val="22"/>
          <w:u w:val="single"/>
        </w:rPr>
        <w:t>, with respect to any Benchmark,</w:t>
      </w:r>
      <w:r>
        <w:rPr>
          <w:color w:val="000000"/>
        </w:rPr>
        <w:t xml:space="preserve"> </w:t>
      </w:r>
      <w:r>
        <w:rPr>
          <w:rFonts w:ascii="Times New Roman;sans-serif" w:hAnsi="Times New Roman;sans-serif"/>
          <w:b w:val="false"/>
          <w:color w:val="000000"/>
          <w:sz w:val="22"/>
        </w:rPr>
        <w:t xml:space="preserve">the period (if any) (x) beginning at the time that a Benchmark Replacement Date pursuant to clauses (1) or (2) of that definition has occurred if, at such time, no Benchmark Replacement has replaced </w:t>
      </w:r>
      <w:r>
        <w:rPr>
          <w:rFonts w:ascii="Times New Roman;sans-serif" w:hAnsi="Times New Roman;sans-serif"/>
          <w:b w:val="false"/>
          <w:strike/>
          <w:color w:val="FF0000"/>
          <w:sz w:val="22"/>
        </w:rPr>
        <w:t>the</w:t>
      </w:r>
      <w:r>
        <w:rPr>
          <w:rFonts w:ascii="Times New Roman;sans-serif" w:hAnsi="Times New Roman;sans-serif"/>
          <w:b/>
          <w:color w:val="0000FF"/>
          <w:sz w:val="22"/>
          <w:u w:val="single"/>
        </w:rPr>
        <w:t>such</w:t>
      </w:r>
      <w:r>
        <w:rPr>
          <w:color w:val="000000"/>
        </w:rPr>
        <w:t xml:space="preserve"> </w:t>
      </w:r>
      <w:r>
        <w:rPr>
          <w:rFonts w:ascii="Times New Roman;sans-serif" w:hAnsi="Times New Roman;sans-serif"/>
          <w:b w:val="false"/>
          <w:color w:val="000000"/>
          <w:sz w:val="22"/>
        </w:rPr>
        <w:t xml:space="preserve">then-current Benchmark for all purposes hereunder and under any Loan Document in accordance with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and (y) ending at the time that a Benchmark Replacement has replaced </w:t>
      </w:r>
      <w:r>
        <w:rPr>
          <w:rFonts w:ascii="Times New Roman;sans-serif" w:hAnsi="Times New Roman;sans-serif"/>
          <w:b w:val="false"/>
          <w:strike/>
          <w:color w:val="FF0000"/>
          <w:sz w:val="22"/>
        </w:rPr>
        <w:t>the</w:t>
      </w:r>
      <w:r>
        <w:rPr>
          <w:rFonts w:ascii="Times New Roman;sans-serif" w:hAnsi="Times New Roman;sans-serif"/>
          <w:b/>
          <w:color w:val="0000FF"/>
          <w:sz w:val="22"/>
          <w:u w:val="single"/>
        </w:rPr>
        <w:t>such</w:t>
      </w:r>
      <w:r>
        <w:rPr>
          <w:color w:val="000000"/>
        </w:rPr>
        <w:t xml:space="preserve"> </w:t>
      </w:r>
      <w:r>
        <w:rPr>
          <w:rFonts w:ascii="Times New Roman;sans-serif" w:hAnsi="Times New Roman;sans-serif"/>
          <w:b w:val="false"/>
          <w:color w:val="000000"/>
          <w:sz w:val="22"/>
        </w:rPr>
        <w:t xml:space="preserve">then-current Benchmark for all purposes hereunder and under any Loan Document in accordance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Beneficial Ownership Certification</w:t>
      </w:r>
      <w:r>
        <w:rPr>
          <w:color w:val="000000"/>
        </w:rPr>
        <w:t xml:space="preserve">” </w:t>
      </w:r>
      <w:r>
        <w:rPr>
          <w:rFonts w:ascii="Times New Roman;sans-serif" w:hAnsi="Times New Roman;sans-serif"/>
          <w:b w:val="false"/>
          <w:color w:val="000000"/>
          <w:sz w:val="22"/>
        </w:rPr>
        <w:t>means a certification regarding individual beneficial ownership solely to the extent required by the Beneficial Ownership Regulation.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Benefit Plan</w:t>
      </w:r>
      <w:r>
        <w:rPr>
          <w:color w:val="000000"/>
        </w:rPr>
        <w:t xml:space="preserve">” </w:t>
      </w:r>
      <w:r>
        <w:rPr>
          <w:rFonts w:ascii="Times New Roman;sans-serif" w:hAnsi="Times New Roman;sans-serif"/>
          <w:b w:val="false"/>
          <w:color w:val="000000"/>
          <w:sz w:val="22"/>
        </w:rPr>
        <w:t xml:space="preserve">means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BHC Act Affiliate</w:t>
      </w:r>
      <w:r>
        <w:rPr>
          <w:color w:val="000000"/>
        </w:rPr>
        <w:t xml:space="preserve">” </w:t>
      </w:r>
      <w:r>
        <w:rPr>
          <w:rFonts w:ascii="Times New Roman;sans-serif" w:hAnsi="Times New Roman;sans-serif"/>
          <w:b w:val="false"/>
          <w:color w:val="000000"/>
          <w:sz w:val="22"/>
        </w:rPr>
        <w:t>means, with respect to any Person, an “affiliate” (as such term is defined under, and interpreted in accordance with, 12 U.S.C. § 1841(k))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means the Board of Governors of the Federal Reserve System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Board of Directors</w:t>
      </w:r>
      <w:r>
        <w:rPr>
          <w:color w:val="000000"/>
        </w:rPr>
        <w:t xml:space="preserve">” </w:t>
      </w:r>
      <w:r>
        <w:rPr>
          <w:rFonts w:ascii="Times New Roman;sans-serif" w:hAnsi="Times New Roman;sans-serif"/>
          <w:b w:val="false"/>
          <w:color w:val="000000"/>
          <w:sz w:val="22"/>
        </w:rPr>
        <w:t>means, for any Person, the board of directors or other governing body of such Person or, if such Person does not have such a board of directors or other governing body and is owned or managed by a single entity, the board of directors or other governing body of such entity or, in either case, any committee thereof duly authorized to act on behalf of such board of directors or other governing body. Unless otherwise provided, “</w:t>
      </w:r>
      <w:r>
        <w:rPr>
          <w:rFonts w:ascii="Times New Roman;sans-serif" w:hAnsi="Times New Roman;sans-serif"/>
          <w:b/>
          <w:color w:val="000000"/>
          <w:sz w:val="22"/>
        </w:rPr>
        <w:t>Board of Directors</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Bona Fide Debt Fund</w:t>
      </w:r>
      <w:r>
        <w:rPr>
          <w:color w:val="000000"/>
        </w:rPr>
        <w:t xml:space="preserve">” </w:t>
      </w:r>
      <w:r>
        <w:rPr>
          <w:rFonts w:ascii="Times New Roman;sans-serif" w:hAnsi="Times New Roman;sans-serif"/>
          <w:b w:val="false"/>
          <w:color w:val="000000"/>
          <w:sz w:val="22"/>
        </w:rPr>
        <w:t xml:space="preserve">means any debt fund, investment vehicle, regulated bank entity or unregulated lending entity that is primarily engaged in making, purchasing, holding or otherwise investing in commercial loans and similar extensions of credit in the ordinary course of business for financial investment purposes (other than primarily in distressed situations) and which is managed, sponsored or advised by any Person controlling, controlled by or under common control with (a) any competitor of the Company and/or any of its Subsidiaries or (b) any Affiliate of such competitor, but, in each case, with respect to which no personnel involved with any investment in such Person or the management, control or operation of such Person (i) directly or indirectly makes, has the right to make or participates with others in making any investment decisions, or otherwise causing the direction of the investment policies, with respect to such debt fund, investment vehicle, regulated bank entity or unregulated lending entity or (ii) has access to any information (other than information that is publicly available) relating to the Company or its Subsidiaries or any entity that forms a part of any of their respective businesses; it being understood and agreed that the term “Bona Fide Debt Fund” shall not include any Person that is separately identified to the Arrangers or the Administrative Agent in accordance with </w:t>
      </w:r>
      <w:r>
        <w:rPr>
          <w:rFonts w:ascii="Times New Roman;sans-serif" w:hAnsi="Times New Roman;sans-serif"/>
          <w:b w:val="false"/>
          <w:color w:val="000000"/>
          <w:sz w:val="22"/>
          <w:u w:val="single"/>
        </w:rPr>
        <w:t>clause (a)(i)</w:t>
      </w:r>
      <w:r>
        <w:rPr>
          <w:color w:val="000000"/>
        </w:rPr>
        <w:t xml:space="preserve"> </w:t>
      </w:r>
      <w:r>
        <w:rPr>
          <w:rFonts w:ascii="Times New Roman;sans-serif" w:hAnsi="Times New Roman;sans-serif"/>
          <w:b w:val="false"/>
          <w:color w:val="000000"/>
          <w:sz w:val="22"/>
        </w:rPr>
        <w:t xml:space="preserve">of the definition of “Disqualified Institution” or any reasonably identifiable Affiliate of any such Person on the basis of such Affiliate’s name.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Borrowers</w:t>
      </w:r>
      <w:r>
        <w:rPr>
          <w:color w:val="000000"/>
        </w:rPr>
        <w:t xml:space="preserve">” </w:t>
      </w:r>
      <w:r>
        <w:rPr>
          <w:rFonts w:ascii="Times New Roman;sans-serif" w:hAnsi="Times New Roman;sans-serif"/>
          <w:b w:val="false"/>
          <w:color w:val="000000"/>
          <w:sz w:val="22"/>
        </w:rPr>
        <w:t xml:space="preserve">means, collectively, the Company and each other Discretionary Borrower that becomes a party hereto pursuant to </w:t>
      </w:r>
      <w:r>
        <w:rPr>
          <w:rFonts w:ascii="Times New Roman;sans-serif" w:hAnsi="Times New Roman;sans-serif"/>
          <w:b w:val="false"/>
          <w:color w:val="000000"/>
          <w:sz w:val="22"/>
          <w:u w:val="single"/>
        </w:rPr>
        <w:t>Section 9.02(d)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Borrowing</w:t>
      </w:r>
      <w:r>
        <w:rPr>
          <w:color w:val="000000"/>
        </w:rPr>
        <w:t xml:space="preserve">” </w:t>
      </w:r>
      <w:r>
        <w:rPr>
          <w:rFonts w:ascii="Times New Roman;sans-serif" w:hAnsi="Times New Roman;sans-serif"/>
          <w:b w:val="false"/>
          <w:color w:val="000000"/>
          <w:sz w:val="22"/>
        </w:rPr>
        <w:t xml:space="preserve">means Loans of the same Class, Type and currency made, converted or continued on the same date and, in the case of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Loans, as to which a single Interest Period is in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Borrowing Base</w:t>
      </w:r>
      <w:r>
        <w:rPr>
          <w:color w:val="000000"/>
        </w:rPr>
        <w:t xml:space="preserve">” </w:t>
      </w:r>
      <w:r>
        <w:rPr>
          <w:rFonts w:ascii="Times New Roman;sans-serif" w:hAnsi="Times New Roman;sans-serif"/>
          <w:b w:val="false"/>
          <w:color w:val="000000"/>
          <w:sz w:val="22"/>
        </w:rPr>
        <w:t xml:space="preserve">means the sum of (1) 90% of the book value of Inventory of the Company and the Restricted Subsidiaries, (2) 85% of the book value of Receivables of the Company and the Restricted Subsidiaries (other than Credit Card Receivables), (3) 95% of the book value of Credit Card Receivables of the Company and the Restricted Subsidiaries and (4) 50% of the fair market value of real property of the Company and the Restricted Subsidiaries (in each case, determined as of the end of the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62890"/>
                <wp:effectExtent l="0" t="0" r="0" b="0"/>
                <wp:wrapNone/>
                <wp:docPr id="55" name="Frame5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most recently ended fiscal month of the Company for which internal consolidated financial statements of the Company are available), and, in the case of any determination relating to any Incurrence of Indebtedness, on a pro forma basis including (x) any property or assets of a type described above acquired since the end of such fiscal month and (y) any property or assets of a type described above being acquired 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Borrowing Request</w:t>
      </w:r>
      <w:r>
        <w:rPr>
          <w:color w:val="000000"/>
        </w:rPr>
        <w:t xml:space="preserve">” </w:t>
      </w:r>
      <w:r>
        <w:rPr>
          <w:rFonts w:ascii="Times New Roman;sans-serif" w:hAnsi="Times New Roman;sans-serif"/>
          <w:b w:val="false"/>
          <w:color w:val="000000"/>
          <w:sz w:val="22"/>
        </w:rPr>
        <w:t xml:space="preserve">means a request by the Company for a Borrowing in accordance with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 xml:space="preserve">and substantially in the form attached hereto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or such other form that is reasonably acceptable to the Administrative Agent and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Business Day</w:t>
      </w:r>
      <w:r>
        <w:rPr>
          <w:color w:val="000000"/>
        </w:rPr>
        <w:t xml:space="preserve">” </w:t>
      </w:r>
      <w:r>
        <w:rPr>
          <w:rFonts w:ascii="Times New Roman;sans-serif" w:hAnsi="Times New Roman;sans-serif"/>
          <w:b w:val="false"/>
          <w:color w:val="000000"/>
          <w:sz w:val="22"/>
        </w:rPr>
        <w:t xml:space="preserve">means any day that is not a Saturday, Sunday or other day on which commercial banks in New York City are authorized or required by law to remain closed;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 xml:space="preserve">when used in </w:t>
      </w:r>
      <w:r>
        <w:rPr>
          <w:rFonts w:ascii="Times New Roman;sans-serif" w:hAnsi="Times New Roman;sans-serif"/>
          <w:b w:val="false"/>
          <w:strike/>
          <w:color w:val="FF0000"/>
          <w:sz w:val="22"/>
        </w:rPr>
        <w:t>connection with a LIBO Rate</w:t>
      </w:r>
      <w:r>
        <w:rPr>
          <w:rFonts w:ascii="Times New Roman;sans-serif" w:hAnsi="Times New Roman;sans-serif"/>
          <w:b/>
          <w:color w:val="0000FF"/>
          <w:sz w:val="22"/>
          <w:u w:val="single"/>
        </w:rPr>
        <w:t>relation to Term SOFR Loans or Daily Simple SOFR Loans and any interest rate settings, fundings, disbursements, settlements or payments of any Term SOFR Loan or Daily Simple SOFR Loan, or any other dealings with respect to any Term SOFR Loan or Daily Simple SOFR</w:t>
      </w:r>
      <w:r>
        <w:rPr>
          <w:color w:val="000000"/>
        </w:rPr>
        <w:t xml:space="preserve"> </w:t>
      </w:r>
      <w:r>
        <w:rPr>
          <w:rFonts w:ascii="Times New Roman;sans-serif" w:hAnsi="Times New Roman;sans-serif"/>
          <w:b w:val="false"/>
          <w:color w:val="000000"/>
          <w:sz w:val="22"/>
        </w:rPr>
        <w:t xml:space="preserve">Loan, the term “Business Day” shall also exclude any day </w:t>
      </w:r>
      <w:r>
        <w:rPr>
          <w:rFonts w:ascii="Times New Roman;sans-serif" w:hAnsi="Times New Roman;sans-serif"/>
          <w:b w:val="false"/>
          <w:strike/>
          <w:color w:val="FF0000"/>
          <w:sz w:val="22"/>
        </w:rPr>
        <w:t>on which banks are not open for dealings in Dollar deposits in the London interbank market</w:t>
      </w:r>
      <w:r>
        <w:rPr>
          <w:rFonts w:ascii="Times New Roman;sans-serif" w:hAnsi="Times New Roman;sans-serif"/>
          <w:b/>
          <w:color w:val="0000FF"/>
          <w:sz w:val="22"/>
          <w:u w:val="single"/>
        </w:rPr>
        <w:t>that is not a U.S. Government Securities Business Day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Capital Expenditures</w:t>
      </w:r>
      <w:r>
        <w:rPr>
          <w:color w:val="000000"/>
        </w:rPr>
        <w:t xml:space="preserve">” </w:t>
      </w:r>
      <w:r>
        <w:rPr>
          <w:rFonts w:ascii="Times New Roman;sans-serif" w:hAnsi="Times New Roman;sans-serif"/>
          <w:b w:val="false"/>
          <w:color w:val="000000"/>
          <w:sz w:val="22"/>
        </w:rPr>
        <w:t>means, as applied to any Person for any period, the aggregate amount, without duplication, of all expenditures (whether paid in cash or accrued as liabilities and including in all events all amounts expended or capitalized in respect of Finance Lease Obligations) for such Person for such period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Capital Stock</w:t>
      </w:r>
      <w:r>
        <w:rPr>
          <w:color w:val="000000"/>
        </w:rPr>
        <w:t xml:space="preserve">” </w:t>
      </w:r>
      <w:r>
        <w:rPr>
          <w:rFonts w:ascii="Times New Roman;sans-serif" w:hAnsi="Times New Roman;sans-serif"/>
          <w:b w:val="false"/>
          <w:color w:val="000000"/>
          <w:sz w:val="22"/>
        </w:rPr>
        <w:t xml:space="preserve">of any Person means any and all shares or units of, rights to purchase, warrants or options for, or other equivalents of or interests in (however designated) equity of such Person, including any Preferred Stock, but excluding any debt securities convertible into or exchangeable for such equity.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Captive Insurance Subsidiary”</w:t>
      </w:r>
      <w:r>
        <w:rPr>
          <w:color w:val="000000"/>
        </w:rPr>
        <w:t xml:space="preserve"> </w:t>
      </w:r>
      <w:r>
        <w:rPr>
          <w:rFonts w:ascii="Times New Roman;sans-serif" w:hAnsi="Times New Roman;sans-serif"/>
          <w:b w:val="false"/>
          <w:color w:val="000000"/>
          <w:sz w:val="22"/>
        </w:rPr>
        <w:t>means any Subsidiary of the Company that is subject to regulation as an insurance company (or any Subsidiary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cash</w:t>
      </w:r>
      <w:r>
        <w:rPr>
          <w:color w:val="000000"/>
        </w:rPr>
        <w:t xml:space="preserve">” </w:t>
      </w:r>
      <w:r>
        <w:rPr>
          <w:rFonts w:ascii="Times New Roman;sans-serif" w:hAnsi="Times New Roman;sans-serif"/>
          <w:b w:val="false"/>
          <w:color w:val="000000"/>
          <w:sz w:val="22"/>
        </w:rPr>
        <w:t>means money, currency or a credit balance in any Deposit Account, in each case determined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 Equivalents</w:t>
      </w:r>
      <w:r>
        <w:rPr>
          <w:color w:val="000000"/>
        </w:rPr>
        <w:t xml:space="preserve">” </w:t>
      </w:r>
      <w:r>
        <w:rPr>
          <w:rFonts w:ascii="Times New Roman;sans-serif" w:hAnsi="Times New Roman;sans-serif"/>
          <w:b w:val="false"/>
          <w:color w:val="000000"/>
          <w:sz w:val="22"/>
        </w:rPr>
        <w:t>means any of the following: (a) money, (b) securities issued or fully guaranteed or insured by the United States, Canada or a member state of the European Union or any agency or instrumentality of any thereof, (c) time deposits, certificates of deposit or bankers’ acceptances of (i) any bank or other institutional lender hereunder or under the ABL Facility or any affiliate thereof or (ii) any commercial bank having capital and surplus in excess of $500.0 million (or the foreign currency equivalent thereof as of the date of such investment) and the commercial paper of the holding company of which is rated at least A-2 or the equivalent thereof by S&amp;P or at least P-2 or the equivalent thereof by Moody’s (or, if at such time neither is issuing ratings, a comparable rating of another nationally recognized rating agency), (d) repurchase obligations with a term of not more than seven days for underlying securities of the types described in clauses (b) and (c) above entered into with any financial institution meeting the qualifications specified in clause (c)(i) or (c)(ii) above, (e) money market instruments, commercial paper or other short-term obligations rated at least A-2 or the equivalent thereof by S&amp;P or at least P-2 or the equivalent thereof by Moody’s (or, if at such time neither is issuing ratings, a comparable rating of another nationally recognized rating agency), (f) investments in money market funds subject to the risk limiting conditions of Rule 2a-7 or any successor rule of the SEC under the Investment Company Act of 1940, as amended, (g) investments similar to any of the foregoing denominated in foreign currencies approved by the Board of Directors, and (h) solely with respect to any Captive Insurance Subsidiary, any investment that Person is permitted to make in accordance with applicable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Change in Law</w:t>
      </w:r>
      <w:r>
        <w:rPr>
          <w:color w:val="000000"/>
        </w:rPr>
        <w:t xml:space="preserve">” </w:t>
      </w:r>
      <w:r>
        <w:rPr>
          <w:rFonts w:ascii="Times New Roman;sans-serif" w:hAnsi="Times New Roman;sans-serif"/>
          <w:b w:val="false"/>
          <w:color w:val="000000"/>
          <w:sz w:val="22"/>
        </w:rPr>
        <w:t xml:space="preserve">means (a) the adoption of any law, rule or regulation after the Closing Date, (b) any change in any law, rule or regulation or in the interpretation or application thereof by any Governmental Authority after the Closing Date or (c) compliance by any Lender (or, for purposes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62890"/>
                <wp:effectExtent l="0" t="0" r="0" b="0"/>
                <wp:wrapNone/>
                <wp:docPr id="56" name="Frame5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2.15(b)</w:t>
      </w:r>
      <w:r>
        <w:rPr>
          <w:rFonts w:ascii="Times New Roman;sans-serif" w:hAnsi="Times New Roman;sans-serif"/>
          <w:b w:val="false"/>
          <w:color w:val="000000"/>
          <w:sz w:val="22"/>
        </w:rPr>
        <w:t xml:space="preserve">, by any lending office of such Lender or by such Lender’s holding company, if any) with any request, guideline or directive (whether or not having the force of law) of any Governmental Authority made or issued after the Closing Date. For purposes of this definition and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regulatory authorities, in each case pursuant to Basel III, shall in each case described in </w:t>
      </w:r>
      <w:r>
        <w:rPr>
          <w:rFonts w:ascii="Times New Roman;sans-serif" w:hAnsi="Times New Roman;sans-serif"/>
          <w:b w:val="false"/>
          <w:color w:val="000000"/>
          <w:sz w:val="22"/>
          <w:u w:val="single"/>
        </w:rPr>
        <w:t>clauses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above, be deemed to be a Change in Law, regardless of the date enacted, adopted, issued or implemented.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Change of Control</w:t>
      </w:r>
      <w:r>
        <w:rPr>
          <w:color w:val="000000"/>
        </w:rPr>
        <w:t xml:space="preserve">” </w:t>
      </w:r>
      <w:r>
        <w:rPr>
          <w:rFonts w:ascii="Times New Roman;sans-serif" w:hAnsi="Times New Roman;sans-serif"/>
          <w:b w:val="false"/>
          <w:color w:val="000000"/>
          <w:sz w:val="22"/>
        </w:rPr>
        <w:t>means the occurrence of any of the following: (1)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the Company or one of its Subsidiaries or (2) the consummation of any transaction (including, without limitation, any merger or consolidation) the result of which is that any “Person” (as that term is used in Section 13(d)(3) of the Exchange Act) becomes the beneficial owner, directly or indirectly, of more than 50% of the then outstanding number of shares of the Company’s voting stock. Notwithstanding the foregoing, a transaction will not be deemed to involve a Change of Control if (1) the Company becomes a wholly owned Subsidiary of a holding company and (2) either the holders of the voting stock of such holding company immediately following that transaction are substantially the same as the holders of the Company’s voting stock immediately prior to that transaction or no Person (other than such holding company) beneficially owns, directly or indirectly, more than 50% of the outstanding number of shares of the Company’s voting stock.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Charge</w:t>
      </w:r>
      <w:r>
        <w:rPr>
          <w:color w:val="000000"/>
        </w:rPr>
        <w:t xml:space="preserve">” </w:t>
      </w:r>
      <w:r>
        <w:rPr>
          <w:rFonts w:ascii="Times New Roman;sans-serif" w:hAnsi="Times New Roman;sans-serif"/>
          <w:b w:val="false"/>
          <w:color w:val="000000"/>
          <w:sz w:val="22"/>
        </w:rPr>
        <w:t>means any fee, loss, charge, expense, cost, accrual or reserve of any kind.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Class</w:t>
      </w:r>
      <w:r>
        <w:rPr>
          <w:color w:val="000000"/>
        </w:rPr>
        <w:t>”</w:t>
      </w:r>
      <w:r>
        <w:rPr>
          <w:rFonts w:ascii="Times New Roman;sans-serif" w:hAnsi="Times New Roman;sans-serif"/>
          <w:b w:val="false"/>
          <w:color w:val="000000"/>
          <w:sz w:val="22"/>
        </w:rPr>
        <w:t xml:space="preserve">, when used in reference to any Loan or Borrowing, refers to whether such Loan, or the Loans comprising such Borrowing, are Initial Term Loans, Additional Term Loans of any series established as a separate “Class” pursuant to </w:t>
      </w:r>
      <w:r>
        <w:rPr>
          <w:rFonts w:ascii="Times New Roman;sans-serif" w:hAnsi="Times New Roman;sans-serif"/>
          <w:b w:val="false"/>
          <w:color w:val="000000"/>
          <w:sz w:val="22"/>
          <w:u w:val="single"/>
        </w:rPr>
        <w:t>Sections 2.22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Closing Date</w:t>
      </w:r>
      <w:r>
        <w:rPr>
          <w:color w:val="000000"/>
        </w:rPr>
        <w:t xml:space="preserve">” </w:t>
      </w:r>
      <w:r>
        <w:rPr>
          <w:rFonts w:ascii="Times New Roman;sans-serif" w:hAnsi="Times New Roman;sans-serif"/>
          <w:b w:val="false"/>
          <w:color w:val="000000"/>
          <w:sz w:val="22"/>
        </w:rPr>
        <w:t xml:space="preserve">means the date on which the conditions specified in </w:t>
      </w:r>
      <w:r>
        <w:rPr>
          <w:rFonts w:ascii="Times New Roman;sans-serif" w:hAnsi="Times New Roman;sans-serif"/>
          <w:b w:val="false"/>
          <w:color w:val="000000"/>
          <w:sz w:val="22"/>
          <w:u w:val="single"/>
        </w:rPr>
        <w:t>Section 4.01</w:t>
      </w:r>
      <w:r>
        <w:rPr>
          <w:color w:val="000000"/>
        </w:rPr>
        <w:t xml:space="preserve"> </w:t>
      </w:r>
      <w:r>
        <w:rPr>
          <w:rFonts w:ascii="Times New Roman;sans-serif" w:hAnsi="Times New Roman;sans-serif"/>
          <w:b w:val="false"/>
          <w:color w:val="000000"/>
          <w:sz w:val="22"/>
        </w:rPr>
        <w:t xml:space="preserve">are satisfied (or waived in accordance with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Closing Date Distribution</w:t>
      </w:r>
      <w:r>
        <w:rPr>
          <w:color w:val="000000"/>
        </w:rPr>
        <w:t xml:space="preserve">” </w:t>
      </w:r>
      <w:r>
        <w:rPr>
          <w:rFonts w:ascii="Times New Roman;sans-serif" w:hAnsi="Times New Roman;sans-serif"/>
          <w:b w:val="false"/>
          <w:color w:val="000000"/>
          <w:sz w:val="22"/>
        </w:rPr>
        <w:t>means the distribution by the Company to L Brands, of 100% of the Company’s common stock for distribution to L Brands’ existing shareholders.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Closing Date Payment</w:t>
      </w:r>
      <w:r>
        <w:rPr>
          <w:color w:val="000000"/>
        </w:rPr>
        <w:t xml:space="preserve">” </w:t>
      </w:r>
      <w:r>
        <w:rPr>
          <w:rFonts w:ascii="Times New Roman;sans-serif" w:hAnsi="Times New Roman;sans-serif"/>
          <w:b w:val="false"/>
          <w:color w:val="000000"/>
          <w:sz w:val="22"/>
        </w:rPr>
        <w:t>means the payment of the Special Cash Payment (as defined in the Separation Agreement).</w: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CME Term SOFR Administrator” means CME Group Benchmark Administration Limited as administrator of the forward-looking term Secured Overnight Financing Rate (SOFR) (or a successor administrator).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means the Internal Revenue Code of 1986,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Collateral</w:t>
      </w:r>
      <w:r>
        <w:rPr>
          <w:color w:val="000000"/>
        </w:rPr>
        <w:t xml:space="preserve">” </w:t>
      </w:r>
      <w:r>
        <w:rPr>
          <w:rFonts w:ascii="Times New Roman;sans-serif" w:hAnsi="Times New Roman;sans-serif"/>
          <w:b w:val="false"/>
          <w:color w:val="000000"/>
          <w:sz w:val="22"/>
        </w:rPr>
        <w:t>means any and all assets, tangible or intangible, on which Liens are purported to be granted pursuant to the Collateral Documents as security for the Obligations hereunder. For the avoidance of doubt, in no event shall “Collateral” include any Excluded Asset, unless specifically consented to by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Collateral Agreement</w:t>
      </w:r>
      <w:r>
        <w:rPr>
          <w:color w:val="000000"/>
        </w:rPr>
        <w:t xml:space="preserve">” </w:t>
      </w:r>
      <w:r>
        <w:rPr>
          <w:rFonts w:ascii="Times New Roman;sans-serif" w:hAnsi="Times New Roman;sans-serif"/>
          <w:b w:val="false"/>
          <w:color w:val="000000"/>
          <w:sz w:val="22"/>
        </w:rPr>
        <w:t xml:space="preserve">means the Guarantee and Collateral Agreement, substantially in the form of </w:t>
      </w:r>
      <w:r>
        <w:rPr>
          <w:rFonts w:ascii="Times New Roman;sans-serif" w:hAnsi="Times New Roman;sans-serif"/>
          <w:b w:val="false"/>
          <w:color w:val="000000"/>
          <w:sz w:val="22"/>
          <w:u w:val="single"/>
        </w:rPr>
        <w:t>Exhibit J</w:t>
      </w:r>
      <w:r>
        <w:rPr>
          <w:rFonts w:ascii="Times New Roman;sans-serif" w:hAnsi="Times New Roman;sans-serif"/>
          <w:b w:val="false"/>
          <w:color w:val="000000"/>
          <w:sz w:val="22"/>
        </w:rPr>
        <w:t>, among the Loan Parties and the Administrative Agent for the benefit of the Secured Parties.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Collateral and Guarantee Requirement</w:t>
      </w:r>
      <w:r>
        <w:rPr>
          <w:color w:val="000000"/>
        </w:rPr>
        <w:t xml:space="preserve">” </w:t>
      </w:r>
      <w:r>
        <w:rPr>
          <w:rFonts w:ascii="Times New Roman;sans-serif" w:hAnsi="Times New Roman;sans-serif"/>
          <w:b w:val="false"/>
          <w:color w:val="000000"/>
          <w:sz w:val="22"/>
        </w:rPr>
        <w:t xml:space="preserve">means, at any time, subject to (x) the applicable limitations set forth in this Agreement and/or any other Loan Document (including the ABL Intercreditor </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62890"/>
                <wp:effectExtent l="0" t="0" r="0" b="0"/>
                <wp:wrapNone/>
                <wp:docPr id="57" name="Frame5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Agreement and any other Acceptable Intercreditor Agreement) and (y) the time periods (and extensions thereof) set forth in the applicable provisions of this Agreement, the requirement that the Administrative Agent shall have received (A) a joinder to the Collateral Agreement in substantially the form attached as an exhibit thereto, (B) a supplement to the Collateral Agreement in substantially the form attached as an exhibit thereto, (C) if the respective Restricted Subsidiary required to comply with the requirements set forth in this definition pursuant to </w:t>
      </w:r>
      <w:r>
        <w:rPr>
          <w:rFonts w:ascii="Times New Roman;sans-serif" w:hAnsi="Times New Roman;sans-serif"/>
          <w:b/>
          <w:color w:val="000000"/>
          <w:sz w:val="22"/>
          <w:u w:val="single"/>
        </w:rPr>
        <w:t>Section 5.10</w:t>
      </w:r>
      <w:r>
        <w:rPr>
          <w:color w:val="000000"/>
        </w:rPr>
        <w:t xml:space="preserve"> </w:t>
      </w:r>
      <w:r>
        <w:rPr>
          <w:rFonts w:ascii="Times New Roman;sans-serif" w:hAnsi="Times New Roman;sans-serif"/>
          <w:b w:val="false"/>
          <w:color w:val="000000"/>
          <w:sz w:val="22"/>
        </w:rPr>
        <w:t xml:space="preserve">owns registrations of or applications for U.S. Patents, U.S. Trademarks and/or U.S. Copyrights that constitute Collateral, an Intellectual Property Security Agreement in substantially the form attached as an exhibit hereto, (D) a completed Perfection Certificate, (E) Uniform Commercial Code financing statements in appropriate form for filing in such jurisdictions as the Administrative Agent may reasonably request and (F) to the extent required by the terms thereof, an executed joinder to any Acceptable Intercreditor Agreement in substantially the form attached as an exhibit thereto.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Collateral Documents</w:t>
      </w:r>
      <w:r>
        <w:rPr>
          <w:color w:val="000000"/>
        </w:rPr>
        <w:t xml:space="preserve">” </w:t>
      </w:r>
      <w:r>
        <w:rPr>
          <w:rFonts w:ascii="Times New Roman;sans-serif" w:hAnsi="Times New Roman;sans-serif"/>
          <w:b w:val="false"/>
          <w:color w:val="000000"/>
          <w:sz w:val="22"/>
        </w:rPr>
        <w:t>means, collectively, (i) the Collateral Agreement, (ii) each Intellectual Property Security Agreement, (ii) any supplement to any of the foregoing delivered to the Administrative Agent pursuant to the definition of “Collateral and Guarantee Requirement”, (iv) the Perfection Certificate and (v) each of the other instruments and documents pursuant to which any Loan Party grants a Lien on any Collateral as security for payment of the Secured Obligations.</w:t>
      </w:r>
    </w:p>
    <w:p>
      <w:pPr>
        <w:pStyle w:val="TextBody"/>
        <w:bidi w:val="0"/>
        <w:spacing w:lineRule="auto" w:line="240" w:before="0" w:after="240"/>
        <w:ind w:left="0" w:right="0" w:firstLine="540"/>
        <w:jc w:val="both"/>
        <w:rPr/>
      </w:pPr>
      <w:r>
        <w:rPr>
          <w:color w:val="000000"/>
        </w:rPr>
        <w:t>“</w:t>
      </w:r>
      <w:r>
        <w:rPr>
          <w:rFonts w:ascii="Times New Roman;sans-serif" w:hAnsi="Times New Roman;sans-serif"/>
          <w:b/>
          <w:color w:val="000000"/>
          <w:sz w:val="22"/>
        </w:rPr>
        <w:t>Commitment</w:t>
      </w:r>
      <w:r>
        <w:rPr>
          <w:color w:val="000000"/>
        </w:rPr>
        <w:t xml:space="preserve">” </w:t>
      </w:r>
      <w:r>
        <w:rPr>
          <w:rFonts w:ascii="Times New Roman;sans-serif" w:hAnsi="Times New Roman;sans-serif"/>
          <w:b w:val="false"/>
          <w:color w:val="000000"/>
          <w:sz w:val="22"/>
        </w:rPr>
        <w:t>means, with respect to each Lender, such Lender’s Initial Term Loan Commitment and Additional Commitment, as applicable, in effect as of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Commitment Schedule</w:t>
      </w:r>
      <w:r>
        <w:rPr>
          <w:color w:val="000000"/>
        </w:rPr>
        <w:t xml:space="preserve">” </w:t>
      </w:r>
      <w:r>
        <w:rPr>
          <w:rFonts w:ascii="Times New Roman;sans-serif" w:hAnsi="Times New Roman;sans-serif"/>
          <w:b w:val="false"/>
          <w:color w:val="000000"/>
          <w:sz w:val="22"/>
        </w:rPr>
        <w:t xml:space="preserve">means the Schedule attached hereto as </w:t>
      </w:r>
      <w:r>
        <w:rPr>
          <w:rFonts w:ascii="Times New Roman;sans-serif" w:hAnsi="Times New Roman;sans-serif"/>
          <w:b w:val="false"/>
          <w:color w:val="000000"/>
          <w:sz w:val="22"/>
          <w:u w:val="single"/>
        </w:rPr>
        <w:t>Schedule 1.01(a)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Commodities Agreement”</w:t>
      </w:r>
      <w:r>
        <w:rPr>
          <w:color w:val="000000"/>
        </w:rPr>
        <w:t xml:space="preserve"> </w:t>
      </w:r>
      <w:r>
        <w:rPr>
          <w:rFonts w:ascii="Times New Roman;sans-serif" w:hAnsi="Times New Roman;sans-serif"/>
          <w:b w:val="false"/>
          <w:color w:val="000000"/>
          <w:sz w:val="22"/>
        </w:rPr>
        <w:t>means, in respect of a Person, any commodity futures contract, forward contract, option or similar agreement or arrangement (including derivative agreements or arrangements), as to which such Person is a party or beneficiary.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Commodity Exchange Act</w:t>
      </w:r>
      <w:r>
        <w:rPr>
          <w:color w:val="000000"/>
        </w:rPr>
        <w:t xml:space="preserve">” </w:t>
      </w:r>
      <w:r>
        <w:rPr>
          <w:rFonts w:ascii="Times New Roman;sans-serif" w:hAnsi="Times New Roman;sans-serif"/>
          <w:b w:val="false"/>
          <w:color w:val="000000"/>
          <w:sz w:val="22"/>
        </w:rPr>
        <w:t>means the Commodity Exchange Act (7 U.S.C. § 1 et seq.).</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w:t>
      </w:r>
      <w:r>
        <w:rPr>
          <w:color w:val="000000"/>
        </w:rPr>
        <w:t xml:space="preserve">” </w:t>
      </w:r>
      <w:r>
        <w:rPr>
          <w:rFonts w:ascii="Times New Roman;sans-serif" w:hAnsi="Times New Roman;sans-serif"/>
          <w:b w:val="false"/>
          <w:color w:val="000000"/>
          <w:sz w:val="22"/>
        </w:rPr>
        <w:t xml:space="preserve">means (a) Victoria’s Secret &amp; Co. and/or (b) following the consummation of a transaction permitted hereunder that results in a Successor Company, such Successor Company, in each case, as the context may require.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Competitor</w:t>
      </w:r>
      <w:r>
        <w:rPr>
          <w:color w:val="000000"/>
        </w:rPr>
        <w:t xml:space="preserve">” </w:t>
      </w:r>
      <w:r>
        <w:rPr>
          <w:rFonts w:ascii="Times New Roman;sans-serif" w:hAnsi="Times New Roman;sans-serif"/>
          <w:b w:val="false"/>
          <w:color w:val="000000"/>
          <w:sz w:val="22"/>
        </w:rPr>
        <w:t>means any competitor of the Company and/or any of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Confidential Information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9.13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Coverage Ratio</w:t>
      </w:r>
      <w:r>
        <w:rPr>
          <w:color w:val="000000"/>
        </w:rPr>
        <w:t xml:space="preserve">” </w:t>
      </w:r>
      <w:r>
        <w:rPr>
          <w:rFonts w:ascii="Times New Roman;sans-serif" w:hAnsi="Times New Roman;sans-serif"/>
          <w:b w:val="false"/>
          <w:color w:val="000000"/>
          <w:sz w:val="22"/>
        </w:rPr>
        <w:t>as of any date of determination means the ratio of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the aggregate amount of Consolidated EBITDA for the period of the most recent four consecutive fiscal quarters of the Company ending prior to the date of such determination for which consolidated financial statements of the Company are available to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Consolidated Interest Expense for such four fiscal quarters;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(i)if, since the beginning of such period, the Company or any Restricted Subsidiary has Incurred any Indebtedness or the Company has issued any Designated Preferred Stock that remains outstanding on such date of determination or if the transaction giving rise to the need to calculate the Consolidated Coverage Ratio is an Incurrence of Indebtedness or an issuance of Designated Preferred Stock of the Company, Consolidated EBITDA and Consolidated Interest Expense for such period shall be calculated after giving effect on a pro forma basis to such Indebtedness or Designated Preferred Stock as if such Indebtedness or Designated Preferred Stock had been Incurred or issued, as applicable, on the first day of such period (except that in making such computation, the amount of Indebtedness under any revolving credit facility outstanding on the date of such calculation shall be computed based on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 xml:space="preserve">) the average daily balance of such Indebtedness during such four fiscal quarters or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62890"/>
                <wp:effectExtent l="0" t="0" r="0" b="0"/>
                <wp:wrapNone/>
                <wp:docPr id="58" name="Frame5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such shorter period for which such facility was outstanding 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if such facility was created after the end of such four fiscal quarters, the average daily balance of such Indebtedness during the period from the date of creation of such facility to the date of such calculation),</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(ii)if, since the beginning of such period, the Company or any Restricted Subsidiary has repaid, repurchased, redeemed, defeased or otherwise acquired, retired or discharged any Indebtedness or any Designated Preferred Stock of the Company that is no longer outstanding on such date of determination (each, a “</w:t>
      </w:r>
      <w:r>
        <w:rPr>
          <w:rFonts w:ascii="Times New Roman;sans-serif" w:hAnsi="Times New Roman;sans-serif"/>
          <w:b/>
          <w:color w:val="000000"/>
          <w:sz w:val="22"/>
        </w:rPr>
        <w:t>Discharge</w:t>
      </w:r>
      <w:r>
        <w:rPr>
          <w:color w:val="000000"/>
        </w:rPr>
        <w:t>”</w:t>
      </w:r>
      <w:r>
        <w:rPr>
          <w:rFonts w:ascii="Times New Roman;sans-serif" w:hAnsi="Times New Roman;sans-serif"/>
          <w:b w:val="false"/>
          <w:color w:val="000000"/>
          <w:sz w:val="22"/>
        </w:rPr>
        <w:t>) or if the transaction giving rise to the need to calculate the Consolidated Coverage Ratio involves a Discharge of Indebtedness (in each case other than Indebtedness Incurred under any revolving credit facility, unless such Indebtedness has been repaid with an equivalent permanent reduction in commitments thereunder) or a Discharge of Designated Preferred Stock of the Company, Consolidated EBITDA and Consolidated Interest Expense for such period shall be calculated after giving effect on a pro forma basis to such Discharge of such Indebtedness or Designated Preferred Stock, including with the proceeds of such new Indebtedness or new Designated Preferred Stock of the Company, as if such Discharge had occurred on the first day of such period,</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(iii)if, since the beginning of such period, the Company or any Restricted Subsidiary shall have disposed of any company, any business or any group of assets constituting an operating unit of a business, including any such disposition occurring in connection with a transaction causing a calculation to be made hereunder, or designated any Restricted Subsidiary as an Unrestricted Subsidiary (any such disposition or designation, a “</w:t>
      </w:r>
      <w:r>
        <w:rPr>
          <w:rFonts w:ascii="Times New Roman;sans-serif" w:hAnsi="Times New Roman;sans-serif"/>
          <w:b/>
          <w:color w:val="000000"/>
          <w:sz w:val="22"/>
        </w:rPr>
        <w:t>Sale</w:t>
      </w:r>
      <w:r>
        <w:rPr>
          <w:color w:val="000000"/>
        </w:rPr>
        <w:t>”</w:t>
      </w:r>
      <w:r>
        <w:rPr>
          <w:rFonts w:ascii="Times New Roman;sans-serif" w:hAnsi="Times New Roman;sans-serif"/>
          <w:b w:val="false"/>
          <w:color w:val="000000"/>
          <w:sz w:val="22"/>
        </w:rPr>
        <w:t>),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 and Consolidated Interest Expense for such period shall be reduced by an amount equal to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 the Consolidated Interest Expense attributable to any Indebtedness of the Company or any Restricted Subsidiary repaid, repurchased, redeemed, defeased or otherwise acquired, retired or discharged with respect to the Company and its continuing Restricted Subsidiaries in connection with such Sale for such period (including, but not limited to, through the assumption of such Indebtedness by another Person) plus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if the Capital Stock of any Restricted Subsidiary is disposed of in such Sale or any Restricted Subsidiary is designated as an Unrestricted Subsidiary, the Consolidated Interest Expense for such period attributable to the Indebtedness of such Restricted Subsidiary to the extent the Company and its continuing Restricted Subsidiaries are no longer liable for such Indebtedness after such Sale,</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(iv)if, since the beginning of such period, the Company or any Restricted Subsidiary (by merger, consolidation or otherwise) shall have made an Investment in any Person that thereby becomes a Restricted Subsidiary, or otherwise acquired any company, any business or any group of assets constituting an operating unit of a business, including any such Investment or acquisition occurring in connection with a transaction causing a calculation to be made hereunder, or designated any Unrestricted Subsidiary as a Restricted Subsidiary (any such Investment, acquisition or designation, a “</w:t>
      </w:r>
      <w:r>
        <w:rPr>
          <w:rFonts w:ascii="Times New Roman;sans-serif" w:hAnsi="Times New Roman;sans-serif"/>
          <w:b/>
          <w:color w:val="000000"/>
          <w:sz w:val="22"/>
        </w:rPr>
        <w:t>Purchase</w:t>
      </w:r>
      <w:r>
        <w:rPr>
          <w:color w:val="000000"/>
        </w:rPr>
        <w:t>”</w:t>
      </w:r>
      <w:r>
        <w:rPr>
          <w:rFonts w:ascii="Times New Roman;sans-serif" w:hAnsi="Times New Roman;sans-serif"/>
          <w:b w:val="false"/>
          <w:color w:val="000000"/>
          <w:sz w:val="22"/>
        </w:rPr>
        <w:t>), Consolidated EBITDA and Consolidated Interest Expense for such period shall be calculated after giving pro forma effect thereto (including the Incurrence of any related Indebtedness) as if such Purchase occurred on the first day of such period, and</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(v)if, since the beginning of such period, any Person became a Restricted Subsidiary or was merged or consolidated with or into the Company or any Restricted Subsidiary, and since the beginning of such period such Person shall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62890"/>
                <wp:effectExtent l="0" t="0" r="0" b="0"/>
                <wp:wrapNone/>
                <wp:docPr id="59" name="Frame5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have discharged any Indebtedness or made any Sale or Purchase that would have required an adjustment pursuant to clause (2), (3) or (4) above if made by the Company or a Restricted Subsidiary since the beginning of such period, Consolidated EBITDA and Consolidated Interest Expense for such period shall be calculated after giving pro forma effect thereto as if such Discharge, Sale or Purchase occurred on the first day of such period;</w:t>
      </w:r>
    </w:p>
    <w:p>
      <w:pPr>
        <w:pStyle w:val="TextBody"/>
        <w:bidi w:val="0"/>
        <w:spacing w:lineRule="auto" w:line="240"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that the Company shall classify Indebtedness Incurred on the date of determination as Incurred in part under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and in part under </w:t>
      </w:r>
      <w:r>
        <w:rPr>
          <w:rFonts w:ascii="Times New Roman;sans-serif" w:hAnsi="Times New Roman;sans-serif"/>
          <w:b w:val="false"/>
          <w:color w:val="000000"/>
          <w:sz w:val="22"/>
          <w:u w:val="single"/>
        </w:rPr>
        <w:t>Section 6.01(b)</w:t>
      </w:r>
      <w:r>
        <w:rPr>
          <w:rFonts w:ascii="Times New Roman;sans-serif" w:hAnsi="Times New Roman;sans-serif"/>
          <w:b w:val="false"/>
          <w:color w:val="000000"/>
          <w:sz w:val="22"/>
        </w:rPr>
        <w:t xml:space="preserve">, as provided in </w:t>
      </w:r>
      <w:r>
        <w:rPr>
          <w:rFonts w:ascii="Times New Roman;sans-serif" w:hAnsi="Times New Roman;sans-serif"/>
          <w:b w:val="false"/>
          <w:color w:val="000000"/>
          <w:sz w:val="22"/>
          <w:u w:val="single"/>
        </w:rPr>
        <w:t>Section 6.01(c)(ii)</w:t>
      </w:r>
      <w:r>
        <w:rPr>
          <w:rFonts w:ascii="Times New Roman;sans-serif" w:hAnsi="Times New Roman;sans-serif"/>
          <w:b w:val="false"/>
          <w:color w:val="000000"/>
          <w:sz w:val="22"/>
        </w:rPr>
        <w:t xml:space="preserve">), any pro forma calculation of Consolidated Interest Expense shall not give effect on such date of determination (x) to any Incurrence of Indebtedness pursuant to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(other than if the Company at its option has elected to disregard Indebtedness being Incurred on the date of determination in part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for purposes of calculating the Consolidated Coverage Ratio for Incurring Indebtedness on the date of determination in part pursuant to </w:t>
      </w:r>
      <w:r>
        <w:rPr>
          <w:rFonts w:ascii="Times New Roman;sans-serif" w:hAnsi="Times New Roman;sans-serif"/>
          <w:b w:val="false"/>
          <w:color w:val="000000"/>
          <w:sz w:val="22"/>
          <w:u w:val="single"/>
        </w:rPr>
        <w:t>Section 6.01(b)(xi)</w:t>
      </w:r>
      <w:r>
        <w:rPr>
          <w:rFonts w:ascii="Times New Roman;sans-serif" w:hAnsi="Times New Roman;sans-serif"/>
          <w:b w:val="false"/>
          <w:color w:val="000000"/>
          <w:sz w:val="22"/>
        </w:rPr>
        <w:t xml:space="preserve">) or (y) to any Discharge of Indebtedness from the proceeds of any such Incurrence pursuant to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6.01(b)(xi)</w:t>
      </w:r>
      <w:r>
        <w:rPr>
          <w:rFonts w:ascii="Times New Roman;sans-serif" w:hAnsi="Times New Roman;sans-serif"/>
          <w:b w:val="false"/>
          <w:color w:val="000000"/>
          <w:sz w:val="22"/>
        </w:rPr>
        <w:t xml:space="preserve">, if the Incurrence of Indebtedness pursuant to </w:t>
      </w:r>
      <w:r>
        <w:rPr>
          <w:rFonts w:ascii="Times New Roman;sans-serif" w:hAnsi="Times New Roman;sans-serif"/>
          <w:b w:val="false"/>
          <w:color w:val="000000"/>
          <w:sz w:val="22"/>
          <w:u w:val="single"/>
        </w:rPr>
        <w:t>Section 6.01(b)(xi)</w:t>
      </w:r>
      <w:r>
        <w:rPr>
          <w:color w:val="000000"/>
        </w:rPr>
        <w:t xml:space="preserve"> </w:t>
      </w:r>
      <w:r>
        <w:rPr>
          <w:rFonts w:ascii="Times New Roman;sans-serif" w:hAnsi="Times New Roman;sans-serif"/>
          <w:b w:val="false"/>
          <w:color w:val="000000"/>
          <w:sz w:val="22"/>
        </w:rPr>
        <w:t>is being given effect to in the calculation of the Consolidated Coverage Ratio).</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definition, whenever pro forma effect is to be given to any Sale, Purchase or other transaction, or the amount of income or earnings relating thereto and the amount of Consolidated Interest Expense associated with any Indebtedness Incurred, Designated Preferred Stock issued, or Indebtedness or Designated Preferred Stock repaid, repurchased, redeemed, defeased or otherwise acquired, retired or discharged in connection therewith, the pro forma calculations in respect thereof (including without limitation in respect of anticipated cost savings or synergies relating to any such Sale, Purchase or other transaction) shall be as determined in good faith by the Chief Financial Officer or an authorized Officer of the Company. If any Indebtedness bears a floating rate of interest and is being given pro forma effect, the interest expense on such Indebtedness shall be calculated as if the rate in effect on the date of determination had been the applicable rate for the entire period (taking into account any Interest Rate Agreement applicable to such Indebtedness). If any Indebtedness bears, at the option of the Company or a Restricted Subsidiary, a rate of interest based on a prime or similar rate, a eurocurrency interbank offered rate, a secured overnight financing rate, or other fixed or floating rate, and such Indebtedness is being given pro forma effect, the interest expense on such Indebtedness shall be calculated by applying such optional rate as the Company or such Restricted Subsidiary may designate. If any Indebtedness that is being given pro forma effect was Incurred under a revolving credit facility, the interest expense on such Indebtedness shall be computed based upon the average daily balance of such Indebtedness during the applicable period. Interest on a Finance Lease Obligation shall be deemed to accrue at an interest rate determined in good faith by a responsible financial or accounting officer of the Company to be the rate of interest implicit in such Finance Lease Obligation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Depreciation and Amortization Expense</w:t>
      </w:r>
      <w:r>
        <w:rPr>
          <w:color w:val="000000"/>
        </w:rPr>
        <w:t xml:space="preserve">” </w:t>
      </w:r>
      <w:r>
        <w:rPr>
          <w:rFonts w:ascii="Times New Roman;sans-serif" w:hAnsi="Times New Roman;sans-serif"/>
          <w:b w:val="false"/>
          <w:color w:val="000000"/>
          <w:sz w:val="22"/>
        </w:rPr>
        <w:t>means, with respect to any Person for any period, the total amount of depreciation and amortization expense, including the amortization of intangible assets and deferred financing fees and amortization of unrecognized prior service costs and actuarial gains and losses related to pensions and other post-employment benefits, of such Person and its Restricted Subsidiaries for such period on a consolidated basis and otherwise determined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EBITDA</w:t>
      </w:r>
      <w:r>
        <w:rPr>
          <w:color w:val="000000"/>
        </w:rPr>
        <w:t xml:space="preserve">” </w:t>
      </w:r>
      <w:r>
        <w:rPr>
          <w:rFonts w:ascii="Times New Roman;sans-serif" w:hAnsi="Times New Roman;sans-serif"/>
          <w:b w:val="false"/>
          <w:color w:val="000000"/>
          <w:sz w:val="22"/>
        </w:rPr>
        <w:t>means, with respect to any Person for any period, the Consolidated Net Income of such Person and its Restricted Subsidiaries for such period plus, without duplication and, except in the case of clause (9) below, to the extent the same was deducted in calculating Consolidated Net Income:</w:t>
      </w:r>
    </w:p>
    <w:p>
      <w:pPr>
        <w:pStyle w:val="TextBody"/>
        <w:bidi w:val="0"/>
        <w:spacing w:lineRule="auto" w:line="240" w:before="240" w:after="283"/>
        <w:ind w:left="0" w:right="0" w:hanging="360"/>
        <w:jc w:val="both"/>
        <w:rPr/>
      </w:pPr>
      <w:r>
        <w:rPr>
          <w:rFonts w:ascii="Book Antiqua;sans-serif" w:hAnsi="Book Antiqua;sans-serif"/>
          <w:b w:val="false"/>
          <w:color w:val="231F20"/>
          <w:sz w:val="20"/>
        </w:rPr>
        <w:t>(1)</w:t>
      </w:r>
      <w:r>
        <w:rPr>
          <w:rFonts w:ascii="Times New Roman;sans-serif" w:hAnsi="Times New Roman;sans-serif"/>
          <w:b w:val="false"/>
          <w:color w:val="000000"/>
          <w:sz w:val="22"/>
        </w:rPr>
        <w:t>Consolidated Taxes; plus</w:t>
      </w:r>
    </w:p>
    <w:p>
      <w:pPr>
        <w:pStyle w:val="TextBody"/>
        <w:bidi w:val="0"/>
        <w:spacing w:lineRule="auto" w:line="240" w:before="240" w:after="283"/>
        <w:ind w:left="0" w:right="0" w:hanging="360"/>
        <w:jc w:val="both"/>
        <w:rPr/>
      </w:pPr>
      <w:r>
        <w:rPr>
          <w:rFonts w:ascii="Book Antiqua;sans-serif" w:hAnsi="Book Antiqua;sans-serif"/>
          <w:b w:val="false"/>
          <w:color w:val="231F20"/>
          <w:sz w:val="20"/>
        </w:rPr>
        <w:t>(2)</w:t>
      </w:r>
      <w:r>
        <w:rPr>
          <w:rFonts w:ascii="Times New Roman;sans-serif" w:hAnsi="Times New Roman;sans-serif"/>
          <w:b w:val="false"/>
          <w:color w:val="000000"/>
          <w:sz w:val="22"/>
        </w:rPr>
        <w:t>Fixed Charges and costs of surety bonds in connection with financing activities, plus amounts excluded from the definition of “Consolidated Interest Expense” and any non-cash interest expense, to the extent deducted (and not added back) in computing Consolidated Net Income; plus</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62890"/>
                <wp:effectExtent l="0" t="0" r="0" b="0"/>
                <wp:wrapNone/>
                <wp:docPr id="60" name="Frame6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83"/>
        <w:ind w:left="0" w:right="0" w:hanging="360"/>
        <w:jc w:val="both"/>
        <w:rPr/>
      </w:pPr>
      <w:r>
        <w:rPr>
          <w:rFonts w:ascii="Book Antiqua;sans-serif" w:hAnsi="Book Antiqua;sans-serif"/>
          <w:b w:val="false"/>
          <w:color w:val="231F20"/>
          <w:sz w:val="20"/>
        </w:rPr>
        <w:t>(3)</w:t>
      </w:r>
      <w:r>
        <w:rPr>
          <w:rFonts w:ascii="Times New Roman;sans-serif" w:hAnsi="Times New Roman;sans-serif"/>
          <w:b w:val="false"/>
          <w:color w:val="000000"/>
          <w:sz w:val="22"/>
        </w:rPr>
        <w:t>Consolidated Depreciation and Amortization Expense; plus</w:t>
      </w:r>
    </w:p>
    <w:p>
      <w:pPr>
        <w:pStyle w:val="TextBody"/>
        <w:bidi w:val="0"/>
        <w:spacing w:lineRule="auto" w:line="240" w:before="240" w:after="283"/>
        <w:ind w:left="0" w:right="0" w:hanging="360"/>
        <w:jc w:val="both"/>
        <w:rPr/>
      </w:pPr>
      <w:r>
        <w:rPr>
          <w:rFonts w:ascii="Book Antiqua;sans-serif" w:hAnsi="Book Antiqua;sans-serif"/>
          <w:b w:val="false"/>
          <w:color w:val="231F20"/>
          <w:sz w:val="20"/>
        </w:rPr>
        <w:t>(4)</w:t>
      </w:r>
      <w:r>
        <w:rPr>
          <w:rFonts w:ascii="Times New Roman;sans-serif" w:hAnsi="Times New Roman;sans-serif"/>
          <w:b w:val="false"/>
          <w:color w:val="000000"/>
          <w:sz w:val="22"/>
        </w:rPr>
        <w:t xml:space="preserve">Consolidated Non-Cash Charges; plus </w:t>
      </w:r>
    </w:p>
    <w:p>
      <w:pPr>
        <w:pStyle w:val="TextBody"/>
        <w:bidi w:val="0"/>
        <w:spacing w:lineRule="auto" w:line="240" w:before="240" w:after="283"/>
        <w:ind w:left="0" w:right="0" w:hanging="360"/>
        <w:jc w:val="both"/>
        <w:rPr/>
      </w:pPr>
      <w:r>
        <w:rPr>
          <w:rFonts w:ascii="Book Antiqua;sans-serif" w:hAnsi="Book Antiqua;sans-serif"/>
          <w:b w:val="false"/>
          <w:color w:val="231F20"/>
          <w:sz w:val="20"/>
        </w:rPr>
        <w:t>(5)</w:t>
      </w:r>
      <w:r>
        <w:rPr>
          <w:rFonts w:ascii="Times New Roman;sans-serif" w:hAnsi="Times New Roman;sans-serif"/>
          <w:b w:val="false"/>
          <w:color w:val="000000"/>
          <w:sz w:val="22"/>
        </w:rPr>
        <w:t>any expenses or charges (other than Consolidated Depreciation and Amortization Expense) related to any issuance of Capital Stock, Investment, acquisition, disposition, recapitalization or the incurrence, modification or repayment of Indebtedness permitted to be incurred by this Agreement (including a refinancing thereof) (whether or not successful), including (i) such fees, expenses or charges related to the Transactions, the Loans, the Senior Notes or the ABL Facility, (ii) any amendment or other modification of this Agreement or other Indebtedness and (iii) commissions, discounts, yield and other fees and charges (including any interest expense) related to any Specified Receivables Facility; plus</w:t>
      </w:r>
    </w:p>
    <w:p>
      <w:pPr>
        <w:pStyle w:val="TextBody"/>
        <w:bidi w:val="0"/>
        <w:spacing w:lineRule="auto" w:line="240" w:before="240" w:after="283"/>
        <w:ind w:left="0" w:right="0" w:hanging="360"/>
        <w:jc w:val="both"/>
        <w:rPr/>
      </w:pPr>
      <w:r>
        <w:rPr>
          <w:rFonts w:ascii="Book Antiqua;sans-serif" w:hAnsi="Book Antiqua;sans-serif"/>
          <w:b w:val="false"/>
          <w:color w:val="231F20"/>
          <w:sz w:val="20"/>
        </w:rPr>
        <w:t>(6)</w:t>
      </w:r>
      <w:r>
        <w:rPr>
          <w:rFonts w:ascii="Times New Roman;sans-serif" w:hAnsi="Times New Roman;sans-serif"/>
          <w:b w:val="false"/>
          <w:color w:val="000000"/>
          <w:sz w:val="22"/>
        </w:rPr>
        <w:t xml:space="preserve">business optimization expenses and other restructuring charges, reserves or expenses (which, for the avoidance of doubt, shall include, without limitation, the effect of facility closures, facility consolidations, retention, severance, systems establishment costs, contract termination costs, future lease commitments and excess pension charges); plus </w:t>
      </w:r>
    </w:p>
    <w:p>
      <w:pPr>
        <w:pStyle w:val="TextBody"/>
        <w:bidi w:val="0"/>
        <w:spacing w:lineRule="auto" w:line="240" w:before="240" w:after="240"/>
        <w:ind w:left="0" w:right="0" w:hanging="360"/>
        <w:jc w:val="both"/>
        <w:rPr/>
      </w:pPr>
      <w:r>
        <w:rPr>
          <w:rFonts w:ascii="Book Antiqua;sans-serif" w:hAnsi="Book Antiqua;sans-serif"/>
          <w:b w:val="false"/>
          <w:color w:val="231F20"/>
          <w:sz w:val="20"/>
        </w:rPr>
        <w:t>(7)</w:t>
      </w:r>
      <w:r>
        <w:rPr>
          <w:rFonts w:ascii="Times New Roman;sans-serif" w:hAnsi="Times New Roman;sans-serif"/>
          <w:b w:val="false"/>
          <w:color w:val="000000"/>
          <w:sz w:val="22"/>
        </w:rPr>
        <w:t>the amount of loss or discount on sale of assets to a Receivables Subsidiary and any commissions, yield and other fees and charges, in each case in connection with a Specified Receivables Facility; plus</w:t>
      </w:r>
    </w:p>
    <w:p>
      <w:pPr>
        <w:pStyle w:val="TextBody"/>
        <w:bidi w:val="0"/>
        <w:spacing w:lineRule="auto" w:line="240" w:before="240" w:after="240"/>
        <w:ind w:left="0" w:right="0" w:hanging="360"/>
        <w:jc w:val="both"/>
        <w:rPr/>
      </w:pPr>
      <w:r>
        <w:rPr>
          <w:rFonts w:ascii="Book Antiqua;sans-serif" w:hAnsi="Book Antiqua;sans-serif"/>
          <w:b w:val="false"/>
          <w:color w:val="231F20"/>
          <w:sz w:val="20"/>
        </w:rPr>
        <w:t>(8)</w:t>
      </w:r>
      <w:r>
        <w:rPr>
          <w:rFonts w:ascii="Times New Roman;sans-serif" w:hAnsi="Times New Roman;sans-serif"/>
          <w:b w:val="false"/>
          <w:color w:val="000000"/>
          <w:sz w:val="22"/>
        </w:rPr>
        <w:t xml:space="preserve">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capital of the Company or any Subsidiary Guarantor or net cash proceeds of an issuance of Capital Stock of the Company (other than Disqualified Stock) solely to the extent that such net cash proceeds are excluded from the determination of the amount available for Restricted Payments under </w:t>
      </w:r>
      <w:r>
        <w:rPr>
          <w:rFonts w:ascii="Times New Roman;sans-serif" w:hAnsi="Times New Roman;sans-serif"/>
          <w:b w:val="false"/>
          <w:color w:val="000000"/>
          <w:sz w:val="22"/>
          <w:u w:val="single"/>
        </w:rPr>
        <w:t>Section 6.02(a)(3)(A)</w:t>
      </w:r>
      <w:r>
        <w:rPr>
          <w:rFonts w:ascii="Times New Roman;sans-serif" w:hAnsi="Times New Roman;sans-serif"/>
          <w:b w:val="false"/>
          <w:color w:val="000000"/>
          <w:sz w:val="22"/>
        </w:rPr>
        <w:t>; plus</w:t>
      </w:r>
    </w:p>
    <w:p>
      <w:pPr>
        <w:pStyle w:val="TextBody"/>
        <w:bidi w:val="0"/>
        <w:spacing w:lineRule="auto" w:line="240" w:before="240" w:after="240"/>
        <w:ind w:left="0" w:right="0" w:hanging="360"/>
        <w:jc w:val="both"/>
        <w:rPr/>
      </w:pPr>
      <w:r>
        <w:rPr>
          <w:rFonts w:ascii="Book Antiqua;sans-serif" w:hAnsi="Book Antiqua;sans-serif"/>
          <w:b w:val="false"/>
          <w:color w:val="231F20"/>
          <w:sz w:val="20"/>
        </w:rPr>
        <w:t>(9)</w:t>
      </w:r>
      <w:r>
        <w:rPr>
          <w:rFonts w:ascii="Times New Roman;sans-serif" w:hAnsi="Times New Roman;sans-serif"/>
          <w:b w:val="false"/>
          <w:color w:val="000000"/>
          <w:sz w:val="22"/>
        </w:rPr>
        <w:t xml:space="preserve">the amount of net cost savings, operating improvements or synergies projected by the Company in good faith to be realized within twelve months following the date of any operational changes, business realignment projects or initiatives, restructurings or reorganizations which have been or are intended to be initiated (calculated on a pro forma basis as though such cost savings had been realized on the first day of such period), net of the amount of actual benefits realized during such period from such actions; provided that such net cost savings and operating improvements or synergies are reasonably identifiable and quantifiable; provided, further, that the aggregate amount added to Consolidated EBITDA pursuant to this clause (9) shall not exceed 20.0% of Consolidated EBITDA for such period (determined after giving effect to such adjustments); </w:t>
      </w:r>
    </w:p>
    <w:p>
      <w:pPr>
        <w:pStyle w:val="TextBody"/>
        <w:bidi w:val="0"/>
        <w:spacing w:lineRule="auto" w:line="240"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less, without duplication, to the extent the same increased Consolidated Net Income,</w:t>
      </w:r>
    </w:p>
    <w:p>
      <w:pPr>
        <w:pStyle w:val="TextBody"/>
        <w:bidi w:val="0"/>
        <w:spacing w:lineRule="auto" w:line="240" w:before="240" w:after="240"/>
        <w:ind w:left="0" w:right="0" w:hanging="360"/>
        <w:jc w:val="both"/>
        <w:rPr/>
      </w:pPr>
      <w:r>
        <w:rPr>
          <w:rFonts w:ascii="Book Antiqua;sans-serif" w:hAnsi="Book Antiqua;sans-serif"/>
          <w:b w:val="false"/>
          <w:color w:val="231F20"/>
          <w:sz w:val="20"/>
        </w:rPr>
        <w:t>(1)</w:t>
      </w:r>
      <w:r>
        <w:rPr>
          <w:rFonts w:ascii="Times New Roman;sans-serif" w:hAnsi="Times New Roman;sans-serif"/>
          <w:b w:val="false"/>
          <w:color w:val="000000"/>
          <w:sz w:val="22"/>
        </w:rPr>
        <w:t>non-cash items increasing Consolidated Net Income for such period (excluding the recognition of deferred revenue or any items which represent the reversal of any accrual of, or cash reserve for, anticipated cash charges that reduced Consolidated EBITDA in any prior period and any items for which cash was received in a prior period).</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First Lien Indebtedness</w:t>
      </w:r>
      <w:r>
        <w:rPr>
          <w:color w:val="000000"/>
        </w:rPr>
        <w:t xml:space="preserve">” </w:t>
      </w:r>
      <w:r>
        <w:rPr>
          <w:rFonts w:ascii="Times New Roman;sans-serif" w:hAnsi="Times New Roman;sans-serif"/>
          <w:b w:val="false"/>
          <w:color w:val="000000"/>
          <w:sz w:val="22"/>
        </w:rPr>
        <w:t>means, as of any date of determination,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an amount equal to the sum of, without duplication, Consolidated Total Indebtedness (without regard to clause (ii) of the definition thereof) and any Ratio Tested Committed Amount as of such date that, in each case, is then secured by a first-priority Lien on property or assets of the Company and its Restricted Subsidiaries that constitutes Collateral (other than property or assets held in a defeasance or similar trust or arrangement for the benefit of the Indebtedness secured thereby), minus (ii) the sum of (A) the amount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62890"/>
                <wp:effectExtent l="0" t="0" r="0" b="0"/>
                <wp:wrapNone/>
                <wp:docPr id="61" name="Frame6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Indebtedness Incurred pursuant to </w:t>
      </w:r>
      <w:r>
        <w:rPr>
          <w:rFonts w:ascii="Times New Roman;sans-serif" w:hAnsi="Times New Roman;sans-serif"/>
          <w:b w:val="false"/>
          <w:color w:val="000000"/>
          <w:sz w:val="22"/>
          <w:u w:val="single"/>
        </w:rPr>
        <w:t>Section 6.01(b)(ix)</w:t>
      </w:r>
      <w:r>
        <w:rPr>
          <w:rFonts w:ascii="Times New Roman;sans-serif" w:hAnsi="Times New Roman;sans-serif"/>
          <w:b w:val="false"/>
          <w:color w:val="000000"/>
          <w:sz w:val="22"/>
        </w:rPr>
        <w:t>, (B) the amount of such Indebtedness consisting of Indebtedness under the ABL Facility (unless such Indebtedness is secured by a Lien on the Collateral either (x) ranking pari passu with the Liens securing the Initial Term Loans or (y) with the rankings set forth in the ABL Intercreditor Agreement) and (C) cash, Cash Equivalents and Temporary Cash Investments held by the Company and its Restricted Subsidiaries as of the end of the most recent four consecutive fiscal quarters of the Company ending prior to the date of such determination for which consolidated financial statements of the Company are available.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First Lien Leverage Ratio</w:t>
      </w:r>
      <w:r>
        <w:rPr>
          <w:color w:val="000000"/>
        </w:rPr>
        <w:t xml:space="preserve">” </w:t>
      </w:r>
      <w:r>
        <w:rPr>
          <w:rFonts w:ascii="Times New Roman;sans-serif" w:hAnsi="Times New Roman;sans-serif"/>
          <w:b w:val="false"/>
          <w:color w:val="000000"/>
          <w:sz w:val="22"/>
        </w:rPr>
        <w:t>means, as of any date of determination, the ratio of (i) Consolidated First Lien Indebtedness as at such date (after giving effect to any Incurrence or Discharge of Indebtedness on such date) to (ii) the aggregate amount of Consolidated EBITDA for the period of the most recent four consecutive fiscal quarters of the Company ending prior to the date of such determination for which consolidated financial statements of the Company are available, provided that: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if, since the beginning of such period, the Company or any Restricted Subsidiary shall have made a Sale (including any Sale occurring in connection with a transaction causing a calculation to be made hereunder),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if, since the beginning of such period, the Company or any Restricted Subsidiary (by merger, consolidation or otherwise) shall have made a Purchase (including any Purchase occurring in connection with a transaction causing a calculation to be made hereunder), Consolidated EBITDA for such period shall be calculated after giving pro forma effect thereto as if such Purchase occurred on the first day of such period;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if, since the beginning of such period, any Person became a Restricted Subsidiary or was merged or consolidated with or into the Company or any Restricted Subsidiary, and since the beginning of such period such Person shall have made any Sale or Purchase that would have required an adjustment pursuant to clause (1) or (2) above if made by the Company or a Restricted Subsidiary since the beginning of such period, Consolidated EBITDA for such period shall be calculated after giving pro forma effect thereto as if such Sale or Purchase occurred on the first day of such period;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provided that, in the event that the Company shall classify Indebtedness Incurred on the date of determination as Incurred in part pursuant to Section 6.01(b)(i)(A)(II) and in part pursuant to one or more other clauses or subclauses of Section 6.01(b) and/or pursuant to Section 6.01(a) (as provided in Section 6.01(c)(ii)), Consolidated First Lien Indebtedness shall not include any such Indebtedness (and shall not give effect to any Discharge of Consolidated First Lien Indebtedness from the proceeds thereof) to the extent Incurred pursuant to any such other clause or subclause of such Section 6.01(b) and/or pursuant to such Section 6.01(a).</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definition, whenever pro forma effect is to be given to any Sale, Purchase or other transaction, or the amount of income or earnings relating thereto, the pro forma calculations in respect thereof (including, without limitation, in respect of anticipated cost savings or synergies relating to any such Sale, Purchase or other transaction) shall be as determined in good faith by the Chief Financial Officer or another authorized Officer of the Company.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Interest Expense</w:t>
      </w:r>
      <w:r>
        <w:rPr>
          <w:color w:val="000000"/>
        </w:rPr>
        <w:t xml:space="preserve">” </w:t>
      </w:r>
      <w:r>
        <w:rPr>
          <w:rFonts w:ascii="Times New Roman;sans-serif" w:hAnsi="Times New Roman;sans-serif"/>
          <w:b w:val="false"/>
          <w:color w:val="000000"/>
          <w:sz w:val="22"/>
        </w:rPr>
        <w:t xml:space="preserve">means, with respect to any Person for any period, the sum, without duplication, of (1) consolidated interest expense of such Person and its Restricted Subsidiaries for such period, to the extent such expense was deducted in computing Consolidated Net Income (including the interest component of Finance Lease Obligations and net payments and receipts (if any) pursuant to interest rate Hedging Obligations, and non-cash interest expense attributable to movement in mark to market valuation of Hedging Obligations or other derivatives (in each case permitted hereunder) under GAAP) but excluding commissions, discounts, yield and other fees and charges related to any Specified Receivables Facility; plus (2) consolidated capitalized interest of such Person and its Restricted Subsidiaries for such period, whether paid or accrued; plus (3) commissions, discounts, yield and other </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62890"/>
                <wp:effectExtent l="0" t="0" r="0" b="0"/>
                <wp:wrapNone/>
                <wp:docPr id="62" name="Frame6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fees and charges Incurred in connection with any Specified Receivables Facility which are payable to Persons other than the Company and the Restricted Subsidiaries; minus (4) interest income for such period and excluding debt issuance costs, commissions, fees and expenses (including bridge, commitment or other financing fees).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definition, interest on a Finance Lease Obligation shall be deemed to accrue at an interest rate reasonably determined by the Company to be the rate of interest implicit in such Finance Lease Obligation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Net Income</w:t>
      </w:r>
      <w:r>
        <w:rPr>
          <w:color w:val="000000"/>
        </w:rPr>
        <w:t xml:space="preserve">” </w:t>
      </w:r>
      <w:r>
        <w:rPr>
          <w:rFonts w:ascii="Times New Roman;sans-serif" w:hAnsi="Times New Roman;sans-serif"/>
          <w:b w:val="false"/>
          <w:color w:val="000000"/>
          <w:sz w:val="22"/>
        </w:rPr>
        <w:t>means, with respect to any Person for any period, the aggregate of the Net Income of such Person and its Restricted Subsidiaries for such period, on a consolidated basis; provided, however, that: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any net after-tax extraordinary, infrequently occurring, nonrecurring or unusual gains or losses (less all fees and expenses relating thereto) or expenses or charges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or charges related to any issuance, redemption, repurchase, retirement or acquisition of Capital Stock, Investment, acquisition, disposition, recapitalization or issuance, repayment, refinancing, amendment or modification of Indebtedness (in each case, whether or not successful), and any fees, expenses or charges related to the Transactions, in each case,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effects of purchase accounting adjustments (including the effects of such adjustments pushed down to such Person and such Subsidiaries and including, without limitation, the effects of adjustments to (A) Finance Lease Obligations or (B) any other deferrals of income) in amounts required or permitted by GAAP, resulting from the application of purchase accounting or the amortization or write-off of any amounts thereof, net of taxes,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    the Net Income for such period shall not include the cumulative effect of a change in accounting principles during such period;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    any net after-tax income or loss from disposed, abandoned, transferred, closed or discontinued operations or fixed assets and any net after-tax gains or losses on disposal of disposed, abandoned, transferred, closed or discontinued operations or fixed assets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    any net after-tax gains or losses (less all fees and expenses or charges relating thereto) attributable to business dispositions or asset dispositions other than in the ordinary course of business (as determined in good faith by management of the Company) shall be excluded, provided, that notwithstanding any classification of any Person, business, assets or operations as discontinued operations because a definitive agreement for the sale, transfer or other disposition in respect thereof has been entered into, the Company shall not exclude any such net after-tax income or loss or any such net after-tax gains or losses attributable thereto until such sale, transfer or other disposition has been consummated;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    any net after-tax gains or losses (less all fees and expenses or charges relating thereto) attributable to the early extinguishment of indebtedness, Hedging Obligations or other derivative instruments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(8)    (a) the Net Income for such period of any Person (other than the Company) that is not a Subsidiary of such Person, or is an Unrestricted Subsidiary, or that is accounted for by the equity method of accounting, shall be included only to the extent of the amount of dividends or distributions or other payments paid in cash (or to the extent converted into cash) to the referent Person or a Restricted Subsidiary thereof in respect of such period and (b) the Net Income for such period shall include any dividend, distribution or other payment in cash (or to the extent converted into cash) received by the </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62890"/>
                <wp:effectExtent l="0" t="0" r="0" b="0"/>
                <wp:wrapNone/>
                <wp:docPr id="63" name="Frame6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referent Person or a Subsidiary thereof (other than an Unrestricted Subsidiary of such referent Person) from any Person in excess of, but without duplication of, the amounts included in subclause (a);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(9)    solely for the purpose of determining the amount available for Restricted Payments under Section 6.02(a)(3)(A) or for the purpose of calculating Excess Cash Flow, the Net Income for such period of any Restricted Subsidiary (other than any Subsidiary Guarantor or Foreign Subsidiary)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restrictions with respect to the payment of dividends or similar distributions have been legally waived; provided that the Consolidated Net Income of such Person shall be increased by the amount of dividends or other distributions or other payments actually paid in cash (or converted into cash) by any such Restricted Subsidiary to such Person; to the extent not already included therein;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(10)    an amount equal to the amount of tax distributions actually made to any Parent Entity in respect of such period in accordance with Section 6.02(b)(viii)(C) shall be included as though such amounts had been paid directly by such Person for such period;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    any impairment charges or asset write-offs, in each case pursuant to GAAP, and the amortization of intangibles and other fair value adjustments arising pursuant to GAAP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(12)    any non-cash expense realized or resulting from management equity plans, stock option plans, employee benefit plans or post-employment benefit plans, or grants or sales of stock, stock appreciation or similar rights, stock options, restricted stock, preferred stock or other rights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(13)    any (a) non-cash compensation charges, (b) costs and expenses after the Closing Date related to employment of terminated employees, or (c) costs or expenses realized in connection with or resulting from stock appreciation or similar rights, stock options or other rights existing on the Closing Date of officers, directors and employees, in each case of such Person or any Restricted Subsidiary,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(14)    accruals and reserves that are established or adjusted within 12 months after the Closing Date and that are so required to be established or adjusted in accordance with GAAP or as a result of adoption or modification of accounting policies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(15)    non-cash gains, losses, income and expenses resulting from fair value accounting required by the applicable standard under GAAP and related interpretations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(16)    any currency translation gains and losses related to currency remeasurements of Indebtedness, and any net loss or gain resulting from hedging transactions for currency exchange risk,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(17)    (a)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(b) amounts in respect of which such Person has determined that there exists reasonable evidence that such amounts will in fact be reimbursed by insurance in respect of lost revenues or earnings in respect of liability or casualty events or business interruption shall be included (with a deduction for amounts actually received up to such estimated amount, to the extent included in Net Income in a future period);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(18)    non-cash charges for deferred tax asset valuation allowances shall be excluded; and</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62890"/>
                <wp:effectExtent l="0" t="0" r="0" b="0"/>
                <wp:wrapNone/>
                <wp:docPr id="64" name="Frame6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(19)    the amount of loss or discount on sale of Receivables Facility Assets and related assets in connection with a Receivables Facility shall be excluded.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Non-Cash Charges</w:t>
      </w:r>
      <w:r>
        <w:rPr>
          <w:color w:val="000000"/>
        </w:rPr>
        <w:t xml:space="preserve">” </w:t>
      </w:r>
      <w:r>
        <w:rPr>
          <w:rFonts w:ascii="Times New Roman;sans-serif" w:hAnsi="Times New Roman;sans-serif"/>
          <w:b w:val="false"/>
          <w:color w:val="000000"/>
          <w:sz w:val="22"/>
        </w:rPr>
        <w:t>means, with respect to any Person for any period, the non-cash expenses (other than Consolidated Depreciation and Amortization Expense) of such Person and its Restricted Subsidiaries reducing Consolidated Net Income of such Person for such period on a consolidated basis and otherwise determined in accordance with GAAP, provided that if any such non-cash expenses represent an accrual or reserve for potential cash items in any future period, the cash payment in respect thereof in such future period shall be subtracted from Consolidated EBITDA in such future period to the extent paid, but excluding from this proviso, for the avoidance of doubt, amortization of a prepaid cash item that was paid in a prior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Tangible Assets</w:t>
      </w:r>
      <w:r>
        <w:rPr>
          <w:color w:val="000000"/>
        </w:rPr>
        <w:t xml:space="preserve">” </w:t>
      </w:r>
      <w:r>
        <w:rPr>
          <w:rFonts w:ascii="Times New Roman;sans-serif" w:hAnsi="Times New Roman;sans-serif"/>
          <w:b w:val="false"/>
          <w:color w:val="000000"/>
          <w:sz w:val="22"/>
        </w:rPr>
        <w:t>means, as of any date of determination, the total assets less the sum of the goodwill, net, and other intangible assets, net, in each case reflected on the consolidated balance sheet of the Company and its Restricted Subsidiaries as at the end of the most recently ended fiscal quarter of the Company for which such a balance sheet is available, determined on a Consolidated basis in accordance with GAAP (and, in the case of any determination relating to any Incurrence of Indebtedness or Liens or any Investment, on a pro forma basis including any property or assets being acquired 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Taxes</w:t>
      </w:r>
      <w:r>
        <w:rPr>
          <w:color w:val="000000"/>
        </w:rPr>
        <w:t xml:space="preserve">” </w:t>
      </w:r>
      <w:r>
        <w:rPr>
          <w:rFonts w:ascii="Times New Roman;sans-serif" w:hAnsi="Times New Roman;sans-serif"/>
          <w:b w:val="false"/>
          <w:color w:val="000000"/>
          <w:sz w:val="22"/>
        </w:rPr>
        <w:t>means, with respect to any Person for any period, the provision for taxes based on income, profits or capital, including, without limitation, state, franchise, property and similar taxes, foreign withholding taxes (including penalties and interest related to such taxes or arising from tax examinations) and any tax distributions taken into account in calculating Consolidated Net Income.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Total Indebtedness</w:t>
      </w:r>
      <w:r>
        <w:rPr>
          <w:color w:val="000000"/>
        </w:rPr>
        <w:t xml:space="preserve">” </w:t>
      </w:r>
      <w:r>
        <w:rPr>
          <w:rFonts w:ascii="Times New Roman;sans-serif" w:hAnsi="Times New Roman;sans-serif"/>
          <w:b w:val="false"/>
          <w:color w:val="000000"/>
          <w:sz w:val="22"/>
        </w:rPr>
        <w:t>means, as of any date of determination, an amount equal to (i) the aggregate principal amount of outstanding Indebtedness of the Company and its Restricted Subsidiaries as of such date consisting of (without duplication) Indebtedness for borrowed money (including Purchase Money Obligations and unreimbursed outstanding drawn amounts under funded letters of credit); Finance Lease Obligations; debt obligations evidenced by bonds, debentures, notes or similar instruments; Disqualified Stock; and (in the case of any Restricted Subsidiary that is not a Subsidiary Guarantor) Preferred Stock, determined on a Consolidated basis in accordance with GAAP (excluding (x) items eliminated in Consolidation and (y) Hedging Obligations), minus (ii) the sum of (A) the amount of such Indebtedness consisting of Indebtedness of a type referred to in, or incurred pursuant to, Section 6.01(b)(ix), (B) the amount of such Indebtedness consisting of Indebtedness under the ABL Facility and (C) cash, Cash Equivalents and Temporary Cash Investments held by the Company and its Restricted Subsidiaries as of the end of the most recent four consecutive fiscal quarters of the Company ending prior to the date of such determination for which consolidated financial statements of the Company are available.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Total Leverage Ratio</w:t>
      </w:r>
      <w:r>
        <w:rPr>
          <w:color w:val="000000"/>
        </w:rPr>
        <w:t xml:space="preserve">” </w:t>
      </w:r>
      <w:r>
        <w:rPr>
          <w:rFonts w:ascii="Times New Roman;sans-serif" w:hAnsi="Times New Roman;sans-serif"/>
          <w:b w:val="false"/>
          <w:color w:val="000000"/>
          <w:sz w:val="22"/>
        </w:rPr>
        <w:t>means, as of any date of determination, the ratio of (i) Consolidated Total Indebtedness as at such date (after giving effect to any Incurrence or Discharge of Indebtedness on such date) to (ii) the aggregate amount of Consolidated EBITDA for the period of the most recent four consecutive fiscal quarters of the Company ending prior to the date of such determination for which consolidated financial statements of the Company are available, provided that: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if, since the beginning of such period, the Company or any Restricted Subsidiary shall have made a Sale (including any Sale occurring in connection with a transaction causing a calculation to be made hereunder),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if, since the beginning of such period, the Company or any Restricted Subsidiary (by merger, consolidation or otherwise) shall have made a Purchase (including any Purchase occurring in connection with a transaction causing a calculation to be made hereunder), Consolidated EBITDA for such period shall be calculated after giving pro forma effect thereto as if such Purchase occurred on the first day of such period; and</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62890"/>
                <wp:effectExtent l="0" t="0" r="0" b="0"/>
                <wp:wrapNone/>
                <wp:docPr id="65" name="Frame6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if, since the beginning of such period, any Person became a Restricted Subsidiary or was merged or consolidated with or into the Company or any Restricted Subsidiary, and since the beginning of such period such Person shall have made any Sale or Purchase that would have required an adjustment pursuant to clause (1) or (2) above if made by the Company or a Restricted Subsidiary since the beginning of such period, Consolidated EBITDA for such period shall be calculated after giving pro forma effect thereto as if such Sale or Purchase occurred on the first day of such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provided that, for purposes of the foregoing calculation, in the event that the Company shall classify Indebtedness Incurred on the date of determination as Incurred in part pursuant to </w:t>
      </w:r>
      <w:r>
        <w:rPr>
          <w:rFonts w:ascii="Times New Roman;sans-serif" w:hAnsi="Times New Roman;sans-serif"/>
          <w:b w:val="false"/>
          <w:color w:val="000000"/>
          <w:sz w:val="22"/>
          <w:u w:val="single"/>
        </w:rPr>
        <w:t>Section 6.01(b)(xi)</w:t>
      </w:r>
      <w:r>
        <w:rPr>
          <w:color w:val="000000"/>
        </w:rPr>
        <w:t xml:space="preserve"> </w:t>
      </w:r>
      <w:r>
        <w:rPr>
          <w:rFonts w:ascii="Times New Roman;sans-serif" w:hAnsi="Times New Roman;sans-serif"/>
          <w:b w:val="false"/>
          <w:color w:val="000000"/>
          <w:sz w:val="22"/>
        </w:rPr>
        <w:t xml:space="preserve">(other than by reason of subclause (2) of the proviso to such clause (xi)) and in part pursuant to one or more other clauses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and/or (unless the Company at its option has elected to disregard Indebtedness being Incurred on the date of determination in part pursuant to subclause (2) of the proviso to </w:t>
      </w:r>
      <w:r>
        <w:rPr>
          <w:rFonts w:ascii="Times New Roman;sans-serif" w:hAnsi="Times New Roman;sans-serif"/>
          <w:b w:val="false"/>
          <w:color w:val="000000"/>
          <w:sz w:val="22"/>
          <w:u w:val="single"/>
        </w:rPr>
        <w:t>Section 6.01(b)(xi)</w:t>
      </w:r>
      <w:r>
        <w:rPr>
          <w:color w:val="000000"/>
        </w:rPr>
        <w:t xml:space="preserve"> </w:t>
      </w:r>
      <w:r>
        <w:rPr>
          <w:rFonts w:ascii="Times New Roman;sans-serif" w:hAnsi="Times New Roman;sans-serif"/>
          <w:b w:val="false"/>
          <w:color w:val="000000"/>
          <w:sz w:val="22"/>
        </w:rPr>
        <w:t xml:space="preserve">for purposes of calculating the Consolidated Coverage Ratio for Incurring Indebtedness on the date of determination in part under </w:t>
      </w:r>
      <w:r>
        <w:rPr>
          <w:rFonts w:ascii="Times New Roman;sans-serif" w:hAnsi="Times New Roman;sans-serif"/>
          <w:b w:val="false"/>
          <w:color w:val="000000"/>
          <w:sz w:val="22"/>
          <w:u w:val="single"/>
        </w:rPr>
        <w:t>Section 6.01(a)</w:t>
      </w:r>
      <w:r>
        <w:rPr>
          <w:rFonts w:ascii="Times New Roman;sans-serif" w:hAnsi="Times New Roman;sans-serif"/>
          <w:b w:val="false"/>
          <w:color w:val="000000"/>
          <w:sz w:val="22"/>
        </w:rPr>
        <w:t xml:space="preserve">) and in part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(as provided in </w:t>
      </w:r>
      <w:r>
        <w:rPr>
          <w:rFonts w:ascii="Times New Roman;sans-serif" w:hAnsi="Times New Roman;sans-serif"/>
          <w:b w:val="false"/>
          <w:color w:val="000000"/>
          <w:sz w:val="22"/>
          <w:u w:val="single"/>
        </w:rPr>
        <w:t>Sections 6.01(c)(ii)</w:t>
      </w:r>
      <w:r>
        <w:rPr>
          <w:color w:val="000000"/>
        </w:rPr>
        <w:t xml:space="preserve"> </w:t>
      </w:r>
      <w:r>
        <w:rPr>
          <w:rFonts w:ascii="Times New Roman;sans-serif" w:hAnsi="Times New Roman;sans-serif"/>
          <w:b w:val="false"/>
          <w:color w:val="000000"/>
          <w:sz w:val="22"/>
        </w:rPr>
        <w:t xml:space="preserve">and (iii)), Consolidated Total Indebtedness shall not (x) include any such Indebtedness Incurred pursuant to one or more of such other clauses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and/or pursuant to </w:t>
      </w:r>
      <w:r>
        <w:rPr>
          <w:rFonts w:ascii="Times New Roman;sans-serif" w:hAnsi="Times New Roman;sans-serif"/>
          <w:b w:val="false"/>
          <w:color w:val="000000"/>
          <w:sz w:val="22"/>
          <w:u w:val="single"/>
        </w:rPr>
        <w:t>Section 6.01(a)</w:t>
      </w:r>
      <w:r>
        <w:rPr>
          <w:rFonts w:ascii="Times New Roman;sans-serif" w:hAnsi="Times New Roman;sans-serif"/>
          <w:b w:val="false"/>
          <w:color w:val="000000"/>
          <w:sz w:val="22"/>
        </w:rPr>
        <w:t>, and (y) give effect to any Discharge of any Indebtedness from the proceeds of any such Indebtedness being disregarded for purposes of the calculation of the Consolidated Total Leverage Ratio that otherwise would be included in Consolidated Total Indebtedness.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definition, whenever pro forma effect is to be given to any Sale, Purchase or other transaction, or the amount of income or earnings relating thereto, the pro forma calculations in respect thereof (including, without limitation, in respect of anticipated cost savings or synergies relating to any such Sale, Purchase or other transaction) shall be as determined in good faith by the Chief Financial Officer or another authorized Officer of the Company.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Working Capital</w:t>
      </w:r>
      <w:r>
        <w:rPr>
          <w:color w:val="000000"/>
        </w:rPr>
        <w:t xml:space="preserve">” </w:t>
      </w:r>
      <w:r>
        <w:rPr>
          <w:rFonts w:ascii="Times New Roman;sans-serif" w:hAnsi="Times New Roman;sans-serif"/>
          <w:b w:val="false"/>
          <w:color w:val="000000"/>
          <w:sz w:val="22"/>
        </w:rPr>
        <w:t>means, as at any date of determination, the excess of Current Assets over Current Liabilities.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Working Capital Adjustment</w:t>
      </w:r>
      <w:r>
        <w:rPr>
          <w:color w:val="000000"/>
        </w:rPr>
        <w:t xml:space="preserve">” </w:t>
      </w:r>
      <w:r>
        <w:rPr>
          <w:rFonts w:ascii="Times New Roman;sans-serif" w:hAnsi="Times New Roman;sans-serif"/>
          <w:b w:val="false"/>
          <w:color w:val="000000"/>
          <w:sz w:val="22"/>
        </w:rPr>
        <w:t xml:space="preserve">means, for any period on a consolidated basis, the amount (which may be a negative number) by which Consolidated Working Capital as of the beginning of such period exceeds (or is less than) Consolidated Working Capital as of the end of such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there shall be excluded (a) the effect of reclassification during such period between current assets and long term assets and current liabilities and long term liabilities (with a corresponding restatement of the prior period to give effect to such reclassification), (b) the effect of any Disposition of any Person, facility or line of business or acquisition of any Person, facility or line of business during such period, (c) the effect of any fluctuations in the amount of accrued and contingent obligations under any Hedging Agreement and (d) the application of purchase or recapitalization accounting.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Consolidation</w:t>
      </w:r>
      <w:r>
        <w:rPr>
          <w:color w:val="000000"/>
        </w:rPr>
        <w:t xml:space="preserve">” </w:t>
      </w:r>
      <w:r>
        <w:rPr>
          <w:rFonts w:ascii="Times New Roman;sans-serif" w:hAnsi="Times New Roman;sans-serif"/>
          <w:b w:val="false"/>
          <w:color w:val="000000"/>
          <w:sz w:val="22"/>
        </w:rPr>
        <w:t>means the consolidation of the accounts of each of the Restricted Subsidiaries with those of the Company in accordance with GAAP; provided that “Consolidation” will not include consolidation of the accounts of any Unrestricted Subsidiary, but the interest of the Company or any Restricted Subsidiary in any Unrestricted Subsidiary will be accounted for as an investment. The term “Consolidated” has a correlative meaning.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Contingent Obligation</w:t>
      </w:r>
      <w:r>
        <w:rPr>
          <w:color w:val="000000"/>
        </w:rPr>
        <w:t xml:space="preserve">” </w:t>
      </w:r>
      <w:r>
        <w:rPr>
          <w:rFonts w:ascii="Times New Roman;sans-serif" w:hAnsi="Times New Roman;sans-serif"/>
          <w:b w:val="false"/>
          <w:color w:val="000000"/>
          <w:sz w:val="22"/>
        </w:rPr>
        <w:t>means, with respect to any Person, any obligation of such Person guaranteeing any obligation that does not constitute Indebtedness (a “primary obligation”) of any other Person (the “primary obligor”) in any manner, whether directly or indirectly,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working capital or equity capital of the primary obligor or otherwise to maintain the net worth or solvency of the primary obligor, or (3)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62890"/>
                <wp:effectExtent l="0" t="0" r="0" b="0"/>
                <wp:wrapNone/>
                <wp:docPr id="66" name="Frame6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Contribution Amounts</w:t>
      </w:r>
      <w:r>
        <w:rPr>
          <w:color w:val="000000"/>
        </w:rPr>
        <w:t xml:space="preserve">” </w:t>
      </w:r>
      <w:r>
        <w:rPr>
          <w:rFonts w:ascii="Times New Roman;sans-serif" w:hAnsi="Times New Roman;sans-serif"/>
          <w:b w:val="false"/>
          <w:color w:val="000000"/>
          <w:sz w:val="22"/>
        </w:rPr>
        <w:t xml:space="preserve">means the aggregate amount of capital contributions applied by the Company to permit the Incurrence of Contribution Indebtedness pursuant to </w:t>
      </w:r>
      <w:r>
        <w:rPr>
          <w:rFonts w:ascii="Times New Roman;sans-serif" w:hAnsi="Times New Roman;sans-serif"/>
          <w:b w:val="false"/>
          <w:color w:val="000000"/>
          <w:sz w:val="22"/>
          <w:u w:val="single"/>
        </w:rPr>
        <w:t>Section 6.01(b)(x)</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Contribution Indebtedness</w:t>
      </w:r>
      <w:r>
        <w:rPr>
          <w:color w:val="000000"/>
        </w:rPr>
        <w:t xml:space="preserve">” </w:t>
      </w:r>
      <w:r>
        <w:rPr>
          <w:rFonts w:ascii="Times New Roman;sans-serif" w:hAnsi="Times New Roman;sans-serif"/>
          <w:b w:val="false"/>
          <w:color w:val="000000"/>
          <w:sz w:val="22"/>
        </w:rPr>
        <w:t xml:space="preserve">means Indebtedness of the Company or any Restricted Subsidiary in an aggregate principal amount not greater than the aggregate amount of cash contributions (other than Excluded Contributions, the proceeds from the issuance of Disqualified Stock or contributions by the Company or any Restricted Subsidiary) made to the capital of the Company or such Restricted Subsidiary after the Closing Date (whether through the issuance or sale of Capital Stock or otherwise);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Contribution Indebtedness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 is Incurred within 180 days after the receipt of the related cash contribution 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is so designated as Contribution Indebtedness pursuant to an Officer’s Certificate on the date of Incurrence thereof.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Control</w:t>
      </w:r>
      <w:r>
        <w:rPr>
          <w:color w:val="000000"/>
        </w:rPr>
        <w:t xml:space="preserve">” </w:t>
      </w:r>
      <w:r>
        <w:rPr>
          <w:rFonts w:ascii="Times New Roman;sans-serif" w:hAnsi="Times New Roman;sans-serif"/>
          <w:b w:val="false"/>
          <w:color w:val="000000"/>
          <w:sz w:val="22"/>
        </w:rPr>
        <w:t>means, with respect to a specified Person, the possession, directly or indirectly, of the power to direct, or cause the direction of, the management or policies of such Person, whether through the ability to exercise voting power, by contract or otherwise.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have correlative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Copyrights</w:t>
      </w:r>
      <w:r>
        <w:rPr>
          <w:color w:val="000000"/>
        </w:rPr>
        <w:t xml:space="preserve">” </w:t>
      </w:r>
      <w:r>
        <w:rPr>
          <w:rFonts w:ascii="Times New Roman;sans-serif" w:hAnsi="Times New Roman;sans-serif"/>
          <w:b w:val="false"/>
          <w:color w:val="000000"/>
          <w:sz w:val="22"/>
        </w:rPr>
        <w:t>means the following: (a) all copyrights, rights and interests in copyrights, works protectable by copyright whether published or unpublished, copyright registrations and copyright applications; (b) all renewals of the foregoing; (c) all income, royalties, damages, and payments now or hereafter due or payable under any of the foregoing, including, without limitation, damages or payments for past or future infringements thereof; (d) the right to sue for past, present, and future infringements thereof; and (e) all domestic rights corresponding to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Corresponding Tenor</w:t>
      </w:r>
      <w:r>
        <w:rPr>
          <w:color w:val="000000"/>
        </w:rPr>
        <w:t xml:space="preserve">” </w:t>
      </w:r>
      <w:r>
        <w:rPr>
          <w:rFonts w:ascii="Times New Roman;sans-serif" w:hAnsi="Times New Roman;sans-serif"/>
          <w:b w:val="false"/>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Cost Saving Initiative</w:t>
      </w:r>
      <w:r>
        <w:rPr>
          <w:color w:val="000000"/>
        </w:rPr>
        <w:t xml:space="preserve">” </w:t>
      </w:r>
      <w:r>
        <w:rPr>
          <w:rFonts w:ascii="Times New Roman;sans-serif" w:hAnsi="Times New Roman;sans-serif"/>
          <w:b w:val="false"/>
          <w:color w:val="000000"/>
          <w:sz w:val="22"/>
        </w:rPr>
        <w:t>has the meaning assigned to such term in the definition of “Consolidated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Covered Entity</w:t>
      </w:r>
      <w:r>
        <w:rPr>
          <w:color w:val="000000"/>
        </w:rPr>
        <w:t xml:space="preserve">” </w:t>
      </w:r>
      <w:r>
        <w:rPr>
          <w:rFonts w:ascii="Times New Roman;sans-serif" w:hAnsi="Times New Roman;sans-serif"/>
          <w:b w:val="false"/>
          <w:color w:val="000000"/>
          <w:sz w:val="22"/>
        </w:rPr>
        <w:t>means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Credit Card Receivables</w:t>
      </w:r>
      <w:r>
        <w:rPr>
          <w:color w:val="000000"/>
        </w:rPr>
        <w:t xml:space="preserve">” </w:t>
      </w:r>
      <w:r>
        <w:rPr>
          <w:rFonts w:ascii="Times New Roman;sans-serif" w:hAnsi="Times New Roman;sans-serif"/>
          <w:b w:val="false"/>
          <w:color w:val="000000"/>
          <w:sz w:val="22"/>
        </w:rPr>
        <w:t>has the meaning assigned to such term in the ABL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Credit Facilities</w:t>
      </w:r>
      <w:r>
        <w:rPr>
          <w:color w:val="000000"/>
        </w:rPr>
        <w:t xml:space="preserve">” </w:t>
      </w:r>
      <w:r>
        <w:rPr>
          <w:rFonts w:ascii="Times New Roman;sans-serif" w:hAnsi="Times New Roman;sans-serif"/>
          <w:b w:val="false"/>
          <w:color w:val="000000"/>
          <w:sz w:val="22"/>
        </w:rPr>
        <w:t xml:space="preserve">means one or more of (i) the ABL Facility and (ii)  any other facilities or arrangements designated by the Company, in each case with one or more banks or other lenders or institutions providing for revolving credit loans, term loans, receivables, inventory or real estate financings (including without limitation through the sale of receivables, inventory, real estate and/or other assets to such institutions or to special purpose entities formed to borrow from such institutions against such receivables, inventory, real estate and/or other assets or the creation of any Liens in respect of such receivables, inventory, real estate and/or other assets in favor of such institutions), letters of credit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mortgages or letter of credit applications and other guarantees, pledge agreements, security agreements (including Intellectual Property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or institutions or other banks, lenders or institutions or otherwise, and whether provided under any original Credit Facility or one or more other credit agreements, indentures, financing agreements or other Credit Facilities or otherwise). Without limiting the generality of the foregoing, the term “Credit Facility” shall include any agreement (i) changing the maturity of any Indebtedness Incurred thereunder or contemplated thereby, (ii) adding Subsidiaries as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62890"/>
                <wp:effectExtent l="0" t="0" r="0" b="0"/>
                <wp:wrapNone/>
                <wp:docPr id="67" name="Frame6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 borrowers or guarantors thereunder, (iii) increasing the amount of Indebtedness Incurred thereunder or available to be borrowed thereunder or (iv) otherwise altering the terms and conditions thereof.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Credit Rating</w:t>
      </w:r>
      <w:r>
        <w:rPr>
          <w:color w:val="000000"/>
        </w:rPr>
        <w:t xml:space="preserve">” </w:t>
      </w:r>
      <w:r>
        <w:rPr>
          <w:rFonts w:ascii="Times New Roman;sans-serif" w:hAnsi="Times New Roman;sans-serif"/>
          <w:b w:val="false"/>
          <w:color w:val="000000"/>
          <w:sz w:val="22"/>
        </w:rPr>
        <w:t>means, in the case of S&amp;P, the “Issuer Credit Rating” assigned by S&amp;P to the Company and, in the case of Moody’s, the “Corporate Family Rating” assigned by Moody’s to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Cured Default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1.03(c)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Currency Agreement”</w:t>
      </w:r>
      <w:r>
        <w:rPr>
          <w:color w:val="000000"/>
        </w:rPr>
        <w:t xml:space="preserve"> </w:t>
      </w:r>
      <w:r>
        <w:rPr>
          <w:rFonts w:ascii="Times New Roman;sans-serif" w:hAnsi="Times New Roman;sans-serif"/>
          <w:b w:val="false"/>
          <w:color w:val="000000"/>
          <w:sz w:val="22"/>
        </w:rPr>
        <w:t>means, in respect of a Person, any foreign exchange contract, currency swap agreement or other similar agreement or arrangements (including derivative agreements or arrangements), as to which such Person is a party or a beneficiary.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Current Assets</w:t>
      </w:r>
      <w:r>
        <w:rPr>
          <w:color w:val="000000"/>
        </w:rPr>
        <w:t xml:space="preserve">” </w:t>
      </w:r>
      <w:r>
        <w:rPr>
          <w:rFonts w:ascii="Times New Roman;sans-serif" w:hAnsi="Times New Roman;sans-serif"/>
          <w:b w:val="false"/>
          <w:color w:val="000000"/>
          <w:sz w:val="22"/>
        </w:rPr>
        <w:t>means, at any date, all assets of the Company and its Restricted Subsidiaries which under GAAP would be classified as current assets (excluding any (i) cash, Cash Equivalents, Investment Grade Securities or Temporary Cash Investments (including such items held on deposit for third parties by the Company and/or any Restricted Subsidiary), (ii) permitted loans to third parties, (iii) deferred bank fees and derivative financial instruments, (iv) the current portion of current and deferred Taxes and (v) assets held for sale or pension assets).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Current Liabilities</w:t>
      </w:r>
      <w:r>
        <w:rPr>
          <w:color w:val="000000"/>
        </w:rPr>
        <w:t xml:space="preserve">” </w:t>
      </w:r>
      <w:r>
        <w:rPr>
          <w:rFonts w:ascii="Times New Roman;sans-serif" w:hAnsi="Times New Roman;sans-serif"/>
          <w:b w:val="false"/>
          <w:color w:val="000000"/>
          <w:sz w:val="22"/>
        </w:rPr>
        <w:t xml:space="preserve">means, at any date, all liabilities of the Company and its Restricted Subsidiaries which under GAAP would be classified as current liabilities, other than (i) current maturities of long term debt, (ii) outstanding revolving loans and letter of credit exposures, (iii) accruals of Consolidated Interest Expense (excluding Consolidated Interest Expense that is due and unpaid), (iv) obligations in respect of derivative financial instruments, (v) the current portion of current and deferred Taxes, (vi) liabilities in respect of unpaid earnouts, (vii) accruals relating to restructuring reserves, (viii) liabilities in respect of funds of third parties on deposit with the Company and/or any Restricted Subsidiary, (ix) the current portion of any Finance Lease Obligation and the current portion of any Non-Financing Lease Obligation that is otherwise required to be capitalized, (x) any liabilities recorded in connection with stock based awards, partnership interest based awards, awards of profits interests, deferred compensation awards and similar initiative based compensation awards or arrangements, (xi) the current portion of any current or deferred pension plan liabilities, (xii) the current portion of any other long term liability for borrowed money and (xiii) any current liabilities associated with assets held for sale or pension assets.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Daily Simple SOFR</w:t>
      </w:r>
      <w:r>
        <w:rPr>
          <w:color w:val="000000"/>
        </w:rPr>
        <w:t xml:space="preserve">” </w:t>
      </w:r>
      <w:r>
        <w:rPr>
          <w:rFonts w:ascii="Times New Roman;sans-serif" w:hAnsi="Times New Roman;sans-serif"/>
          <w:b w:val="false"/>
          <w:color w:val="000000"/>
          <w:sz w:val="22"/>
        </w:rPr>
        <w:t>means, for any day</w:t>
      </w:r>
      <w:r>
        <w:rPr>
          <w:rFonts w:ascii="Times New Roman;sans-serif" w:hAnsi="Times New Roman;sans-serif"/>
          <w:b w:val="false"/>
          <w:strike/>
          <w:color w:val="FF0000"/>
          <w:sz w:val="22"/>
        </w:rPr>
        <w:t xml:space="preserve">, </w:t>
      </w:r>
      <w:r>
        <w:rPr>
          <w:rFonts w:ascii="Times New Roman;sans-serif" w:hAnsi="Times New Roman;sans-serif"/>
          <w:b/>
          <w:color w:val="0000FF"/>
          <w:sz w:val="22"/>
          <w:u w:val="single"/>
        </w:rPr>
        <w:t>(a “</w:t>
      </w:r>
      <w:r>
        <w:rPr>
          <w:rFonts w:ascii="Times New Roman;sans-serif" w:hAnsi="Times New Roman;sans-serif"/>
          <w:b w:val="false"/>
          <w:color w:val="000000"/>
          <w:sz w:val="22"/>
          <w:u w:val="single"/>
        </w:rPr>
        <w:t>SOFR</w:t>
      </w:r>
      <w:r>
        <w:rPr>
          <w:rFonts w:ascii="Times New Roman;sans-serif" w:hAnsi="Times New Roman;sans-serif"/>
          <w:b w:val="false"/>
          <w:strike/>
          <w:color w:val="FF0000"/>
          <w:sz w:val="22"/>
        </w:rPr>
        <w:t xml:space="preserve">, with the conventions for this rate (which may include a lookback) being established by the Administrative Agent in accordance with the conventions for this rate selected or recommended by the Relevant Governmental Body for determining “Daily Simple SOFR” for business loans; </w:t>
      </w:r>
      <w:r>
        <w:rPr>
          <w:rFonts w:ascii="Times New Roman;sans-serif" w:hAnsi="Times New Roman;sans-serif"/>
          <w:b w:val="false"/>
          <w:strike/>
          <w:color w:val="FF0000"/>
          <w:sz w:val="22"/>
          <w:u w:val="single"/>
        </w:rPr>
        <w:t>provided</w:t>
      </w:r>
      <w:r>
        <w:rPr>
          <w:rFonts w:ascii="Times New Roman;sans-serif" w:hAnsi="Times New Roman;sans-serif"/>
          <w:b w:val="false"/>
          <w:strike/>
          <w:color w:val="FF0000"/>
          <w:sz w:val="22"/>
        </w:rPr>
        <w:t>, that if the Administrative Agent decides that any such convention is not administratively feasible for the Administrative Agent, then the Administrative Agent may establish another convention in its reasonable discretion.</w:t>
      </w:r>
      <w:r>
        <w:rPr>
          <w:color w:val="000000"/>
          <w:u w:val="single"/>
        </w:rPr>
        <w:t xml:space="preserve"> </w:t>
      </w:r>
      <w:r>
        <w:rPr>
          <w:rFonts w:ascii="Times New Roman;sans-serif" w:hAnsi="Times New Roman;sans-serif"/>
          <w:b/>
          <w:color w:val="0000FF"/>
          <w:sz w:val="22"/>
          <w:u w:val="single"/>
        </w:rPr>
        <w:t>Rate Day”), a rate per annum equal to SOFR for the day that is five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Debtor Relief Laws</w:t>
      </w:r>
      <w:r>
        <w:rPr>
          <w:color w:val="000000"/>
        </w:rPr>
        <w:t xml:space="preserve">” </w:t>
      </w:r>
      <w:r>
        <w:rPr>
          <w:rFonts w:ascii="Times New Roman;sans-serif" w:hAnsi="Times New Roman;sans-serif"/>
          <w:b w:val="false"/>
          <w:color w:val="000000"/>
          <w:sz w:val="22"/>
        </w:rPr>
        <w:t>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Declined Proceeds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2.11(b)(v)</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62890"/>
                <wp:effectExtent l="0" t="0" r="0" b="0"/>
                <wp:wrapNone/>
                <wp:docPr id="68" name="Frame6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Default</w:t>
      </w:r>
      <w:r>
        <w:rPr>
          <w:color w:val="000000"/>
        </w:rPr>
        <w:t xml:space="preserve">” </w:t>
      </w:r>
      <w:r>
        <w:rPr>
          <w:rFonts w:ascii="Times New Roman;sans-serif" w:hAnsi="Times New Roman;sans-serif"/>
          <w:b w:val="false"/>
          <w:color w:val="000000"/>
          <w:sz w:val="22"/>
        </w:rPr>
        <w:t>means any event or condition which constitutes an Event of Default or which upon notice, lapse of time or both would, unless cured or waived, become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Default Right</w:t>
      </w:r>
      <w:r>
        <w:rPr>
          <w:color w:val="000000"/>
        </w:rPr>
        <w:t xml:space="preserve">” </w:t>
      </w:r>
      <w:r>
        <w:rPr>
          <w:rFonts w:ascii="Times New Roman;sans-serif" w:hAnsi="Times New Roman;sans-serif"/>
          <w:b w:val="false"/>
          <w:color w:val="000000"/>
          <w:sz w:val="22"/>
        </w:rPr>
        <w:t>has the meaning assigned to such term in, and shall be interpreted in accordance with, 12 C.F.R. §§ 252.81, 47.2 or 382.1,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Defaulting Lender</w:t>
      </w:r>
      <w:r>
        <w:rPr>
          <w:color w:val="000000"/>
        </w:rPr>
        <w:t xml:space="preserve">” </w:t>
      </w:r>
      <w:r>
        <w:rPr>
          <w:rFonts w:ascii="Times New Roman;sans-serif" w:hAnsi="Times New Roman;sans-serif"/>
          <w:b w:val="false"/>
          <w:color w:val="000000"/>
          <w:sz w:val="22"/>
        </w:rPr>
        <w:t xml:space="preserve">means any Lender that has (a) defaulted in its obligations under this Agreement, including without limitation, to make a Loan within one Business Day of the date required to be made by it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(b) notified the Administrative Agent or any Loan Party in writing that it does not intend to satisfy any such obligation or has made a public statement to the effect that it does not intend to comply with its funding obligations under this Agreement or under agreements in which it commits to extend credit generally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failed, within two Business Days after the request of Administrative Agent or the Company, to confirm in writing that it will comply with the terms of this Agreement relating to its obligations to fund prospective Loans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Lender shall cease to be a Defaulting Lender pursuant to this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(e) become (or any parent company thereof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unless in the case of any Lender subject to this </w:t>
      </w:r>
      <w:r>
        <w:rPr>
          <w:rFonts w:ascii="Times New Roman;sans-serif" w:hAnsi="Times New Roman;sans-serif"/>
          <w:b w:val="false"/>
          <w:color w:val="000000"/>
          <w:sz w:val="22"/>
          <w:u w:val="single"/>
        </w:rPr>
        <w:t>clause (e)</w:t>
      </w:r>
      <w:r>
        <w:rPr>
          <w:rFonts w:ascii="Times New Roman;sans-serif" w:hAnsi="Times New Roman;sans-serif"/>
          <w:b w:val="false"/>
          <w:color w:val="000000"/>
          <w:sz w:val="22"/>
        </w:rPr>
        <w:t xml:space="preserve">, the Company and the Administrative Agent shall each have determined that such Lender intends, and has all approvals required to enable it (in form and substance satisfactory to each of the Company and the Administrative Agent), to continue to perform its obligations as a Lender hereunder or (f) become (or any parent company thereof has become) the subject of a Bail-In 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Lender shall be deemed to be a Defaulting Lender solely by virtue of the ownership or acquisition of any Capital Stock in such Lender or its parent by any Governmental Authority;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action does not result in or provide such Lender with immunity from the jurisdiction of courts within the U.S. or from the enforcement of judgments or writs of attachment on its assets or permit such Lender (or such Governmental Authority) to reject, repudiate, disavow or disaffirm any contract or agreement to which such Lender is a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Deposit Account</w:t>
      </w:r>
      <w:r>
        <w:rPr>
          <w:color w:val="000000"/>
        </w:rPr>
        <w:t xml:space="preserve">” </w:t>
      </w:r>
      <w:r>
        <w:rPr>
          <w:rFonts w:ascii="Times New Roman;sans-serif" w:hAnsi="Times New Roman;sans-serif"/>
          <w:b w:val="false"/>
          <w:color w:val="000000"/>
          <w:sz w:val="22"/>
        </w:rPr>
        <w:t>means a demand, time, savings, passbook or like account with a bank, savings and loan association, credit union or like organization, excluding, for the avoidance of doubt, any investment property (within the meaning of the UCC) or any account evidenced by an instrument or negotiable certificate of deposit (within the meaning of the UCC).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Derivative Transaction</w:t>
      </w:r>
      <w:r>
        <w:rPr>
          <w:color w:val="000000"/>
        </w:rPr>
        <w:t xml:space="preserve">” </w:t>
      </w:r>
      <w:r>
        <w:rPr>
          <w:rFonts w:ascii="Times New Roman;sans-serif" w:hAnsi="Times New Roman;sans-serif"/>
          <w:b w:val="false"/>
          <w:color w:val="000000"/>
          <w:sz w:val="22"/>
        </w:rPr>
        <w:t xml:space="preserve">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phantom stock or similar plan providing for payments only on account of services provided by current or former directors, officers, employees, members of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62890"/>
                <wp:effectExtent l="0" t="0" r="0" b="0"/>
                <wp:wrapNone/>
                <wp:docPr id="69" name="Frame6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management, managers or consultants of the Company or its subsidiaries shall constitute a Derivative Transaction.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Designated Noncash Consideration</w:t>
      </w:r>
      <w:r>
        <w:rPr>
          <w:color w:val="000000"/>
        </w:rPr>
        <w:t xml:space="preserve">” </w:t>
      </w:r>
      <w:r>
        <w:rPr>
          <w:rFonts w:ascii="Times New Roman;sans-serif" w:hAnsi="Times New Roman;sans-serif"/>
          <w:b w:val="false"/>
          <w:color w:val="000000"/>
          <w:sz w:val="22"/>
        </w:rPr>
        <w:t>means noncash consideration received by the Company or one of its Restricted Subsidiaries in connection with an Asset Disposition that is so designated as Designated Noncash Consideration pursuant to an Officer’s Certificate, setting forth the basis of such valuation.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Designated Preferred Stock</w:t>
      </w:r>
      <w:r>
        <w:rPr>
          <w:color w:val="000000"/>
        </w:rPr>
        <w:t xml:space="preserve">” </w:t>
      </w:r>
      <w:r>
        <w:rPr>
          <w:rFonts w:ascii="Times New Roman;sans-serif" w:hAnsi="Times New Roman;sans-serif"/>
          <w:b w:val="false"/>
          <w:color w:val="000000"/>
          <w:sz w:val="22"/>
        </w:rPr>
        <w:t xml:space="preserve">means Preferred Stock of the Company (other than Disqualified Stock) that is issued after the Closing Date for cash (other than to a Restricted Subsidiary) and is so designated as Designated Preferred Stock, pursuant to an Officer’s Certificate of the Company; provided that the cash proceeds of such issuance shall be excluded from the calculation set forth in </w:t>
      </w:r>
      <w:r>
        <w:rPr>
          <w:rFonts w:ascii="Times New Roman;sans-serif" w:hAnsi="Times New Roman;sans-serif"/>
          <w:b w:val="false"/>
          <w:color w:val="000000"/>
          <w:sz w:val="22"/>
          <w:u w:val="single"/>
        </w:rPr>
        <w:t>Section 6.02(a)(3)(B)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Disinterested Directors</w:t>
      </w:r>
      <w:r>
        <w:rPr>
          <w:color w:val="000000"/>
        </w:rPr>
        <w:t xml:space="preserve">” </w:t>
      </w:r>
      <w:r>
        <w:rPr>
          <w:rFonts w:ascii="Times New Roman;sans-serif" w:hAnsi="Times New Roman;sans-serif"/>
          <w:b w:val="false"/>
          <w:color w:val="000000"/>
          <w:sz w:val="22"/>
        </w:rPr>
        <w:t>means, with respect to any Affiliate Transaction, one or more members of the Board of Directors of the Company, or one or more members of the Board of Directors having no material direct or indirect financial interest in or with respect to such Affiliate Transaction. A member of any such Board of Directors shall not be deemed to have such a financial interest by reason of such member’s holding Capital Stock of the Company or any options, warrants or other rights in respect of such Capital Stock or by reason of such member receiving any compensation in respect of such member’s role as director.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Discount Range</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Disclosed Matters</w:t>
      </w:r>
      <w:r>
        <w:rPr>
          <w:color w:val="000000"/>
        </w:rPr>
        <w:t xml:space="preserve">” </w:t>
      </w:r>
      <w:r>
        <w:rPr>
          <w:rFonts w:ascii="Times New Roman;sans-serif" w:hAnsi="Times New Roman;sans-serif"/>
          <w:b w:val="false"/>
          <w:color w:val="000000"/>
          <w:sz w:val="22"/>
        </w:rPr>
        <w:t>means the actions, suits and proceedings and the environmental matters disclosed in Schedule 3.05.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Disposition</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Dispose</w:t>
      </w:r>
      <w:r>
        <w:rPr>
          <w:color w:val="000000"/>
        </w:rPr>
        <w:t xml:space="preserve">” </w:t>
      </w:r>
      <w:r>
        <w:rPr>
          <w:rFonts w:ascii="Times New Roman;sans-serif" w:hAnsi="Times New Roman;sans-serif"/>
          <w:b w:val="false"/>
          <w:color w:val="000000"/>
          <w:sz w:val="22"/>
        </w:rPr>
        <w:t xml:space="preserve">means the sale, lease, sublease or other disposition of any property of any Person. The fair market value of any assets or other property Disposed of shall be determined by the Company in good faith and shall be measured at the time provided for in </w:t>
      </w:r>
      <w:r>
        <w:rPr>
          <w:rFonts w:ascii="Times New Roman;sans-serif" w:hAnsi="Times New Roman;sans-serif"/>
          <w:b w:val="false"/>
          <w:color w:val="000000"/>
          <w:sz w:val="22"/>
          <w:u w:val="single"/>
        </w:rPr>
        <w:t>Section 1.04(e)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Disqualified Stock</w:t>
      </w:r>
      <w:r>
        <w:rPr>
          <w:color w:val="000000"/>
        </w:rPr>
        <w:t xml:space="preserve">” </w:t>
      </w:r>
      <w:r>
        <w:rPr>
          <w:rFonts w:ascii="Times New Roman;sans-serif" w:hAnsi="Times New Roman;sans-serif"/>
          <w:b w:val="false"/>
          <w:color w:val="000000"/>
          <w:sz w:val="22"/>
        </w:rPr>
        <w:t xml:space="preserve">means, with respect to any Person, any Capital Stock (other than Management Stock) that by its terms (or by the terms of any security into which it is convertible or for which it is exchangeable or exercisable) or upon the happening of any event (other than following the occurrence of a Change of Control or other similar event described under such terms as a “change of control,” or an Asset Disposition or other disposition) (i) matures or is mandatorily redeemable pursuant to a sinking fund obligation or otherwise, (ii) is convertible or exchangeable for Indebtedness or Disqualified Stock or (iii) is redeemable at the option of the holder thereof (other than following the occurrence of a Change of Control or other similar event described under such terms as a “change of control,” or an Asset Disposition or other disposition), in whole or in part, in each case on or prior to the final Stated Maturity of the Initial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Capital Stock issued to any employee benefit plan, or by any such plan to any employees of the Company or any Subsidiary, shall not constitute Disqualified Stock solely because it may be required to be repurchased or otherwise acquired or retired in order to satisfy applicable statutory or regulatory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Disqualified Institution</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(a)</w:t>
      </w:r>
      <w:r>
        <w:rPr>
          <w:rFonts w:ascii="Times New Roman;sans-serif" w:hAnsi="Times New Roman;sans-serif"/>
          <w:b w:val="false"/>
          <w:color w:val="000000"/>
          <w:sz w:val="22"/>
        </w:rPr>
        <w:t xml:space="preserve">(i) any Person identified as such by the Company in writing (and reasonably satisfactory) to the Administrative Agent, (ii) any Affiliate of any Person described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that is reasonably identifiable as an Affiliate of such Person on the basis of such Affiliate’s name and (iii) any other Affiliate of any Person described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that is identified by the Company in a written notice to the Arrangers (if prior to the Closing Date) or the Administrative Agent (if after the Closing Date) (other than Bona Fide Debt Funds other than such Bona Fide Debt Funds excluded pursuant to </w:t>
      </w:r>
      <w:r>
        <w:rPr>
          <w:rFonts w:ascii="Times New Roman;sans-serif" w:hAnsi="Times New Roman;sans-serif"/>
          <w:b w:val="false"/>
          <w:color w:val="000000"/>
          <w:sz w:val="22"/>
          <w:u w:val="single"/>
        </w:rPr>
        <w:t>clause (a)(i)</w:t>
      </w:r>
      <w:r>
        <w:rPr>
          <w:color w:val="000000"/>
        </w:rPr>
        <w:t xml:space="preserve"> </w:t>
      </w:r>
      <w:r>
        <w:rPr>
          <w:rFonts w:ascii="Times New Roman;sans-serif" w:hAnsi="Times New Roman;sans-serif"/>
          <w:b w:val="false"/>
          <w:color w:val="000000"/>
          <w:sz w:val="22"/>
        </w:rPr>
        <w:t xml:space="preserve">of this paragraph) (each such person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above, a “</w:t>
      </w:r>
      <w:r>
        <w:rPr>
          <w:rFonts w:ascii="Times New Roman;sans-serif" w:hAnsi="Times New Roman;sans-serif"/>
          <w:b/>
          <w:color w:val="000000"/>
          <w:sz w:val="22"/>
        </w:rPr>
        <w:t>Disqualified Lending Institution</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(b)</w:t>
      </w:r>
      <w:r>
        <w:rPr>
          <w:rFonts w:ascii="Times New Roman;sans-serif" w:hAnsi="Times New Roman;sans-serif"/>
          <w:b w:val="false"/>
          <w:color w:val="000000"/>
          <w:sz w:val="22"/>
        </w:rPr>
        <w:t xml:space="preserve">(i) any Person that is a Company Competitor and/or any Affiliate of any Company Competitor (other than any Affiliate that is a Bona Fide Debt Fund) and is identified by </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62890"/>
                <wp:effectExtent l="0" t="0" r="0" b="0"/>
                <wp:wrapNone/>
                <wp:docPr id="70" name="Frame7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the Company as such in writing to the Arrangers (if prior to the Closing Date) or the Administrative Agent (if after the Closing Date), (ii) any Affiliate of any Person described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(other than any Affiliate that is a Bona Fide Debt Fund) that is reasonably identifiable as an Affiliate of such person on the basis of such Affiliate’s name and (iii) any other Affiliate of any Person described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that is identified by the Company in a written notice to the Arrangers (if prior to the Closing Date) or to the Administrative Agent (if after the Closing Date) (it being understood and agreed that no Bona Fide Debt Fund may be designated as a Disqualified Institution pursuant to this </w:t>
      </w:r>
      <w:r>
        <w:rPr>
          <w:rFonts w:ascii="Times New Roman;sans-serif" w:hAnsi="Times New Roman;sans-serif"/>
          <w:b w:val="false"/>
          <w:color w:val="000000"/>
          <w:sz w:val="22"/>
          <w:u w:val="single"/>
        </w:rPr>
        <w:t>clause (iii)</w:t>
      </w:r>
      <w:r>
        <w:rPr>
          <w:rFonts w:ascii="Times New Roman;sans-serif" w:hAnsi="Times New Roman;sans-serif"/>
          <w:b w:val="false"/>
          <w:color w:val="000000"/>
          <w:sz w:val="22"/>
        </w:rPr>
        <w:t xml:space="preserve">, but such Bona Fide Debt Fund may be designated as a Disqualified Lending Institution pursuant to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and </w: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(c)</w:t>
      </w:r>
      <w:r>
        <w:rPr>
          <w:rFonts w:ascii="Times New Roman;sans-serif" w:hAnsi="Times New Roman;sans-serif"/>
          <w:b w:val="false"/>
          <w:color w:val="000000"/>
          <w:sz w:val="22"/>
        </w:rPr>
        <w:t>any Affiliate or Representative of any Arranger and/or any Initial Lender that is engaged as a principal primarily in private equity, mezzanine financing or venture capital;</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it being understood and agreed that no written notice delivered pursuant to </w:t>
      </w:r>
      <w:r>
        <w:rPr>
          <w:rFonts w:ascii="Times New Roman;sans-serif" w:hAnsi="Times New Roman;sans-serif"/>
          <w:b w:val="false"/>
          <w:color w:val="000000"/>
          <w:sz w:val="22"/>
          <w:u w:val="single"/>
        </w:rPr>
        <w:t>clauses (a)(i)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(b)(i)</w:t>
      </w:r>
      <w:r>
        <w:rPr>
          <w:color w:val="000000"/>
        </w:rPr>
        <w:t>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(b)(iii)</w:t>
      </w:r>
      <w:r>
        <w:rPr>
          <w:color w:val="000000"/>
        </w:rPr>
        <w:t xml:space="preserve"> </w:t>
      </w:r>
      <w:r>
        <w:rPr>
          <w:rFonts w:ascii="Times New Roman;sans-serif" w:hAnsi="Times New Roman;sans-serif"/>
          <w:b w:val="false"/>
          <w:color w:val="000000"/>
          <w:sz w:val="22"/>
        </w:rPr>
        <w:t>above shall apply retroactively to disqualify any Person that has previously acquired an assignment or participation interest in any Loans or Commitments if such Person was not a Disqualified Institution at the time of acquisition of such assignment or participation interest.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Disqualified Lending Institution</w:t>
      </w:r>
      <w:r>
        <w:rPr>
          <w:color w:val="000000"/>
        </w:rPr>
        <w:t xml:space="preserve">” </w:t>
      </w:r>
      <w:r>
        <w:rPr>
          <w:rFonts w:ascii="Times New Roman;sans-serif" w:hAnsi="Times New Roman;sans-serif"/>
          <w:b w:val="false"/>
          <w:color w:val="000000"/>
          <w:sz w:val="22"/>
        </w:rPr>
        <w:t>has the meaning assigned to such term in the definition of “Disqualified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Disregarded Domestic Subsidiary</w:t>
      </w:r>
      <w:r>
        <w:rPr>
          <w:color w:val="000000"/>
        </w:rPr>
        <w:t xml:space="preserve">” </w:t>
      </w:r>
      <w:r>
        <w:rPr>
          <w:rFonts w:ascii="Times New Roman;sans-serif" w:hAnsi="Times New Roman;sans-serif"/>
          <w:b w:val="false"/>
          <w:color w:val="000000"/>
          <w:sz w:val="22"/>
          <w:shd w:fill="FFFFFF" w:val="clear"/>
        </w:rPr>
        <w:t>means any Domestic Subsidiary that has no material assets other than the Capital Stock and/or Indebtedness of one or more Foreign Subsidiaries or one or more Disregarded Domestic Subsidiaries, IP Rights related to such Foreign Subsidiaries or Disregarded Domestic Subsidiaries, Cash or Cash Equivalents and other incidental assets related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Dollars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refers to lawful money of the U.S.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Domestic Subsidiary</w:t>
      </w:r>
      <w:r>
        <w:rPr>
          <w:color w:val="000000"/>
        </w:rPr>
        <w:t xml:space="preserve">” </w:t>
      </w:r>
      <w:r>
        <w:rPr>
          <w:rFonts w:ascii="Times New Roman;sans-serif" w:hAnsi="Times New Roman;sans-serif"/>
          <w:b w:val="false"/>
          <w:color w:val="000000"/>
          <w:sz w:val="22"/>
        </w:rPr>
        <w:t>means any Restricted Subsidiary incorporated or organized under the laws of the U.S.,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Dutch Auction</w:t>
      </w:r>
      <w:r>
        <w:rPr>
          <w:color w:val="000000"/>
        </w:rPr>
        <w:t xml:space="preserve">” </w:t>
      </w:r>
      <w:r>
        <w:rPr>
          <w:rFonts w:ascii="Times New Roman;sans-serif" w:hAnsi="Times New Roman;sans-serif"/>
          <w:b w:val="false"/>
          <w:color w:val="000000"/>
          <w:sz w:val="22"/>
        </w:rPr>
        <w:t>means an auction (an “</w:t>
      </w:r>
      <w:r>
        <w:rPr>
          <w:rFonts w:ascii="Times New Roman;sans-serif" w:hAnsi="Times New Roman;sans-serif"/>
          <w:b/>
          <w:color w:val="000000"/>
          <w:sz w:val="22"/>
        </w:rPr>
        <w:t>Auction</w:t>
      </w:r>
      <w:r>
        <w:rPr>
          <w:color w:val="000000"/>
        </w:rPr>
        <w:t>”</w:t>
      </w:r>
      <w:r>
        <w:rPr>
          <w:rFonts w:ascii="Times New Roman;sans-serif" w:hAnsi="Times New Roman;sans-serif"/>
          <w:b w:val="false"/>
          <w:color w:val="000000"/>
          <w:sz w:val="22"/>
        </w:rPr>
        <w:t>) conducted by any Affiliated Lender (any such Person, the “</w:t>
      </w:r>
      <w:r>
        <w:rPr>
          <w:rFonts w:ascii="Times New Roman;sans-serif" w:hAnsi="Times New Roman;sans-serif"/>
          <w:b/>
          <w:color w:val="000000"/>
          <w:sz w:val="22"/>
        </w:rPr>
        <w:t>Auction Party</w:t>
      </w:r>
      <w:r>
        <w:rPr>
          <w:color w:val="000000"/>
        </w:rPr>
        <w:t>”</w:t>
      </w:r>
      <w:r>
        <w:rPr>
          <w:rFonts w:ascii="Times New Roman;sans-serif" w:hAnsi="Times New Roman;sans-serif"/>
          <w:b w:val="false"/>
          <w:color w:val="000000"/>
          <w:sz w:val="22"/>
        </w:rPr>
        <w:t xml:space="preserve">) in order to purchase Initial Term Loans (or any Additional Term Loans), substantially in accordance with the following procedures (as may be modified by such Affiliated Lender and the applicable “auction agent” in connection with a particular Auction transaction);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Auction Party shall initiate any Auction unless (I) at least five Business Days have passed since the consummation of the most recent purchase of Term Loans pursuant to an Auction conducted hereunder; or (II) at least three Business Days have passed since the date of the last Failed Auction (or equivalent) which was withdrawn: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Notice Procedures</w:t>
      </w:r>
      <w:r>
        <w:rPr>
          <w:rFonts w:ascii="Times New Roman;sans-serif" w:hAnsi="Times New Roman;sans-serif"/>
          <w:b w:val="false"/>
          <w:color w:val="000000"/>
          <w:sz w:val="22"/>
        </w:rPr>
        <w:t>. In connection with any Auction, the Auction Party will provide notification to the Auction Agent (for distribution to the relevant Lenders) of the Term Loans that will be the subject of the Auction (an “</w:t>
      </w:r>
      <w:r>
        <w:rPr>
          <w:rFonts w:ascii="Times New Roman;sans-serif" w:hAnsi="Times New Roman;sans-serif"/>
          <w:b/>
          <w:color w:val="000000"/>
          <w:sz w:val="22"/>
        </w:rPr>
        <w:t>Auction Notice</w:t>
      </w:r>
      <w:r>
        <w:rPr>
          <w:color w:val="000000"/>
        </w:rPr>
        <w:t>”</w:t>
      </w:r>
      <w:r>
        <w:rPr>
          <w:rFonts w:ascii="Times New Roman;sans-serif" w:hAnsi="Times New Roman;sans-serif"/>
          <w:b w:val="false"/>
          <w:color w:val="000000"/>
          <w:sz w:val="22"/>
        </w:rPr>
        <w:t>). Each Auction Notice shall be in a form reasonably acceptable to the Auction Agent and shall (i) specify the maximum aggregate principal amount of the Term Loans subject to the Auction, in a minimum amount of $10,000,000 and whole increments of $1,000,000 in excess thereof (or, in any case, such lesser amount of such Term Loans then outstanding or which is otherwise reasonably acceptable to the Auction Agent and the Administrative Agent (if different from the Auction Agent)) (the “</w:t>
      </w:r>
      <w:r>
        <w:rPr>
          <w:rFonts w:ascii="Times New Roman;sans-serif" w:hAnsi="Times New Roman;sans-serif"/>
          <w:b/>
          <w:color w:val="000000"/>
          <w:sz w:val="22"/>
        </w:rPr>
        <w:t>Auction Amount</w:t>
      </w:r>
      <w:r>
        <w:rPr>
          <w:color w:val="000000"/>
        </w:rPr>
        <w:t>”</w:t>
      </w:r>
      <w:r>
        <w:rPr>
          <w:rFonts w:ascii="Times New Roman;sans-serif" w:hAnsi="Times New Roman;sans-serif"/>
          <w:b w:val="false"/>
          <w:color w:val="000000"/>
          <w:sz w:val="22"/>
        </w:rPr>
        <w:t>), (ii) specify the discount to par (which may be a range (the “</w:t>
      </w:r>
      <w:r>
        <w:rPr>
          <w:rFonts w:ascii="Times New Roman;sans-serif" w:hAnsi="Times New Roman;sans-serif"/>
          <w:b/>
          <w:color w:val="000000"/>
          <w:sz w:val="22"/>
        </w:rPr>
        <w:t>Discount Range</w:t>
      </w:r>
      <w:r>
        <w:rPr>
          <w:color w:val="000000"/>
        </w:rPr>
        <w:t>”</w:t>
      </w:r>
      <w:r>
        <w:rPr>
          <w:rFonts w:ascii="Times New Roman;sans-serif" w:hAnsi="Times New Roman;sans-serif"/>
          <w:b w:val="false"/>
          <w:color w:val="000000"/>
          <w:sz w:val="22"/>
        </w:rPr>
        <w:t>) of percentages of the par principal amount of the Term Loans subject to such Auction), that represents the range of purchase prices that the Auction Party would be willing to accept in the Auction, (iii) be extended, at the sole discretion of the Auction Party, to (x) each Lender and/or (y) each Lender with respect to any Term Loan on an individual Class basis and (iv) remain outstanding through the Auction Response Date. The Auction Agent will promptly provide each appropriate Lender with a copy of the Auction Notice and a form of the Return Bid to be submitted by a responding Lender to the Auction Agent (or its delegate) by no later than 5:00 p.m. on the date specified in the Auction Notice (or such later date as the Auction Party may agree with the reasonable consent of the Auction Agent) (the “</w:t>
      </w:r>
      <w:r>
        <w:rPr>
          <w:rFonts w:ascii="Times New Roman;sans-serif" w:hAnsi="Times New Roman;sans-serif"/>
          <w:b/>
          <w:color w:val="000000"/>
          <w:sz w:val="22"/>
        </w:rPr>
        <w:t>Auction Response Date</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62890"/>
                <wp:effectExtent l="0" t="0" r="0" b="0"/>
                <wp:wrapNone/>
                <wp:docPr id="71" name="Frame7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Reply Procedures</w:t>
      </w:r>
      <w:r>
        <w:rPr>
          <w:rFonts w:ascii="Times New Roman;sans-serif" w:hAnsi="Times New Roman;sans-serif"/>
          <w:b w:val="false"/>
          <w:color w:val="000000"/>
          <w:sz w:val="22"/>
        </w:rPr>
        <w:t>. In connection with any Auction, each Lender holding the relevant Term Loans subject to such Auction may, in its sole discretion, participate in such Auction and may provide the Auction Agent with a notice of participation (the “</w:t>
      </w:r>
      <w:r>
        <w:rPr>
          <w:rFonts w:ascii="Times New Roman;sans-serif" w:hAnsi="Times New Roman;sans-serif"/>
          <w:b/>
          <w:color w:val="000000"/>
          <w:sz w:val="22"/>
        </w:rPr>
        <w:t>Return Bid</w:t>
      </w:r>
      <w:r>
        <w:rPr>
          <w:color w:val="000000"/>
        </w:rPr>
        <w:t>”</w:t>
      </w:r>
      <w:r>
        <w:rPr>
          <w:rFonts w:ascii="Times New Roman;sans-serif" w:hAnsi="Times New Roman;sans-serif"/>
          <w:b w:val="false"/>
          <w:color w:val="000000"/>
          <w:sz w:val="22"/>
        </w:rPr>
        <w:t>) which shall be in a form reasonably acceptable to the Auction Agent, and shall specify (i) a discount to par (that must be expressed as a price at which it is willing to sell all or any portion of such Term Loans) (the “</w:t>
      </w:r>
      <w:r>
        <w:rPr>
          <w:rFonts w:ascii="Times New Roman;sans-serif" w:hAnsi="Times New Roman;sans-serif"/>
          <w:b/>
          <w:color w:val="000000"/>
          <w:sz w:val="22"/>
        </w:rPr>
        <w:t>Reply Price</w:t>
      </w:r>
      <w:r>
        <w:rPr>
          <w:color w:val="000000"/>
        </w:rPr>
        <w:t>”</w:t>
      </w:r>
      <w:r>
        <w:rPr>
          <w:rFonts w:ascii="Times New Roman;sans-serif" w:hAnsi="Times New Roman;sans-serif"/>
          <w:b w:val="false"/>
          <w:color w:val="000000"/>
          <w:sz w:val="22"/>
        </w:rPr>
        <w:t>), which (when expressed as a percentage of the par principal amount of such Term Loans) must be within the Discount Range and (ii) a principal amount of such Term Loans, which must be in whole increments of $1,000,000 (or, in any case, such lesser amount of such Term Loans of such Lender then outstanding or which is otherwise reasonably acceptable to the Auction Agent) (the “</w:t>
      </w:r>
      <w:r>
        <w:rPr>
          <w:rFonts w:ascii="Times New Roman;sans-serif" w:hAnsi="Times New Roman;sans-serif"/>
          <w:b/>
          <w:color w:val="000000"/>
          <w:sz w:val="22"/>
        </w:rPr>
        <w:t>Reply Amount</w:t>
      </w:r>
      <w:r>
        <w:rPr>
          <w:color w:val="000000"/>
        </w:rPr>
        <w:t>”</w:t>
      </w:r>
      <w:r>
        <w:rPr>
          <w:rFonts w:ascii="Times New Roman;sans-serif" w:hAnsi="Times New Roman;sans-serif"/>
          <w:b w:val="false"/>
          <w:color w:val="000000"/>
          <w:sz w:val="22"/>
        </w:rPr>
        <w:t xml:space="preserve">). Lenders may only submit one Return Bid per Auction, but each Return Bid may contain up to three bids only one of which may result in a Qualifying Bid. In addition to the Return Bid, the participating Lender must execute and deliver, to be held in escrow by the Auction Agent, an Assignment and Assumption with the dollar amount of the Term Loans to be assigned to be left in blank, which amount shall be completed by the Auction Agent in accordance with the final determination of such Lender’s Qualifying Bid pursuant to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below. Any Lender whose Return Bid is not received by the Auction Agent by the Auction Response Date shall be deemed to have declined to participate in the relevant Auction with respect to all of its Term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Acceptance Procedures</w:t>
      </w:r>
      <w:r>
        <w:rPr>
          <w:rFonts w:ascii="Times New Roman;sans-serif" w:hAnsi="Times New Roman;sans-serif"/>
          <w:b w:val="false"/>
          <w:color w:val="000000"/>
          <w:sz w:val="22"/>
        </w:rPr>
        <w:t>. Based on the Reply Prices and Reply Amounts received by the Auction Agent prior to the applicable Auction Response Date, the Auction Agent, in consultation with the Auction Party, will determine the applicable price (the “</w:t>
      </w:r>
      <w:r>
        <w:rPr>
          <w:rFonts w:ascii="Times New Roman;sans-serif" w:hAnsi="Times New Roman;sans-serif"/>
          <w:b/>
          <w:color w:val="000000"/>
          <w:sz w:val="22"/>
        </w:rPr>
        <w:t>Applicable Price</w:t>
      </w:r>
      <w:r>
        <w:rPr>
          <w:color w:val="000000"/>
        </w:rPr>
        <w:t>”</w:t>
      </w:r>
      <w:r>
        <w:rPr>
          <w:rFonts w:ascii="Times New Roman;sans-serif" w:hAnsi="Times New Roman;sans-serif"/>
          <w:b w:val="false"/>
          <w:color w:val="000000"/>
          <w:sz w:val="22"/>
        </w:rPr>
        <w:t xml:space="preserve">) for the Auction, which will be the lowest Reply Price for which the Auction Party can complete the Auction at the Auction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event that the Reply Amounts are insufficient to allow the Auction Party to complete a purchase of the entire Auction Amount (any such Auction, a “</w:t>
      </w:r>
      <w:r>
        <w:rPr>
          <w:rFonts w:ascii="Times New Roman;sans-serif" w:hAnsi="Times New Roman;sans-serif"/>
          <w:b/>
          <w:color w:val="000000"/>
          <w:sz w:val="22"/>
        </w:rPr>
        <w:t>Failed Auction</w:t>
      </w:r>
      <w:r>
        <w:rPr>
          <w:color w:val="000000"/>
        </w:rPr>
        <w:t>”</w:t>
      </w:r>
      <w:r>
        <w:rPr>
          <w:rFonts w:ascii="Times New Roman;sans-serif" w:hAnsi="Times New Roman;sans-serif"/>
          <w:b w:val="false"/>
          <w:color w:val="000000"/>
          <w:sz w:val="22"/>
        </w:rPr>
        <w:t>), the Auction Party shall either, at its election, (i) withdraw the Auction or (ii) complete the Auction at an Applicable Price equal to the highest Reply Price. The Auction Party shall purchase the relevant Term Loans (or the respective portions thereof) from each Lender with a Reply Price that is equal to or lower than the Applicable Price (“</w:t>
      </w:r>
      <w:r>
        <w:rPr>
          <w:rFonts w:ascii="Times New Roman;sans-serif" w:hAnsi="Times New Roman;sans-serif"/>
          <w:b/>
          <w:color w:val="000000"/>
          <w:sz w:val="22"/>
        </w:rPr>
        <w:t>Qualifying Bids</w:t>
      </w:r>
      <w:r>
        <w:rPr>
          <w:color w:val="000000"/>
        </w:rPr>
        <w:t>”</w:t>
      </w:r>
      <w:r>
        <w:rPr>
          <w:rFonts w:ascii="Times New Roman;sans-serif" w:hAnsi="Times New Roman;sans-serif"/>
          <w:b w:val="false"/>
          <w:color w:val="000000"/>
          <w:sz w:val="22"/>
        </w:rPr>
        <w:t xml:space="preserve">) at the Applicable Price;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aggregate proceeds required to purchase all Term Loans subject to Qualifying Bids would exceed the Auction Amount for such Auction, the Auction Party shall purchase such Term Loans at the Applicable Price ratably based on the principal amounts of such Qualifying Bids (subject to rounding requirements specified by the Auction Agent in its discretion). If a Lender has submitted a Return Bid containing multiple bids at different Reply Prices, only the bid with the lowest Reply Price that is equal to or less than the Applicable Price will be deemed to be the Qualifying Bid of such Lender (e.g., a Reply Price of $100 with a discount to par of 1%, when compared to an Applicable Price of $100 with a 2% discount to par, will not be deemed to be a Qualifying Bid, while, however, a Reply Price of $100 with a discount to par of 2.50% would be deemed to be a Qualifying Bid). The Auction Agent shall promptly, and in any case within five Business Days following the Auction Response Date with respect to an Auction, notify (I) the Company of the respective Lenders’ responses to such solicitation, the effective date of the purchase of Term Loans pursuant to such Auction, the Applicable Price, and the aggregate principal amount of the Term Loans and the tranches thereof to be purchased pursuant to such Auction, (II) each participating Lender of the effective date of the purchase of Term Loans pursuant to such Auction, the Applicable Price, and the aggregate principal amount and the tranches of Term Loans to be purchased at the Applicable Price on such date, (III) each participating Lender of the aggregate principal amount and the tranches of the Term Loans of such Lender to be purchased at the Applicable Price on such date and (IV) if applicable, each participating Lender of any rounding and/or proration pursuant to the second preceding sentence. Each determination by the Auction Agent of the amounts stated in the foregoing notices to the Company and Lenders shall be conclusive and binding for all purposes absent manifest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Additional Procedures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Once initiated by an Auction Notice, the Auction Party may not withdraw an Auction other than a Failed Auction. Furthermore, in connection with any Auction, upon submission by a Lender of a Qualifying Bid, such Lender will be obligated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62890"/>
                <wp:effectExtent l="0" t="0" r="0" b="0"/>
                <wp:wrapNone/>
                <wp:docPr id="72" name="Frame7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sell the entirety or its allocable portion of the Reply Amount, as the case may be, at the Applicable Price.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To the extent not expressly provided for herein, each purchase of Term Loans pursuant to an Auction shall be consummated pursuant to procedures consistent with the provisions in this definition, established by the Auction Agent acting in its reasonable discretion and as reasonably agreed by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In connection with any Auction, the Company and the Lenders acknowledge and agree that the Auction Agent may require as a condition to any Auction, the payment of customary fees and expenses by the Auction Party in connection therewith as agreed between the Auction Party and the Auction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    Notwithstanding anything in any Loan Document to the contrary, for purposes of this definition, each notice or other communication required to be delivered or otherwise provided to the Auction Agent (or its delegate) shall be deemed to have been given upon the Auction Agent’s (or its delegate’s) actual receipt during normal business hours of such notice or communication;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notice or communication actually received outside of normal business hours shall be deemed to have been given as of the opening of business on the next Business Day.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The Company and the Lenders acknowledge and agree that the Auction Agent may perform any and all of its duties under this definition by itself or through any Affiliate of the Auction Agent and expressly consent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purchase of Term Loans provided for in this definition as well as activities of the Auction Agent.</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2"/>
        </w:rPr>
        <w:t>Early Opt-in Election</w:t>
      </w:r>
      <w:r>
        <w:rPr>
          <w:strike/>
          <w:color w:val="FF0000"/>
        </w:rPr>
        <w:t xml:space="preserve">” </w:t>
      </w:r>
      <w:r>
        <w:rPr>
          <w:rFonts w:ascii="Times New Roman;sans-serif" w:hAnsi="Times New Roman;sans-serif"/>
          <w:b w:val="false"/>
          <w:strike/>
          <w:color w:val="FF0000"/>
          <w:sz w:val="22"/>
        </w:rPr>
        <w:t>means, if the then current Benchmark is the Adjusted LIBO Rate, the occurrence of:</w:t>
      </w:r>
    </w:p>
    <w:p>
      <w:pPr>
        <w:pStyle w:val="TextBody"/>
        <w:bidi w:val="0"/>
        <w:spacing w:lineRule="auto" w:line="240" w:before="0" w:after="240"/>
        <w:ind w:left="0" w:right="0" w:firstLine="720"/>
        <w:jc w:val="both"/>
        <w:rPr/>
      </w:pPr>
      <w:r>
        <w:rPr>
          <w:rFonts w:ascii="Times New Roman;sans-serif" w:hAnsi="Times New Roman;sans-serif"/>
          <w:b w:val="false"/>
          <w:strike/>
          <w:color w:val="FF0000"/>
          <w:sz w:val="22"/>
        </w:rPr>
        <w:t>(1)</w:t>
      </w:r>
      <w:r>
        <w:rPr>
          <w:color w:val="000000"/>
        </w:rPr>
        <w:t>    </w:t>
      </w:r>
      <w:r>
        <w:rPr>
          <w:rFonts w:ascii="Times New Roman;sans-serif" w:hAnsi="Times New Roman;sans-serif"/>
          <w:b w:val="false"/>
          <w:strike/>
          <w:color w:val="FF0000"/>
          <w:sz w:val="22"/>
        </w:rPr>
        <w:t>a notification by the Administrative Agent to (or the request by the Company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pStyle w:val="TextBody"/>
        <w:bidi w:val="0"/>
        <w:spacing w:lineRule="auto" w:line="240" w:before="0" w:after="240"/>
        <w:ind w:left="0" w:right="0" w:firstLine="720"/>
        <w:jc w:val="both"/>
        <w:rPr/>
      </w:pPr>
      <w:r>
        <w:rPr>
          <w:rFonts w:ascii="Times New Roman;sans-serif" w:hAnsi="Times New Roman;sans-serif"/>
          <w:b w:val="false"/>
          <w:strike/>
          <w:color w:val="FF0000"/>
          <w:sz w:val="22"/>
        </w:rPr>
        <w:t>(2)</w:t>
      </w:r>
      <w:r>
        <w:rPr>
          <w:color w:val="000000"/>
        </w:rPr>
        <w:t>    </w:t>
      </w:r>
      <w:r>
        <w:rPr>
          <w:rFonts w:ascii="Times New Roman;sans-serif" w:hAnsi="Times New Roman;sans-serif"/>
          <w:b w:val="false"/>
          <w:strike/>
          <w:color w:val="FF0000"/>
          <w:sz w:val="22"/>
        </w:rPr>
        <w:t>the joint election by the Administrative Agent and the Company to trigger a fallback from LIBO Rate and the provision by the Administrative Agent of written notice of such election to the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ECF Prepayment Amount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2.11(b)(i)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EEA Financial Institution</w:t>
      </w:r>
      <w:r>
        <w:rPr>
          <w:color w:val="000000"/>
        </w:rPr>
        <w:t xml:space="preserve">” </w:t>
      </w:r>
      <w:r>
        <w:rPr>
          <w:rFonts w:ascii="Times New Roman;sans-serif" w:hAnsi="Times New Roman;sans-serif"/>
          <w:b w:val="false"/>
          <w:color w:val="000000"/>
          <w:sz w:val="22"/>
        </w:rPr>
        <w:t>means (a) any institution established in any EEA Member Country that is subject to the supervision of an EEA Resolution Authority, (b) any entity established in an EEA Member Country that is a parent of an institution described in clause (a) of this definition, or (c) any institution established in an EEA Member Country that is a subsidiary of an institution described in clause (a) or (b) 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62890"/>
                <wp:effectExtent l="0" t="0" r="0" b="0"/>
                <wp:wrapNone/>
                <wp:docPr id="73" name="Frame7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Effective Yield</w:t>
      </w:r>
      <w:r>
        <w:rPr>
          <w:color w:val="000000"/>
        </w:rPr>
        <w:t xml:space="preserve">” </w:t>
      </w:r>
      <w:r>
        <w:rPr>
          <w:rFonts w:ascii="Times New Roman;sans-serif" w:hAnsi="Times New Roman;sans-serif"/>
          <w:b w:val="false"/>
          <w:color w:val="000000"/>
          <w:sz w:val="22"/>
        </w:rPr>
        <w:t xml:space="preserve">means, as to any Indebtedness, the effective yield applicable thereto calculated by the Administrative Agent in consultation with the Company in a manner consistent with generally accepted financial practices,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or lesser remaining average life to maturity), but excluding (i) any advisory, arrangement, commitment, consent, structuring, success, underwriting, ticking, unused line fees, amendment fees and/or any similar fees payable in connection therewith (regardless of whether any such fees are paid to or shared in whole or in part with any lender) and (ii) any other fee that is not directly paid generally to all relevant lenders ratably (or, if only one lender (or affiliated group of lenders) is providing such Indebtedness, are fees of the type not customarily shared with lenders generally);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with respect to any Indebtedness that includes a “</w:t>
      </w:r>
      <w:r>
        <w:rPr>
          <w:rFonts w:ascii="Times New Roman;sans-serif" w:hAnsi="Times New Roman;sans-serif"/>
          <w:b w:val="false"/>
          <w:strike/>
          <w:color w:val="FF0000"/>
          <w:sz w:val="22"/>
        </w:rPr>
        <w:t>LIBOR</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floor” or “Base Rate floor”, that (A) to the extent that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(for an Interest Period of three months) or Alternate Base Rate (in each case without giving effect to any floor specified in the definitions thereof on the date on which the Effective Yield is being calculated) is less than such floor, the amount of such difference will be deemed added to the interest rate margin applicable to such Indebtedness for purposes of calculating the Effective Yield and (B) to the extent that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(for an Interest Period of three months) or Alternate Base Rate (in each case, without giving effect to any floor specified in the definitions thereof) is greater than such floor, the floor will be disregarded in calculating the Effective Yield.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Electronic Signature</w:t>
      </w:r>
      <w:r>
        <w:rPr>
          <w:color w:val="000000"/>
        </w:rPr>
        <w:t xml:space="preserve">” </w:t>
      </w:r>
      <w:r>
        <w:rPr>
          <w:rFonts w:ascii="Times New Roman;sans-serif" w:hAnsi="Times New Roman;sans-serif"/>
          <w:b w:val="false"/>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Eligible Assignee</w:t>
      </w:r>
      <w:r>
        <w:rPr>
          <w:color w:val="000000"/>
        </w:rPr>
        <w:t xml:space="preserve">” </w:t>
      </w:r>
      <w:r>
        <w:rPr>
          <w:rFonts w:ascii="Times New Roman;sans-serif" w:hAnsi="Times New Roman;sans-serif"/>
          <w:b w:val="false"/>
          <w:color w:val="000000"/>
          <w:sz w:val="22"/>
        </w:rPr>
        <w:t xml:space="preserve">means (a) any Lender, (b) any commercial bank, insurance company, finance company, financial institution, any fund that invests in loans or any other “accredited investor” (as defined in Regulation D of the Securities Act), (c) any Affiliate of any Lender or (d) any Approved Fund of any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any event, “Eligible Assignee” shall not include (i) any natural person, (ii) any Disqualified Institution or Defaulting Lender or (iii) except as permitted under </w:t>
      </w:r>
      <w:r>
        <w:rPr>
          <w:rFonts w:ascii="Times New Roman;sans-serif" w:hAnsi="Times New Roman;sans-serif"/>
          <w:b w:val="false"/>
          <w:color w:val="000000"/>
          <w:sz w:val="22"/>
          <w:u w:val="single"/>
        </w:rPr>
        <w:t>Section 9.05(g)</w:t>
      </w:r>
      <w:r>
        <w:rPr>
          <w:rFonts w:ascii="Times New Roman;sans-serif" w:hAnsi="Times New Roman;sans-serif"/>
          <w:b w:val="false"/>
          <w:color w:val="000000"/>
          <w:sz w:val="22"/>
        </w:rPr>
        <w:t>, the Company or any of its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Environmental Laws</w:t>
      </w:r>
      <w:r>
        <w:rPr>
          <w:color w:val="000000"/>
        </w:rPr>
        <w:t xml:space="preserve">” </w:t>
      </w:r>
      <w:r>
        <w:rPr>
          <w:rFonts w:ascii="Times New Roman;sans-serif" w:hAnsi="Times New Roman;sans-serif"/>
          <w:b w:val="false"/>
          <w:color w:val="000000"/>
          <w:sz w:val="22"/>
        </w:rPr>
        <w:t>means all applicable laws, rules, regulations, codes, orders-in-council, ordinances, orders, decrees, judgments, injunctions or binding agreements issued, promulgated or entered into by any Governmental Authority, relating to the environment, preservation or reclamation of natural resources or the management, release or threatened release of any Hazardous Material.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Environmental Liability</w:t>
      </w:r>
      <w:r>
        <w:rPr>
          <w:color w:val="000000"/>
        </w:rPr>
        <w:t xml:space="preserve">” </w:t>
      </w:r>
      <w:r>
        <w:rPr>
          <w:rFonts w:ascii="Times New Roman;sans-serif" w:hAnsi="Times New Roman;sans-serif"/>
          <w:b w:val="false"/>
          <w:color w:val="000000"/>
          <w:sz w:val="22"/>
        </w:rPr>
        <w:t>means any liability, contingent or otherwise (including any liability for damages, costs of environmental remediation, fines, penalties or indemnities), of the Company or any Consolidated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ERISA</w:t>
      </w:r>
      <w:r>
        <w:rPr>
          <w:color w:val="000000"/>
        </w:rPr>
        <w:t xml:space="preserve">” </w:t>
      </w:r>
      <w:r>
        <w:rPr>
          <w:rFonts w:ascii="Times New Roman;sans-serif" w:hAnsi="Times New Roman;sans-serif"/>
          <w:b w:val="false"/>
          <w:color w:val="000000"/>
          <w:sz w:val="22"/>
        </w:rPr>
        <w:t>means the Employee Retirement Income Security Act of 1974, as amended from time to time,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ERISA Affiliate</w:t>
      </w:r>
      <w:r>
        <w:rPr>
          <w:color w:val="000000"/>
        </w:rPr>
        <w:t xml:space="preserve">” </w:t>
      </w:r>
      <w:r>
        <w:rPr>
          <w:rFonts w:ascii="Times New Roman;sans-serif" w:hAnsi="Times New Roman;sans-serif"/>
          <w:b w:val="false"/>
          <w:color w:val="000000"/>
          <w:sz w:val="22"/>
        </w:rPr>
        <w:t>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Event of Default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Article 7</w:t>
      </w:r>
      <w:r>
        <w:rPr>
          <w:rFonts w:ascii="Times New Roman;sans-serif" w:hAnsi="Times New Roman;sans-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62890"/>
                <wp:effectExtent l="0" t="0" r="0" b="0"/>
                <wp:wrapNone/>
                <wp:docPr id="74" name="Frame7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Excess Cash Flow</w:t>
      </w:r>
      <w:r>
        <w:rPr>
          <w:color w:val="000000"/>
        </w:rPr>
        <w:t xml:space="preserve">” </w:t>
      </w:r>
      <w:r>
        <w:rPr>
          <w:rFonts w:ascii="Times New Roman;sans-serif" w:hAnsi="Times New Roman;sans-serif"/>
          <w:b w:val="false"/>
          <w:color w:val="000000"/>
          <w:sz w:val="22"/>
        </w:rPr>
        <w:t>means, for any Excess Cash Flow Period, an amount (if positive) equal 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sum, without duplication, of the amounts for such period of the following: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    Consolidated EBITDA for such period without giving effect to </w:t>
      </w:r>
      <w:r>
        <w:rPr>
          <w:rFonts w:ascii="Times New Roman;sans-serif" w:hAnsi="Times New Roman;sans-serif"/>
          <w:b w:val="false"/>
          <w:color w:val="000000"/>
          <w:sz w:val="22"/>
          <w:u w:val="single"/>
        </w:rPr>
        <w:t>clause (9)</w:t>
      </w:r>
      <w:r>
        <w:rPr>
          <w:color w:val="000000"/>
        </w:rPr>
        <w:t xml:space="preserve"> </w:t>
      </w:r>
      <w:r>
        <w:rPr>
          <w:rFonts w:ascii="Times New Roman;sans-serif" w:hAnsi="Times New Roman;sans-serif"/>
          <w:b w:val="false"/>
          <w:color w:val="000000"/>
          <w:sz w:val="22"/>
        </w:rPr>
        <w:t xml:space="preserve">of the definition thereof,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    the Consolidated Working Capital Adjustment for such period,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    cash gains of the type described in </w:t>
      </w:r>
      <w:r>
        <w:rPr>
          <w:rFonts w:ascii="Times New Roman;sans-serif" w:hAnsi="Times New Roman;sans-serif"/>
          <w:b w:val="false"/>
          <w:color w:val="000000"/>
          <w:sz w:val="22"/>
          <w:u w:val="single"/>
        </w:rPr>
        <w:t>clauses (1)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and</w:t>
      </w:r>
      <w:r>
        <w:rPr>
          <w:color w:val="000000"/>
        </w:rPr>
        <w:t xml:space="preserve"> </w:t>
      </w:r>
      <w:r>
        <w:rPr>
          <w:rFonts w:ascii="Times New Roman;sans-serif" w:hAnsi="Times New Roman;sans-serif"/>
          <w:b w:val="false"/>
          <w:color w:val="000000"/>
          <w:sz w:val="22"/>
          <w:u w:val="single"/>
        </w:rPr>
        <w:t>(6)</w:t>
      </w:r>
      <w:r>
        <w:rPr>
          <w:color w:val="000000"/>
        </w:rPr>
        <w:t xml:space="preserve"> </w:t>
      </w:r>
      <w:r>
        <w:rPr>
          <w:rFonts w:ascii="Times New Roman;sans-serif" w:hAnsi="Times New Roman;sans-serif"/>
          <w:b w:val="false"/>
          <w:color w:val="000000"/>
          <w:sz w:val="22"/>
        </w:rPr>
        <w:t xml:space="preserve">of the definition of “Consolidated Net Income”, to the extent not otherwise included in calculating Consolidated EBITDA (except to the extent such gains consist of proceeds utilized in calculating amounts subject to </w:t>
      </w:r>
      <w:r>
        <w:rPr>
          <w:rFonts w:ascii="Times New Roman;sans-serif" w:hAnsi="Times New Roman;sans-serif"/>
          <w:b w:val="false"/>
          <w:color w:val="000000"/>
          <w:sz w:val="22"/>
          <w:u w:val="single"/>
        </w:rPr>
        <w:t>Section 2.11(b)(ii)</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    to the extent not otherwise included in the calculation of Consolidated EBITDA for such period, cash payments received by the Company or any of its Restricted Subsidiaries with respect to amounts deducted from Excess Cash Flow in a prior period pursuant to </w:t>
      </w:r>
      <w:r>
        <w:rPr>
          <w:rFonts w:ascii="Times New Roman;sans-serif" w:hAnsi="Times New Roman;sans-serif"/>
          <w:b w:val="false"/>
          <w:color w:val="000000"/>
          <w:sz w:val="22"/>
          <w:u w:val="single"/>
        </w:rPr>
        <w:t>clause (b)(vii)</w:t>
      </w:r>
      <w:r>
        <w:rPr>
          <w:color w:val="000000"/>
        </w:rPr>
        <w:t xml:space="preserve"> </w:t>
      </w:r>
      <w:r>
        <w:rPr>
          <w:rFonts w:ascii="Times New Roman;sans-serif" w:hAnsi="Times New Roman;sans-serif"/>
          <w:b w:val="false"/>
          <w:color w:val="000000"/>
          <w:sz w:val="22"/>
        </w:rPr>
        <w:t xml:space="preserve">below, </w:t>
      </w:r>
      <w:r>
        <w:rPr>
          <w:rFonts w:ascii="Times New Roman;sans-serif" w:hAnsi="Times New Roman;sans-serif"/>
          <w:b w:val="false"/>
          <w:i/>
          <w:color w:val="000000"/>
          <w:sz w:val="22"/>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the sum, without duplication, of the amounts for such period (or, in the case of </w:t>
      </w:r>
      <w:r>
        <w:rPr>
          <w:rFonts w:ascii="Times New Roman;sans-serif" w:hAnsi="Times New Roman;sans-serif"/>
          <w:b w:val="false"/>
          <w:color w:val="000000"/>
          <w:sz w:val="22"/>
          <w:u w:val="single"/>
        </w:rPr>
        <w:t>clauses (b)(i)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(b)(iv)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(b)(xi)</w:t>
      </w:r>
      <w:r>
        <w:rPr>
          <w:color w:val="000000"/>
        </w:rPr>
        <w:t>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(b)(xiii)</w:t>
      </w:r>
      <w:r>
        <w:rPr>
          <w:rFonts w:ascii="Times New Roman;sans-serif" w:hAnsi="Times New Roman;sans-serif"/>
          <w:b w:val="false"/>
          <w:color w:val="000000"/>
          <w:sz w:val="22"/>
        </w:rPr>
        <w:t>, at the option of the Company, amounts after such period to the extent paid prior to the date of the applicable Excess Cash Flow payment) of the following: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    the aggregate principal amount of (i) all optional prepayments of Indebtedness (other than any (A) optional prepayment of Indebtedness that is deducted in calculating the amount of any Excess Cash Flow payment in accordance with </w:t>
      </w:r>
      <w:r>
        <w:rPr>
          <w:rFonts w:ascii="Times New Roman;sans-serif" w:hAnsi="Times New Roman;sans-serif"/>
          <w:b w:val="false"/>
          <w:color w:val="000000"/>
          <w:sz w:val="22"/>
          <w:u w:val="single"/>
        </w:rPr>
        <w:t>Section 2.11(b)(i)</w:t>
      </w:r>
      <w:r>
        <w:rPr>
          <w:color w:val="000000"/>
        </w:rPr>
        <w:t xml:space="preserve"> </w:t>
      </w:r>
      <w:r>
        <w:rPr>
          <w:rFonts w:ascii="Times New Roman;sans-serif" w:hAnsi="Times New Roman;sans-serif"/>
          <w:b w:val="false"/>
          <w:color w:val="000000"/>
          <w:sz w:val="22"/>
        </w:rPr>
        <w:t xml:space="preserve">or (B) revolving Indebtedness except to the extent any related commitment is permanently reduced in connection with such repayment), (ii) all mandatory prepayments and scheduled repayments of Indebtedness and (iii) the aggregate amount of any premiums, make-whole or penalty payments actually paid in Cash by the Company and/or any Restricted Subsidiary that are or were required to be made in connection with any prepayment of Indebtedness, in each case, except to the extent financed with long-term funded Indebtedness (other than revolving Indebtedness),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    [reserved],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    Fixed Charges and other items added back under clauses (2) of the definition of Consolidated EBITDA to the extent paid or payable in Cash (including (A) fees and expenses paid to the Administrative Agent in connection with its services hereunder, (B) other bank, administrative agency (or trustee) and financing fees (including rating agency fees and other fees in respect of any ABL Facility), (C) costs of surety bonds in connection with financing activities (whether amortized or immediately expensed) and (D) commissions, discounts and other fees and charges owed with respect to revolving commitments, letters of credit, bank guarantees, bankers’ acceptances or any similar facilities or financing and Hedging Agreements),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(iv)    Consolidated Taxes (including Taxes paid or payable pursuant to any Tax sharing arrangement or arrangements and/or any Tax distribution) paid or estimated in good faith to be payable by the Company and/or any Restricted Subsidiary, and provisions for Taxes, to the extent payable by the Company and/or any Restricted Subsidiary in Cash with respect to such Excess Cash Flow Period,</w:t>
      </w:r>
      <w:r>
        <w:rPr>
          <w:color w:val="000000"/>
        </w:rPr>
        <w:t xml:space="preserv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    [reserved], </w:t>
      </w:r>
      <w:r>
        <w:rPr>
          <w:rFonts w:ascii="Times New Roman;sans-serif" w:hAnsi="Times New Roman;sans-serif"/>
          <w:b w:val="false"/>
          <w:i/>
          <w:color w:val="000000"/>
          <w:sz w:val="22"/>
        </w:rPr>
        <w:t>plus</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62890"/>
                <wp:effectExtent l="0" t="0" r="0" b="0"/>
                <wp:wrapNone/>
                <wp:docPr id="75" name="Frame7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(vi)    any foreign translation losses paid or payable in Cash (including any currency re-measurement of Indebtedness, any net gain or loss resulting from Hedging Agreements for currency exchange risk resulting from any intercompany Indebtedness, any foreign currency translation or transaction or any other currency-related risk) to the extent included in calculating Consolidated EBITDA,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(vii)    amounts added back under clause 17 of the definition of Consolidated Net Income with respect to insurance, in each case to the extent such amounts have not yet been received by the Company or its Restricted Subsidiaries,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(viii)    an amount equal to (A) all Charges either (1) excluded in calculating Consolidated Net Income or (2) added back in calculating Consolidated EBITDA, in each case, to the extent paid or payable in cash and (B) all non-Cash credits included in calculating Consolidated Net Income or Consolidated EBITDA,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(ix)    [reserved],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    to the extent not expensed (or exceeding the amount expensed) during such period or not deducted (or exceeding the amount deducted) in calculating Consolidated Net Income, the aggregate amount of Charges paid or payable in Cash by the Company and its Restricted Subsidiaries during such period, other than to the extent financed with long-term funded Indebtedness (other than revolving Indebtedness),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(xi)    Cash payments (other than in respect of Consolidated Taxes, which are governed by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above) made during such period for any liability the accrual of which in a prior period did not reduce Consolidated EBITDA and therefore increased Excess Cash Flow in such prior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there was no other deduction to Consolidated EBITDA or Excess Cash Flow related to such payment), except to the extent financed with long term funded Indebtedness (other than revolving Indebtedness),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(xii)    [reserved],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(xiii)    amounts paid in Cash (except to the extent financed with long term funded Indebtedness (other than revolving Indebtedness)) during such period on account of (A) items that were accounted for as non-Cash reductions of Consolidated Net Income or Consolidated EBITDA in a prior period and (B) reserves or amounts established in purchase accounting to the extent such reserves or amounts are added back to, or not deducted from, Consolidated Net Income,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(xiv)    the amount of any payment of Cash to be amortized or expensed over a future period and recorded as a long-term asset,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(xv)    [reserved],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(xvi)    [reserved],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(xvii)    the aggregate amount of any extraordinary, unusual, special or non-recurring cash Charges or Charges referred to in clauses (1) of the definition of Consolidated Net Income paid or payable during such period (whether or not incurred in such Excess Cash Flow Period) that were excluded in calculating Consolidated EBITDA (including any component definition used therein) for such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anything else provided in this Agreement, (x) the amounts deducted under clause (b) above shall in no event be duplicative of amounts deducted under sub-clauses (1) through (9) of </w:t>
      </w:r>
      <w:r>
        <w:rPr>
          <w:rFonts w:ascii="Times New Roman;sans-serif" w:hAnsi="Times New Roman;sans-serif"/>
          <w:b w:val="false"/>
          <w:color w:val="000000"/>
          <w:sz w:val="22"/>
          <w:u w:val="single"/>
        </w:rPr>
        <w:t>Section 2.11(b)(i)</w:t>
      </w:r>
      <w:r>
        <w:rPr>
          <w:color w:val="000000"/>
        </w:rPr>
        <w:t xml:space="preserve"> </w:t>
      </w:r>
      <w:r>
        <w:rPr>
          <w:rFonts w:ascii="Times New Roman;sans-serif" w:hAnsi="Times New Roman;sans-serif"/>
          <w:b w:val="false"/>
          <w:color w:val="000000"/>
          <w:sz w:val="22"/>
        </w:rPr>
        <w:t xml:space="preserve">and (y) to the extent an amount is eligible to be deducted under either clause (b) above or sub-clauses (1) through (9) of Section 2.11(b)(i), unless otherwise elected by the Company on or prior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62890"/>
                <wp:effectExtent l="0" t="0" r="0" b="0"/>
                <wp:wrapNone/>
                <wp:docPr id="76" name="Frame7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date of the applicable Excess Cash Flow payment, such amounts shall be deemed to have been deducted under sub-clauses (1) through (9) of Section 2.11(b)(i).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Excess Cash Flow Period</w:t>
      </w:r>
      <w:r>
        <w:rPr>
          <w:color w:val="000000"/>
        </w:rPr>
        <w:t xml:space="preserve">” </w:t>
      </w:r>
      <w:r>
        <w:rPr>
          <w:rFonts w:ascii="Times New Roman;sans-serif" w:hAnsi="Times New Roman;sans-serif"/>
          <w:b w:val="false"/>
          <w:color w:val="000000"/>
          <w:sz w:val="22"/>
        </w:rPr>
        <w:t>means each full fiscal year of the Company ending after the Closing Date (commencing, for the avoidance of doubt, with the fiscal year of the Company ending on January 28, 2023).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means the Securities Exchange Act of 1934 and the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Assets</w:t>
      </w:r>
      <w:r>
        <w:rPr>
          <w:color w:val="000000"/>
        </w:rPr>
        <w:t xml:space="preserve">” </w:t>
      </w:r>
      <w:r>
        <w:rPr>
          <w:rFonts w:ascii="Times New Roman;sans-serif" w:hAnsi="Times New Roman;sans-serif"/>
          <w:b w:val="false"/>
          <w:color w:val="000000"/>
          <w:sz w:val="22"/>
        </w:rPr>
        <w:t>has the meaning assigned to such term in the Collateral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Contribution</w:t>
      </w:r>
      <w:r>
        <w:rPr>
          <w:color w:val="000000"/>
        </w:rPr>
        <w:t xml:space="preserve">” </w:t>
      </w:r>
      <w:r>
        <w:rPr>
          <w:rFonts w:ascii="Times New Roman;sans-serif" w:hAnsi="Times New Roman;sans-serif"/>
          <w:b w:val="false"/>
          <w:color w:val="000000"/>
          <w:sz w:val="22"/>
        </w:rPr>
        <w:t xml:space="preserve">means Net Cash Proceeds, or the Fair Market Value (as of the date of contribution) of property or assets, received by the Company as capital contributions to the Company after the Closing Date or from the issuance or sale (other than to a Restricted Subsidiary) of Capital Stock (other than Disqualified Stock) of the Company, in each case to the extent designated as an Excluded Contribution pursuant to an Officer’s Certificate of the Company and not previously included in the calculation set forth in </w:t>
      </w:r>
      <w:r>
        <w:rPr>
          <w:rFonts w:ascii="Times New Roman;sans-serif" w:hAnsi="Times New Roman;sans-serif"/>
          <w:b w:val="false"/>
          <w:color w:val="000000"/>
          <w:sz w:val="22"/>
          <w:u w:val="single"/>
        </w:rPr>
        <w:t>Section 6.02(a)(3)(B)(x)</w:t>
      </w:r>
      <w:r>
        <w:rPr>
          <w:color w:val="000000"/>
        </w:rPr>
        <w:t xml:space="preserve"> </w:t>
      </w:r>
      <w:r>
        <w:rPr>
          <w:rFonts w:ascii="Times New Roman;sans-serif" w:hAnsi="Times New Roman;sans-serif"/>
          <w:b w:val="false"/>
          <w:color w:val="000000"/>
          <w:sz w:val="22"/>
        </w:rPr>
        <w:t xml:space="preserve">for purposes of determining whether a Restricted Payment may be made.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Subsidiary</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any Restricted Subsidiary that is not a Wholly-Owned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any Immaterial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any Restricted Subsidiary that is prohibited or restricted by law, rule or regulation or contractual obligation (in the case of any such contractual obligation, where such contractual obligation exists on the Closing Date or on the date such entity becomes a Restricted Subsidiary, as long as such contractual obligation was not entered into in contemplation of such person becoming a Restricted Subsidiary) from Guaranteeing the Obligations or that would require a governmental (including regulatory) or third party consent, approval, license or authorization to Guarantee the Obligations (including under any financial assistance, corporate benefit, thin capitalization, capital maintenance, liquidity maintenance or similar legal principles) for so long as the applicable prohibition or restriction is in effect and unless and until such consent has been received, it being understood that the Company and its subsidiaries shall have no obligation to obtain any such consent, approval, license or authorization,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any not-for-profit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any Captive Insurance Subsidiary or subsidiary that is a broker-dealer,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any special purpose entity (including a special purpose entity used for any permitted securitization or receivables facility or financing) and any Receivables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any Foreign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(i) any Disregarded Domestic Subsidiary or (ii) any Domestic Subsidiary that is a direct or indirect subsidiary of any Foreign Subsidiary or any Disregarded Domestic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any Unrestricted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any Restricted Subsidiary acquired pursuant to an acquisition or other Investment permitted by this Agreement that has Indebtedness at the time of such acquisition or Investment, and not Incurred in contemplation thereof, and any Restricted Subsidiary thereof that guarantees such Indebtedness, in each case to the extent the terms of such Indebtedness prohibit such Restricted Subsidiary from becoming a Subsidiary Guarantor,</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62890"/>
                <wp:effectExtent l="0" t="0" r="0" b="0"/>
                <wp:wrapNone/>
                <wp:docPr id="77" name="Frame7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    any Restricted Subsidiary if the provision of a Guarantee of the Obligations could reasonably be expected to result in adverse tax or regulatory consequences to any Loan Party or any of its subsidiaries or parent companies that are not de minimis as determined by the Company in good faith,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    any other Restricted Subsidiary with respect to which, in the good faith judgment of the Administrative Agent and the Company, the burden or cost of providing a Guarantee of the Obligations outweighs the benefits afforded thereby.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Taxes</w:t>
      </w:r>
      <w:r>
        <w:rPr>
          <w:color w:val="000000"/>
        </w:rPr>
        <w:t xml:space="preserve">” </w:t>
      </w:r>
      <w:r>
        <w:rPr>
          <w:rFonts w:ascii="Times New Roman;sans-serif" w:hAnsi="Times New Roman;sans-serif"/>
          <w:b w:val="false"/>
          <w:color w:val="000000"/>
          <w:sz w:val="22"/>
        </w:rPr>
        <w:t xml:space="preserve">means, any of the following Taxes imposed on or, with respect to, or required to be withheld or deducted from a payment to, the Administrative Agent, any Lender or any other recipient of any payment to be made by or on account of any obligation of any Loan Party hereunder, (a) Taxes imposed on (or measured by) its net income, franchise Taxes and branch profits Taxes, in each case, (i) imposed by the jurisdiction under the laws of which such recipient is organized or in which its principal office is located or, in the case of any Lender, in which its applicable lending office is located or (ii) that are Other Connection Taxes, (b) in the case of a Lender, any U.S. federal withholding tax that is imposed on amounts payable to or for the account of such Lender at the time such Lender becomes a party to this Agreement (or designates a new lending office), except (i) pursuant to an assignment or designation of a new lending office under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and (ii) to the extent that such Lender (or the assignor, if any) was entitled, immediately before the designation of a new lending office (or assignment), to receive additional amounts from any Loan Party with respect to such withholding tax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(c) any tax imposed as a result of a failure by the Administrative Agent or any Lender or any other recipient to comply with Section 2.17(f) and (d) any withholding tax under FATCA.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Exempt Sale and Leaseback Transaction</w:t>
      </w:r>
      <w:r>
        <w:rPr>
          <w:color w:val="000000"/>
        </w:rPr>
        <w:t xml:space="preserve">” </w:t>
      </w:r>
      <w:r>
        <w:rPr>
          <w:rFonts w:ascii="Times New Roman;sans-serif" w:hAnsi="Times New Roman;sans-serif"/>
          <w:b w:val="false"/>
          <w:color w:val="000000"/>
          <w:sz w:val="22"/>
        </w:rPr>
        <w:t xml:space="preserve">means any Sale and Leaseback Transaction (a) in which the sale or transfer of property occurs within 180 days of the acquisition of such property by the Company or any of its Subsidiaries or (b) that involves property with a book value equal to the greater of $60.0 million and 1.5% of Consolidated Tangible Assets or less and is not part of a series of related Sale and Leaseback Transactions involving property with an aggregate value in excess of such amount and entered into with a single Person or group of Persons. For purposes of the foregoing, “Sale and Leaseback Transaction” means any arrangement with any Person providing for the leasing by the Company or any of its Subsidiaries of real or personal property that has been or is to be sold or transferred by the Company or any such Subsidiary to such Person or to any other Person to whom funds have been or are to be advanced by such Person on the security of such property or rental obligations of the Company or such Subsidiary.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Extended Term Loans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2.23(a)(ii)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Extension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2.23(a)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Extension Amendment</w:t>
      </w:r>
      <w:r>
        <w:rPr>
          <w:color w:val="000000"/>
        </w:rPr>
        <w:t xml:space="preserve">” </w:t>
      </w:r>
      <w:r>
        <w:rPr>
          <w:rFonts w:ascii="Times New Roman;sans-serif" w:hAnsi="Times New Roman;sans-serif"/>
          <w:b w:val="false"/>
          <w:color w:val="000000"/>
          <w:sz w:val="22"/>
        </w:rPr>
        <w:t xml:space="preserve">means an amendment to this Agreement that is reasonably satisfactory to the Administrative Agent (to the extent required by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xml:space="preserve">) and the Company, executed by each of (a) the Company, (b) the Administrative Agent and (c) each Lender that has accepted the applicable Extension Offer pursuant hereto and in accordance with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Extension Offer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2.23(a)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Failed Auction</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Fair Market Value</w:t>
      </w:r>
      <w:r>
        <w:rPr>
          <w:color w:val="000000"/>
        </w:rPr>
        <w:t xml:space="preserve">” </w:t>
      </w:r>
      <w:r>
        <w:rPr>
          <w:rFonts w:ascii="Times New Roman;sans-serif" w:hAnsi="Times New Roman;sans-serif"/>
          <w:b w:val="false"/>
          <w:color w:val="000000"/>
          <w:sz w:val="22"/>
        </w:rPr>
        <w:t>means, with respect to any asset or property, the fair market value of such asset or property as determined in good faith by senior management of the Company or the Board of Directors, whose determination shall be conclusive.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FATCA</w:t>
      </w:r>
      <w:r>
        <w:rPr>
          <w:color w:val="000000"/>
        </w:rPr>
        <w:t xml:space="preserve">” </w:t>
      </w:r>
      <w:r>
        <w:rPr>
          <w:rFonts w:ascii="Times New Roman;sans-serif" w:hAnsi="Times New Roman;sans-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intergovernmental agreements entered into thereunder and any law, regulation or official guidance adopted pursuant to any such intergovernmental agreements; and any agreements entered into pursuant to Section 1471(b)(1) of the Code.</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62890"/>
                <wp:effectExtent l="0" t="0" r="0" b="0"/>
                <wp:wrapNone/>
                <wp:docPr id="78" name="Frame7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Federal Funds Effective Rate</w:t>
      </w:r>
      <w:r>
        <w:rPr>
          <w:color w:val="000000"/>
        </w:rPr>
        <w:t xml:space="preserve">” </w:t>
      </w:r>
      <w:r>
        <w:rPr>
          <w:rFonts w:ascii="Times New Roman;sans-serif" w:hAnsi="Times New Roman;sans-serif"/>
          <w:b w:val="false"/>
          <w:color w:val="000000"/>
          <w:sz w:val="22"/>
        </w:rPr>
        <w:t xml:space="preserve">means, for any day, the rate calculated by the NYFRB based on such day’s federal funds transactions by depository institutions (as determined in such manner as shall be set forth on the Federal Reserve Bank of New York’s Website from time to time) and published on the next succeeding Business Day by the NYFRB as the federal funds effective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such rate shall be less than zero, such rate shall be deemed to be zero for all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Federal Reserve Bank of New York’s Website</w:t>
      </w:r>
      <w:r>
        <w:rPr>
          <w:color w:val="000000"/>
        </w:rPr>
        <w:t xml:space="preserve">” </w:t>
      </w:r>
      <w:r>
        <w:rPr>
          <w:rFonts w:ascii="Times New Roman;sans-serif" w:hAnsi="Times New Roman;sans-serif"/>
          <w:b w:val="false"/>
          <w:color w:val="000000"/>
          <w:sz w:val="22"/>
        </w:rPr>
        <w:t>means the website of the Federal Reserve Bank of New York at http://www.newyorkfed.org, or any successor source.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Fee Letter</w:t>
      </w:r>
      <w:r>
        <w:rPr>
          <w:color w:val="000000"/>
        </w:rPr>
        <w:t xml:space="preserve">” </w:t>
      </w:r>
      <w:r>
        <w:rPr>
          <w:rFonts w:ascii="Times New Roman;sans-serif" w:hAnsi="Times New Roman;sans-serif"/>
          <w:b w:val="false"/>
          <w:color w:val="000000"/>
          <w:sz w:val="22"/>
        </w:rPr>
        <w:t xml:space="preserve">means that certain Fee Letter dated June 28, 2021.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Finance Lease Obligation</w:t>
      </w:r>
      <w:r>
        <w:rPr>
          <w:color w:val="000000"/>
        </w:rPr>
        <w:t xml:space="preserve">” </w:t>
      </w:r>
      <w:r>
        <w:rPr>
          <w:rFonts w:ascii="Times New Roman;sans-serif" w:hAnsi="Times New Roman;sans-serif"/>
          <w:b w:val="false"/>
          <w:color w:val="000000"/>
          <w:sz w:val="22"/>
        </w:rPr>
        <w:t>means an obligation that is required to be classified and accounted for as a finance lease for financial reporting purposes in accordance with GAAP. The Stated Maturity of any Finance Lease Obligation shall be the date of the last payment of rent or any other amount due under the related lease.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Financing Disposition</w:t>
      </w:r>
      <w:r>
        <w:rPr>
          <w:color w:val="000000"/>
        </w:rPr>
        <w:t xml:space="preserve">” </w:t>
      </w:r>
      <w:r>
        <w:rPr>
          <w:rFonts w:ascii="Times New Roman;sans-serif" w:hAnsi="Times New Roman;sans-serif"/>
          <w:b w:val="false"/>
          <w:color w:val="000000"/>
          <w:sz w:val="22"/>
        </w:rPr>
        <w:t>means any sale, transfer, conveyance or other disposition of, or creation or incurrence of any Lien on, property or assets by the Company or any Subsidiary thereof to or in favor of any Receivables Subsidiary in connection with the Incurrence by a Receivables Subsidiary of Indebtedness, or obligations to make payments to the obligor on Indebtedness, which may be secured by a Lien in respect of such property or assets.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Fixed Amounts</w:t>
      </w:r>
      <w:r>
        <w:rPr>
          <w:color w:val="000000"/>
        </w:rPr>
        <w:t xml:space="preserve">” </w:t>
      </w:r>
      <w:r>
        <w:rPr>
          <w:rFonts w:ascii="Times New Roman;sans-serif" w:hAnsi="Times New Roman;sans-serif"/>
          <w:b w:val="false"/>
          <w:color w:val="000000"/>
          <w:sz w:val="22"/>
        </w:rPr>
        <w:t>has the meaning assigned to such term in Section 1.04(g).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Fixed Charges</w:t>
      </w:r>
      <w:r>
        <w:rPr>
          <w:color w:val="000000"/>
        </w:rPr>
        <w:t xml:space="preserve">” </w:t>
      </w:r>
      <w:r>
        <w:rPr>
          <w:rFonts w:ascii="Times New Roman;sans-serif" w:hAnsi="Times New Roman;sans-serif"/>
          <w:b w:val="false"/>
          <w:color w:val="000000"/>
          <w:sz w:val="22"/>
        </w:rPr>
        <w:t>means, with respect to any Person for any period, the sum, without duplication, of: (1) Consolidated Interest Expense (excluding amortization or write-off of deferred financing costs) of such Person for such period, and (2) all cash dividend payments (excluding items eliminated in consolidation) on any series of Preferred Stock or Disqualified Stock of such Person and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Floor</w:t>
      </w:r>
      <w:r>
        <w:rPr>
          <w:color w:val="000000"/>
        </w:rPr>
        <w:t xml:space="preserve">” </w:t>
      </w:r>
      <w:r>
        <w:rPr>
          <w:rFonts w:ascii="Times New Roman;sans-serif" w:hAnsi="Times New Roman;sans-serif"/>
          <w:b w:val="false"/>
          <w:color w:val="000000"/>
          <w:sz w:val="22"/>
        </w:rPr>
        <w:t xml:space="preserve">means the benchmark rate floor, if any, provided in this Agreement initially (as of the execution of this Agreement, the modification, amendment or renewal of this Agreement or otherwise) with respect to </w:t>
      </w:r>
      <w:r>
        <w:rPr>
          <w:rFonts w:ascii="Times New Roman;sans-serif" w:hAnsi="Times New Roman;sans-serif"/>
          <w:b w:val="false"/>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 or Adjusted Daily Simple SOFR, as applicable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Foreign Lender</w:t>
      </w:r>
      <w:r>
        <w:rPr>
          <w:color w:val="000000"/>
        </w:rPr>
        <w:t xml:space="preserve">” </w:t>
      </w:r>
      <w:r>
        <w:rPr>
          <w:rFonts w:ascii="Times New Roman;sans-serif" w:hAnsi="Times New Roman;sans-serif"/>
          <w:b w:val="false"/>
          <w:color w:val="000000"/>
          <w:sz w:val="22"/>
        </w:rPr>
        <w:t>means any Lender that is not a U.S.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Foreign Subsidiary</w:t>
      </w:r>
      <w:r>
        <w:rPr>
          <w:color w:val="000000"/>
        </w:rPr>
        <w:t xml:space="preserve">” </w:t>
      </w:r>
      <w:r>
        <w:rPr>
          <w:rFonts w:ascii="Times New Roman;sans-serif" w:hAnsi="Times New Roman;sans-serif"/>
          <w:b w:val="false"/>
          <w:color w:val="000000"/>
          <w:sz w:val="22"/>
        </w:rPr>
        <w:t>means any Subsidiary that is not a Domestic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Funding Account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2.03(f)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GAAP</w:t>
      </w:r>
      <w:r>
        <w:rPr>
          <w:color w:val="000000"/>
        </w:rPr>
        <w:t xml:space="preserve">” </w:t>
      </w:r>
      <w:r>
        <w:rPr>
          <w:rFonts w:ascii="Times New Roman;sans-serif" w:hAnsi="Times New Roman;sans-serif"/>
          <w:b w:val="false"/>
          <w:color w:val="000000"/>
          <w:sz w:val="22"/>
        </w:rPr>
        <w:t>means generally accepted accounting principles in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Governmental Authority</w:t>
      </w:r>
      <w:r>
        <w:rPr>
          <w:color w:val="000000"/>
        </w:rPr>
        <w:t xml:space="preserve">” </w:t>
      </w:r>
      <w:r>
        <w:rPr>
          <w:rFonts w:ascii="Times New Roman;sans-serif" w:hAnsi="Times New Roman;sans-serif"/>
          <w:b w:val="false"/>
          <w:color w:val="000000"/>
          <w:sz w:val="22"/>
        </w:rPr>
        <w:t>means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Granting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9.05(e)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Guarantee</w:t>
      </w:r>
      <w:r>
        <w:rPr>
          <w:color w:val="000000"/>
        </w:rPr>
        <w:t xml:space="preserve">” </w:t>
      </w:r>
      <w:r>
        <w:rPr>
          <w:rFonts w:ascii="Times New Roman;sans-serif" w:hAnsi="Times New Roman;sans-serif"/>
          <w:b w:val="false"/>
          <w:color w:val="000000"/>
          <w:sz w:val="22"/>
        </w:rPr>
        <w:t xml:space="preserve">means any obligation, contingent or otherwise, of any Person directly or indirectly guaranteeing any Indebtedness or other obligation of any other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term “Guarantee” shall not include endorsements for collection or deposit in the ordinary course of business. The term “</w:t>
      </w:r>
      <w:r>
        <w:rPr>
          <w:rFonts w:ascii="Times New Roman;sans-serif" w:hAnsi="Times New Roman;sans-serif"/>
          <w:b/>
          <w:color w:val="000000"/>
          <w:sz w:val="22"/>
        </w:rPr>
        <w:t>Guarantee</w:t>
      </w:r>
      <w:r>
        <w:rPr>
          <w:color w:val="000000"/>
        </w:rPr>
        <w:t xml:space="preserve">” </w:t>
      </w:r>
      <w:r>
        <w:rPr>
          <w:rFonts w:ascii="Times New Roman;sans-serif" w:hAnsi="Times New Roman;sans-serif"/>
          <w:b w:val="false"/>
          <w:color w:val="000000"/>
          <w:sz w:val="22"/>
        </w:rPr>
        <w:t>used as a verb has a corresponding meaning.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Guarantor Subordinated Obligations</w:t>
      </w:r>
      <w:r>
        <w:rPr>
          <w:color w:val="000000"/>
        </w:rPr>
        <w:t xml:space="preserve">” </w:t>
      </w:r>
      <w:r>
        <w:rPr>
          <w:rFonts w:ascii="Times New Roman;sans-serif" w:hAnsi="Times New Roman;sans-serif"/>
          <w:b w:val="false"/>
          <w:color w:val="000000"/>
          <w:sz w:val="22"/>
        </w:rPr>
        <w:t xml:space="preserve">means, with respect to a Subsidiary Guarantor, any Indebtedness of such Subsidiary Guarantor (whether outstanding on the Closing Date or thereafter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62890"/>
                <wp:effectExtent l="0" t="0" r="0" b="0"/>
                <wp:wrapNone/>
                <wp:docPr id="79" name="Frame7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Incurred) that is expressly subordinated in right of payment to the obligations of such Subsidiary Guarantor under its Subsidiary Guarantee pursuant to a written agreement (other than Indebtedness owing to the Company or a 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Hazardous Materials</w:t>
      </w:r>
      <w:r>
        <w:rPr>
          <w:color w:val="000000"/>
        </w:rPr>
        <w:t xml:space="preserve">” </w:t>
      </w:r>
      <w:r>
        <w:rPr>
          <w:rFonts w:ascii="Times New Roman;sans-serif" w:hAnsi="Times New Roman;sans-serif"/>
          <w:b w:val="false"/>
          <w:color w:val="000000"/>
          <w:sz w:val="22"/>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in each case which are regulated pursuant to any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Hedging Agreements</w:t>
      </w:r>
      <w:r>
        <w:rPr>
          <w:color w:val="000000"/>
        </w:rPr>
        <w:t xml:space="preserve">” </w:t>
      </w:r>
      <w:r>
        <w:rPr>
          <w:rFonts w:ascii="Times New Roman;sans-serif" w:hAnsi="Times New Roman;sans-serif"/>
          <w:b w:val="false"/>
          <w:color w:val="000000"/>
          <w:sz w:val="22"/>
        </w:rPr>
        <w:t>means, collectively, Interest Rate Agreements, Currency Agreements and Commodities Agreements or other agreement or arrangement designed to protect against fluctuations in interest rates or currency, commodity or equity values (including, without limitation, any option with respect to any of the foregoing and any combination of the foregoing agreement or arrangements), and any confirmation executed in connection with any such agreement or arrangement.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Hedging Obligations</w:t>
      </w:r>
      <w:r>
        <w:rPr>
          <w:color w:val="000000"/>
        </w:rPr>
        <w:t xml:space="preserve">” </w:t>
      </w:r>
      <w:r>
        <w:rPr>
          <w:rFonts w:ascii="Times New Roman;sans-serif" w:hAnsi="Times New Roman;sans-serif"/>
          <w:b w:val="false"/>
          <w:color w:val="000000"/>
          <w:sz w:val="22"/>
        </w:rPr>
        <w:t>of any Person means the obligations of such Person pursuant to any Interest Rate Agreement, Currency Agreement or Commodities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IFRS</w:t>
      </w:r>
      <w:r>
        <w:rPr>
          <w:color w:val="000000"/>
        </w:rPr>
        <w:t xml:space="preserve">” </w:t>
      </w:r>
      <w:r>
        <w:rPr>
          <w:rFonts w:ascii="Times New Roman;sans-serif" w:hAnsi="Times New Roman;sans-serif"/>
          <w:b w:val="false"/>
          <w:color w:val="000000"/>
          <w:sz w:val="22"/>
        </w:rPr>
        <w:t xml:space="preserve">means international accounting standards within the meaning of the IAS Regulation 1606/2002, as in effect from time to time (subject to the provisions of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to the extent applicable to the relevant financial statements.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Immaterial Subsidiary</w:t>
      </w:r>
      <w:r>
        <w:rPr>
          <w:color w:val="000000"/>
        </w:rPr>
        <w:t xml:space="preserve">” </w:t>
      </w:r>
      <w:r>
        <w:rPr>
          <w:rFonts w:ascii="Times New Roman;sans-serif" w:hAnsi="Times New Roman;sans-serif"/>
          <w:b w:val="false"/>
          <w:color w:val="000000"/>
          <w:sz w:val="22"/>
        </w:rPr>
        <w:t>means, at any time, Restricted Subsidiaries that at such time, in the aggregate for all such Restricted Subsidiaries, (i) directly own less than 10% of the amount of Qualifying Assets owned directly by all Restricted Subsidiaries and (ii) directly own accounts receivable and inventory representing less than 5% of the book value of the accounts receivable and inventory directly owned by all Restricted Subsidiaries.</w:t>
      </w:r>
    </w:p>
    <w:p>
      <w:pPr>
        <w:pStyle w:val="TextBody"/>
        <w:bidi w:val="0"/>
        <w:spacing w:lineRule="auto" w:line="240" w:before="0" w:after="220"/>
        <w:ind w:left="0" w:right="0" w:firstLine="720"/>
        <w:jc w:val="both"/>
        <w:rPr/>
      </w:pPr>
      <w:r>
        <w:rPr>
          <w:strike/>
          <w:color w:val="FF0000"/>
        </w:rPr>
        <w:t>“</w:t>
      </w:r>
      <w:r>
        <w:rPr>
          <w:rFonts w:ascii="Times New Roman;sans-serif" w:hAnsi="Times New Roman;sans-serif"/>
          <w:b/>
          <w:strike/>
          <w:color w:val="FF0000"/>
          <w:sz w:val="22"/>
        </w:rPr>
        <w:t>Impacted Interest Period</w:t>
      </w:r>
      <w:r>
        <w:rPr>
          <w:strike/>
          <w:color w:val="FF0000"/>
        </w:rPr>
        <w:t xml:space="preserve">” </w:t>
      </w:r>
      <w:r>
        <w:rPr>
          <w:rFonts w:ascii="Times New Roman;sans-serif" w:hAnsi="Times New Roman;sans-serif"/>
          <w:b w:val="false"/>
          <w:strike/>
          <w:color w:val="FF0000"/>
          <w:sz w:val="22"/>
        </w:rPr>
        <w:t>has the meaning assigned to it in the definition of “LIBO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Incremental Cap</w:t>
      </w:r>
      <w:r>
        <w:rPr>
          <w:color w:val="000000"/>
        </w:rPr>
        <w:t xml:space="preserve">” </w:t>
      </w:r>
      <w:r>
        <w:rPr>
          <w:rFonts w:ascii="Times New Roman;sans-serif" w:hAnsi="Times New Roman;sans-serif"/>
          <w:b w:val="false"/>
          <w:color w:val="000000"/>
          <w:sz w:val="22"/>
        </w:rPr>
        <w:t>means, as of any date of determination: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the Shared Incremental Amount as of such date,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in the case of any Incremental Facility or Incremental Equivalent Debt that effectively extends the Maturity Date with respect to any Class of Loans and/or commitments hereunder, an amount equal to the portion of the relevant Class of Loans or commitments that will be replaced by such Incremental Facility or Incremental Equivalent Debt,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    [reserved],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(d)    (i) the amount of any optional prepayment of any Loan (including any Incremental Loan) in accordance with </w:t>
      </w:r>
      <w:r>
        <w:rPr>
          <w:rFonts w:ascii="Times New Roman;sans-serif" w:hAnsi="Times New Roman;sans-serif"/>
          <w:b w:val="false"/>
          <w:color w:val="000000"/>
          <w:sz w:val="22"/>
          <w:u w:val="single"/>
        </w:rPr>
        <w:t>Section 2.11(a)</w:t>
      </w:r>
      <w:r>
        <w:rPr>
          <w:rFonts w:ascii="Times New Roman;sans-serif" w:hAnsi="Times New Roman;sans-serif"/>
          <w:b w:val="false"/>
          <w:color w:val="000000"/>
          <w:sz w:val="22"/>
        </w:rPr>
        <w:t xml:space="preserve">, (ii) the amount of any optional prepayment, redemption, repurchase or retirement of Incremental Equivalent Debt that is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 xml:space="preserve">with the Initial Term Loans in right of payment and with respect to security (without regard to the control of remedies) or that was originally incurred in reliance on the preceding clause (a), (iii) the amount of any optional prepayment, redemption or repurchase of any Replacement Term Loan or any borrowing or issuance of Replacement Debt previously applied to the permanent prepayment of any Loan hereunder or of any Incremental Equivalent Debt, in each case that is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 xml:space="preserve">with the Initial Term Loans in right of payment and with respect to security (without regard to the control of remedies) or that was originally incurred in reliance on the preceding clause (a), (iv) [reserved] and (v) the aggregate amount of any Indebtedness referred to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(iii)</w:t>
      </w:r>
      <w:r>
        <w:rPr>
          <w:color w:val="000000"/>
        </w:rPr>
        <w:t> </w:t>
      </w:r>
      <w:r>
        <w:rPr>
          <w:rFonts w:ascii="Times New Roman;sans-serif" w:hAnsi="Times New Roman;sans-serif"/>
          <w:b w:val="false"/>
          <w:color w:val="000000"/>
          <w:sz w:val="22"/>
        </w:rPr>
        <w:t xml:space="preserve">repaid or retired resulting from any assignment of such Indebtedness to (and/or assignment and/or purchase of such Indebtedness by) the Company and/or any 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each of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(v)</w:t>
      </w:r>
      <w:r>
        <w:rPr>
          <w:rFonts w:ascii="Times New Roman;sans-serif" w:hAnsi="Times New Roman;sans-serif"/>
          <w:b w:val="false"/>
          <w:color w:val="000000"/>
          <w:sz w:val="22"/>
        </w:rPr>
        <w:t xml:space="preserve">, the relevant prepayment, redemption, repurchase or assignment and/or purchase was not funded with the proceeds of any long-term Indebtedness (other than revolving Indebtedness), </w:t>
      </w:r>
      <w:r>
        <w:rPr>
          <w:rFonts w:ascii="Times New Roman;sans-serif" w:hAnsi="Times New Roman;sans-serif"/>
          <w:b w:val="false"/>
          <w:i/>
          <w:color w:val="000000"/>
          <w:sz w:val="22"/>
        </w:rPr>
        <w:t>plus</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62890"/>
                <wp:effectExtent l="0" t="0" r="0" b="0"/>
                <wp:wrapNone/>
                <wp:docPr id="80" name="Frame8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    an unlimited amount so long as, in the case of this </w:t>
      </w:r>
      <w:r>
        <w:rPr>
          <w:rFonts w:ascii="Times New Roman;sans-serif" w:hAnsi="Times New Roman;sans-serif"/>
          <w:b w:val="false"/>
          <w:color w:val="000000"/>
          <w:sz w:val="22"/>
          <w:u w:val="single"/>
        </w:rPr>
        <w:t>clause (e)</w:t>
      </w:r>
      <w:r>
        <w:rPr>
          <w:rFonts w:ascii="Times New Roman;sans-serif" w:hAnsi="Times New Roman;sans-serif"/>
          <w:b w:val="false"/>
          <w:color w:val="000000"/>
          <w:sz w:val="22"/>
        </w:rPr>
        <w:t xml:space="preserve">, on a pro forma basis after giving effect to the incurrence of the Incremental Facility or the Incremental Equivalent Debt, as applicable, and the application of the proceeds thereof (other than any Cash funded to the consolidated balance sheet of the Company or any of its Restricted Subsidiaries) and to any relevant Subject Transaction,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if such Indebtedness is secured by Parity Priority Liens on the Collateral either (x) the Consolidated First Lien Leverage Ratio does not exceed the greater of (x) 1.50:1.00 and (y) if such Indebtedness is incurred to finance an acquisition or other Investment permitted hereunder, the Consolidated First Lien Leverage Ratio immediately prior to giving effect thereto, and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in the case of any other Indebtedness the Consolidated Coverage Ratio is not less than the lesser of (x) 2.00:1.00 and (y) if such Indebtedness is incurred to finance an acquisition or other Investment permitted hereunder, the Consolidated Coverage Ratio immediately prior to giving effect thereto,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     any Incremental Facility and/or Incremental Equivalent Debt may be incurred under one or more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of this definition as selected by the Company in its sole discretion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w:t>
      </w:r>
      <w:r>
        <w:rPr>
          <w:rFonts w:ascii="Times New Roman;sans-serif" w:hAnsi="Times New Roman;sans-serif"/>
          <w:b w:val="false"/>
          <w:color w:val="000000"/>
          <w:sz w:val="22"/>
          <w:u w:val="single"/>
        </w:rPr>
        <w:t>clause (e)</w:t>
      </w:r>
      <w:r>
        <w:rPr>
          <w:rFonts w:ascii="Times New Roman;sans-serif" w:hAnsi="Times New Roman;sans-serif"/>
          <w:b w:val="false"/>
          <w:color w:val="000000"/>
          <w:sz w:val="22"/>
        </w:rPr>
        <w:t xml:space="preserve">, an Incremental Facility may be incurred only under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     if any Incremental Facility or Incremental Equivalent Debt is intended to be incurred under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 xml:space="preserve">of this definition and any other clause of this definition in a single transaction or series of related transactions, (A) the incurrence of the portion of such Incremental Facility or Incremental Equivalent Debt to be incurred or implemented under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 xml:space="preserve">of this definition shall be calculated first without giving effect to any Incremental Facilities or Incremental Equivalent Debt to be incurred under any other clause of this definition, but giving full pro forma effect to the use of proceeds of the entire amount of such Incremental Facility or Incremental Equivalent Debt and the related transactions and (B) the incurrence of the portion of such Incremental Facility or Incremental Equivalent Debt to be incurred or implemented under the other applicable clauses of this definition shall be calculated thereafter, and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    any portion of any Incremental Facility or Incremental Equivalent Debt that is Incurred under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of this definition, unless otherwise elected by the Company, shall automatically and without need for action by any Person, be reclassified as having been Incurred under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 xml:space="preserve">of this definition if, at any time after the Incurrence thereof, when financial statements required pursuant to </w:t>
      </w:r>
      <w:r>
        <w:rPr>
          <w:rFonts w:ascii="Times New Roman;sans-serif" w:hAnsi="Times New Roman;sans-serif"/>
          <w:b w:val="false"/>
          <w:color w:val="000000"/>
          <w:sz w:val="22"/>
          <w:u w:val="single"/>
        </w:rPr>
        <w:t>Section 5.01(a)(i)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color w:val="000000"/>
        </w:rPr>
        <w:t> </w:t>
      </w:r>
      <w:r>
        <w:rPr>
          <w:rFonts w:ascii="Times New Roman;sans-serif" w:hAnsi="Times New Roman;sans-serif"/>
          <w:b w:val="false"/>
          <w:color w:val="000000"/>
          <w:sz w:val="22"/>
        </w:rPr>
        <w:t xml:space="preserve">are delivered, such portion of such Incremental Facility or Incremental Equivalent Debt would, using the figures reflected in such financial statements, be (or have been) permitted under the Consolidated First Lien Leverage Ratio or Consolidated Coverage Ratio test, as applicable, set forth in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of this definition.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Incremental Commitment</w:t>
      </w:r>
      <w:r>
        <w:rPr>
          <w:color w:val="000000"/>
        </w:rPr>
        <w:t xml:space="preserve">” </w:t>
      </w:r>
      <w:r>
        <w:rPr>
          <w:rFonts w:ascii="Times New Roman;sans-serif" w:hAnsi="Times New Roman;sans-serif"/>
          <w:b w:val="false"/>
          <w:color w:val="000000"/>
          <w:sz w:val="22"/>
        </w:rPr>
        <w:t>means any commitment made by a lender to provide all or any portion of any Incremental Facility or Incremental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Incremental Equivalent Debt</w:t>
      </w:r>
      <w:r>
        <w:rPr>
          <w:color w:val="000000"/>
        </w:rPr>
        <w:t xml:space="preserve">” </w:t>
      </w:r>
      <w:r>
        <w:rPr>
          <w:rFonts w:ascii="Times New Roman;sans-serif" w:hAnsi="Times New Roman;sans-serif"/>
          <w:b w:val="false"/>
          <w:color w:val="000000"/>
          <w:sz w:val="22"/>
        </w:rPr>
        <w:t>means any Indebtedness incurred by any Loan Party (which may be Guaranteed by one or more Loan Parties) that satisfies the following conditions: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aggregate outstanding principal amount thereof does not exceed the Incremental Cap as in effect at the time of determination (after giving effect to any reclassification on or prior to such date of determination),</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Weighted Average Life to Maturity of such Indebtedness is no shorter than the remaining Weighted Average Life to Maturity of the Initial Term Loans and the final maturity date of such Indebtedness is no earlier than the Latest Maturity Date, in each case as determined on the date of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62890"/>
                <wp:effectExtent l="0" t="0" r="0" b="0"/>
                <wp:wrapNone/>
                <wp:docPr id="81" name="Frame8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the issuance or incurrence, as applicable,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foregoing limitations shall not apply to (i) customary bridge loans with a maturity date of not longer than one year;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either (x) the terms of such bridge loans provide for automatic extension of the maturity date thereof to a date that is not earlier than the Initial Term Loan Maturity Date or (y) any loans, notes, securities or other Indebtedness (other than revolving loans) which are exchanged for or otherwise replace such bridge loans shall be subject to the requirements of this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(ii) [reserved] and (iii) Indebtedness having an aggregate principal amount outstanding not exceeding the greater of $500.0 million and 50% of Consolidated EBITDA as of the last day of the most recently ended Test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subject to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xml:space="preserve">, such Indebtedness may otherwise have an amortization schedule as determined by the Company and the lenders providing such Indebtedness,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if such Indebtedness is in the form of broadly syndicated Dollar-denominated term B loans that are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 xml:space="preserve">with the Initial Term Loans in right of payment and with respect to security, the MFN Provisions of </w:t>
      </w:r>
      <w:r>
        <w:rPr>
          <w:rFonts w:ascii="Times New Roman;sans-serif" w:hAnsi="Times New Roman;sans-serif"/>
          <w:b w:val="false"/>
          <w:color w:val="000000"/>
          <w:sz w:val="22"/>
          <w:u w:val="single"/>
        </w:rPr>
        <w:t>Section 2.22(a)(v)</w:t>
      </w:r>
      <w:r>
        <w:rPr>
          <w:color w:val="000000"/>
        </w:rPr>
        <w:t xml:space="preserve"> </w:t>
      </w:r>
      <w:r>
        <w:rPr>
          <w:rFonts w:ascii="Times New Roman;sans-serif" w:hAnsi="Times New Roman;sans-serif"/>
          <w:b w:val="false"/>
          <w:color w:val="000000"/>
          <w:sz w:val="22"/>
        </w:rPr>
        <w:t xml:space="preserve">shall apply to such Indebtedness as if (but only to the extent, including after giving effect to the applicable exclusions and sunset provisions thereof) such Indebtedness was an Incremental Term Facility of the type subject to the provisions of Section 2.22(a)(v),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if such Indebtedness is secured by assets that constitute Collateral, the holders of such Indebtedness (or a representative therefor) shall be party to an Acceptable Intercreditor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Incremental Facilities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Incremental Facility Amendment</w:t>
      </w:r>
      <w:r>
        <w:rPr>
          <w:color w:val="000000"/>
        </w:rPr>
        <w:t xml:space="preserve">” </w:t>
      </w:r>
      <w:r>
        <w:rPr>
          <w:rFonts w:ascii="Times New Roman;sans-serif" w:hAnsi="Times New Roman;sans-serif"/>
          <w:b w:val="false"/>
          <w:color w:val="000000"/>
          <w:sz w:val="22"/>
        </w:rPr>
        <w:t xml:space="preserve">means an amendment to this Agreement that is reasonably satisfactory to the Administrative Agent (solely for purposes of giving effect to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xml:space="preserve">) and the Company executed by each of (a) the Company and each other Borrower, (b) the Administrative Agent and (c) each Lender that agrees to provide all or any portion of the Incremental Facility being incurred pursuant thereto and in accordance with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Incremental Loans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Incremental Term Facility</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Incremental Term Loans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Incur</w:t>
      </w:r>
      <w:r>
        <w:rPr>
          <w:color w:val="000000"/>
        </w:rPr>
        <w:t xml:space="preserve">” </w:t>
      </w:r>
      <w:r>
        <w:rPr>
          <w:rFonts w:ascii="Times New Roman;sans-serif" w:hAnsi="Times New Roman;sans-serif"/>
          <w:b w:val="false"/>
          <w:color w:val="000000"/>
          <w:sz w:val="22"/>
        </w:rPr>
        <w:t>means issue, assume, enter into any Guarantee of, incur or otherwise become liable for; and the terms “</w:t>
      </w:r>
      <w:r>
        <w:rPr>
          <w:rFonts w:ascii="Times New Roman;sans-serif" w:hAnsi="Times New Roman;sans-serif"/>
          <w:b/>
          <w:color w:val="000000"/>
          <w:sz w:val="22"/>
        </w:rPr>
        <w:t>Incurs</w:t>
      </w:r>
      <w:r>
        <w:rPr>
          <w:rFonts w:ascii="Times New Roman;sans-serif" w:hAnsi="Times New Roman;sans-serif"/>
          <w:b w:val="false"/>
          <w:color w:val="000000"/>
          <w:sz w:val="22"/>
        </w:rPr>
        <w:t>,” “</w:t>
      </w:r>
      <w:r>
        <w:rPr>
          <w:rFonts w:ascii="Times New Roman;sans-serif" w:hAnsi="Times New Roman;sans-serif"/>
          <w:b/>
          <w:color w:val="000000"/>
          <w:sz w:val="22"/>
        </w:rPr>
        <w:t>Incurred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Incurrence</w:t>
      </w:r>
      <w:r>
        <w:rPr>
          <w:color w:val="000000"/>
        </w:rPr>
        <w:t xml:space="preserve">” </w:t>
      </w:r>
      <w:r>
        <w:rPr>
          <w:rFonts w:ascii="Times New Roman;sans-serif" w:hAnsi="Times New Roman;sans-serif"/>
          <w:b w:val="false"/>
          <w:color w:val="000000"/>
          <w:sz w:val="22"/>
        </w:rPr>
        <w:t xml:space="preserve">shall have a correlative meaning;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Indebtedness or Capital Stock of a Person existing at the time such Person becomes a Subsidiary (whether by merger, consolidation, acquisition or otherwise) shall be deemed to be Incurred by such Subsidiary at the time it becomes a Subsidiary. Accrual of interest, the accretion of accreted value, the payment of interest in the form of additional Indebtedness, and the payment of dividends on Capital Stock constituting Indebtedness in the form of additional shares of the same class of Capital Stock, will be deemed not to be an Incurrence of Indebtedness. Any Indebtedness issued at a discount (including Indebtedness on which interest is payable through the issuance of additional Indebtedness) shall be deemed Incurred at the time of original issuance of the Indebtedness at the initial accreted amount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Incurrence-Based Amounts</w:t>
      </w:r>
      <w:r>
        <w:rPr>
          <w:color w:val="000000"/>
        </w:rPr>
        <w:t xml:space="preserve">” </w:t>
      </w:r>
      <w:r>
        <w:rPr>
          <w:rFonts w:ascii="Times New Roman;sans-serif" w:hAnsi="Times New Roman;sans-serif"/>
          <w:b w:val="false"/>
          <w:color w:val="000000"/>
          <w:sz w:val="22"/>
        </w:rPr>
        <w:t>has the meaning assigned to such term in Section 1.04(g).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Indebtedness</w:t>
      </w:r>
      <w:r>
        <w:rPr>
          <w:color w:val="000000"/>
        </w:rPr>
        <w:t xml:space="preserve">” </w:t>
      </w:r>
      <w:r>
        <w:rPr>
          <w:rFonts w:ascii="Times New Roman;sans-serif" w:hAnsi="Times New Roman;sans-serif"/>
          <w:b w:val="false"/>
          <w:color w:val="000000"/>
          <w:sz w:val="22"/>
        </w:rPr>
        <w:t>means, with respect to any Person on any date of determination (without duplication):</w:t>
      </w:r>
    </w:p>
    <w:p>
      <w:pPr>
        <w:pStyle w:val="TextBody"/>
        <w:bidi w:val="0"/>
        <w:spacing w:lineRule="auto" w:line="240" w:before="0" w:after="240"/>
        <w:ind w:left="0" w:right="0" w:firstLine="522"/>
        <w:jc w:val="both"/>
        <w:rPr/>
      </w:pPr>
      <w:r>
        <w:rPr>
          <w:rFonts w:ascii="Times New Roman;sans-serif" w:hAnsi="Times New Roman;sans-serif"/>
          <w:b w:val="false"/>
          <w:color w:val="000000"/>
          <w:sz w:val="21"/>
        </w:rPr>
        <w:t>(i)</w:t>
      </w:r>
      <w:r>
        <w:rPr>
          <w:rFonts w:ascii="Times New Roman;sans-serif" w:hAnsi="Times New Roman;sans-serif"/>
          <w:b w:val="false"/>
          <w:color w:val="000000"/>
          <w:sz w:val="22"/>
        </w:rPr>
        <w:t>the principal of indebtedness of such Person for borrowed money;</w:t>
      </w:r>
    </w:p>
    <w:p>
      <w:pPr>
        <w:pStyle w:val="TextBody"/>
        <w:bidi w:val="0"/>
        <w:spacing w:lineRule="auto" w:line="240" w:before="0" w:after="240"/>
        <w:ind w:left="0" w:right="0" w:firstLine="464"/>
        <w:jc w:val="both"/>
        <w:rPr/>
      </w:pPr>
      <w:r>
        <w:rPr>
          <w:rFonts w:ascii="Times New Roman;sans-serif" w:hAnsi="Times New Roman;sans-serif"/>
          <w:b w:val="false"/>
          <w:color w:val="000000"/>
          <w:sz w:val="21"/>
        </w:rPr>
        <w:t>(ii)</w:t>
      </w:r>
      <w:r>
        <w:rPr>
          <w:rFonts w:ascii="Times New Roman;sans-serif" w:hAnsi="Times New Roman;sans-serif"/>
          <w:b w:val="false"/>
          <w:color w:val="000000"/>
          <w:sz w:val="22"/>
        </w:rPr>
        <w:t>the principal of obligations of such Person evidenced by bonds, debentures, notes or other similar instruments;</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62890"/>
                <wp:effectExtent l="0" t="0" r="0" b="0"/>
                <wp:wrapNone/>
                <wp:docPr id="82" name="Frame8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406"/>
        <w:jc w:val="both"/>
        <w:rPr/>
      </w:pPr>
      <w:r>
        <w:rPr>
          <w:rFonts w:ascii="Times New Roman;sans-serif" w:hAnsi="Times New Roman;sans-serif"/>
          <w:b w:val="false"/>
          <w:color w:val="000000"/>
          <w:sz w:val="21"/>
        </w:rPr>
        <w:t>(iii)</w:t>
      </w:r>
      <w:r>
        <w:rPr>
          <w:rFonts w:ascii="Times New Roman;sans-serif" w:hAnsi="Times New Roman;sans-serif"/>
          <w:b w:val="false"/>
          <w:color w:val="000000"/>
          <w:sz w:val="22"/>
        </w:rPr>
        <w:t>all reimbursement obligations of such Person in respect of letters of credit, bankers’ acceptances or other similar instruments (the amount of such obligations being equal at any time to the aggregate amount of drawings thereunder that have not then been reimbursed);</w:t>
      </w:r>
    </w:p>
    <w:p>
      <w:pPr>
        <w:pStyle w:val="TextBody"/>
        <w:bidi w:val="0"/>
        <w:spacing w:lineRule="auto" w:line="240" w:before="0" w:after="240"/>
        <w:ind w:left="0" w:right="0" w:firstLine="417"/>
        <w:jc w:val="both"/>
        <w:rPr/>
      </w:pPr>
      <w:r>
        <w:rPr>
          <w:rFonts w:ascii="Times New Roman;sans-serif" w:hAnsi="Times New Roman;sans-serif"/>
          <w:b w:val="false"/>
          <w:color w:val="000000"/>
          <w:sz w:val="21"/>
        </w:rPr>
        <w:t>(iv)</w:t>
      </w:r>
      <w:r>
        <w:rPr>
          <w:rFonts w:ascii="Times New Roman;sans-serif" w:hAnsi="Times New Roman;sans-serif"/>
          <w:b w:val="false"/>
          <w:color w:val="000000"/>
          <w:sz w:val="22"/>
        </w:rPr>
        <w:t>all obligations of such Person to pay the deferred and unpaid purchase price of property (except accruals and Trade Payables), which purchase price is due more than one year after the date of placing such property in final service or taking final delivery and title thereto;</w:t>
      </w:r>
    </w:p>
    <w:p>
      <w:pPr>
        <w:pStyle w:val="TextBody"/>
        <w:bidi w:val="0"/>
        <w:spacing w:lineRule="auto" w:line="240" w:before="0" w:after="240"/>
        <w:ind w:left="0" w:right="0" w:firstLine="475"/>
        <w:jc w:val="both"/>
        <w:rPr/>
      </w:pPr>
      <w:r>
        <w:rPr>
          <w:rFonts w:ascii="Times New Roman;sans-serif" w:hAnsi="Times New Roman;sans-serif"/>
          <w:b w:val="false"/>
          <w:color w:val="000000"/>
          <w:sz w:val="21"/>
        </w:rPr>
        <w:t>(v)</w:t>
      </w:r>
      <w:r>
        <w:rPr>
          <w:rFonts w:ascii="Times New Roman;sans-serif" w:hAnsi="Times New Roman;sans-serif"/>
          <w:b w:val="false"/>
          <w:color w:val="000000"/>
          <w:sz w:val="22"/>
        </w:rPr>
        <w:t>all Finance Lease Obligations of such Person;</w:t>
      </w:r>
    </w:p>
    <w:p>
      <w:pPr>
        <w:pStyle w:val="TextBody"/>
        <w:bidi w:val="0"/>
        <w:spacing w:lineRule="auto" w:line="240" w:before="0" w:after="240"/>
        <w:ind w:left="0" w:right="0" w:firstLine="417"/>
        <w:jc w:val="both"/>
        <w:rPr/>
      </w:pPr>
      <w:r>
        <w:rPr>
          <w:rFonts w:ascii="Times New Roman;sans-serif" w:hAnsi="Times New Roman;sans-serif"/>
          <w:b w:val="false"/>
          <w:color w:val="000000"/>
          <w:sz w:val="21"/>
        </w:rPr>
        <w:t>(vi)</w:t>
      </w:r>
      <w:r>
        <w:rPr>
          <w:rFonts w:ascii="Times New Roman;sans-serif" w:hAnsi="Times New Roman;sans-serif"/>
          <w:b w:val="false"/>
          <w:color w:val="000000"/>
          <w:sz w:val="22"/>
        </w:rPr>
        <w:t>the redemption, repayment or other repurchase amount of such Person with respect to any Disqualified Stock of such Person or (if such Person is a Subsidiary of the Company other than a Subsidiary Guarantor) any Preferred Stock of such Subsidiary, but excluding, in each case, any accrued dividends (the amount of such obligation to be equal at any time to the maximum fixed involuntary redemption, repayment or repurchase price for such Capital Stock, or if less (or if such Capital Stock has no such fixed price), to the involuntary redemption, repayment or repurchase price therefor calculated in accordance with the terms thereof as if then redeemed, repaid or repurchased, and if such price is based upon or measured by the Fair Market Value of such Capital Stock, such Fair Market Value shall be as determined in good faith by senior management of the Company, the Board of Directors of the Company or the Board of Directors of the issuer of such Capital Stock);</w:t>
      </w:r>
    </w:p>
    <w:p>
      <w:pPr>
        <w:pStyle w:val="TextBody"/>
        <w:bidi w:val="0"/>
        <w:spacing w:lineRule="auto" w:line="240" w:before="0" w:after="240"/>
        <w:ind w:left="0" w:right="0" w:firstLine="359"/>
        <w:jc w:val="both"/>
        <w:rPr/>
      </w:pPr>
      <w:r>
        <w:rPr>
          <w:rFonts w:ascii="Times New Roman;sans-serif" w:hAnsi="Times New Roman;sans-serif"/>
          <w:b w:val="false"/>
          <w:color w:val="000000"/>
          <w:sz w:val="21"/>
        </w:rPr>
        <w:t>(vii)</w:t>
      </w:r>
      <w:r>
        <w:rPr>
          <w:rFonts w:ascii="Times New Roman;sans-serif" w:hAnsi="Times New Roman;sans-serif"/>
          <w:b w:val="false"/>
          <w:color w:val="000000"/>
          <w:sz w:val="22"/>
        </w:rPr>
        <w:t>all Indebtedness of other Persons secured by a Lien on any asset of such Person, whether or not such Indebtedness is assumed by such Person; provided that the amount of Indebtedness of such Person shall be the lesser of (A) the Fair Market Value of such asset at such date of determination (as determined in good faith by the Company) and (B) the amount of such Indebtedness of such other Persons;</w:t>
      </w:r>
    </w:p>
    <w:p>
      <w:pPr>
        <w:pStyle w:val="TextBody"/>
        <w:bidi w:val="0"/>
        <w:spacing w:lineRule="auto" w:line="240" w:before="0" w:after="240"/>
        <w:ind w:left="0" w:right="0" w:firstLine="301"/>
        <w:jc w:val="both"/>
        <w:rPr/>
      </w:pPr>
      <w:r>
        <w:rPr>
          <w:rFonts w:ascii="Times New Roman;sans-serif" w:hAnsi="Times New Roman;sans-serif"/>
          <w:b w:val="false"/>
          <w:color w:val="000000"/>
          <w:sz w:val="21"/>
        </w:rPr>
        <w:t>(viii)</w:t>
      </w:r>
      <w:r>
        <w:rPr>
          <w:rFonts w:ascii="Times New Roman;sans-serif" w:hAnsi="Times New Roman;sans-serif"/>
          <w:b w:val="false"/>
          <w:color w:val="000000"/>
          <w:sz w:val="22"/>
        </w:rPr>
        <w:t>all Guarantees by such Person of Indebtedness of other Persons, to the extent so Guaranteed by such Person; and</w:t>
      </w:r>
    </w:p>
    <w:p>
      <w:pPr>
        <w:pStyle w:val="TextBody"/>
        <w:bidi w:val="0"/>
        <w:spacing w:lineRule="auto" w:line="240" w:before="0" w:after="240"/>
        <w:ind w:left="0" w:right="0" w:firstLine="417"/>
        <w:jc w:val="both"/>
        <w:rPr/>
      </w:pPr>
      <w:r>
        <w:rPr>
          <w:rFonts w:ascii="Times New Roman;sans-serif" w:hAnsi="Times New Roman;sans-serif"/>
          <w:b w:val="false"/>
          <w:color w:val="000000"/>
          <w:sz w:val="21"/>
        </w:rPr>
        <w:t>(ix)</w:t>
      </w:r>
      <w:r>
        <w:rPr>
          <w:rFonts w:ascii="Times New Roman;sans-serif" w:hAnsi="Times New Roman;sans-serif"/>
          <w:b w:val="false"/>
          <w:color w:val="000000"/>
          <w:sz w:val="22"/>
        </w:rPr>
        <w:t>to the extent not otherwise included in this definition, net Hedging Obligations of such Person (the amount of any such obligation to be equal at any time to the termination value of such agreement or arrangement giving rise to such Hedging Obligation that would be payable by such Person at such time); provided that Indebtedness shall not include Contingent Obligations Incurred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amount of Indebtedness of any Person at any date shall be determined as set forth above or as otherwise provided for in this Agreement, or otherwise shall equal the amount thereof that would appear as a liability on a balance sheet of such Person (excluding any notes thereto) prepared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Indemnified Taxes</w:t>
      </w:r>
      <w:r>
        <w:rPr>
          <w:color w:val="000000"/>
        </w:rPr>
        <w:t xml:space="preserve">” </w:t>
      </w:r>
      <w:r>
        <w:rPr>
          <w:rFonts w:ascii="Times New Roman;sans-serif" w:hAnsi="Times New Roman;sans-serif"/>
          <w:b w:val="false"/>
          <w:color w:val="000000"/>
          <w:sz w:val="22"/>
        </w:rPr>
        <w:t>means (a) Taxes, other than Excluded Taxes, imposed on or with respect to any payment made by or on account of any obligation of the Company under any Loan Document and (b) to the extent not otherwise described in (a), Other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Indemnitee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Agreement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6.03(iii)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Lenders</w:t>
      </w:r>
      <w:r>
        <w:rPr>
          <w:color w:val="000000"/>
        </w:rPr>
        <w:t xml:space="preserve">” </w:t>
      </w:r>
      <w:r>
        <w:rPr>
          <w:rFonts w:ascii="Times New Roman;sans-serif" w:hAnsi="Times New Roman;sans-serif"/>
          <w:b w:val="false"/>
          <w:color w:val="000000"/>
          <w:sz w:val="22"/>
        </w:rPr>
        <w:t>means the Arrangers and the affiliates of the Arrangers who are party to this Agreement as Lenders on the Closing Date.</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62890"/>
                <wp:effectExtent l="0" t="0" r="0" b="0"/>
                <wp:wrapNone/>
                <wp:docPr id="83" name="Frame8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Lender</w:t>
      </w:r>
      <w:r>
        <w:rPr>
          <w:color w:val="000000"/>
        </w:rPr>
        <w:t xml:space="preserve">” </w:t>
      </w:r>
      <w:r>
        <w:rPr>
          <w:rFonts w:ascii="Times New Roman;sans-serif" w:hAnsi="Times New Roman;sans-serif"/>
          <w:b w:val="false"/>
          <w:color w:val="000000"/>
          <w:sz w:val="22"/>
        </w:rPr>
        <w:t>means any Lender with an Initial Term Loan Commitment or an outstanding Initial Term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Loan Commitment</w:t>
      </w:r>
      <w:r>
        <w:rPr>
          <w:color w:val="000000"/>
        </w:rPr>
        <w:t xml:space="preserve">” </w:t>
      </w:r>
      <w:r>
        <w:rPr>
          <w:rFonts w:ascii="Times New Roman;sans-serif" w:hAnsi="Times New Roman;sans-serif"/>
          <w:b w:val="false"/>
          <w:color w:val="000000"/>
          <w:sz w:val="22"/>
        </w:rPr>
        <w:t xml:space="preserve">means, with respect to each Term Lender, the commitment of such Term Lender to make Initial Term Loans hereunder in an aggregate amount not to exceed the amount set forth opposite such Term Lender’s name on the Commitment Schedule, as the same may be (a) reduced from time to time pursuant to </w:t>
      </w:r>
      <w:r>
        <w:rPr>
          <w:rFonts w:ascii="Times New Roman;sans-serif" w:hAnsi="Times New Roman;sans-serif"/>
          <w:b w:val="false"/>
          <w:color w:val="000000"/>
          <w:sz w:val="22"/>
          <w:u w:val="single"/>
        </w:rPr>
        <w:t>Section 2.09</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and (b) reduced or increased from time to time pursuant to (x) assignments by or to such Term Lender pursuant to </w:t>
      </w:r>
      <w:r>
        <w:rPr>
          <w:rFonts w:ascii="Times New Roman;sans-serif" w:hAnsi="Times New Roman;sans-serif"/>
          <w:b w:val="false"/>
          <w:color w:val="000000"/>
          <w:sz w:val="22"/>
          <w:u w:val="single"/>
        </w:rPr>
        <w:t>Section 9.05</w:t>
      </w:r>
      <w:r>
        <w:rPr>
          <w:color w:val="000000"/>
        </w:rPr>
        <w:t xml:space="preserve"> </w:t>
      </w:r>
      <w:r>
        <w:rPr>
          <w:rFonts w:ascii="Times New Roman;sans-serif" w:hAnsi="Times New Roman;sans-serif"/>
          <w:b w:val="false"/>
          <w:color w:val="000000"/>
          <w:sz w:val="22"/>
        </w:rPr>
        <w:t>or (y) an Additional Term Loan Commitment. The aggregate amount of the Term Lenders’ Initial Term Loan Commitments on the Closing Date is $400,000,000.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Loan Maturity Date</w:t>
      </w:r>
      <w:r>
        <w:rPr>
          <w:color w:val="000000"/>
        </w:rPr>
        <w:t xml:space="preserve">” </w:t>
      </w:r>
      <w:r>
        <w:rPr>
          <w:rFonts w:ascii="Times New Roman;sans-serif" w:hAnsi="Times New Roman;sans-serif"/>
          <w:b w:val="false"/>
          <w:color w:val="000000"/>
          <w:sz w:val="22"/>
        </w:rPr>
        <w:t>means the date that is seven years after the Closing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Loans</w:t>
      </w:r>
      <w:r>
        <w:rPr>
          <w:color w:val="000000"/>
        </w:rPr>
        <w:t xml:space="preserve">” </w:t>
      </w:r>
      <w:r>
        <w:rPr>
          <w:rFonts w:ascii="Times New Roman;sans-serif" w:hAnsi="Times New Roman;sans-serif"/>
          <w:b w:val="false"/>
          <w:color w:val="000000"/>
          <w:sz w:val="22"/>
        </w:rPr>
        <w:t xml:space="preserve">means the term loans made by the Initial Term Lenders to the Company pursuant to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Intellectual Property Security Agreement</w:t>
      </w:r>
      <w:r>
        <w:rPr>
          <w:color w:val="000000"/>
        </w:rPr>
        <w:t xml:space="preserve">” </w:t>
      </w:r>
      <w:r>
        <w:rPr>
          <w:rFonts w:ascii="Times New Roman;sans-serif" w:hAnsi="Times New Roman;sans-serif"/>
          <w:b w:val="false"/>
          <w:color w:val="000000"/>
          <w:sz w:val="22"/>
        </w:rPr>
        <w:t xml:space="preserve">means any agreement executed on or after the Closing Date confirming or effecting the grant of any Lien on IP Rights owned by any Loan Party to the Administrative Agent, for the benefit of the Secured Parties, in accordance with this Agreement, including any of the following: (a) a Trademark Security Agreement substantially in the form of </w:t>
      </w:r>
      <w:r>
        <w:rPr>
          <w:rFonts w:ascii="Times New Roman;sans-serif" w:hAnsi="Times New Roman;sans-serif"/>
          <w:b w:val="false"/>
          <w:color w:val="000000"/>
          <w:sz w:val="22"/>
          <w:u w:val="single"/>
        </w:rPr>
        <w:t>Exhibit H-1</w:t>
      </w:r>
      <w:r>
        <w:rPr>
          <w:color w:val="000000"/>
        </w:rPr>
        <w:t xml:space="preserve"> </w:t>
      </w:r>
      <w:r>
        <w:rPr>
          <w:rFonts w:ascii="Times New Roman;sans-serif" w:hAnsi="Times New Roman;sans-serif"/>
          <w:b w:val="false"/>
          <w:color w:val="000000"/>
          <w:sz w:val="22"/>
        </w:rPr>
        <w:t xml:space="preserve">hereto, (b) a Patent Security Agreement substantially in the form of </w:t>
      </w:r>
      <w:r>
        <w:rPr>
          <w:rFonts w:ascii="Times New Roman;sans-serif" w:hAnsi="Times New Roman;sans-serif"/>
          <w:b w:val="false"/>
          <w:color w:val="000000"/>
          <w:sz w:val="22"/>
          <w:u w:val="single"/>
        </w:rPr>
        <w:t>Exhibit H-2</w:t>
      </w:r>
      <w:r>
        <w:rPr>
          <w:color w:val="000000"/>
        </w:rPr>
        <w:t xml:space="preserve"> </w:t>
      </w:r>
      <w:r>
        <w:rPr>
          <w:rFonts w:ascii="Times New Roman;sans-serif" w:hAnsi="Times New Roman;sans-serif"/>
          <w:b w:val="false"/>
          <w:color w:val="000000"/>
          <w:sz w:val="22"/>
        </w:rPr>
        <w:t xml:space="preserve">hereto or (c) a Copyright Security Agreement substantially in the form of </w:t>
      </w:r>
      <w:r>
        <w:rPr>
          <w:rFonts w:ascii="Times New Roman;sans-serif" w:hAnsi="Times New Roman;sans-serif"/>
          <w:b w:val="false"/>
          <w:color w:val="000000"/>
          <w:sz w:val="22"/>
          <w:u w:val="single"/>
        </w:rPr>
        <w:t>Exhibit H-3</w:t>
      </w:r>
      <w:r>
        <w:rPr>
          <w:color w:val="000000"/>
        </w:rPr>
        <w:t xml:space="preserve"> </w:t>
      </w:r>
      <w:r>
        <w:rPr>
          <w:rFonts w:ascii="Times New Roman;sans-serif" w:hAnsi="Times New Roman;sans-serif"/>
          <w:b w:val="false"/>
          <w:color w:val="000000"/>
          <w:sz w:val="22"/>
        </w:rPr>
        <w: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Intercreditor Agreements</w:t>
      </w:r>
      <w:r>
        <w:rPr>
          <w:color w:val="000000"/>
        </w:rPr>
        <w:t xml:space="preserve">” </w:t>
      </w:r>
      <w:r>
        <w:rPr>
          <w:rFonts w:ascii="Times New Roman;sans-serif" w:hAnsi="Times New Roman;sans-serif"/>
          <w:b w:val="false"/>
          <w:color w:val="000000"/>
          <w:sz w:val="22"/>
        </w:rPr>
        <w:t>means, collectively, (a) the ABL Intercreditor Agreement, (b) the Pari Passu Intercreditor Agreement and (c) any other Acceptable Intercreditor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Interest Election Request</w:t>
      </w:r>
      <w:r>
        <w:rPr>
          <w:color w:val="000000"/>
        </w:rPr>
        <w:t xml:space="preserve">” </w:t>
      </w:r>
      <w:r>
        <w:rPr>
          <w:rFonts w:ascii="Times New Roman;sans-serif" w:hAnsi="Times New Roman;sans-serif"/>
          <w:b w:val="false"/>
          <w:color w:val="000000"/>
          <w:sz w:val="22"/>
        </w:rPr>
        <w:t xml:space="preserve">means a request by the Company in the form of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 xml:space="preserve">hereto or another form reasonably acceptable to the Administrative Agent to convert or continue a Borrowing in accordance with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Interest Payment Date</w:t>
      </w:r>
      <w:r>
        <w:rPr>
          <w:color w:val="000000"/>
        </w:rPr>
        <w:t xml:space="preserve">” </w:t>
      </w:r>
      <w:r>
        <w:rPr>
          <w:rFonts w:ascii="Times New Roman;sans-serif" w:hAnsi="Times New Roman;sans-serif"/>
          <w:b w:val="false"/>
          <w:color w:val="000000"/>
          <w:sz w:val="22"/>
        </w:rPr>
        <w:t xml:space="preserve">means (a) with respect to any ABR Loan, the last Business Day of each March, June, September and December </w:t>
      </w:r>
      <w:r>
        <w:rPr>
          <w:rFonts w:ascii="Times New Roman;sans-serif" w:hAnsi="Times New Roman;sans-serif"/>
          <w:b w:val="false"/>
          <w:strike/>
          <w:color w:val="FF0000"/>
          <w:sz w:val="22"/>
        </w:rPr>
        <w:t>(commencing with the last Business Day of September 2021) or the maturity date applicable to such Loan and</w:t>
      </w:r>
      <w:r>
        <w:rPr>
          <w:rFonts w:ascii="Times New Roman;sans-serif" w:hAnsi="Times New Roman;sans-serif"/>
          <w:b/>
          <w:color w:val="0000FF"/>
          <w:sz w:val="22"/>
          <w:u w:val="single"/>
        </w:rPr>
        <w:t>and the Maturity Date,</w:t>
      </w:r>
      <w:r>
        <w:rPr>
          <w:color w:val="000000"/>
        </w:rPr>
        <w:t xml:space="preserve"> </w:t>
      </w:r>
      <w:r>
        <w:rPr>
          <w:rFonts w:ascii="Times New Roman;sans-serif" w:hAnsi="Times New Roman;sans-serif"/>
          <w:b w:val="false"/>
          <w:color w:val="000000"/>
          <w:sz w:val="22"/>
        </w:rPr>
        <w:t xml:space="preserve">(b) with respect to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the last day of the Interest Period applicable to the Borrowing of which such Loan is a part and, in the case of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 with an Interest Period of more than three-months’ duration, each day prior to the last day of such Interest Period that occurs at intervals of three-months’ duration after the first day of such Interest Period</w:t>
      </w:r>
      <w:r>
        <w:rPr>
          <w:rFonts w:ascii="Times New Roman;sans-serif" w:hAnsi="Times New Roman;sans-serif"/>
          <w:b w:val="false"/>
          <w:strike/>
          <w:color w:val="FF0000"/>
          <w:sz w:val="22"/>
        </w:rPr>
        <w:t>.</w:t>
      </w:r>
      <w:r>
        <w:rPr>
          <w:rFonts w:ascii="Times New Roman;sans-serif" w:hAnsi="Times New Roman;sans-serif"/>
          <w:b/>
          <w:color w:val="0000FF"/>
          <w:sz w:val="22"/>
          <w:u w:val="single"/>
        </w:rPr>
        <w:t>, and the Maturity Date and (c) with respect to any Daily Simple SOFR Loan (if such Type of Loan is applicable pursuant to Section 2.14), (1) each date that is on the numerically corresponding date in each calendar month that is one month after the borrowing of, or conversion to, such Daily Simple SOFR Loan (or if there is no such numerically corresponding date in such month, then the last day of such month) and (2) the Maturity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Interest Period</w:t>
      </w:r>
      <w:r>
        <w:rPr>
          <w:color w:val="000000"/>
        </w:rPr>
        <w:t xml:space="preserve">” </w:t>
      </w:r>
      <w:r>
        <w:rPr>
          <w:rFonts w:ascii="Times New Roman;sans-serif" w:hAnsi="Times New Roman;sans-serif"/>
          <w:b w:val="false"/>
          <w:color w:val="000000"/>
          <w:sz w:val="22"/>
        </w:rPr>
        <w:t xml:space="preserve">means with respect to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the period commencing on the date of such Borrowing and ending on the numerically corresponding day in the calendar month that is one, three or six months </w:t>
      </w:r>
      <w:r>
        <w:rPr>
          <w:rFonts w:ascii="Times New Roman;sans-serif" w:hAnsi="Times New Roman;sans-serif"/>
          <w:b w:val="false"/>
          <w:strike/>
          <w:color w:val="FF0000"/>
          <w:sz w:val="22"/>
        </w:rPr>
        <w:t xml:space="preserve">(or, with the consent of each Lender, twelve months) </w:t>
      </w:r>
      <w:r>
        <w:rPr>
          <w:rFonts w:ascii="Times New Roman;sans-serif" w:hAnsi="Times New Roman;sans-serif"/>
          <w:b w:val="false"/>
          <w:color w:val="000000"/>
          <w:sz w:val="22"/>
        </w:rPr>
        <w:t xml:space="preserve">thereafter, as the Company may elect;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 if any Interest Period would end on a day other than a Business Day, such Interest Period shall be extended to the next succeeding Business Day unless, </w:t>
      </w:r>
      <w:r>
        <w:rPr>
          <w:rFonts w:ascii="Times New Roman;sans-serif" w:hAnsi="Times New Roman;sans-serif"/>
          <w:b w:val="false"/>
          <w:strike/>
          <w:color w:val="FF0000"/>
          <w:sz w:val="22"/>
        </w:rPr>
        <w:t xml:space="preserve">in the case of a LIBO Rate Borrowing only, </w:t>
      </w:r>
      <w:r>
        <w:rPr>
          <w:rFonts w:ascii="Times New Roman;sans-serif" w:hAnsi="Times New Roman;sans-serif"/>
          <w:b w:val="false"/>
          <w:color w:val="000000"/>
          <w:sz w:val="22"/>
        </w:rPr>
        <w:t xml:space="preserve">such next succeeding Business Day would fall in the next calendar month, in which case such Interest Period shall end on the next preceding Business Day, (ii) any Interest Period </w:t>
      </w:r>
      <w:r>
        <w:rPr>
          <w:rFonts w:ascii="Times New Roman;sans-serif" w:hAnsi="Times New Roman;sans-serif"/>
          <w:b w:val="false"/>
          <w:strike/>
          <w:color w:val="FF0000"/>
          <w:sz w:val="22"/>
        </w:rPr>
        <w:t xml:space="preserve">pertaining to a LIBO Rate Borrowing </w:t>
      </w:r>
      <w:r>
        <w:rPr>
          <w:rFonts w:ascii="Times New Roman;sans-serif" w:hAnsi="Times New Roman;sans-serif"/>
          <w:b w:val="false"/>
          <w:color w:val="000000"/>
          <w:sz w:val="22"/>
        </w:rPr>
        <w:t>that commences on the last Business Day of a calendar month (or on a day for which there is no numerically corresponding day in the last calendar month of such Interest Period) shall end on the last Business Day of the last calendar month of such Interest Period</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 xml:space="preserve">(iii) </w:t>
      </w:r>
      <w:r>
        <w:rPr>
          <w:rFonts w:ascii="Times New Roman;sans-serif" w:hAnsi="Times New Roman;sans-serif"/>
          <w:b/>
          <w:color w:val="0000FF"/>
          <w:sz w:val="22"/>
          <w:u w:val="single"/>
        </w:rPr>
        <w:t>no tenor that has been removed from this definition pursuant to Section 2.14(f) shall be available for specification in such Borrowing Request or Interest Election Request and (iv) </w:t>
      </w:r>
      <w:r>
        <w:rPr>
          <w:rFonts w:ascii="Times New Roman;sans-serif" w:hAnsi="Times New Roman;sans-serif"/>
          <w:b w:val="false"/>
          <w:color w:val="000000"/>
          <w:sz w:val="22"/>
        </w:rPr>
        <w:t xml:space="preserve">any Interest Period with respect to any Class that would otherwise end after the Maturity Date applicable to such Class will end on the Maturity Date applicable to such Class. For purposes hereof, the </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62890"/>
                <wp:effectExtent l="0" t="0" r="0" b="0"/>
                <wp:wrapNone/>
                <wp:docPr id="84" name="Frame8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date of a Borrowing initially shall be the date on which such Borrowing is made and thereafter shall be the effective date of the most recent conversion or continuation of such Borrowing.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Interest Rate Agreemen</w:t>
      </w:r>
      <w:r>
        <w:rPr>
          <w:rFonts w:ascii="Times New Roman;sans-serif" w:hAnsi="Times New Roman;sans-serif"/>
          <w:b w:val="false"/>
          <w:color w:val="000000"/>
          <w:sz w:val="22"/>
        </w:rPr>
        <w:t>t” means, with respect to any Person, any interest rate protection agreement, future agreement, option agreement, swap agreement, cap agreement, collar agreement, hedge agreement or other similar agreement or arrangement (including derivative agreements or arrangements), as to which such Person is a party or a beneficiary.</w:t>
      </w:r>
    </w:p>
    <w:p>
      <w:pPr>
        <w:pStyle w:val="TextBody"/>
        <w:bidi w:val="0"/>
        <w:spacing w:lineRule="auto" w:line="240" w:before="0" w:after="220"/>
        <w:ind w:left="0" w:right="0" w:firstLine="720"/>
        <w:jc w:val="both"/>
        <w:rPr/>
      </w:pPr>
      <w:r>
        <w:rPr>
          <w:strike/>
          <w:color w:val="FF0000"/>
        </w:rPr>
        <w:t>“</w:t>
      </w:r>
      <w:r>
        <w:rPr>
          <w:rFonts w:ascii="Times New Roman;sans-serif" w:hAnsi="Times New Roman;sans-serif"/>
          <w:b/>
          <w:strike/>
          <w:color w:val="FF0000"/>
          <w:sz w:val="22"/>
        </w:rPr>
        <w:t>Interpolated Rate”</w:t>
      </w:r>
      <w:r>
        <w:rPr>
          <w:strike/>
          <w:color w:val="FF0000"/>
        </w:rPr>
        <w:t xml:space="preserve"> </w:t>
      </w:r>
      <w:r>
        <w:rPr>
          <w:rFonts w:ascii="Times New Roman;sans-serif" w:hAnsi="Times New Roman;sans-serif"/>
          <w:b w:val="false"/>
          <w:strike/>
          <w:color w:val="FF0000"/>
          <w:sz w:val="22"/>
        </w:rPr>
        <w:t xml:space="preserve">means, at any time, for any Interest Period, the rate </w:t>
      </w:r>
      <w:r>
        <w:rPr>
          <w:rFonts w:ascii="Times New Roman;sans-serif" w:hAnsi="Times New Roman;sans-serif"/>
          <w:b w:val="false"/>
          <w:i/>
          <w:strike/>
          <w:color w:val="FF0000"/>
          <w:sz w:val="22"/>
        </w:rPr>
        <w:t>per annum</w:t>
      </w:r>
      <w:r>
        <w:rPr>
          <w:strike/>
          <w:color w:val="FF0000"/>
        </w:rPr>
        <w:t xml:space="preserve"> </w:t>
      </w:r>
      <w:r>
        <w:rPr>
          <w:rFonts w:ascii="Times New Roman;sans-serif" w:hAnsi="Times New Roman;sans-serif"/>
          <w:b w:val="false"/>
          <w:strike/>
          <w:color w:val="FF0000"/>
          <w:sz w:val="22"/>
        </w:rPr>
        <w:t xml:space="preserve">(rounded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that LIBO Screen Rate is available) that exceeds the Impacted Interest Period, in each case, at such time.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Inventory</w:t>
      </w:r>
      <w:r>
        <w:rPr>
          <w:color w:val="000000"/>
        </w:rPr>
        <w:t xml:space="preserve">” </w:t>
      </w:r>
      <w:r>
        <w:rPr>
          <w:rFonts w:ascii="Times New Roman;sans-serif" w:hAnsi="Times New Roman;sans-serif"/>
          <w:b w:val="false"/>
          <w:color w:val="000000"/>
          <w:sz w:val="22"/>
        </w:rPr>
        <w:t xml:space="preserve">means goods held for sale, lease or use by a Person in the ordinary course of business, net of any reserve for goods that have been segregated by such Person to be returned to the applicable vendor for credit, as determined in accordance with GAAP.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Investment</w:t>
      </w:r>
      <w:r>
        <w:rPr>
          <w:color w:val="000000"/>
        </w:rPr>
        <w:t xml:space="preserve">” </w:t>
      </w:r>
      <w:r>
        <w:rPr>
          <w:rFonts w:ascii="Times New Roman;sans-serif" w:hAnsi="Times New Roman;sans-serif"/>
          <w:b w:val="false"/>
          <w:color w:val="000000"/>
          <w:sz w:val="22"/>
        </w:rPr>
        <w:t xml:space="preserve">in any Person by any other Person means any direct or indirect advance, loan or other extension of credit (other than to customers, dealers, licensees, sublicenses, franchisees, suppliers, consultants, directors, officers or employees of any Person in the ordinary course of business) or capital contribution (by means of any transfer of cash or other property to others or any payment for property or services for the account or use of others) to, or any purchase or acquisition of Capital Stock, Indebtedness or other similar instruments issued by, such Person. For purposes of the definition of “Unrestricted Subsidiary” and </w:t>
      </w:r>
      <w:r>
        <w:rPr>
          <w:rFonts w:ascii="Times New Roman;sans-serif" w:hAnsi="Times New Roman;sans-serif"/>
          <w:b w:val="false"/>
          <w:color w:val="000000"/>
          <w:sz w:val="22"/>
          <w:u w:val="single"/>
        </w:rPr>
        <w:t>Section 6.02</w:t>
      </w:r>
      <w:r>
        <w:rPr>
          <w:color w:val="000000"/>
        </w:rPr>
        <w:t xml:space="preserve"> </w:t>
      </w:r>
      <w:r>
        <w:rPr>
          <w:rFonts w:ascii="Times New Roman;sans-serif" w:hAnsi="Times New Roman;sans-serif"/>
          <w:b w:val="false"/>
          <w:color w:val="000000"/>
          <w:sz w:val="22"/>
        </w:rPr>
        <w:t xml:space="preserve">only, (i) “Investment” shall include the portion (proportionate to the Company’s equity interest in such Subsidiary) of the Fair Market Value of the net assets of any Subsidiary of the Company at the time that such Subsidiary is designated an Unrestricted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upon a redesignation of such Subsidiary as a Restricted Subsidiary, the Company shall be deemed to continue to have a permanent “Investment” in an Unrestricted Subsidiary in an amount (if positive) equal to (x) the Company’s “Investment” in such Subsidiary at the time of such redesignation less (y) the portion (proportionate to the Company’s equity interest in such Subsidiary) of the Fair Market Value of the net assets of such Subsidiary at the time of such redesignation, (ii) any property transferred to or from an Unrestricted Subsidiary shall be valued at its Fair Market Value (as determined in good faith by the Company) at the time of such transfer and (iii) for purposes of </w:t>
      </w:r>
      <w:r>
        <w:rPr>
          <w:rFonts w:ascii="Times New Roman;sans-serif" w:hAnsi="Times New Roman;sans-serif"/>
          <w:b w:val="false"/>
          <w:color w:val="000000"/>
          <w:sz w:val="22"/>
          <w:u w:val="single"/>
        </w:rPr>
        <w:t>Section 6.02(a)(3)(C)</w:t>
      </w:r>
      <w:r>
        <w:rPr>
          <w:rFonts w:ascii="Times New Roman;sans-serif" w:hAnsi="Times New Roman;sans-serif"/>
          <w:b w:val="false"/>
          <w:color w:val="000000"/>
          <w:sz w:val="22"/>
        </w:rPr>
        <w:t xml:space="preserve">, the amount resulting from the redesignation of any Unrestricted Subsidiary as a Restricted Subsidiary shall be the Fair Market Value of the Investment in such Unrestricted Subsidiary at the time of such redesignation. Guarantees shall not be deemed to be Investments. The amount of any Investment outstanding at any time shall be the original cost of such Investment, reduced (at the Company’s option) by any dividend, distribution, interest payment, return of capital, repayment or other amount or value received in respect of such Investment; provided that to the extent that the amount of Restricted Payments outstanding at any time pursuant to </w:t>
      </w:r>
      <w:r>
        <w:rPr>
          <w:rFonts w:ascii="Times New Roman;sans-serif" w:hAnsi="Times New Roman;sans-serif"/>
          <w:b w:val="false"/>
          <w:color w:val="000000"/>
          <w:sz w:val="22"/>
          <w:u w:val="single"/>
        </w:rPr>
        <w:t>Section 6.02(a)</w:t>
      </w:r>
      <w:r>
        <w:rPr>
          <w:color w:val="000000"/>
        </w:rPr>
        <w:t xml:space="preserve"> </w:t>
      </w:r>
      <w:r>
        <w:rPr>
          <w:rFonts w:ascii="Times New Roman;sans-serif" w:hAnsi="Times New Roman;sans-serif"/>
          <w:b w:val="false"/>
          <w:color w:val="000000"/>
          <w:sz w:val="22"/>
        </w:rPr>
        <w:t xml:space="preserve">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Investment Grade Rating”</w:t>
      </w:r>
      <w:r>
        <w:rPr>
          <w:color w:val="000000"/>
        </w:rPr>
        <w:t xml:space="preserve"> </w:t>
      </w:r>
      <w:r>
        <w:rPr>
          <w:rFonts w:ascii="Times New Roman;sans-serif" w:hAnsi="Times New Roman;sans-serif"/>
          <w:b w:val="false"/>
          <w:color w:val="000000"/>
          <w:sz w:val="22"/>
        </w:rPr>
        <w:t>means a rating equal to or higher than Baa3 (or the equivalent) by Moody’s and BBB- (or the equivalent) by S&amp;P, or any equivalent rating by any other rating agency.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Investment Grade Securities”</w:t>
      </w:r>
      <w:r>
        <w:rPr>
          <w:color w:val="000000"/>
        </w:rPr>
        <w:t xml:space="preserve"> </w:t>
      </w:r>
      <w:r>
        <w:rPr>
          <w:rFonts w:ascii="Times New Roman;sans-serif" w:hAnsi="Times New Roman;sans-serif"/>
          <w:b w:val="false"/>
          <w:color w:val="000000"/>
          <w:sz w:val="22"/>
        </w:rPr>
        <w:t>means (i) securities issued or directly and fully guaranteed or insured by the United States government or any agency or instrumentality thereof (other than Cash Equivalents); (ii) debt securities or debt instruments with an Investment Grade Rating, but excluding any debt securities or instruments constituting loans or advances among the Company and its Subsidiaries; (iii) investments in any fund that invests exclusively in investments of the type described in clauses (i) and (ii) above, which fund may also hold cash pending investment or distribution; and (iv) corresponding instruments in countries other than the United States customarily utilized for high-quality investments.</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62890"/>
                <wp:effectExtent l="0" t="0" r="0" b="0"/>
                <wp:wrapNone/>
                <wp:docPr id="85" name="Frame8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IP Rights</w:t>
      </w:r>
      <w:r>
        <w:rPr>
          <w:color w:val="000000"/>
        </w:rPr>
        <w:t xml:space="preserve">” </w:t>
      </w:r>
      <w:r>
        <w:rPr>
          <w:rFonts w:ascii="Times New Roman;sans-serif" w:hAnsi="Times New Roman;sans-serif"/>
          <w:b w:val="false"/>
          <w:color w:val="000000"/>
          <w:sz w:val="22"/>
        </w:rPr>
        <w:t>refers to the Patents, Trademarks, Copyrights, domain names, trade secrets and all other similar intellectual property rights owned or licensed by the Company and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ISDA CDS Definitions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9.02(b)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2"/>
        </w:rPr>
        <w:t>ISDA Definitions</w:t>
      </w:r>
      <w:r>
        <w:rPr>
          <w:strike/>
          <w:color w:val="FF0000"/>
        </w:rPr>
        <w:t xml:space="preserve">” </w:t>
      </w:r>
      <w:r>
        <w:rPr>
          <w:rFonts w:ascii="Times New Roman;sans-serif" w:hAnsi="Times New Roman;sans-serif"/>
          <w:b w:val="false"/>
          <w:strike/>
          <w:color w:val="FF0000"/>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Junior Capital”</w:t>
      </w:r>
      <w:r>
        <w:rPr>
          <w:color w:val="000000"/>
        </w:rPr>
        <w:t xml:space="preserve"> </w:t>
      </w:r>
      <w:r>
        <w:rPr>
          <w:rFonts w:ascii="Times New Roman;sans-serif" w:hAnsi="Times New Roman;sans-serif"/>
          <w:b w:val="false"/>
          <w:color w:val="000000"/>
          <w:sz w:val="22"/>
        </w:rPr>
        <w:t>means, collectively, any Indebtedness of the Company that (i) is not secured by any asset of the Company or any Restricted Subsidiary, (ii) is expressly subordinated to the prior payment in full of the Loans on terms consistent with those for senior subordinated high yield debt securities issued by U.S. companies (as determined in good faith by the Company, which determination shall be conclusive), (iii) has a final maturity date that is not earlier than, and provides for no scheduled payments of principal prior to, the date that is 91 days after the maturity of the Initial Term Loans (other than through conversion or exchange of any such Indebtedness for Capital Stock (other than Disqualified Stock) of the Company or any other Junior Capital), (iv) has no mandatory redemption or prepayment obligations other than (x) obligations that are subject to the prior payment in full in cash of the Initial Term Loans or (y) pursuant to an escrow or similar arrangement with respect to the proceeds of such Junior Capital and (v) does not require the payment of cash interest until the date that is 91 days after the maturity of the Initial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 Brands</w:t>
      </w:r>
      <w:r>
        <w:rPr>
          <w:color w:val="000000"/>
        </w:rPr>
        <w:t xml:space="preserve">” </w:t>
      </w:r>
      <w:r>
        <w:rPr>
          <w:rFonts w:ascii="Times New Roman;sans-serif" w:hAnsi="Times New Roman;sans-serif"/>
          <w:b w:val="false"/>
          <w:color w:val="000000"/>
          <w:sz w:val="22"/>
        </w:rPr>
        <w:t xml:space="preserve">means L Brands, Inc., a Delaware corporation.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Latest Maturity Date</w:t>
      </w:r>
      <w:r>
        <w:rPr>
          <w:color w:val="000000"/>
        </w:rPr>
        <w:t xml:space="preserve">” </w:t>
      </w:r>
      <w:r>
        <w:rPr>
          <w:rFonts w:ascii="Times New Roman;sans-serif" w:hAnsi="Times New Roman;sans-serif"/>
          <w:b w:val="false"/>
          <w:color w:val="000000"/>
          <w:sz w:val="22"/>
        </w:rPr>
        <w:t>means, as of any date of determination, the latest maturity or expiration date applicable to any Loan or Commitment hereunder at such time, including the latest maturity or expiration date of any Initial Term Loan or Additional Term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Lender Presentation</w:t>
      </w:r>
      <w:r>
        <w:rPr>
          <w:color w:val="000000"/>
        </w:rPr>
        <w:t xml:space="preserve">” </w:t>
      </w:r>
      <w:r>
        <w:rPr>
          <w:rFonts w:ascii="Times New Roman;sans-serif" w:hAnsi="Times New Roman;sans-serif"/>
          <w:b w:val="false"/>
          <w:color w:val="000000"/>
          <w:sz w:val="22"/>
        </w:rPr>
        <w:t>means the Lender Presentation dated June 22, 2021 used in connection with the syndication of the initial credit facilities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Lender-Related Person</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9.04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Liabilities</w:t>
      </w:r>
      <w:r>
        <w:rPr>
          <w:color w:val="000000"/>
        </w:rPr>
        <w:t xml:space="preserve">” </w:t>
      </w:r>
      <w:r>
        <w:rPr>
          <w:rFonts w:ascii="Times New Roman;sans-serif" w:hAnsi="Times New Roman;sans-serif"/>
          <w:b w:val="false"/>
          <w:color w:val="000000"/>
          <w:sz w:val="22"/>
        </w:rPr>
        <w:t xml:space="preserve">means any losses, claims (including intraparty claims), demands, damages or liabilities of any kind.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Lenders</w:t>
      </w:r>
      <w:r>
        <w:rPr>
          <w:color w:val="000000"/>
        </w:rPr>
        <w:t xml:space="preserve">” </w:t>
      </w:r>
      <w:r>
        <w:rPr>
          <w:rFonts w:ascii="Times New Roman;sans-serif" w:hAnsi="Times New Roman;sans-serif"/>
          <w:b w:val="false"/>
          <w:color w:val="000000"/>
          <w:sz w:val="22"/>
        </w:rPr>
        <w:t xml:space="preserve">means the Term Lenders, any lender with an Additional Commitment or an outstanding Additional Loan and any other Person that becomes a party hereto pursuant to an Assignment Agreement, other than any such Person that ceases to be a party hereto pursuant to an Assignment Agreement or as a result of the application of </w:t>
      </w:r>
      <w:r>
        <w:rPr>
          <w:rFonts w:ascii="Times New Roman;sans-serif" w:hAnsi="Times New Roman;sans-serif"/>
          <w:b w:val="false"/>
          <w:color w:val="000000"/>
          <w:sz w:val="22"/>
          <w:u w:val="single"/>
        </w:rPr>
        <w:t>Section 9.05(g)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2"/>
        </w:rPr>
        <w:t>LIBO Rate</w:t>
      </w:r>
      <w:r>
        <w:rPr>
          <w:strike/>
          <w:color w:val="FF0000"/>
        </w:rPr>
        <w:t xml:space="preserve">” </w:t>
      </w:r>
      <w:r>
        <w:rPr>
          <w:rFonts w:ascii="Times New Roman;sans-serif" w:hAnsi="Times New Roman;sans-serif"/>
          <w:b w:val="false"/>
          <w:strike/>
          <w:color w:val="FF0000"/>
          <w:sz w:val="22"/>
        </w:rPr>
        <w:t>means, with respect to any Eurodollar Borrowing for any Interest Period, the LIBO Screen Rate at approximately 11:00 a.m., London time, two Business Days prior to the commencement of such Interest Period; provided that if the LIBO Screen Rate shall not be available at such time for such Interest Period (an “</w:t>
      </w:r>
      <w:r>
        <w:rPr>
          <w:rFonts w:ascii="Times New Roman;sans-serif" w:hAnsi="Times New Roman;sans-serif"/>
          <w:b/>
          <w:strike/>
          <w:color w:val="FF0000"/>
          <w:sz w:val="22"/>
        </w:rPr>
        <w:t>Impacted Interest Period</w:t>
      </w:r>
      <w:r>
        <w:rPr>
          <w:strike/>
          <w:color w:val="FF0000"/>
        </w:rPr>
        <w:t>”</w:t>
      </w:r>
      <w:r>
        <w:rPr>
          <w:rFonts w:ascii="Times New Roman;sans-serif" w:hAnsi="Times New Roman;sans-serif"/>
          <w:b w:val="false"/>
          <w:strike/>
          <w:color w:val="FF0000"/>
          <w:sz w:val="22"/>
        </w:rPr>
        <w:t>) then the LIBO Rate shall be the Interpolated Rate.</w:t>
      </w:r>
    </w:p>
    <w:p>
      <w:pPr>
        <w:pStyle w:val="TextBody"/>
        <w:bidi w:val="0"/>
        <w:spacing w:lineRule="auto" w:line="240" w:before="0" w:after="220"/>
        <w:ind w:left="0" w:right="0" w:firstLine="720"/>
        <w:jc w:val="both"/>
        <w:rPr/>
      </w:pPr>
      <w:r>
        <w:rPr>
          <w:strike/>
          <w:color w:val="FF0000"/>
        </w:rPr>
        <w:t>“</w:t>
      </w:r>
      <w:r>
        <w:rPr>
          <w:rFonts w:ascii="Times New Roman;sans-serif" w:hAnsi="Times New Roman;sans-serif"/>
          <w:b/>
          <w:strike/>
          <w:color w:val="FF0000"/>
          <w:sz w:val="22"/>
        </w:rPr>
        <w:t>LIBO Screen Rate</w:t>
      </w:r>
      <w:r>
        <w:rPr>
          <w:strike/>
          <w:color w:val="FF0000"/>
        </w:rPr>
        <w:t xml:space="preserve">” </w:t>
      </w:r>
      <w:r>
        <w:rPr>
          <w:rFonts w:ascii="Times New Roman;sans-serif" w:hAnsi="Times New Roman;sans-serif"/>
          <w:b w:val="false"/>
          <w:strike/>
          <w:color w:val="FF0000"/>
          <w:sz w:val="22"/>
        </w:rPr>
        <w:t xml:space="preserve">means, for any day and time, with respect to any LIBO Rate Borrowing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62890"/>
                <wp:effectExtent l="0" t="0" r="0" b="0"/>
                <wp:wrapNone/>
                <wp:docPr id="86" name="Frame8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page of such other information service that publishes such rate from time to time as selected by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Lien</w:t>
      </w:r>
      <w:r>
        <w:rPr>
          <w:color w:val="000000"/>
        </w:rPr>
        <w:t xml:space="preserve">” </w:t>
      </w:r>
      <w:r>
        <w:rPr>
          <w:rFonts w:ascii="Times New Roman;sans-serif" w:hAnsi="Times New Roman;sans-serif"/>
          <w:b w:val="false"/>
          <w:color w:val="000000"/>
          <w:sz w:val="22"/>
        </w:rPr>
        <w:t>means any mortgage, pledge, security interest, encumbrance, lien or charge of any kind (including any conditional sale or other title retention agreement or lease in the nature thereof), in each case in the nature of security; provided that in no event shall a Non-Financing Lease Obligation in and of itself be deemed to constitute a Lien or lease in the nature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Loan Documents</w:t>
      </w:r>
      <w:r>
        <w:rPr>
          <w:color w:val="000000"/>
        </w:rPr>
        <w:t xml:space="preserve">” </w:t>
      </w:r>
      <w:r>
        <w:rPr>
          <w:rFonts w:ascii="Times New Roman;sans-serif" w:hAnsi="Times New Roman;sans-serif"/>
          <w:b w:val="false"/>
          <w:color w:val="000000"/>
          <w:sz w:val="22"/>
        </w:rPr>
        <w:t>means this Agreement, any Promissory Note, the Collateral Documents, the ABL Intercreditor Agreement, any Acceptable Intercreditor Agreement and any other document or instrument designated by the Company and the Administrative Agent as a “Loan Document”, including any Incremental Facility Amendment, Refinancing Amendment or Extension Amendment or any other amendment hereto or thereto. Any reference in this Agreement or any other Loan Document to a Loan Document shall include all appendices, exhibits or schedules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Loan Installment Date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2.10(a)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Loan Parties</w:t>
      </w:r>
      <w:r>
        <w:rPr>
          <w:color w:val="000000"/>
        </w:rPr>
        <w:t xml:space="preserve">” </w:t>
      </w:r>
      <w:r>
        <w:rPr>
          <w:rFonts w:ascii="Times New Roman;sans-serif" w:hAnsi="Times New Roman;sans-serif"/>
          <w:b w:val="false"/>
          <w:color w:val="000000"/>
          <w:sz w:val="22"/>
        </w:rPr>
        <w:t>means the Borrowers and the Subsidiary Loan Parties.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Loans</w:t>
      </w:r>
      <w:r>
        <w:rPr>
          <w:color w:val="000000"/>
        </w:rPr>
        <w:t xml:space="preserve">” </w:t>
      </w:r>
      <w:r>
        <w:rPr>
          <w:rFonts w:ascii="Times New Roman;sans-serif" w:hAnsi="Times New Roman;sans-serif"/>
          <w:b w:val="false"/>
          <w:color w:val="000000"/>
          <w:sz w:val="22"/>
        </w:rPr>
        <w:t>means the loans made by the Lenders to the Borrowers pursuant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 xml:space="preserve">Management Advances” </w:t>
      </w:r>
      <w:r>
        <w:rPr>
          <w:rFonts w:ascii="Times New Roman;sans-serif" w:hAnsi="Times New Roman;sans-serif"/>
          <w:b w:val="false"/>
          <w:color w:val="000000"/>
          <w:sz w:val="22"/>
        </w:rPr>
        <w:t xml:space="preserve">means (1) loans or advances made to directors, management members, officers, employees or consultants of the Company or any Restricted Subsidiary (x) in respect of travel, entertainment or moving-related expenses incurred in the ordinary course of business, (y) in respect of moving-related expenses incurred in connection with any closing or consolidation of any facility or (z) in the ordinary course of business and (in the case of this clause (z)) not exceeding $20.0 million in the aggregate outstanding at any time, (2) promissory notes of Management Investors acquired in connection with the issuance of Management Stock to such Management Investors, (3) Management Guarantees, or (4) other Guarantees of borrowings by Management Investors in connection with the purchase of Management Stock, which Guarantees are permitted under </w:t>
      </w:r>
      <w:r>
        <w:rPr>
          <w:rFonts w:ascii="Times New Roman;sans-serif" w:hAnsi="Times New Roman;sans-serif"/>
          <w:b w:val="false"/>
          <w:color w:val="000000"/>
          <w:sz w:val="22"/>
          <w:u w:val="single"/>
        </w:rPr>
        <w:t>Section 6.0</w:t>
      </w:r>
      <w:r>
        <w:rPr>
          <w:rFonts w:ascii="Times New Roman;sans-serif" w:hAnsi="Times New Roman;sans-serif"/>
          <w:b w:val="false"/>
          <w:color w:val="000000"/>
          <w:sz w:val="22"/>
        </w:rPr>
        <w:t>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Management Guarantees”</w:t>
      </w:r>
      <w:r>
        <w:rPr>
          <w:color w:val="000000"/>
        </w:rPr>
        <w:t xml:space="preserve"> </w:t>
      </w:r>
      <w:r>
        <w:rPr>
          <w:rFonts w:ascii="Times New Roman;sans-serif" w:hAnsi="Times New Roman;sans-serif"/>
          <w:b w:val="false"/>
          <w:color w:val="000000"/>
          <w:sz w:val="22"/>
        </w:rPr>
        <w:t>means guarantees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of up to an aggregate principal amount outstanding at any time of $30.0 million of borrowings by Management Investors in connection with their purchase of Management Stock or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made on behalf of, or in respect of loans or advances made to, directors, officers, employees or consultants of the Company or any Restricted Subsidiary (</w:t>
      </w:r>
      <w:r>
        <w:rPr>
          <w:rFonts w:ascii="Times New Roman;sans-serif" w:hAnsi="Times New Roman;sans-serif"/>
          <w:b w:val="false"/>
          <w:color w:val="000000"/>
          <w:sz w:val="22"/>
          <w:u w:val="single"/>
        </w:rPr>
        <w:t>1</w:t>
      </w:r>
      <w:r>
        <w:rPr>
          <w:rFonts w:ascii="Times New Roman;sans-serif" w:hAnsi="Times New Roman;sans-serif"/>
          <w:b w:val="false"/>
          <w:color w:val="000000"/>
          <w:sz w:val="22"/>
        </w:rPr>
        <w:t>) in respect of travel, entertainment and moving related expenses incurred in the ordinary course of business or (</w:t>
      </w:r>
      <w:r>
        <w:rPr>
          <w:rFonts w:ascii="Times New Roman;sans-serif" w:hAnsi="Times New Roman;sans-serif"/>
          <w:b w:val="false"/>
          <w:color w:val="000000"/>
          <w:sz w:val="22"/>
          <w:u w:val="single"/>
        </w:rPr>
        <w:t>2</w:t>
      </w:r>
      <w:r>
        <w:rPr>
          <w:rFonts w:ascii="Times New Roman;sans-serif" w:hAnsi="Times New Roman;sans-serif"/>
          <w:b w:val="false"/>
          <w:color w:val="000000"/>
          <w:sz w:val="22"/>
        </w:rPr>
        <w:t>) in the ordinary course of business and (in the case of this clause (2)) not exceeding $15.0 million in the aggregate outstanding at any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Management Indebtedness”</w:t>
      </w:r>
      <w:r>
        <w:rPr>
          <w:color w:val="000000"/>
        </w:rPr>
        <w:t xml:space="preserve"> </w:t>
      </w:r>
      <w:r>
        <w:rPr>
          <w:rFonts w:ascii="Times New Roman;sans-serif" w:hAnsi="Times New Roman;sans-serif"/>
          <w:b w:val="false"/>
          <w:color w:val="000000"/>
          <w:sz w:val="22"/>
        </w:rPr>
        <w:t xml:space="preserve">means Indebtedness Incurred to (a) any Person other than a Management Investor of up to an aggregate principal amount outstanding at any time of $30.0 million and (b) any Management Investor, in each case, to finance the repurchase or other acquisition of Capital Stock of the Company or any Restricted Subsidiary (including any options, warrants or other rights in respect thereof) from any Management Investor, which repurchase or other acquisition of Capital Stock is permitted by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Management Investors</w:t>
      </w:r>
      <w:r>
        <w:rPr>
          <w:color w:val="000000"/>
        </w:rPr>
        <w:t xml:space="preserve">” </w:t>
      </w:r>
      <w:r>
        <w:rPr>
          <w:rFonts w:ascii="Times New Roman;sans-serif" w:hAnsi="Times New Roman;sans-serif"/>
          <w:b w:val="false"/>
          <w:color w:val="000000"/>
          <w:sz w:val="22"/>
        </w:rPr>
        <w:t xml:space="preserve">means the management members, officers, directors, employees and other members of the management of the Company or any of its Subsidiaries, or family members or relatives of any of the foregoing, or trusts, partnerships or limited liability companies for the benefit of any of the foregoing, or any of their heirs, executors, successors and legal representatives, who at any date beneficially own or have the right to acquire, directly or indirectly, Capital Stock of the Company or any Restricted Subsidiary.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Management Stock”</w:t>
      </w:r>
      <w:r>
        <w:rPr>
          <w:color w:val="000000"/>
        </w:rPr>
        <w:t xml:space="preserve"> </w:t>
      </w:r>
      <w:r>
        <w:rPr>
          <w:rFonts w:ascii="Times New Roman;sans-serif" w:hAnsi="Times New Roman;sans-serif"/>
          <w:b w:val="false"/>
          <w:color w:val="000000"/>
          <w:sz w:val="22"/>
        </w:rPr>
        <w:t>means Capital Stock of the Company or any Restricted Subsidiary (including any options, warrants or other rights in respect thereof) held by any of the Management Investors.</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62890"/>
                <wp:effectExtent l="0" t="0" r="0" b="0"/>
                <wp:wrapNone/>
                <wp:docPr id="87" name="Frame8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Market Capitalization</w:t>
      </w:r>
      <w:r>
        <w:rPr>
          <w:color w:val="000000"/>
        </w:rPr>
        <w:t xml:space="preserve">” </w:t>
      </w:r>
      <w:r>
        <w:rPr>
          <w:rFonts w:ascii="Times New Roman;sans-serif" w:hAnsi="Times New Roman;sans-serif"/>
          <w:b w:val="false"/>
          <w:color w:val="000000"/>
          <w:sz w:val="22"/>
        </w:rPr>
        <w:t>means an amount equal to (i) the total number of issued and outstanding shares of capital stock of the Company or any direct or indirect parent company on the date of declaration of the relevant dividend multiplied by (ii) the arithmetic mean of the closing prices per share of such capital stock on the New York Stock Exchange (or, if the primary listing of such capital stock is on another exchange, on such other exchange) for the 30 consecutive trading days immediately preceding the date of declaration of such dividend.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Market Intercreditor Agreement</w:t>
      </w:r>
      <w:r>
        <w:rPr>
          <w:color w:val="000000"/>
        </w:rPr>
        <w:t xml:space="preserve">” </w:t>
      </w:r>
      <w:r>
        <w:rPr>
          <w:rFonts w:ascii="Times New Roman;sans-serif" w:hAnsi="Times New Roman;sans-serif"/>
          <w:b w:val="false"/>
          <w:color w:val="000000"/>
          <w:sz w:val="22"/>
        </w:rPr>
        <w:t>means an intercreditor or subordination agreement or arrangement (which may take the form of a “waterfall” or similar provision) the terms of which are either (a) consistent with market terms governing intercreditor arrangements for the sharing or subordination of liens or arrangements relating to the distribution of payments, as applicable, at the time the applicable agreement or arrangement is proposed to be established in light of the type of Indebtedness subject thereto or (b) in the case of the ABL Intercreditor Agreement, or in the event a “Market Intercreditor Agreement” has been entered into after the Closing Date meeting the requirement of preceding clause (a), the terms of which are, taken as a whole, not materially less favorable to the Lenders than the terms of such Intercreditor Agreement or Market Intercreditor Agreement to the extent such agreement governs similar priorities, in each case of clause (a) or (b) as determined by the Company in good faith.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Material Acquisition</w:t>
      </w:r>
      <w:r>
        <w:rPr>
          <w:color w:val="000000"/>
        </w:rPr>
        <w:t xml:space="preserve">” </w:t>
      </w:r>
      <w:r>
        <w:rPr>
          <w:rFonts w:ascii="Times New Roman;sans-serif" w:hAnsi="Times New Roman;sans-serif"/>
          <w:b w:val="false"/>
          <w:color w:val="000000"/>
          <w:sz w:val="22"/>
        </w:rPr>
        <w:t>means any acquisition or other Investment the aggregate consideration for which exceeds $375,000,000.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Material Adverse Effect</w:t>
      </w:r>
      <w:r>
        <w:rPr>
          <w:color w:val="000000"/>
        </w:rPr>
        <w:t xml:space="preserve">” </w:t>
      </w:r>
      <w:r>
        <w:rPr>
          <w:rFonts w:ascii="Times New Roman;sans-serif" w:hAnsi="Times New Roman;sans-serif"/>
          <w:b w:val="false"/>
          <w:color w:val="000000"/>
          <w:sz w:val="22"/>
        </w:rPr>
        <w:t xml:space="preserve">means a material adverse effect on (i) the business, financial condition or results of operations of the Company and its Restricted Subsidiaries, taken as a whole or (ii) the material rights and remedies (taken as a whole) of the Administrative Agent under the applicable Loan Documents.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Material Debt Instrument</w:t>
      </w:r>
      <w:r>
        <w:rPr>
          <w:color w:val="000000"/>
        </w:rPr>
        <w:t xml:space="preserve">” </w:t>
      </w:r>
      <w:r>
        <w:rPr>
          <w:rFonts w:ascii="Times New Roman;sans-serif" w:hAnsi="Times New Roman;sans-serif"/>
          <w:b w:val="false"/>
          <w:color w:val="000000"/>
          <w:sz w:val="22"/>
        </w:rPr>
        <w:t>means any physical instrument evidencing any Indebtedness for borrowed money which is required to be pledged and delivered to the Administrative Agent (or its bailee) pursuant to the Collateral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Material Investment</w:t>
      </w:r>
      <w:r>
        <w:rPr>
          <w:color w:val="000000"/>
        </w:rPr>
        <w:t xml:space="preserve">” </w:t>
      </w:r>
      <w:r>
        <w:rPr>
          <w:rFonts w:ascii="Times New Roman;sans-serif" w:hAnsi="Times New Roman;sans-serif"/>
          <w:b w:val="false"/>
          <w:color w:val="000000"/>
          <w:sz w:val="22"/>
        </w:rPr>
        <w:t>means any Investment, the aggregate consideration for which is greater than $375,000,000.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Material Subsidiary”</w:t>
      </w:r>
      <w:r>
        <w:rPr>
          <w:color w:val="000000"/>
        </w:rPr>
        <w:t xml:space="preserve"> </w:t>
      </w:r>
      <w:r>
        <w:rPr>
          <w:rFonts w:ascii="Times New Roman;sans-serif" w:hAnsi="Times New Roman;sans-serif"/>
          <w:b w:val="false"/>
          <w:color w:val="000000"/>
          <w:sz w:val="22"/>
        </w:rPr>
        <w:t>means any Restricted Subsidiary of the Company that is not an Immaterial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Maturity Date</w:t>
      </w:r>
      <w:r>
        <w:rPr>
          <w:color w:val="000000"/>
        </w:rPr>
        <w:t xml:space="preserve">” </w:t>
      </w:r>
      <w:r>
        <w:rPr>
          <w:rFonts w:ascii="Times New Roman;sans-serif" w:hAnsi="Times New Roman;sans-serif"/>
          <w:b w:val="false"/>
          <w:color w:val="000000"/>
          <w:sz w:val="22"/>
        </w:rPr>
        <w:t>means (a) with respect to the Initial Term Loans, the Initial Term Loan Maturity Date, (b) with respect to any Replacement Term Loans, the final maturity date for such Replacement Term Loans, as set forth in the applicable Refinancing Amendment, and (c) with respect to any Incremental Facility, the final maturity date set forth in the applicable Incremental Facility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Maximum Rate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9.19</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MFN Provision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2.22(a)(v)</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Moody’s</w:t>
      </w:r>
      <w:r>
        <w:rPr>
          <w:color w:val="000000"/>
        </w:rPr>
        <w:t xml:space="preserve">” </w:t>
      </w:r>
      <w:r>
        <w:rPr>
          <w:rFonts w:ascii="Times New Roman;sans-serif" w:hAnsi="Times New Roman;sans-serif"/>
          <w:b w:val="false"/>
          <w:color w:val="000000"/>
          <w:sz w:val="22"/>
        </w:rPr>
        <w:t>means Moody’s Investors Service, Inc.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Multiemployer Plan</w:t>
      </w:r>
      <w:r>
        <w:rPr>
          <w:color w:val="000000"/>
        </w:rPr>
        <w:t xml:space="preserve">” </w:t>
      </w:r>
      <w:r>
        <w:rPr>
          <w:rFonts w:ascii="Times New Roman;sans-serif" w:hAnsi="Times New Roman;sans-serif"/>
          <w:b w:val="false"/>
          <w:color w:val="000000"/>
          <w:sz w:val="22"/>
        </w:rPr>
        <w:t>means a multiemployer plan as defined in Section 4001(a)(3)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Net Available Cash</w:t>
      </w:r>
      <w:r>
        <w:rPr>
          <w:color w:val="000000"/>
        </w:rPr>
        <w:t xml:space="preserve">” </w:t>
      </w:r>
      <w:r>
        <w:rPr>
          <w:rFonts w:ascii="Times New Roman;sans-serif" w:hAnsi="Times New Roman;sans-serif"/>
          <w:b w:val="false"/>
          <w:color w:val="000000"/>
          <w:sz w:val="22"/>
        </w:rPr>
        <w:t xml:space="preserve">from an Asset Disposition means an amount equal to the cash payments received (including any cash payments received by way of deferred payment of principal pursuant to a note or installment receivable or otherwise,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 (i) all legal, title and recording tax expenses, commissions and other fees and expenses incurred, and all Federal, state, provincial, foreign and local </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62890"/>
                <wp:effectExtent l="0" t="0" r="0" b="0"/>
                <wp:wrapNone/>
                <wp:docPr id="88" name="Frame8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taxes required to be paid or to be accrued as a liability under GAAP, in each case as a consequence of, or in respect of, such Asset Disposition (including as a consequence of any transfer of funds in connection with the application thereof in accordance with </w:t>
      </w:r>
      <w:r>
        <w:rPr>
          <w:rFonts w:ascii="Times New Roman;sans-serif" w:hAnsi="Times New Roman;sans-serif"/>
          <w:b w:val="false"/>
          <w:color w:val="000000"/>
          <w:sz w:val="22"/>
          <w:u w:val="single"/>
        </w:rPr>
        <w:t>Section 6.04</w:t>
      </w:r>
      <w:r>
        <w:rPr>
          <w:rFonts w:ascii="Times New Roman;sans-serif" w:hAnsi="Times New Roman;sans-serif"/>
          <w:b w:val="false"/>
          <w:color w:val="000000"/>
          <w:sz w:val="22"/>
        </w:rPr>
        <w:t>), (ii) all payments made, and all installment payments required to be made, on any Indebtedness (x) that is secured by any assets subject to such Asset Disposition, in accordance with the terms of any Lien upon such assets (except, in the case of Collateral, to the extent such Lien ranks junior to the Lien thereon securing the Obligations hereunder), or (y) that must by its terms, or in order to obtain a necessary consent to such Asset Disposition, or by applicable law, be repaid out of the proceeds from such Asset Disposition, including but not limited to any payments required to be made to increase borrowing availability under any revolving credit facility, (iii) all distributions and other payments required to be made to minority interest holders in Subsidiaries or joint ventures as a result of such Asset Disposition, or to any other Person (other than the Company or a Restricted Subsidiary) owning a beneficial interest in the assets disposed of in such Asset Disposition, (iv) any liabilities or obligations associated with the assets disposed of in such Asset Disposition and retained, indemnified or insured by the Company or any Restricted Subsidiary after such Asset Disposition, including without limitation pension and other post-employment benefit liabilities, Environmental Liabilities, and liabilities relating to any indemnification obligations associated with such Asset Disposition, and (v) the amount of any purchase price or similar adjustment (x) claimed by any Person to be owed by the Company or any Restricted Subsidiary, until such time as such claim shall have been settled or otherwise finally resolved, or (y) paid or payable by the Company or any Restricted Subsidiary, in either case in respect of such Asset Disposition.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Net Cash Proceeds</w:t>
      </w:r>
      <w:r>
        <w:rPr>
          <w:color w:val="000000"/>
        </w:rPr>
        <w:t xml:space="preserve">” </w:t>
      </w:r>
      <w:r>
        <w:rPr>
          <w:rFonts w:ascii="Times New Roman;sans-serif" w:hAnsi="Times New Roman;sans-serif"/>
          <w:b w:val="false"/>
          <w:color w:val="000000"/>
          <w:sz w:val="22"/>
        </w:rPr>
        <w:t>with respect to any issuance or sale of any Indebtedness or securities of the Company or any Subsidiary by the Company or any Subsidiary, or any capital contribution, means the cash proceeds of such issuance, sale, contribution or Incurrence net of attorneys’ fees, accountants’ fees, underwriters’ or placement agents’ fees, discounts or commissions and brokerage, consultant and other fees actually incurred in connection with such issuance, sale, contribution or Incurrence and net of all taxes paid or payable as a result, or in respect,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Net Income</w:t>
      </w:r>
      <w:r>
        <w:rPr>
          <w:color w:val="000000"/>
        </w:rPr>
        <w:t xml:space="preserve">” </w:t>
      </w:r>
      <w:r>
        <w:rPr>
          <w:rFonts w:ascii="Times New Roman;sans-serif" w:hAnsi="Times New Roman;sans-serif"/>
          <w:b w:val="false"/>
          <w:color w:val="000000"/>
          <w:sz w:val="22"/>
        </w:rPr>
        <w:t>means, with respect to any Person, the net income (loss) of such Person and its Restricted Subsidiaries, determined in accordance with GAAP and before any reduction in respect of Preferred Stock dividends.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Net Insurance/Condemnation Proceeds</w:t>
      </w:r>
      <w:r>
        <w:rPr>
          <w:color w:val="000000"/>
        </w:rPr>
        <w:t xml:space="preserve">” </w:t>
      </w:r>
      <w:r>
        <w:rPr>
          <w:rFonts w:ascii="Times New Roman;sans-serif" w:hAnsi="Times New Roman;sans-serif"/>
          <w:b w:val="false"/>
          <w:color w:val="000000"/>
          <w:sz w:val="22"/>
        </w:rPr>
        <w:t xml:space="preserve">means an amount equal to: (a) any Cash payments or proceeds (including Cash Equivalents) received by the Company or any of its Restricted Subsidiaries (i) under any casualty insurance policy in respect of a covered loss thereunder of any assets of the Company or any of its Restricted Subsidiaries or (ii) as a result of the taking of any assets of the Company or any of its Restricted Subsidiaries by any Person pursuant to the power of eminent domain, condemnation or otherwise, or pursuant to a sale of any such assets to a purchaser with such power under threat of such a taking,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 xml:space="preserve">(b) (i) any actual out-of-pocket costs and expenses incurred in connection with the adjustment, settlement or collection of any claims in respect thereof, (ii) payment of the outstanding principal amount of, premium or penalty, if any, and interest and other amounts on any Indebtedness (other than the Loans, any other Indebtedness secured by a Lien on the Collateral that is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with or expressly subordinated to the Lien on the Collateral securing the Secured Obligations and any unsecured Indebtedness Incurred by a Loan Party) that is secured by a Lien on the assets in question and that is required to be repaid or otherwise comes due or would be in default under the terms thereof as a result of such loss, taking or sale, (iii) 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deed or mortgage recording taxes, other expenses and brokerage, consultant and other customary fees actually incurred in connection therewith and transfer and similar Taxes and the Company’s good faith estimate of income Taxes paid or payable (including pursuant to Tax sharing arrangements or that are or would be imposed on intercompany distributions with such proceeds)) in connection with any sale or taking of such assets as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this definition, (v) any amounts provided as a reserve in accordance with GAAP against any liabilities under any indemnification obligation or purchase price adjustments associated with any sale or taking of such assets as referred to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of this definition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and at the time any such amounts are released from such reserve, other than to make a payment for which such amount was reserved, such amounts shall constitute Net Insurance/</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62890"/>
                <wp:effectExtent l="0" t="0" r="0" b="0"/>
                <wp:wrapNone/>
                <wp:docPr id="89" name="Frame8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Condemnation Proceeds) and (vi) in the case of any covered loss or taking from any non-Wholly-Owned Subsidiary, the pro rata portion thereof (calculated without regard to this </w:t>
      </w:r>
      <w:r>
        <w:rPr>
          <w:rFonts w:ascii="Times New Roman;sans-serif" w:hAnsi="Times New Roman;sans-serif"/>
          <w:b w:val="false"/>
          <w:color w:val="000000"/>
          <w:sz w:val="22"/>
          <w:u w:val="single"/>
        </w:rPr>
        <w:t>clause (vi)</w:t>
      </w:r>
      <w:r>
        <w:rPr>
          <w:rFonts w:ascii="Times New Roman;sans-serif" w:hAnsi="Times New Roman;sans-serif"/>
          <w:b w:val="false"/>
          <w:color w:val="000000"/>
          <w:sz w:val="22"/>
        </w:rPr>
        <w:t>) attributable to minority interests and not available for distribution to or for the account of the Company or a Wholly-Owned Subsidiary as a result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Net Short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Non-Consenting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2.19(b)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Non-Financing Lease Obligation</w:t>
      </w:r>
      <w:r>
        <w:rPr>
          <w:color w:val="000000"/>
        </w:rPr>
        <w:t xml:space="preserve">” </w:t>
      </w:r>
      <w:r>
        <w:rPr>
          <w:rFonts w:ascii="Times New Roman;sans-serif" w:hAnsi="Times New Roman;sans-serif"/>
          <w:b w:val="false"/>
          <w:color w:val="000000"/>
          <w:sz w:val="22"/>
        </w:rPr>
        <w:t>of any Person means a lease obligation of such Person that is not an obligation in respect of a Finance Lease Obligation. A straight-line or operating lease shall be considered a Non-Financing Lease Obligation.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Non-ABL Priority Collateral</w:t>
      </w:r>
      <w:r>
        <w:rPr>
          <w:color w:val="000000"/>
        </w:rPr>
        <w:t xml:space="preserve">” </w:t>
      </w:r>
      <w:r>
        <w:rPr>
          <w:rFonts w:ascii="Times New Roman;sans-serif" w:hAnsi="Times New Roman;sans-serif"/>
          <w:b w:val="false"/>
          <w:color w:val="000000"/>
          <w:sz w:val="22"/>
        </w:rPr>
        <w:t>has the meaning assigned to such term in the ABL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Non-ABL Secured Debt Obligations</w:t>
      </w:r>
      <w:r>
        <w:rPr>
          <w:color w:val="000000"/>
        </w:rPr>
        <w:t xml:space="preserve">” </w:t>
      </w:r>
      <w:r>
        <w:rPr>
          <w:rFonts w:ascii="Times New Roman;sans-serif" w:hAnsi="Times New Roman;sans-serif"/>
          <w:b w:val="false"/>
          <w:color w:val="000000"/>
          <w:sz w:val="22"/>
        </w:rPr>
        <w:t>means the Obligations hereunder (including the Subsidiary Guarantees), the Collateral Documents and this Agreement, and any Additional Non-ABL Secured Debt Obligations; provided, however, that (i) such indebtedness is permitted to be incurred and is permitted to be so secured and guaranteed on such basis by this Agreement and (ii) in the case of any Non-ABL Secured Debt Obligations incurred after the Closing Date, the Representative for the holders of such indebtedness will have become party to the ABL Intercreditor Agreement and, if applicable, the Pari Passu Intercreditor Agreement or another Acceptable Intercreditor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NYFRB</w:t>
      </w:r>
      <w:r>
        <w:rPr>
          <w:color w:val="000000"/>
        </w:rPr>
        <w:t xml:space="preserve">” </w:t>
      </w:r>
      <w:r>
        <w:rPr>
          <w:rFonts w:ascii="Times New Roman;sans-serif" w:hAnsi="Times New Roman;sans-serif"/>
          <w:b w:val="false"/>
          <w:color w:val="000000"/>
          <w:sz w:val="22"/>
        </w:rPr>
        <w:t>means the Federal Reserve Bank of New York.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NYFRB Rate</w:t>
      </w:r>
      <w:r>
        <w:rPr>
          <w:color w:val="000000"/>
        </w:rPr>
        <w:t xml:space="preserve">” </w:t>
      </w:r>
      <w:r>
        <w:rPr>
          <w:rFonts w:ascii="Times New Roman;sans-serif" w:hAnsi="Times New Roman;sans-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if any of the aforesaid rates shall be less than zero, such rate shall be deemed to be zero for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Obligations</w:t>
      </w:r>
      <w:r>
        <w:rPr>
          <w:color w:val="000000"/>
        </w:rPr>
        <w:t xml:space="preserve">” </w:t>
      </w:r>
      <w:r>
        <w:rPr>
          <w:rFonts w:ascii="Times New Roman;sans-serif" w:hAnsi="Times New Roman;sans-serif"/>
          <w:b w:val="false"/>
          <w:color w:val="000000"/>
          <w:sz w:val="22"/>
        </w:rPr>
        <w:t>means, with respect to any Indebtedness, any principal, premium (if any), interest (including interest accruing on or after the filing of any petition in bankruptcy or for reorganization relating to the Company or any Restricted Subsidiary whether or not a claim for post-filing interest is allowed or allowable in such proceedings), fees, charges, expenses, reimbursement obligations, Guarantees of such Indebtedness (or of Obligations in respect thereof), other monetary obligations of any nature and all other amounts payable thereunder or in respect thereof. As used herein, unless the context dictates otherwise, the “Obligations” shall refer to Obligations under this Agreement and the other Loan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Officer</w:t>
      </w:r>
      <w:r>
        <w:rPr>
          <w:color w:val="000000"/>
        </w:rPr>
        <w:t xml:space="preserve">” </w:t>
      </w:r>
      <w:r>
        <w:rPr>
          <w:rFonts w:ascii="Times New Roman;sans-serif" w:hAnsi="Times New Roman;sans-serif"/>
          <w:b w:val="false"/>
          <w:color w:val="000000"/>
          <w:sz w:val="22"/>
        </w:rPr>
        <w:t>means, with respect to the Company or any other obligor upon the Loans, the Chairman of the Board, the President, the Chief Executive Officer, the Chief Financial Officer, any Vice President, the Controller, the Treasurer or the Secretary (a) of such Person or (b) if such Person is owned or managed by a single entity, of such entity (or any other individual designated as an “Officer” for the purposes of this Agreement by the Board of Directors).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Officer’s Certificate”</w:t>
      </w:r>
      <w:r>
        <w:rPr>
          <w:color w:val="000000"/>
        </w:rPr>
        <w:t xml:space="preserve"> </w:t>
      </w:r>
      <w:r>
        <w:rPr>
          <w:rFonts w:ascii="Times New Roman;sans-serif" w:hAnsi="Times New Roman;sans-serif"/>
          <w:b w:val="false"/>
          <w:color w:val="000000"/>
          <w:sz w:val="22"/>
        </w:rPr>
        <w:t>means, with respect to the Company or any other obligor upon the Loans, a certificate signed by one Officer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Organizational Documents</w:t>
      </w:r>
      <w:r>
        <w:rPr>
          <w:color w:val="000000"/>
        </w:rPr>
        <w:t xml:space="preserve">” </w:t>
      </w:r>
      <w:r>
        <w:rPr>
          <w:rFonts w:ascii="Times New Roman;sans-serif" w:hAnsi="Times New Roman;sans-serif"/>
          <w:b w:val="false"/>
          <w:color w:val="000000"/>
          <w:sz w:val="22"/>
        </w:rPr>
        <w:t xml:space="preserve">means (a) with respect to any corporation, its certificate or articles of incorporation or organization and its by-laws,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or limited liability company agreement and (e) with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62890"/>
                <wp:effectExtent l="0" t="0" r="0" b="0"/>
                <wp:wrapNone/>
                <wp:docPr id="90" name="Frame9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respect to any other form of entity, such other organizational documents required by local Requirements of Law or customary under the jurisdiction in which such entity is organized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Open Account Agreement</w:t>
      </w:r>
      <w:r>
        <w:rPr>
          <w:color w:val="000000"/>
        </w:rPr>
        <w:t xml:space="preserve">” </w:t>
      </w:r>
      <w:r>
        <w:rPr>
          <w:rFonts w:ascii="Times New Roman;sans-serif" w:hAnsi="Times New Roman;sans-serif"/>
          <w:b w:val="false"/>
          <w:color w:val="000000"/>
          <w:sz w:val="22"/>
        </w:rPr>
        <w:t>has the meaning specified in the ABL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Open Account Obligations</w:t>
      </w:r>
      <w:r>
        <w:rPr>
          <w:color w:val="000000"/>
        </w:rPr>
        <w:t xml:space="preserve">” </w:t>
      </w:r>
      <w:r>
        <w:rPr>
          <w:rFonts w:ascii="Times New Roman;sans-serif" w:hAnsi="Times New Roman;sans-serif"/>
          <w:b w:val="false"/>
          <w:color w:val="000000"/>
          <w:sz w:val="22"/>
        </w:rPr>
        <w:t>of any Person means the obligations of such Person pursuant to any Open Account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Overnight Bank Funding Rate</w:t>
      </w:r>
      <w:r>
        <w:rPr>
          <w:color w:val="000000"/>
        </w:rPr>
        <w:t xml:space="preserve">” </w:t>
      </w:r>
      <w:r>
        <w:rPr>
          <w:rFonts w:ascii="Times New Roman;sans-serif" w:hAnsi="Times New Roman;sans-serif"/>
          <w:b w:val="false"/>
          <w:color w:val="000000"/>
          <w:sz w:val="22"/>
        </w:rPr>
        <w:t xml:space="preserve">means, for any day, the rate comprised of both overnight federal funds and overnight </w:t>
      </w:r>
      <w:r>
        <w:rPr>
          <w:rFonts w:ascii="Times New Roman;sans-serif" w:hAnsi="Times New Roman;sans-serif"/>
          <w:b w:val="false"/>
          <w:strike/>
          <w:color w:val="FF0000"/>
          <w:sz w:val="22"/>
        </w:rPr>
        <w:t>Eurodollar borrowings</w:t>
      </w:r>
      <w:r>
        <w:rPr>
          <w:rFonts w:ascii="Times New Roman;sans-serif" w:hAnsi="Times New Roman;sans-serif"/>
          <w:b/>
          <w:color w:val="0000FF"/>
          <w:sz w:val="22"/>
          <w:u w:val="single"/>
        </w:rPr>
        <w:t>eurodollar transactions denominated in Dollars</w:t>
      </w:r>
      <w:r>
        <w:rPr>
          <w:color w:val="000000"/>
        </w:rPr>
        <w:t xml:space="preserve"> </w:t>
      </w:r>
      <w:r>
        <w:rPr>
          <w:rFonts w:ascii="Times New Roman;sans-serif" w:hAnsi="Times New Roman;sans-serif"/>
          <w:b w:val="false"/>
          <w:color w:val="000000"/>
          <w:sz w:val="22"/>
        </w:rPr>
        <w:t>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Other Connection Taxes</w:t>
      </w:r>
      <w:r>
        <w:rPr>
          <w:color w:val="000000"/>
        </w:rPr>
        <w:t xml:space="preserve">” </w:t>
      </w:r>
      <w:r>
        <w:rPr>
          <w:rFonts w:ascii="Times New Roman;sans-serif" w:hAnsi="Times New Roman;sans-serif"/>
          <w:b w:val="false"/>
          <w:color w:val="000000"/>
          <w:sz w:val="22"/>
        </w:rPr>
        <w:t>means, with respect to any Lender, Administrative Agent, any other recipient of any payment to be made by or on account of any obligation of any Loan Party hereunder,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Other Subject Indebtedness</w:t>
      </w:r>
      <w:r>
        <w:rPr>
          <w:color w:val="000000"/>
        </w:rPr>
        <w:t xml:space="preserve">” </w:t>
      </w:r>
      <w:r>
        <w:rPr>
          <w:rFonts w:ascii="Times New Roman;sans-serif" w:hAnsi="Times New Roman;sans-serif"/>
          <w:b w:val="false"/>
          <w:color w:val="000000"/>
          <w:sz w:val="22"/>
        </w:rPr>
        <w:t>means any Indebtedness of any Loan Party evidenced by bonds, debentures, notes or similar instruments incurred in compliance with this Agreement that is secured by Liens on the Collateral on a pari passu basis with the Liens on the Collateral securing the Obligations (without regard to the control of remedies).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Other Taxes</w:t>
      </w:r>
      <w:r>
        <w:rPr>
          <w:color w:val="000000"/>
        </w:rPr>
        <w:t xml:space="preserve">” </w:t>
      </w:r>
      <w:r>
        <w:rPr>
          <w:rFonts w:ascii="Times New Roman;sans-serif" w:hAnsi="Times New Roman;sans-serif"/>
          <w:b w:val="false"/>
          <w:color w:val="000000"/>
          <w:sz w:val="22"/>
        </w:rPr>
        <w:t>means any and all present or future recording, stamp, documentary, intangible filing, excise, property or similar taxes, charges or levies imposed by the United States or any political subdivision thereof arising from any payment made under, from the execution, delivery, performance, enforcement or registration of, or from the registration, receipt or perfection of a security interest under, or otherwise with respect to, this Agreement, or any other Loan Document, except any such Taxes that are Other Connection Taxes imposed with respect to an assignment (other than an assignment made pursuant to Section 2.19).</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Entity</w:t>
      </w:r>
      <w:r>
        <w:rPr>
          <w:color w:val="000000"/>
        </w:rPr>
        <w:t xml:space="preserve">” </w:t>
      </w:r>
      <w:r>
        <w:rPr>
          <w:rFonts w:ascii="Times New Roman;sans-serif" w:hAnsi="Times New Roman;sans-serif"/>
          <w:b w:val="false"/>
          <w:color w:val="000000"/>
          <w:sz w:val="22"/>
        </w:rPr>
        <w:t>means, with respect to a Person, any direct or indirect parent of such Person, and, if not in reference to any Person, any direct or indirect parent of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Entity Expenses</w:t>
      </w:r>
      <w:r>
        <w:rPr>
          <w:color w:val="000000"/>
        </w:rPr>
        <w:t xml:space="preserve">” </w:t>
      </w:r>
      <w:r>
        <w:rPr>
          <w:rFonts w:ascii="Times New Roman;sans-serif" w:hAnsi="Times New Roman;sans-serif"/>
          <w:b w:val="false"/>
          <w:color w:val="000000"/>
          <w:sz w:val="22"/>
        </w:rPr>
        <w:t xml:space="preserve">means (i) costs (including all professional fees and expenses) incurred by any Parent Entity in connection with maintaining its existence or in connection with its reporting obligations under, or in connection with compliance with, applicable laws or applicable rules of any governmental, regulatory or self-regulatory body or stock exchange, this Agreement or any other agreement or instrument relating to Indebtedness of the Company or any Restricted Subsidiary, including in respect of any reports filed with respect to the Securities Act, the Exchange Act or the respective rules and regulations promulgated thereunder, (ii) expenses incurred by any Parent Entity in connection with the acquisition, development, maintenance, ownership, prosecution, protection and defense of its intellectual property and associated rights (including but not limited to trademarks, service marks, trade names, trade dress, patents, copyrights and similar rights, including registrations and registration or renewal applications in respect thereof; inventions, processes, designs, formulae, trade secrets, know-how, confidential information, computer software, data and documentation, and any other intellectual property rights; and licenses of any of the foregoing) to the extent such intellectual property and associated rights relate to the business or businesses of the Company or any Subsidiary thereof, (iii) indemnification obligations of any Parent Entity owing to directors, officers, employees or other Persons under its charter or by-laws or pursuant to written agreements with or for the benefit of any such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62890"/>
                <wp:effectExtent l="0" t="0" r="0" b="0"/>
                <wp:wrapNone/>
                <wp:docPr id="91" name="Frame9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Person, or obligations in respect of director and officer insurance (including premiums therefor), (iv) other administrative and operational expenses of any Parent Entity incurred in the ordinary course of business, (v) fees and expenses incurred by any Parent Entity in connection with maintenance and implementation of any management equity incentive plan, and (vi) fees and expenses incurred by any Parent Entity in connection with any offering of Capital Stock or Indebtedness, (w) which offering is not completed, or (x) where the net proceeds of such offering are intended to be received by or contributed or loaned to the Company or a Restricted Subsidiary, or (y) in a prorated amount of such expenses in proportion to the amount of such net proceeds intended to be so received, contributed or loaned, or (z) otherwise on an interim basis prior to completion of such offering so long as any Parent Entity shall cause the amount of such expenses to be repaid to the Company or the relevant Restricted Subsidiary out of the proceeds of such offering promptly if completed.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Pari Passu Intercreditor Agreement</w:t>
      </w:r>
      <w:r>
        <w:rPr>
          <w:color w:val="000000"/>
        </w:rPr>
        <w:t xml:space="preserve">” </w:t>
      </w:r>
      <w:r>
        <w:rPr>
          <w:rFonts w:ascii="Times New Roman;sans-serif" w:hAnsi="Times New Roman;sans-serif"/>
          <w:b w:val="false"/>
          <w:color w:val="000000"/>
          <w:sz w:val="22"/>
        </w:rPr>
        <w:t>means an intercreditor agreement substantially in the form attached hereto as Exhibit M or any other intercreditor agreement that is an Acceptable Intercreditor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Parity Priority Lien”</w:t>
      </w:r>
      <w:r>
        <w:rPr>
          <w:color w:val="000000"/>
        </w:rPr>
        <w:t xml:space="preserve"> </w:t>
      </w:r>
      <w:r>
        <w:rPr>
          <w:rFonts w:ascii="Times New Roman;sans-serif" w:hAnsi="Times New Roman;sans-serif"/>
          <w:b w:val="false"/>
          <w:color w:val="000000"/>
          <w:sz w:val="22"/>
        </w:rPr>
        <w:t>means, with respect to specified Indebtedness, a Lien on the Collateral securing such Indebtedness that ranks equal with the Lien on such Collateral securing the Loans or any Subsidiary Guarantee, as applicable, either pursuant to the Pari Passu Intercreditor Agreement or one or more other intercreditor agreements that are Acceptable Intercreditor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Participant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9.05(c)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Participant Register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9.05(c)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Patents</w:t>
      </w:r>
      <w:r>
        <w:rPr>
          <w:color w:val="000000"/>
        </w:rPr>
        <w:t xml:space="preserve">” </w:t>
      </w:r>
      <w:r>
        <w:rPr>
          <w:rFonts w:ascii="Times New Roman;sans-serif" w:hAnsi="Times New Roman;sans-serif"/>
          <w:b w:val="false"/>
          <w:color w:val="000000"/>
          <w:sz w:val="22"/>
        </w:rPr>
        <w:t>means the following: (a) all patents and patent applications; (b) all inventions described and claimed therein; (c) all reissues, divisions, continuations, renewals, extensions and continuations in part thereof; (d) all income, royalties, damages and payments now or hereafter due or payable under any of the foregoing, including, without limitation, damages or payments for past or future infringements thereof; (e) the right to sue for past, present, and future infringements thereof; and (f) all domestic rights corresponding to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Payment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8.03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Payment Notice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8.03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PBGC</w:t>
      </w:r>
      <w:r>
        <w:rPr>
          <w:color w:val="000000"/>
        </w:rPr>
        <w:t xml:space="preserve">” </w:t>
      </w:r>
      <w:r>
        <w:rPr>
          <w:rFonts w:ascii="Times New Roman;sans-serif" w:hAnsi="Times New Roman;sans-serif"/>
          <w:b w:val="false"/>
          <w:color w:val="000000"/>
          <w:sz w:val="22"/>
        </w:rPr>
        <w:t>means the Pension Benefit Guaranty Corporation referred to and defined in ERISA and any successor entity performing similar functions.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Perfection Certificate</w:t>
      </w:r>
      <w:r>
        <w:rPr>
          <w:color w:val="000000"/>
        </w:rPr>
        <w:t xml:space="preserve">” </w:t>
      </w:r>
      <w:r>
        <w:rPr>
          <w:rFonts w:ascii="Times New Roman;sans-serif" w:hAnsi="Times New Roman;sans-serif"/>
          <w:b w:val="false"/>
          <w:color w:val="000000"/>
          <w:sz w:val="22"/>
        </w:rPr>
        <w:t xml:space="preserve">means a certificate substantially in the form of </w:t>
      </w:r>
      <w:r>
        <w:rPr>
          <w:rFonts w:ascii="Times New Roman;sans-serif" w:hAnsi="Times New Roman;sans-serif"/>
          <w:b w:val="false"/>
          <w:color w:val="000000"/>
          <w:sz w:val="22"/>
          <w:u w:val="single"/>
        </w:rPr>
        <w:t>Exhibit II</w:t>
      </w:r>
      <w:r>
        <w:rPr>
          <w:color w:val="000000"/>
        </w:rPr>
        <w:t xml:space="preserve"> </w:t>
      </w:r>
      <w:r>
        <w:rPr>
          <w:rFonts w:ascii="Times New Roman;sans-serif" w:hAnsi="Times New Roman;sans-serif"/>
          <w:b w:val="false"/>
          <w:color w:val="000000"/>
          <w:sz w:val="22"/>
        </w:rPr>
        <w:t>to the Collateral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Investment”</w:t>
      </w:r>
      <w:r>
        <w:rPr>
          <w:color w:val="000000"/>
        </w:rPr>
        <w:t xml:space="preserve"> </w:t>
      </w:r>
      <w:r>
        <w:rPr>
          <w:rFonts w:ascii="Times New Roman;sans-serif" w:hAnsi="Times New Roman;sans-serif"/>
          <w:b w:val="false"/>
          <w:color w:val="000000"/>
          <w:sz w:val="22"/>
        </w:rPr>
        <w:t>means an Investment by the Company or any Restricted Subsidiary in, or consisting of, any of the following: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(a)a Restricted Subsidiary, the Company, or a Person that will, upon the making of such Investment, become a Restricted Subsidiary (and any Investment held by such Person that was not acquired by such Person, or made pursuant to a commitment by such Person that was not entered into, in contemplation of so becoming a Restricted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(b)another Person if as a result of such Investment such other Person is merged or consolidated with or into, or transfers or conveys all or substantially all its assets to, or is liquidated into, the Company or a Restricted Subsidiary (and, in each case, any Investment held by such other Person that was not acquired by such Person, or made pursuant to a commitment by such Person that was not entered into, in contemplation of such merger, consolidation or transfer);</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62890"/>
                <wp:effectExtent l="0" t="0" r="0" b="0"/>
                <wp:wrapNone/>
                <wp:docPr id="92" name="Frame9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(c)Temporary Cash Investments, Investment Grade Securities or Cash Equivalents;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(d)receivables owing to the Company or any Restricted Subsidiary, if created or acquired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(e)any securities or other Investments received as consideration in, or retained in connection with, sales or other dispositions of property or assets, including Asset Dispositions made in compliance with </w:t>
      </w:r>
      <w:r>
        <w:rPr>
          <w:rFonts w:ascii="Times New Roman;sans-serif" w:hAnsi="Times New Roman;sans-serif"/>
          <w:b w:val="false"/>
          <w:color w:val="000000"/>
          <w:sz w:val="22"/>
          <w:u w:val="single"/>
        </w:rPr>
        <w:t>Section 6.04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(f)securities or other Investments received in settlement of debts created in the ordinary course of business and owing to, or of other claims asserted by, the Company or any Restricted Subsidiary, or as a result of foreclosure, perfection or enforcement of any Lien, or in satisfaction of judgments, including in connection with any bankruptcy proceeding or other reorganization of another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(g)Investments in existence or made pursuant to legally binding written commitments in existence on the Closing Date, and in each case any extension, modification, replacement, reinvestment or renewal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of any such Investment may be increased in such extension, modification, replacement, reinvestment or renewal only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as required by the terms of such Investment or binding commitment as in existence on the Closing Date or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as otherwise permitted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(h)Currency Agreements, Interest Rate Agreements, Commodities Agreements and related Hedging Obligations, which obligations are Incurred in compliance with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(i)pledges or deposits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with respect to leases or utilities provided to third parties in the ordinary course of business or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otherwise described in the definition of “Permitted Liens” or made in connection with Liens permitted under </w:t>
      </w:r>
      <w:r>
        <w:rPr>
          <w:rFonts w:ascii="Times New Roman;sans-serif" w:hAnsi="Times New Roman;sans-serif"/>
          <w:b w:val="false"/>
          <w:color w:val="000000"/>
          <w:sz w:val="22"/>
          <w:u w:val="single"/>
        </w:rPr>
        <w:t>Section 6.06;</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1</w:t>
      </w:r>
      <w:r>
        <w:rPr>
          <w:rFonts w:ascii="Times New Roman;sans-serif" w:hAnsi="Times New Roman;sans-serif"/>
          <w:b w:val="false"/>
          <w:color w:val="000000"/>
          <w:sz w:val="22"/>
        </w:rPr>
        <w:t>) Investments in or by any Receivables Subsidiary, or in connection with a Financing Disposition by, to, in or in favor of any Receivables Subsidiary, including Investments of funds held in accounts permitted or required by the arrangements governing such Financing Disposition or any related Indebtedness, or (</w:t>
      </w:r>
      <w:r>
        <w:rPr>
          <w:rFonts w:ascii="Times New Roman;sans-serif" w:hAnsi="Times New Roman;sans-serif"/>
          <w:b w:val="false"/>
          <w:color w:val="000000"/>
          <w:sz w:val="22"/>
          <w:u w:val="single"/>
        </w:rPr>
        <w:t>2</w:t>
      </w:r>
      <w:r>
        <w:rPr>
          <w:rFonts w:ascii="Times New Roman;sans-serif" w:hAnsi="Times New Roman;sans-serif"/>
          <w:b w:val="false"/>
          <w:color w:val="000000"/>
          <w:sz w:val="22"/>
        </w:rPr>
        <w:t>) any promissory note issued by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(k)bonds secured by assets leased to and operated by the Company or any Restricted Subsidiary that were issued in connection with the financing of such assets so long as the Company or any Restricted Subsidiary may obtain title to such assets at any time by paying a nominal fee, canceling such bonds and terminating the transaction;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(m)any Investment to the extent made using Capital Stock of the Company (other than Disqualified Stock) or Junior Capital as consideration;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(n)Management Advances;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(o)Investments in Related Businesses in an aggregate amount outstanding at any time not to exceed an amount equal to the greater of $50.0 million and 1.25% of Consolidated Tangible Assets;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(p)any transaction to the extent it constitutes an Investment that is permitted by and made in accordance with </w:t>
      </w:r>
      <w:r>
        <w:rPr>
          <w:rFonts w:ascii="Times New Roman;sans-serif" w:hAnsi="Times New Roman;sans-serif"/>
          <w:b w:val="false"/>
          <w:color w:val="000000"/>
          <w:sz w:val="22"/>
          <w:u w:val="single"/>
        </w:rPr>
        <w:t>Section 6.05(b)</w:t>
      </w:r>
      <w:r>
        <w:rPr>
          <w:color w:val="000000"/>
        </w:rPr>
        <w:t xml:space="preserve"> </w:t>
      </w:r>
      <w:r>
        <w:rPr>
          <w:rFonts w:ascii="Times New Roman;sans-serif" w:hAnsi="Times New Roman;sans-serif"/>
          <w:b w:val="false"/>
          <w:color w:val="000000"/>
          <w:sz w:val="22"/>
        </w:rPr>
        <w:t xml:space="preserve">(except transactions described in clauses (i), (v) and (vi) of </w:t>
      </w:r>
      <w:r>
        <w:rPr>
          <w:rFonts w:ascii="Times New Roman;sans-serif" w:hAnsi="Times New Roman;sans-serif"/>
          <w:b w:val="false"/>
          <w:color w:val="000000"/>
          <w:sz w:val="22"/>
          <w:u w:val="single"/>
        </w:rPr>
        <w:t>Section 6.05(b)</w:t>
      </w:r>
      <w:r>
        <w:rPr>
          <w:rFonts w:ascii="Times New Roman;sans-serif" w:hAnsi="Times New Roman;sans-serif"/>
          <w:b w:val="false"/>
          <w:color w:val="000000"/>
          <w:sz w:val="22"/>
        </w:rPr>
        <w:t>), including any Investment pursuant to any transaction described in</w:t>
      </w:r>
      <w:r>
        <w:rPr>
          <w:color w:val="000000"/>
          <w:u w:val="single"/>
        </w:rPr>
        <w:t xml:space="preserve"> </w:t>
      </w:r>
      <w:r>
        <w:rPr>
          <w:rFonts w:ascii="Times New Roman;sans-serif" w:hAnsi="Times New Roman;sans-serif"/>
          <w:b w:val="false"/>
          <w:color w:val="000000"/>
          <w:sz w:val="22"/>
          <w:u w:val="single"/>
        </w:rPr>
        <w:t>Section 6.05(b)(ii)</w:t>
      </w:r>
      <w:r>
        <w:rPr>
          <w:color w:val="000000"/>
        </w:rPr>
        <w:t xml:space="preserve"> </w:t>
      </w:r>
      <w:r>
        <w:rPr>
          <w:rFonts w:ascii="Times New Roman;sans-serif" w:hAnsi="Times New Roman;sans-serif"/>
          <w:b w:val="false"/>
          <w:color w:val="000000"/>
          <w:sz w:val="22"/>
        </w:rPr>
        <w:t>(whether or not any Person party thereto is at any time an Affiliate of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62890"/>
                <wp:effectExtent l="0" t="0" r="0" b="0"/>
                <wp:wrapNone/>
                <wp:docPr id="93" name="Frame9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(q)any Investment by any Captive Insurance Subsidiary in connection with its provision of insurance to the Company or its Subsidiaries which Investment is made in the ordinary course of business of such Captive Insurance Subsidiary or by reason of applicable law, rule, regulation or order, or is required or approved by any regulatory authority having jurisdiction over such Captive Insurance Subsidiary or its business, as applicable;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(r)other Investments in an aggregate amount outstanding at any time not to exceed an amount equal to the greater of $50.0 million and 1.25% of Consolidated Tangible Assets;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(s)Investments consisting of or to finance purchases and acquisitions of inventory, supplies, materials, services or equipment or purchases of contract rights to, or licenses or sublicenses of, intellectual property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(t)advances in the form of a prepayment of expenses, so long as such expenses are being paid in accordance with customary trade terms of the Company or the Restricted Subsidiaries;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(u)any Investment in any Subsidiary of the Company or any joint venture in connection with intercompany cash management arrangements or related activities arising in the ordinary course of business;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(v)any Investment acquired by the Company or any Restricted Subsidiary (x) in exchange for any other Investment or accounts receivable held by the Company or such Restricted Subsidiary in connection with or as a result of a bankruptcy, workout, reorganization or recapitalization of the issuer of such other Investment or accounts receivable, or (y) as a result of a foreclosure by the Company or any Restricted Subsidiary with respect to any secured Investment or other transfer of title with respect to any secured Investment in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If any Investment pursuant to clause (xv) or (xviii) above, or </w:t>
      </w:r>
      <w:r>
        <w:rPr>
          <w:rFonts w:ascii="Times New Roman;sans-serif" w:hAnsi="Times New Roman;sans-serif"/>
          <w:b w:val="false"/>
          <w:color w:val="000000"/>
          <w:sz w:val="22"/>
          <w:u w:val="single"/>
        </w:rPr>
        <w:t>Section 6.02(b)(vii)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6.02(b)(xii)</w:t>
      </w:r>
      <w:r>
        <w:rPr>
          <w:rFonts w:ascii="Times New Roman;sans-serif" w:hAnsi="Times New Roman;sans-serif"/>
          <w:b w:val="false"/>
          <w:color w:val="000000"/>
          <w:sz w:val="22"/>
        </w:rPr>
        <w:t>, as applicable, is made in any Person that is not a Restricted Subsidiary and such Person thereafter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 becomes a Restricted Subsidiary 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is merged or consolidated into, or transfers or conveys all or substantially all of its assets to, or is liquidated into, the Company or a Restricted Subsidiary, then such Investment shall thereafter be deemed to have been made pursuant to clause (i) or (ii) above, respectively, and not clause (xv) or (xviii) above, or </w:t>
      </w:r>
      <w:r>
        <w:rPr>
          <w:rFonts w:ascii="Times New Roman;sans-serif" w:hAnsi="Times New Roman;sans-serif"/>
          <w:b w:val="false"/>
          <w:color w:val="000000"/>
          <w:sz w:val="22"/>
          <w:u w:val="single"/>
        </w:rPr>
        <w:t>Section 6.02(b)(vii)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6.02(b)(xi)</w:t>
      </w:r>
      <w:r>
        <w:rPr>
          <w:rFonts w:ascii="Times New Roman;sans-serif" w:hAnsi="Times New Roman;sans-serif"/>
          <w:b w:val="false"/>
          <w:color w:val="000000"/>
          <w:sz w:val="22"/>
        </w:rPr>
        <w:t>,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Liens</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ind w:left="0" w:right="0" w:hanging="360"/>
        <w:jc w:val="both"/>
        <w:rPr/>
      </w:pPr>
      <w:r>
        <w:rPr>
          <w:rFonts w:ascii="Book Antiqua;sans-serif" w:hAnsi="Book Antiqua;sans-serif"/>
          <w:b w:val="false"/>
          <w:color w:val="231F20"/>
          <w:sz w:val="20"/>
        </w:rPr>
        <w:t>(1)</w:t>
      </w:r>
      <w:r>
        <w:rPr>
          <w:rFonts w:ascii="Times New Roman;sans-serif" w:hAnsi="Times New Roman;sans-serif"/>
          <w:b w:val="false"/>
          <w:color w:val="000000"/>
          <w:sz w:val="22"/>
        </w:rPr>
        <w:t xml:space="preserve">Liens for taxes, assessments or other governmental charges not yet delinquent or the nonpayment of which in the aggregate would not reasonably be expected to have a material adverse effect on the Company and its Restricted Subsidiaries, taken as a whole, or that are being contested in good faith and by appropriate proceedings if adequate reserves with respect thereto are maintained on the books of the Company or a Subsidiary thereof, as the case may be, in accordance with GAAP; </w:t>
      </w:r>
    </w:p>
    <w:p>
      <w:pPr>
        <w:pStyle w:val="TextBody"/>
        <w:bidi w:val="0"/>
        <w:spacing w:lineRule="auto" w:line="240" w:before="0" w:after="240"/>
        <w:ind w:left="0" w:right="0" w:hanging="360"/>
        <w:jc w:val="both"/>
        <w:rPr/>
      </w:pPr>
      <w:r>
        <w:rPr>
          <w:rFonts w:ascii="Book Antiqua;sans-serif" w:hAnsi="Book Antiqua;sans-serif"/>
          <w:b w:val="false"/>
          <w:color w:val="231F20"/>
          <w:sz w:val="20"/>
        </w:rPr>
        <w:t>(2)</w:t>
      </w:r>
      <w:r>
        <w:rPr>
          <w:rFonts w:ascii="Times New Roman;sans-serif" w:hAnsi="Times New Roman;sans-serif"/>
          <w:b w:val="false"/>
          <w:color w:val="000000"/>
          <w:sz w:val="22"/>
        </w:rPr>
        <w:t>Liens with respect to outstanding motor vehicle fines, and carriers’, warehousemen’s, mechanics’, landlords’, materialmen’s, repairmen’s or other like Liens arising in the ordinary course of business in respect of obligations that are not known to be overdue for a period of more than 60 days or that are bonded or that are being contested in good faith and by appropriate proceedings;</w:t>
      </w:r>
    </w:p>
    <w:p>
      <w:pPr>
        <w:pStyle w:val="TextBody"/>
        <w:bidi w:val="0"/>
        <w:spacing w:lineRule="auto" w:line="240" w:before="0" w:after="240"/>
        <w:ind w:left="0" w:right="0" w:hanging="360"/>
        <w:jc w:val="both"/>
        <w:rPr/>
      </w:pPr>
      <w:r>
        <w:rPr>
          <w:rFonts w:ascii="Book Antiqua;sans-serif" w:hAnsi="Book Antiqua;sans-serif"/>
          <w:b w:val="false"/>
          <w:color w:val="231F20"/>
          <w:sz w:val="20"/>
        </w:rPr>
        <w:t>(3)</w:t>
      </w:r>
      <w:r>
        <w:rPr>
          <w:rFonts w:ascii="Times New Roman;sans-serif" w:hAnsi="Times New Roman;sans-serif"/>
          <w:b w:val="false"/>
          <w:color w:val="000000"/>
          <w:sz w:val="22"/>
        </w:rPr>
        <w:t>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62890"/>
                <wp:effectExtent l="0" t="0" r="0" b="0"/>
                <wp:wrapNone/>
                <wp:docPr id="94" name="Frame9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hanging="360"/>
        <w:jc w:val="both"/>
        <w:rPr/>
      </w:pPr>
      <w:r>
        <w:rPr>
          <w:rFonts w:ascii="Book Antiqua;sans-serif" w:hAnsi="Book Antiqua;sans-serif"/>
          <w:b w:val="false"/>
          <w:color w:val="231F20"/>
          <w:sz w:val="20"/>
        </w:rPr>
        <w:t>(4)</w:t>
      </w:r>
      <w:r>
        <w:rPr>
          <w:rFonts w:ascii="Times New Roman;sans-serif" w:hAnsi="Times New Roman;sans-serif"/>
          <w:b w:val="false"/>
          <w:color w:val="000000"/>
          <w:sz w:val="22"/>
        </w:rPr>
        <w:t>pledges, deposits or Liens to secure the performance of bids, tenders, trade, government or other contracts (other than for borrowed money), obligations for utilities, leases, licenses, sublicenses, statutory obligations, completion guarantees, surety, judgment, appeal or performance bonds, other similar bonds, instruments or obligations, and other obligations of a like nature incurred in the ordinary course of business;</w:t>
      </w:r>
    </w:p>
    <w:p>
      <w:pPr>
        <w:pStyle w:val="TextBody"/>
        <w:bidi w:val="0"/>
        <w:spacing w:lineRule="auto" w:line="240" w:before="0" w:after="240"/>
        <w:ind w:left="0" w:right="0" w:hanging="360"/>
        <w:jc w:val="both"/>
        <w:rPr/>
      </w:pPr>
      <w:r>
        <w:rPr>
          <w:rFonts w:ascii="Book Antiqua;sans-serif" w:hAnsi="Book Antiqua;sans-serif"/>
          <w:b w:val="false"/>
          <w:color w:val="231F20"/>
          <w:sz w:val="20"/>
        </w:rPr>
        <w:t>(5)</w:t>
      </w:r>
      <w:r>
        <w:rPr>
          <w:rFonts w:ascii="Times New Roman;sans-serif" w:hAnsi="Times New Roman;sans-serif"/>
          <w:b w:val="false"/>
          <w:color w:val="000000"/>
          <w:sz w:val="22"/>
        </w:rPr>
        <w:t>easements (including reciprocal easement agreements), rights-of-way, building, zoning and similar restrictions, utility agreements, covenants, reservations, restrictions, encroachments, charges, and other similar encumbrances or title defects incurred, or leases or subleases granted to others, in the ordinary course of business, which do not in the aggregate materially interfere with the ordinary conduct of the business of the Company and its Subsidiaries, taken as a whole;</w:t>
      </w:r>
    </w:p>
    <w:p>
      <w:pPr>
        <w:pStyle w:val="TextBody"/>
        <w:bidi w:val="0"/>
        <w:spacing w:lineRule="auto" w:line="240" w:before="0" w:after="240"/>
        <w:ind w:left="0" w:right="0" w:hanging="360"/>
        <w:jc w:val="both"/>
        <w:rPr/>
      </w:pPr>
      <w:r>
        <w:rPr>
          <w:rFonts w:ascii="Book Antiqua;sans-serif" w:hAnsi="Book Antiqua;sans-serif"/>
          <w:b w:val="false"/>
          <w:color w:val="231F20"/>
          <w:sz w:val="20"/>
        </w:rPr>
        <w:t>(6)</w:t>
      </w:r>
      <w:r>
        <w:rPr>
          <w:rFonts w:ascii="Times New Roman;sans-serif" w:hAnsi="Times New Roman;sans-serif"/>
          <w:b w:val="false"/>
          <w:color w:val="000000"/>
          <w:sz w:val="22"/>
        </w:rPr>
        <w:t xml:space="preserve">Liens existing on, or provided for under written arrangements existing on, the Closing Date (or in the case of any such Liens securing Indebtedness of the Company or any of its Subsidiaries existing or arising under written arrangements existing on the Closing Date) or securing any Refinancing Indebtedness in respect of such Indebtedness (other than Indebtedness Incurred under </w:t>
      </w:r>
      <w:r>
        <w:rPr>
          <w:rFonts w:ascii="Times New Roman;sans-serif" w:hAnsi="Times New Roman;sans-serif"/>
          <w:b w:val="false"/>
          <w:color w:val="000000"/>
          <w:sz w:val="22"/>
          <w:u w:val="single"/>
        </w:rPr>
        <w:t>Section 6.01(b)(i)</w:t>
      </w:r>
      <w:r>
        <w:rPr>
          <w:color w:val="000000"/>
        </w:rPr>
        <w:t xml:space="preserve"> </w:t>
      </w:r>
      <w:r>
        <w:rPr>
          <w:rFonts w:ascii="Times New Roman;sans-serif" w:hAnsi="Times New Roman;sans-serif"/>
          <w:b w:val="false"/>
          <w:color w:val="000000"/>
          <w:sz w:val="22"/>
        </w:rPr>
        <w:t>and secured under clause </w:t>
      </w:r>
      <w:r>
        <w:rPr>
          <w:rFonts w:ascii="Times New Roman;sans-serif" w:hAnsi="Times New Roman;sans-serif"/>
          <w:b w:val="false"/>
          <w:color w:val="000000"/>
          <w:sz w:val="22"/>
          <w:u w:val="single"/>
        </w:rPr>
        <w:t>(k)(1)</w:t>
      </w:r>
      <w:r>
        <w:rPr>
          <w:color w:val="000000"/>
        </w:rPr>
        <w:t xml:space="preserve"> </w:t>
      </w:r>
      <w:r>
        <w:rPr>
          <w:rFonts w:ascii="Times New Roman;sans-serif" w:hAnsi="Times New Roman;sans-serif"/>
          <w:b w:val="false"/>
          <w:color w:val="000000"/>
          <w:sz w:val="22"/>
        </w:rPr>
        <w:t>of this definition) so long as the Lien securing such Refinancing Indebtedness is limited to all or part of the same property or assets (plus improvements, accessions, proceeds or dividends or distributions in respect thereof) that secured (or under such written arrangements would secure) the original Indebtedness; provided that any Lien on any Collateral also securing Refinancing Indebtedness shall be permitted to be equal or senior in priority to the Liens securing the Obligations in respect of the Initial Term Loans (including the Subsidiary Guarantees) on such Collateral only to the extent that the corresponding Lien securing the Indebtedness so refinanced was (or, under the written arrangements under which the original Lien arose, would have been) a Lien equal or senior in priority, as applicable, to the Liens securing the Obligations in respect of the Initial Term Loans (including the Subsidiary Guarantees) and if the Indebtedness being refinanced was subject to an Intercreditor Agreement such Refinancing Indebtedness is also subject to an Acceptable Intercreditor Agreement;</w:t>
      </w:r>
    </w:p>
    <w:p>
      <w:pPr>
        <w:pStyle w:val="TextBody"/>
        <w:bidi w:val="0"/>
        <w:spacing w:lineRule="auto" w:line="240" w:before="0" w:after="240"/>
        <w:ind w:left="0" w:right="0" w:hanging="360"/>
        <w:jc w:val="both"/>
        <w:rPr/>
      </w:pPr>
      <w:r>
        <w:rPr>
          <w:rFonts w:ascii="Book Antiqua;sans-serif" w:hAnsi="Book Antiqua;sans-serif"/>
          <w:b w:val="false"/>
          <w:color w:val="231F20"/>
          <w:sz w:val="20"/>
        </w:rPr>
        <w:t>(7)</w:t>
      </w:r>
      <w:r>
        <w:rPr>
          <w:rFonts w:ascii="Times New Roman;sans-serif" w:hAnsi="Times New Roman;sans-serif"/>
          <w:b w:val="false"/>
          <w:color w:val="000000"/>
          <w:sz w:val="22"/>
        </w:rPr>
        <w:t>(i) mortgages, liens, security interests, restrictions, encumbrances or any other matters of record that have been placed by any developer, landlord or other third party on property over which the Company or any Restricted Subsidiary of the Company has easement rights or on any leased property and subordination or similar agreements relating thereto and (ii) any condemnation or eminent domain proceedings affecting any real property;</w:t>
      </w:r>
    </w:p>
    <w:p>
      <w:pPr>
        <w:pStyle w:val="TextBody"/>
        <w:bidi w:val="0"/>
        <w:spacing w:lineRule="auto" w:line="240" w:before="0" w:after="240"/>
        <w:ind w:left="0" w:right="0" w:hanging="360"/>
        <w:jc w:val="both"/>
        <w:rPr/>
      </w:pPr>
      <w:r>
        <w:rPr>
          <w:rFonts w:ascii="Book Antiqua;sans-serif" w:hAnsi="Book Antiqua;sans-serif"/>
          <w:b w:val="false"/>
          <w:color w:val="231F20"/>
          <w:sz w:val="20"/>
        </w:rPr>
        <w:t>(8)</w:t>
      </w:r>
      <w:r>
        <w:rPr>
          <w:rFonts w:ascii="Times New Roman;sans-serif" w:hAnsi="Times New Roman;sans-serif"/>
          <w:b w:val="false"/>
          <w:color w:val="000000"/>
          <w:sz w:val="22"/>
        </w:rPr>
        <w:t xml:space="preserve">Liens securing Indebtedness or other obligations (including Liens securing any Obligations in respect thereof) consisting of Hedging Obligations, Bank Products Obligations, Open Account Obligations, Purchase Money Obligations or Finance Lease Obligations Incurred in compliance with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40" w:before="0" w:after="240"/>
        <w:ind w:left="0" w:right="0" w:hanging="360"/>
        <w:jc w:val="both"/>
        <w:rPr/>
      </w:pPr>
      <w:r>
        <w:rPr>
          <w:rFonts w:ascii="Book Antiqua;sans-serif" w:hAnsi="Book Antiqua;sans-serif"/>
          <w:b w:val="false"/>
          <w:color w:val="231F20"/>
          <w:sz w:val="20"/>
        </w:rPr>
        <w:t>(9)</w:t>
      </w:r>
      <w:r>
        <w:rPr>
          <w:rFonts w:ascii="Times New Roman;sans-serif" w:hAnsi="Times New Roman;sans-serif"/>
          <w:b w:val="false"/>
          <w:color w:val="000000"/>
          <w:sz w:val="22"/>
        </w:rPr>
        <w:t>Liens arising out of judgments, decrees, orders or awards in respect of which the Company or any Restricted Subsidiary shall in good faith be prosecuting an appeal or proceedings for review, which appeal or proceedings shall not have been finally terminated, or if the period within which such appeal or proceedings may be initiated shall not have expired;</w:t>
      </w:r>
    </w:p>
    <w:p>
      <w:pPr>
        <w:pStyle w:val="TextBody"/>
        <w:bidi w:val="0"/>
        <w:spacing w:lineRule="auto" w:line="240" w:before="0" w:after="240"/>
        <w:ind w:left="0" w:right="0" w:hanging="360"/>
        <w:jc w:val="both"/>
        <w:rPr/>
      </w:pPr>
      <w:r>
        <w:rPr>
          <w:rFonts w:ascii="Book Antiqua;sans-serif" w:hAnsi="Book Antiqua;sans-serif"/>
          <w:b w:val="false"/>
          <w:color w:val="231F20"/>
          <w:sz w:val="20"/>
        </w:rPr>
        <w:t>(10)</w:t>
      </w:r>
      <w:r>
        <w:rPr>
          <w:rFonts w:ascii="Times New Roman;sans-serif" w:hAnsi="Times New Roman;sans-serif"/>
          <w:b w:val="false"/>
          <w:color w:val="000000"/>
          <w:sz w:val="22"/>
        </w:rPr>
        <w:t>leases, subleases, licenses, sublicenses, covenants not to sue or other similar rights granted to or from third parties (including, for the avoidance of doubt, with respect to intellectual property);</w:t>
      </w:r>
    </w:p>
    <w:p>
      <w:pPr>
        <w:pStyle w:val="TextBody"/>
        <w:bidi w:val="0"/>
        <w:spacing w:lineRule="auto" w:line="240" w:before="0" w:after="240"/>
        <w:ind w:left="0" w:right="0" w:hanging="360"/>
        <w:jc w:val="both"/>
        <w:rPr/>
      </w:pPr>
      <w:r>
        <w:rPr>
          <w:rFonts w:ascii="Book Antiqua;sans-serif" w:hAnsi="Book Antiqua;sans-serif"/>
          <w:b w:val="false"/>
          <w:color w:val="231F20"/>
          <w:sz w:val="20"/>
        </w:rPr>
        <w:t>(11)</w:t>
      </w:r>
      <w:r>
        <w:rPr>
          <w:rFonts w:ascii="Times New Roman;sans-serif" w:hAnsi="Times New Roman;sans-serif"/>
          <w:b w:val="false"/>
          <w:color w:val="000000"/>
          <w:sz w:val="22"/>
        </w:rPr>
        <w:t xml:space="preserve">Liens securing Indebtedness (including Liens securing any Obligations in respect thereof) consisting of (1) Indebtedness Incurred in compliance with </w:t>
      </w:r>
      <w:r>
        <w:rPr>
          <w:rFonts w:ascii="Times New Roman;sans-serif" w:hAnsi="Times New Roman;sans-serif"/>
          <w:b w:val="false"/>
          <w:color w:val="000000"/>
          <w:sz w:val="22"/>
          <w:u w:val="single"/>
        </w:rPr>
        <w:t>Section 6.01(b)(i)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(b)(iii)</w:t>
      </w:r>
      <w:r>
        <w:rPr>
          <w:color w:val="000000"/>
        </w:rPr>
        <w:t xml:space="preserve"> </w:t>
      </w:r>
      <w:r>
        <w:rPr>
          <w:rFonts w:ascii="Times New Roman;sans-serif" w:hAnsi="Times New Roman;sans-serif"/>
          <w:b w:val="false"/>
          <w:color w:val="000000"/>
          <w:sz w:val="22"/>
        </w:rPr>
        <w:t xml:space="preserve">(other than Refinancing Indebtedness Incurred in respect of Indebtedness described in </w:t>
      </w:r>
      <w:r>
        <w:rPr>
          <w:rFonts w:ascii="Times New Roman;sans-serif" w:hAnsi="Times New Roman;sans-serif"/>
          <w:b w:val="false"/>
          <w:color w:val="000000"/>
          <w:sz w:val="22"/>
          <w:u w:val="single"/>
        </w:rPr>
        <w:t>Section 6.01(a)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(b)(iv)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(b)(vii)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(b)(viii)</w:t>
      </w:r>
      <w:r>
        <w:rPr>
          <w:color w:val="000000"/>
        </w:rPr>
        <w:t xml:space="preserve"> </w:t>
      </w:r>
      <w:r>
        <w:rPr>
          <w:rFonts w:ascii="Times New Roman;sans-serif" w:hAnsi="Times New Roman;sans-serif"/>
          <w:b w:val="false"/>
          <w:color w:val="000000"/>
          <w:sz w:val="22"/>
        </w:rPr>
        <w:t>(other than Section </w:t>
      </w:r>
      <w:r>
        <w:rPr>
          <w:rFonts w:ascii="Times New Roman;sans-serif" w:hAnsi="Times New Roman;sans-serif"/>
          <w:b w:val="false"/>
          <w:color w:val="000000"/>
          <w:sz w:val="22"/>
          <w:u w:val="single"/>
        </w:rPr>
        <w:t>6.01(b)(viii)(H)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(b)(xvi)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(b)(xvii)</w:t>
      </w:r>
      <w:r>
        <w:rPr>
          <w:rFonts w:ascii="Times New Roman;sans-serif" w:hAnsi="Times New Roman;sans-serif"/>
          <w:b w:val="false"/>
          <w:color w:val="000000"/>
          <w:sz w:val="22"/>
        </w:rPr>
        <w:t xml:space="preserve">; provided that (I) in the case of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62890"/>
                <wp:effectExtent l="0" t="0" r="0" b="0"/>
                <wp:wrapNone/>
                <wp:docPr id="95" name="Frame9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Indebtedness Incurred in compliance with </w:t>
      </w:r>
      <w:r>
        <w:rPr>
          <w:rFonts w:ascii="Times New Roman;sans-serif" w:hAnsi="Times New Roman;sans-serif"/>
          <w:b w:val="false"/>
          <w:color w:val="000000"/>
          <w:sz w:val="22"/>
          <w:u w:val="single"/>
        </w:rPr>
        <w:t>Section 6.01(b)(i)(A)(I)</w:t>
      </w:r>
      <w:r>
        <w:rPr>
          <w:rFonts w:ascii="Times New Roman;sans-serif" w:hAnsi="Times New Roman;sans-serif"/>
          <w:b w:val="false"/>
          <w:color w:val="000000"/>
          <w:sz w:val="22"/>
        </w:rPr>
        <w:t xml:space="preserve">, any such Liens on ABL Priority Collateral may rank senior to the Liens thereon securing the Term Loans, in which case Liens securing such Indebtedness on Non-ABL Priority Collateral shall rank junior to the Liens thereon securing the Term Loans and the Subsidiary Guarantees, in each case, pursuant to the ABL Intercreditor Agreement, (II) in the case of Indebtedness Incurred in compliance with </w:t>
      </w:r>
      <w:r>
        <w:rPr>
          <w:rFonts w:ascii="Times New Roman;sans-serif" w:hAnsi="Times New Roman;sans-serif"/>
          <w:b w:val="false"/>
          <w:color w:val="000000"/>
          <w:sz w:val="22"/>
          <w:u w:val="single"/>
        </w:rPr>
        <w:t>Section 6.01(b)(xi)(y)</w:t>
      </w:r>
      <w:r>
        <w:rPr>
          <w:rFonts w:ascii="Times New Roman;sans-serif" w:hAnsi="Times New Roman;sans-serif"/>
          <w:b w:val="false"/>
          <w:color w:val="000000"/>
          <w:sz w:val="22"/>
        </w:rPr>
        <w:t>, any such Liens on the Collateral shall rank junior to the Liens securing the Term Loans and the Subsidiary Guarantees pursuant to an Acceptable Intercreditor Agreement and (III) in all other cases, such Liens on the Collateral shall be Parity Priority Liens), (2) the Term Loans and the Subsidiary Guarantees in respect thereof, (3) Indebtedness of any Restricted Subsidiary that is not a Subsidiary Guarantor, or (4) obligations in respect of Management Advances or Management Guarantees; and in each case under the foregoing clauses (1) through (4) Liens securing any Guarantee of any thereof;</w:t>
      </w:r>
    </w:p>
    <w:p>
      <w:pPr>
        <w:pStyle w:val="TextBody"/>
        <w:bidi w:val="0"/>
        <w:spacing w:lineRule="auto" w:line="240" w:before="0" w:after="240"/>
        <w:ind w:left="0" w:right="0" w:hanging="360"/>
        <w:jc w:val="both"/>
        <w:rPr/>
      </w:pPr>
      <w:r>
        <w:rPr>
          <w:rFonts w:ascii="Book Antiqua;sans-serif" w:hAnsi="Book Antiqua;sans-serif"/>
          <w:b w:val="false"/>
          <w:color w:val="231F20"/>
          <w:sz w:val="20"/>
        </w:rPr>
        <w:t>(12)</w:t>
      </w:r>
      <w:r>
        <w:rPr>
          <w:rFonts w:ascii="Times New Roman;sans-serif" w:hAnsi="Times New Roman;sans-serif"/>
          <w:b w:val="false"/>
          <w:color w:val="000000"/>
          <w:sz w:val="22"/>
        </w:rPr>
        <w:t>Liens existing on property or assets of a Person at, or provided for under written arrangements existing at, the time such Person becomes a Subsidiary of the Company (or at the time the Company or a Restricted Subsidiary acquires such property or assets, including any acquisition by means of a merger or consolidation with or into the Company or any Restricted Subsidiary); provided, however, that such Liens and arrangements are not created in connection with, or in contemplation of, such other Person becoming such a Subsidiary (or such acquisition of such property or assets), and that such Liens are limited to all or part of the same property or assets (plus improvements, accessions, proceeds or dividends or distributions in respect thereof) that secured (or, under the written arrangements under which such Liens arose, could secure) the obligations to which such Liens relate; provided, further, that for purposes of this clause (l), if a Person other than the Company is the Successor Company with respect thereto, any Subsidiary thereof shall be deemed to become a Subsidiary of the Company, and any property or assets of such Person or any such Subsidiary shall be deemed acquired by the Company or a Restricted Subsidiary, as the case may be, when such Person becomes such Successor Company;</w:t>
      </w:r>
    </w:p>
    <w:p>
      <w:pPr>
        <w:pStyle w:val="TextBody"/>
        <w:bidi w:val="0"/>
        <w:spacing w:lineRule="auto" w:line="240" w:before="0" w:after="240"/>
        <w:ind w:left="0" w:right="0" w:hanging="360"/>
        <w:jc w:val="both"/>
        <w:rPr/>
      </w:pPr>
      <w:r>
        <w:rPr>
          <w:rFonts w:ascii="Book Antiqua;sans-serif" w:hAnsi="Book Antiqua;sans-serif"/>
          <w:b w:val="false"/>
          <w:color w:val="231F20"/>
          <w:sz w:val="20"/>
        </w:rPr>
        <w:t>(13)</w:t>
      </w:r>
      <w:r>
        <w:rPr>
          <w:rFonts w:ascii="Times New Roman;sans-serif" w:hAnsi="Times New Roman;sans-serif"/>
          <w:b w:val="false"/>
          <w:color w:val="000000"/>
          <w:sz w:val="22"/>
        </w:rPr>
        <w:t>Liens on Capital Stock, Indebtedness or other securities of an Unrestricted Subsidiary or any joint venture that is not a Subsidiary of the Company that secure Indebtedness or other obligations of such Unrestricted Subsidiary or joint venture, respectively;</w:t>
      </w:r>
    </w:p>
    <w:p>
      <w:pPr>
        <w:pStyle w:val="TextBody"/>
        <w:bidi w:val="0"/>
        <w:spacing w:lineRule="auto" w:line="240" w:before="0" w:after="240"/>
        <w:ind w:left="0" w:right="0" w:hanging="360"/>
        <w:jc w:val="both"/>
        <w:rPr/>
      </w:pPr>
      <w:r>
        <w:rPr>
          <w:rFonts w:ascii="Book Antiqua;sans-serif" w:hAnsi="Book Antiqua;sans-serif"/>
          <w:b w:val="false"/>
          <w:color w:val="231F20"/>
          <w:sz w:val="20"/>
        </w:rPr>
        <w:t>(14)</w:t>
      </w:r>
      <w:r>
        <w:rPr>
          <w:rFonts w:ascii="Times New Roman;sans-serif" w:hAnsi="Times New Roman;sans-serif"/>
          <w:b w:val="false"/>
          <w:color w:val="000000"/>
          <w:sz w:val="22"/>
        </w:rPr>
        <w:t>any encumbrance or restriction (including, but not limited to, pursuant to put and call agreements or buy/sell arrangements) with respect to Capital Stock of any joint venture or similar arrangement pursuant to any joint venture or similar agreement;</w:t>
      </w:r>
    </w:p>
    <w:p>
      <w:pPr>
        <w:pStyle w:val="TextBody"/>
        <w:bidi w:val="0"/>
        <w:spacing w:lineRule="auto" w:line="240" w:before="0" w:after="240"/>
        <w:ind w:left="0" w:right="0" w:hanging="360"/>
        <w:jc w:val="both"/>
        <w:rPr/>
      </w:pPr>
      <w:r>
        <w:rPr>
          <w:rFonts w:ascii="Book Antiqua;sans-serif" w:hAnsi="Book Antiqua;sans-serif"/>
          <w:b w:val="false"/>
          <w:color w:val="231F20"/>
          <w:sz w:val="20"/>
        </w:rPr>
        <w:t>(15)</w:t>
      </w:r>
      <w:r>
        <w:rPr>
          <w:rFonts w:ascii="Times New Roman;sans-serif" w:hAnsi="Times New Roman;sans-serif"/>
          <w:b w:val="false"/>
          <w:color w:val="000000"/>
          <w:sz w:val="22"/>
        </w:rPr>
        <w:t xml:space="preserve">Liens securing Indebtedness (including Liens securing any Obligations in respect thereof) consisting of Refinancing Indebtedness Incurred in respect of any Indebtedness (other than Indebtedness Incurred under </w:t>
      </w:r>
      <w:r>
        <w:rPr>
          <w:rFonts w:ascii="Times New Roman;sans-serif" w:hAnsi="Times New Roman;sans-serif"/>
          <w:b w:val="false"/>
          <w:color w:val="000000"/>
          <w:sz w:val="22"/>
          <w:u w:val="single"/>
        </w:rPr>
        <w:t>Section 6.01(b)(i)</w:t>
      </w:r>
      <w:r>
        <w:rPr>
          <w:color w:val="000000"/>
        </w:rPr>
        <w:t xml:space="preserve"> </w:t>
      </w:r>
      <w:r>
        <w:rPr>
          <w:rFonts w:ascii="Times New Roman;sans-serif" w:hAnsi="Times New Roman;sans-serif"/>
          <w:b w:val="false"/>
          <w:color w:val="000000"/>
          <w:sz w:val="22"/>
        </w:rPr>
        <w:t>and secured under clause (k)(1) of this definition) secured by, or securing any refinancing, refunding, extension, renewal or replacement (in whole or in part) of any other obligation secured by, any other Permitted Liens; provided that any such new Lien is limited to all or part of the same property or assets (plus improvements, accessions, proceeds or dividends or distributions in respect thereof) that secured (or, under the written arrangements under which the original Lien arose, could secure) the obligations to which such Liens relate; provided, further that any Lien on any Collateral also securing Refinancing Indebtedness shall be permitted to be equal or senior in priority to the Liens on such Collateral securing the Obligations in respect of the Term Loans (including the Subsidiary Guarantees) on such Collateral only to the extent that the corresponding Lien securing the Indebtedness so refinanced was (or, under the written arrangements under which the original Lien arose, could have been) a Lien equal or senior in priority, as applicable, to the Liens securing the Obligations in respect of the Term Loans (including the Subsidiary Guarantees) and if the Indebtedness being refinanced was subject to an Intercreditor Agreement such Refinancing Indebtedness is also subject to an Acceptable Intercreditor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62890"/>
                <wp:effectExtent l="0" t="0" r="0" b="0"/>
                <wp:wrapNone/>
                <wp:docPr id="96" name="Frame9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hanging="360"/>
        <w:jc w:val="both"/>
        <w:rPr/>
      </w:pPr>
      <w:r>
        <w:rPr>
          <w:rFonts w:ascii="Book Antiqua;sans-serif" w:hAnsi="Book Antiqua;sans-serif"/>
          <w:b w:val="false"/>
          <w:color w:val="231F20"/>
          <w:sz w:val="20"/>
        </w:rPr>
        <w:t>(16)</w:t>
      </w:r>
      <w:r>
        <w:rPr>
          <w:rFonts w:ascii="Times New Roman;sans-serif" w:hAnsi="Times New Roman;sans-serif"/>
          <w:b w:val="false"/>
          <w:color w:val="000000"/>
          <w:sz w:val="22"/>
        </w:rPr>
        <w:t xml:space="preserve">Liens (1) arising by operation of law (or by agreement to the same effect) in the ordinary course of business, (2) on property or assets under construction (and related rights) in favor of a contractor or developer or arising from progress or partial payments by a third party relating to such property or assets, (3) on receivables (including related rights), (4) on cash set aside at the time of the Incurrence of any Indebtedness or government securities purchased with such cash, in either case to the extent that such cash or government securities prefund the payment of interest on such Indebtedness and are held in an escrow account or similar arrangement to be applied for such purpose, (5) securing or arising by reason of any netting or set-off arrangement entered into in the ordinary course of banking or other trading activities (including in connection with purchase orders and other agreements with customers), (6) in favor of the Company or any Subsidiary (other than Liens on property or assets of the Company or any Subsidiary Guarantor in favor of any Subsidiary that is not a Subsidiary Guarantor), (7) arising out of conditional sale, title retention, consignment or similar arrangements for the sale of goods entered into in the ordinary course of business, (8) on inventory or other goods and proceeds securing obligations in respect of bankers’ acceptances issued or created to facilitate the purchase, shipment or storage of such inventory or other goods, (9) relating to pooled deposit or sweep accounts to permit satisfaction of overdraft, cash pooling or similar obligations incurred in the ordinary course of business, (10) attaching to commodity trading or other brokerage accounts incurred in the ordinary course of business, (11) arising in connection with repurchase agreements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on assets that are the subject of such repurchase agreements, or (12) in favor of any Receivables Subsidiary in connection with any Financing Disposition;</w:t>
      </w:r>
    </w:p>
    <w:p>
      <w:pPr>
        <w:pStyle w:val="TextBody"/>
        <w:bidi w:val="0"/>
        <w:spacing w:lineRule="auto" w:line="240" w:before="0" w:after="240"/>
        <w:ind w:left="0" w:right="0" w:hanging="360"/>
        <w:jc w:val="both"/>
        <w:rPr/>
      </w:pPr>
      <w:r>
        <w:rPr>
          <w:rFonts w:ascii="Book Antiqua;sans-serif" w:hAnsi="Book Antiqua;sans-serif"/>
          <w:b w:val="false"/>
          <w:color w:val="231F20"/>
          <w:sz w:val="20"/>
        </w:rPr>
        <w:t>(17)</w:t>
      </w:r>
      <w:r>
        <w:rPr>
          <w:rFonts w:ascii="Times New Roman;sans-serif" w:hAnsi="Times New Roman;sans-serif"/>
          <w:b w:val="false"/>
          <w:color w:val="000000"/>
          <w:sz w:val="22"/>
        </w:rPr>
        <w:t>other Liens securing Indebtedness or other obligations that in the aggregate at any time outstanding do not exceed an amount equal to the greater of $100.0 million and 2.5% of Consolidated Tangible Assets at the time of Incurrence of such Indebtedness or other obligations;</w:t>
      </w:r>
    </w:p>
    <w:p>
      <w:pPr>
        <w:pStyle w:val="TextBody"/>
        <w:bidi w:val="0"/>
        <w:spacing w:lineRule="auto" w:line="240" w:before="0" w:after="240"/>
        <w:ind w:left="0" w:right="0" w:hanging="360"/>
        <w:jc w:val="both"/>
        <w:rPr/>
      </w:pPr>
      <w:r>
        <w:rPr>
          <w:rFonts w:ascii="Book Antiqua;sans-serif" w:hAnsi="Book Antiqua;sans-serif"/>
          <w:b w:val="false"/>
          <w:color w:val="231F20"/>
          <w:sz w:val="20"/>
        </w:rPr>
        <w:t>(18)</w:t>
      </w:r>
      <w:r>
        <w:rPr>
          <w:rFonts w:ascii="Times New Roman;sans-serif" w:hAnsi="Times New Roman;sans-serif"/>
          <w:b w:val="false"/>
          <w:color w:val="000000"/>
          <w:sz w:val="22"/>
        </w:rPr>
        <w:t xml:space="preserve">Liens securing Indebtedness (including Liens securing any Obligations in respect thereof) or other obligations of, or in favor of, any Receivables Subsidiary, or in connection with a Specified Receivables Facility or otherwise Incurred pursuant to </w:t>
      </w:r>
      <w:r>
        <w:rPr>
          <w:rFonts w:ascii="Times New Roman;sans-serif" w:hAnsi="Times New Roman;sans-serif"/>
          <w:b w:val="false"/>
          <w:color w:val="000000"/>
          <w:sz w:val="22"/>
          <w:u w:val="single"/>
        </w:rPr>
        <w:t>Section 6.01(b)(ix)</w:t>
      </w:r>
      <w:r>
        <w:rPr>
          <w:rFonts w:ascii="Times New Roman;sans-serif" w:hAnsi="Times New Roman;sans-serif"/>
          <w:b w:val="false"/>
          <w:color w:val="000000"/>
          <w:sz w:val="22"/>
        </w:rPr>
        <w:t>; and</w:t>
      </w:r>
    </w:p>
    <w:p>
      <w:pPr>
        <w:pStyle w:val="TextBody"/>
        <w:bidi w:val="0"/>
        <w:spacing w:lineRule="auto" w:line="240" w:before="0" w:after="240"/>
        <w:ind w:left="0" w:right="0" w:hanging="360"/>
        <w:jc w:val="both"/>
        <w:rPr/>
      </w:pPr>
      <w:r>
        <w:rPr>
          <w:rFonts w:ascii="Book Antiqua;sans-serif" w:hAnsi="Book Antiqua;sans-serif"/>
          <w:b w:val="false"/>
          <w:color w:val="231F20"/>
          <w:sz w:val="20"/>
        </w:rPr>
        <w:t>(19)</w:t>
      </w:r>
      <w:r>
        <w:rPr>
          <w:rFonts w:ascii="Times New Roman;sans-serif" w:hAnsi="Times New Roman;sans-serif"/>
          <w:b w:val="false"/>
          <w:color w:val="000000"/>
          <w:sz w:val="22"/>
        </w:rPr>
        <w:t>Liens on the Collateral, if such Liens rank junior to the Liens on such Collateral in relation to the Lien securing the Initial Term Loans and the Subsidiary Guarantees, as applicable (so long as any such Liens (and related Obligations) are subject to an Acceptable Intercreditor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determining compliance with this definition, (u) a Lien need not be incurred solely by reference to one category of Permitted Liens described in this definition but may be incurred under any combination of such categories (including in part under one such category and in part under any other such category), (v) in the event that a Lien (or any portion thereof) meets the criteria of one or more of such categories of Permitted Liens, the Company shall, in its sole discretion, classify or reclassify such Lien (or any portion thereof) in any manner that complies with this definition, (w) the principal amount of Indebtedness secured by a Lien outstanding under any category of Permitted Liens shall be determined after giving effect to the application of proceeds of any such Indebtedness to refinance any such other Indebtedness, (x) any Lien securing Indebtedness that was permitted to secure such Indebtedness at the time of the Incurrence of such Indebtedness shall also be permitted to secure any increase in the amount of such Indebtedness in connection with the accrual of interest, the accretion of accreted value, the payment of interest in the form of additional Indebtedness and the payment of dividends on Capital Stock constituting Indebtedness in the form of additional shares of the same class of Capital Stock, (y) if any Indebtedness or other obligation is secured by any Lien outstanding under any category of Permitted Liens measured by reference to a percentage of Consolidated Tangible Assets at the time of incurrence of such Indebtedness or other obligations, and is refinanced by any Indebtedness or other obligation secured by any Lien incurred by reference to such category of Permitted Liens, and such refinancing would cause the percentage of Consolidated Tangible Assets to be exceeded if calculated based on the Consolidated Tangible Assets on the date of such refinancing, such percentage of Consolidated Tangible Assets shall not be deemed to be exceeded (and such refinancing Lien shall be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62890"/>
                <wp:effectExtent l="0" t="0" r="0" b="0"/>
                <wp:wrapNone/>
                <wp:docPr id="97" name="Frame9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deemed permitted) so long as the principal amount of such refinancing Indebtedness or other obligation does not exceed an amount equal to the principal amount of such Indebtedness or other obligation being refinanced, plus the aggregate amount of fees, underwriting discounts, premiums and other costs and expenses (including accrued and unpaid interest) incurred or payable in connection with such refinancing and (z) if any Indebtedness or other obligation is secured by any Lien outstanding under any category of Permitted Liens measured by reference to a dollar amount, and is refinanced by any Indebtedness or other obligation secured by any Lien incurred by reference to such category of Permitted Liens, and such refinancing would cause such dollar amount to be exceeded, such dollar amount shall not be deemed to be exceeded (and such refinancing Lien shall be deemed permitted) so long as the principal amount of such refinancing Indebtedness or other obligation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means any natural person, corporation, limited liability company, unlimited liability corporation, trust, joint venture, association, company, partnership, Governmental Authority or other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Plan</w:t>
      </w:r>
      <w:r>
        <w:rPr>
          <w:color w:val="000000"/>
        </w:rPr>
        <w:t xml:space="preserve">” </w:t>
      </w:r>
      <w:r>
        <w:rPr>
          <w:rFonts w:ascii="Times New Roman;sans-serif" w:hAnsi="Times New Roman;sans-serif"/>
          <w:b w:val="false"/>
          <w:color w:val="000000"/>
          <w:sz w:val="22"/>
        </w:rPr>
        <w:t>means any “employee pension benefit plan” as defined in Section 3(2) of the ERISA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Platform</w:t>
      </w:r>
      <w:r>
        <w:rPr>
          <w:color w:val="000000"/>
        </w:rPr>
        <w:t xml:space="preserve">” </w:t>
      </w:r>
      <w:r>
        <w:rPr>
          <w:rFonts w:ascii="Times New Roman;sans-serif" w:hAnsi="Times New Roman;sans-serif"/>
          <w:b w:val="false"/>
          <w:color w:val="000000"/>
          <w:sz w:val="22"/>
        </w:rPr>
        <w:t>has the meaning assigned to such term in Section 9.01(b).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Pre-Closing Reorganization Transactions</w:t>
      </w:r>
      <w:r>
        <w:rPr>
          <w:color w:val="000000"/>
        </w:rPr>
        <w:t xml:space="preserve">” </w:t>
      </w:r>
      <w:r>
        <w:rPr>
          <w:rFonts w:ascii="Times New Roman;sans-serif" w:hAnsi="Times New Roman;sans-serif"/>
          <w:b w:val="false"/>
          <w:color w:val="000000"/>
          <w:sz w:val="22"/>
        </w:rPr>
        <w:t>means each of transactions that collectively constitute the Restructuring (as defined in the Separation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Preferred Stock</w:t>
      </w:r>
      <w:r>
        <w:rPr>
          <w:color w:val="000000"/>
        </w:rPr>
        <w:t xml:space="preserve">” </w:t>
      </w:r>
      <w:r>
        <w:rPr>
          <w:rFonts w:ascii="Times New Roman;sans-serif" w:hAnsi="Times New Roman;sans-serif"/>
          <w:b w:val="false"/>
          <w:color w:val="000000"/>
          <w:sz w:val="22"/>
        </w:rPr>
        <w:t>as applied to the Capital Stock of any corporation or company means Capital Stock of any class or classes (however designated) that by its terms is preferred as to the payment of dividends, or as to the distribution of assets upon any voluntary or involuntary liquidation or dissolution of such corporation or company, over Capital Stock of any other class of such corporation or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Prepayment Asset Sale</w:t>
      </w:r>
      <w:r>
        <w:rPr>
          <w:color w:val="000000"/>
        </w:rPr>
        <w:t xml:space="preserve">” </w:t>
      </w:r>
      <w:r>
        <w:rPr>
          <w:rFonts w:ascii="Times New Roman;sans-serif" w:hAnsi="Times New Roman;sans-serif"/>
          <w:b w:val="false"/>
          <w:color w:val="000000"/>
          <w:sz w:val="22"/>
        </w:rPr>
        <w:t xml:space="preserve">means any Disposition by the Company or any Restricted Subsidiary of assets constituting Collateral that is subject to </w:t>
      </w:r>
      <w:r>
        <w:rPr>
          <w:rFonts w:ascii="Times New Roman;sans-serif" w:hAnsi="Times New Roman;sans-serif"/>
          <w:b w:val="false"/>
          <w:color w:val="000000"/>
          <w:sz w:val="22"/>
          <w:u w:val="single"/>
        </w:rPr>
        <w:t>Section 6.04(a)(iii)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Prime Rate</w:t>
      </w:r>
      <w:r>
        <w:rPr>
          <w:color w:val="000000"/>
        </w:rPr>
        <w:t xml:space="preserve">” </w:t>
      </w:r>
      <w:r>
        <w:rPr>
          <w:rFonts w:ascii="Times New Roman;sans-serif" w:hAnsi="Times New Roman;sans-serif"/>
          <w:b w:val="false"/>
          <w:color w:val="000000"/>
          <w:sz w:val="22"/>
        </w:rPr>
        <w:t>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Promissory Note</w:t>
      </w:r>
      <w:r>
        <w:rPr>
          <w:color w:val="000000"/>
        </w:rPr>
        <w:t xml:space="preserve">” </w:t>
      </w:r>
      <w:r>
        <w:rPr>
          <w:rFonts w:ascii="Times New Roman;sans-serif" w:hAnsi="Times New Roman;sans-serif"/>
          <w:b w:val="false"/>
          <w:color w:val="000000"/>
          <w:sz w:val="22"/>
        </w:rPr>
        <w:t xml:space="preserve">means a promissory note of the Company payable to any Lender or its registered assigns, in substantially the form of </w:t>
      </w:r>
      <w:r>
        <w:rPr>
          <w:rFonts w:ascii="Times New Roman;sans-serif" w:hAnsi="Times New Roman;sans-serif"/>
          <w:b w:val="false"/>
          <w:color w:val="000000"/>
          <w:sz w:val="22"/>
          <w:u w:val="single"/>
        </w:rPr>
        <w:t>Exhibit G</w:t>
      </w:r>
      <w:r>
        <w:rPr>
          <w:color w:val="000000"/>
        </w:rPr>
        <w:t xml:space="preserve"> </w:t>
      </w:r>
      <w:r>
        <w:rPr>
          <w:rFonts w:ascii="Times New Roman;sans-serif" w:hAnsi="Times New Roman;sans-serif"/>
          <w:b w:val="false"/>
          <w:color w:val="000000"/>
          <w:sz w:val="22"/>
        </w:rPr>
        <w:t>hereto, evidencing the aggregate outstanding principal amount of Loans of the Company to such Lender resulting from the Loans made by such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Public Lender</w:t>
      </w:r>
      <w:r>
        <w:rPr>
          <w:color w:val="000000"/>
        </w:rPr>
        <w:t xml:space="preserve">” </w:t>
      </w:r>
      <w:r>
        <w:rPr>
          <w:rFonts w:ascii="Times New Roman;sans-serif" w:hAnsi="Times New Roman;sans-serif"/>
          <w:b w:val="false"/>
          <w:color w:val="000000"/>
          <w:sz w:val="22"/>
        </w:rPr>
        <w:t>has the meaning assigned to such term in Section 9.01(c).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Purchase Money Obligations</w:t>
      </w:r>
      <w:r>
        <w:rPr>
          <w:color w:val="000000"/>
        </w:rPr>
        <w:t xml:space="preserve">” </w:t>
      </w:r>
      <w:r>
        <w:rPr>
          <w:rFonts w:ascii="Times New Roman;sans-serif" w:hAnsi="Times New Roman;sans-serif"/>
          <w:b w:val="false"/>
          <w:color w:val="000000"/>
          <w:sz w:val="22"/>
        </w:rPr>
        <w:t xml:space="preserve">means any Indebtedness Incurred to finance or refinance the acquisition, leasing, construction or improvement of property (real or personal) or assets, and whether </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62890"/>
                <wp:effectExtent l="0" t="0" r="0" b="0"/>
                <wp:wrapNone/>
                <wp:docPr id="98" name="Frame9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acquired through the direct acquisition of such property or assets or the acquisition of the Capital Stock of any Person owning such property or assets,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Qualifying Assets</w:t>
      </w:r>
      <w:r>
        <w:rPr>
          <w:color w:val="000000"/>
        </w:rPr>
        <w:t xml:space="preserve">” </w:t>
      </w:r>
      <w:r>
        <w:rPr>
          <w:rFonts w:ascii="Times New Roman;sans-serif" w:hAnsi="Times New Roman;sans-serif"/>
          <w:b w:val="false"/>
          <w:color w:val="000000"/>
          <w:sz w:val="22"/>
        </w:rPr>
        <w:t>means any and all assets directly owned by the Restricted Subsidiaries that are Domestic Subsidiaries, other than (a) real property, including improvements thereto and fixtures, (b) aircraft and (c) investments in the Company or any of its Subsidiaries. The amount or value of any Qualifying Assets at any time shall be the book value thereof at such time determined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Qualifying Bid</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Receivable</w:t>
      </w:r>
      <w:r>
        <w:rPr>
          <w:color w:val="000000"/>
        </w:rPr>
        <w:t xml:space="preserve">” </w:t>
      </w:r>
      <w:r>
        <w:rPr>
          <w:rFonts w:ascii="Times New Roman;sans-serif" w:hAnsi="Times New Roman;sans-serif"/>
          <w:b w:val="false"/>
          <w:color w:val="000000"/>
          <w:sz w:val="22"/>
        </w:rPr>
        <w:t>means a right to receive payment pursuant to an arrangement with another Person pursuant to which such other Person is obligated to pay, as determined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Receivables Facility</w:t>
      </w:r>
      <w:r>
        <w:rPr>
          <w:color w:val="000000"/>
        </w:rPr>
        <w:t xml:space="preserve">” </w:t>
      </w:r>
      <w:r>
        <w:rPr>
          <w:rFonts w:ascii="Times New Roman;sans-serif" w:hAnsi="Times New Roman;sans-serif"/>
          <w:b w:val="false"/>
          <w:color w:val="000000"/>
          <w:sz w:val="22"/>
        </w:rPr>
        <w:t>means any of one or more transactions pursuant to which the Company or any of the Restricted Subsidiaries sells or conveys Receivables Facility Assets to a Receivables Subsidiary that borrows or issues debt on a secured basis against Receivables Facility Assets.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Receivables Facility Asset</w:t>
      </w:r>
      <w:r>
        <w:rPr>
          <w:color w:val="000000"/>
        </w:rPr>
        <w:t xml:space="preserve">” </w:t>
      </w:r>
      <w:r>
        <w:rPr>
          <w:rFonts w:ascii="Times New Roman;sans-serif" w:hAnsi="Times New Roman;sans-serif"/>
          <w:b w:val="false"/>
          <w:color w:val="000000"/>
          <w:sz w:val="22"/>
        </w:rPr>
        <w:t>means (a) Accounts and, in each case, any related assets and rights (including any collateral securing such Accounts, any contract rights in respect of such Accounts, proceeds collected on such Accounts, lockbox accounts into which such proceeds are collected and related records) customarily transferred in connection with similar receivables financing or securitization transactions and/or (b) Capital Stock issued by any Receivables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Receivables Facility Guarantee</w:t>
      </w:r>
      <w:r>
        <w:rPr>
          <w:color w:val="000000"/>
        </w:rPr>
        <w:t xml:space="preserve">” </w:t>
      </w:r>
      <w:r>
        <w:rPr>
          <w:rFonts w:ascii="Times New Roman;sans-serif" w:hAnsi="Times New Roman;sans-serif"/>
          <w:b w:val="false"/>
          <w:color w:val="000000"/>
          <w:sz w:val="22"/>
        </w:rPr>
        <w:t>means (i) any guarantee of performance and related indemnification entered into by the Company or any Restricted Subsidiary in respect of the obligations of a seller or servicer of Receivables Facility Assets in a Receivables Facility or (ii) any other guarantee of performance entered into by the Company or any Restricted Subsidiary which the Company has determined in good faith to be customary in a Receivables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Receivables Subsidiary</w:t>
      </w:r>
      <w:r>
        <w:rPr>
          <w:color w:val="000000"/>
        </w:rPr>
        <w:t xml:space="preserve">” </w:t>
      </w:r>
      <w:r>
        <w:rPr>
          <w:rFonts w:ascii="Times New Roman;sans-serif" w:hAnsi="Times New Roman;sans-serif"/>
          <w:b w:val="false"/>
          <w:color w:val="000000"/>
          <w:sz w:val="22"/>
        </w:rPr>
        <w:t>means a Subsidiary (x) formed as a special purpose entity for the purpose of facilitating or entering into one or more Specified Receivables Facilities and (y) engaged only in activities reasonably related or incidental to Specified Receivables Facilities (it being understood and agreed that any entity formed solely for the purpose of holding any bank account into which collections or other proceeds of Receivables Facility Assets are paid shall satisfy the requirement in clause (y) above).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Recipient</w:t>
      </w:r>
      <w:r>
        <w:rPr>
          <w:color w:val="000000"/>
        </w:rPr>
        <w:t xml:space="preserve">” </w:t>
      </w:r>
      <w:r>
        <w:rPr>
          <w:rFonts w:ascii="Times New Roman;sans-serif" w:hAnsi="Times New Roman;sans-serif"/>
          <w:b w:val="false"/>
          <w:color w:val="000000"/>
          <w:sz w:val="22"/>
        </w:rPr>
        <w:t>means (a) the Administrative Agent and (b) any Lender, as applicable.</w:t>
      </w:r>
    </w:p>
    <w:p>
      <w:pPr>
        <w:pStyle w:val="TextBody"/>
        <w:bidi w:val="0"/>
        <w:spacing w:lineRule="auto" w:line="240" w:before="0" w:after="220"/>
        <w:ind w:left="0" w:right="0" w:firstLine="720"/>
        <w:jc w:val="both"/>
        <w:rPr/>
      </w:pPr>
      <w:r>
        <w:rPr>
          <w:color w:val="000000"/>
        </w:rPr>
        <w:t>“</w:t>
      </w:r>
      <w:r>
        <w:rPr>
          <w:rFonts w:ascii="Times New Roman;sans-serif" w:hAnsi="Times New Roman;sans-serif"/>
          <w:b/>
          <w:color w:val="000000"/>
          <w:sz w:val="22"/>
        </w:rPr>
        <w:t>Reference Time</w:t>
      </w:r>
      <w:r>
        <w:rPr>
          <w:color w:val="000000"/>
        </w:rPr>
        <w:t xml:space="preserve">” </w:t>
      </w:r>
      <w:r>
        <w:rPr>
          <w:rFonts w:ascii="Times New Roman;sans-serif" w:hAnsi="Times New Roman;sans-serif"/>
          <w:b w:val="false"/>
          <w:color w:val="000000"/>
          <w:sz w:val="22"/>
        </w:rPr>
        <w:t>with respect to any setting of the then-current Benchmark means (</w:t>
      </w:r>
      <w:r>
        <w:rPr>
          <w:rFonts w:ascii="Times New Roman;sans-serif" w:hAnsi="Times New Roman;sans-serif"/>
          <w:b w:val="false"/>
          <w:strike/>
          <w:color w:val="FF0000"/>
          <w:sz w:val="22"/>
        </w:rPr>
        <w:t>1</w:t>
      </w:r>
      <w:r>
        <w:rPr>
          <w:rFonts w:ascii="Times New Roman;sans-serif" w:hAnsi="Times New Roman;sans-serif"/>
          <w:b/>
          <w:color w:val="0000FF"/>
          <w:sz w:val="22"/>
          <w:u w:val="single"/>
        </w:rPr>
        <w:t>a</w:t>
      </w:r>
      <w:r>
        <w:rPr>
          <w:rFonts w:ascii="Times New Roman;sans-serif" w:hAnsi="Times New Roman;sans-serif"/>
          <w:b w:val="false"/>
          <w:color w:val="000000"/>
          <w:sz w:val="22"/>
        </w:rPr>
        <w:t xml:space="preserve">) if such Benchmark is </w:t>
      </w:r>
      <w:r>
        <w:rPr>
          <w:rFonts w:ascii="Times New Roman;sans-serif" w:hAnsi="Times New Roman;sans-serif"/>
          <w:b w:val="false"/>
          <w:strike/>
          <w:color w:val="FF0000"/>
          <w:sz w:val="22"/>
        </w:rPr>
        <w:t>LIBO Rate, 11:00 a.m. (London time)</w:t>
      </w:r>
      <w:r>
        <w:rPr>
          <w:rFonts w:ascii="Times New Roman;sans-serif" w:hAnsi="Times New Roman;sans-serif"/>
          <w:b/>
          <w:color w:val="0000FF"/>
          <w:sz w:val="22"/>
          <w:u w:val="single"/>
        </w:rPr>
        <w:t>Term SOFR, 5:00 a.m., Chicago time,</w:t>
      </w:r>
      <w:r>
        <w:rPr>
          <w:color w:val="000000"/>
        </w:rPr>
        <w:t xml:space="preserve"> </w:t>
      </w:r>
      <w:r>
        <w:rPr>
          <w:rFonts w:ascii="Times New Roman;sans-serif" w:hAnsi="Times New Roman;sans-serif"/>
          <w:b w:val="false"/>
          <w:color w:val="000000"/>
          <w:sz w:val="22"/>
        </w:rPr>
        <w:t xml:space="preserve">on the day that is two </w:t>
      </w:r>
      <w:r>
        <w:rPr>
          <w:rFonts w:ascii="Times New Roman;sans-serif" w:hAnsi="Times New Roman;sans-serif"/>
          <w:b w:val="false"/>
          <w:strike/>
          <w:color w:val="FF0000"/>
          <w:sz w:val="22"/>
        </w:rPr>
        <w:t>London banking days</w:t>
      </w:r>
      <w:r>
        <w:rPr>
          <w:rFonts w:ascii="Times New Roman;sans-serif" w:hAnsi="Times New Roman;sans-serif"/>
          <w:b/>
          <w:color w:val="0000FF"/>
          <w:sz w:val="22"/>
          <w:u w:val="single"/>
        </w:rPr>
        <w:t>U.S. Government Securities Business Days</w:t>
      </w:r>
      <w:r>
        <w:rPr>
          <w:color w:val="000000"/>
        </w:rPr>
        <w:t xml:space="preserve"> </w:t>
      </w:r>
      <w:r>
        <w:rPr>
          <w:rFonts w:ascii="Times New Roman;sans-serif" w:hAnsi="Times New Roman;sans-serif"/>
          <w:b w:val="false"/>
          <w:color w:val="000000"/>
          <w:sz w:val="22"/>
        </w:rPr>
        <w:t>preceding the date of such setting</w:t>
      </w:r>
      <w:r>
        <w:rPr>
          <w:rFonts w:ascii="Times New Roman;sans-serif" w:hAnsi="Times New Roman;sans-serif"/>
          <w:b w:val="false"/>
          <w:strike/>
          <w:color w:val="FF0000"/>
          <w:sz w:val="22"/>
        </w:rPr>
        <w:t xml:space="preserve">, </w:t>
      </w:r>
      <w:r>
        <w:rPr>
          <w:rFonts w:ascii="Times New Roman;sans-serif" w:hAnsi="Times New Roman;sans-serif"/>
          <w:b w:val="false"/>
          <w:color w:val="000000"/>
          <w:sz w:val="22"/>
        </w:rPr>
        <w:t>and (</w:t>
      </w:r>
      <w:r>
        <w:rPr>
          <w:rFonts w:ascii="Times New Roman;sans-serif" w:hAnsi="Times New Roman;sans-serif"/>
          <w:b w:val="false"/>
          <w:strike/>
          <w:color w:val="FF0000"/>
          <w:sz w:val="22"/>
        </w:rPr>
        <w:t>2</w:t>
      </w:r>
      <w:r>
        <w:rPr>
          <w:rFonts w:ascii="Times New Roman;sans-serif" w:hAnsi="Times New Roman;sans-serif"/>
          <w:b/>
          <w:color w:val="0000FF"/>
          <w:sz w:val="22"/>
          <w:u w:val="single"/>
        </w:rPr>
        <w:t>b</w:t>
      </w:r>
      <w:r>
        <w:rPr>
          <w:rFonts w:ascii="Times New Roman;sans-serif" w:hAnsi="Times New Roman;sans-serif"/>
          <w:b w:val="false"/>
          <w:color w:val="000000"/>
          <w:sz w:val="22"/>
        </w:rPr>
        <w:t xml:space="preserve">) if such Benchmark is not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rFonts w:ascii="Times New Roman;sans-serif" w:hAnsi="Times New Roman;sans-serif"/>
          <w:b w:val="false"/>
          <w:color w:val="000000"/>
          <w:sz w:val="22"/>
        </w:rPr>
        <w:t>, the time determined by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refinance</w:t>
      </w:r>
      <w:r>
        <w:rPr>
          <w:color w:val="000000"/>
        </w:rPr>
        <w:t xml:space="preserve">” </w:t>
      </w:r>
      <w:r>
        <w:rPr>
          <w:rFonts w:ascii="Times New Roman;sans-serif" w:hAnsi="Times New Roman;sans-serif"/>
          <w:b w:val="false"/>
          <w:color w:val="000000"/>
          <w:sz w:val="22"/>
        </w:rPr>
        <w:t>means refinance, refund, replace, renew, repay, modify, restate, defer, substitute, exchange. supplement, reissue, resell or extend (including pursuant to any defeasance or discharge mechanism); and the terms “refinances,” “refinanced” and “refinancing” as used for any purpose in this Agreement shall have a correlative meaning.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Refinancing Amendment</w:t>
      </w:r>
      <w:r>
        <w:rPr>
          <w:color w:val="000000"/>
        </w:rPr>
        <w:t xml:space="preserve">” </w:t>
      </w:r>
      <w:r>
        <w:rPr>
          <w:rFonts w:ascii="Times New Roman;sans-serif" w:hAnsi="Times New Roman;sans-serif"/>
          <w:b w:val="false"/>
          <w:color w:val="000000"/>
          <w:sz w:val="22"/>
        </w:rPr>
        <w:t xml:space="preserve">means an amendment to this Agreement that is reasonably satisfactory to the Administrative Agent and the Company executed by (a) the Company, each other Borrower, (b) the Administrative Agent and (c) each Lender that agrees to provide all or any portion of the Replacement Term Loans being incurred pursuant thereto and in accordance with </w:t>
      </w:r>
      <w:r>
        <w:rPr>
          <w:rFonts w:ascii="Times New Roman;sans-serif" w:hAnsi="Times New Roman;sans-serif"/>
          <w:b w:val="false"/>
          <w:color w:val="000000"/>
          <w:sz w:val="22"/>
          <w:u w:val="single"/>
        </w:rPr>
        <w:t>Section 9.02(b)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Refinancing Indebtedness</w:t>
      </w:r>
      <w:r>
        <w:rPr>
          <w:color w:val="000000"/>
        </w:rPr>
        <w:t xml:space="preserve">” </w:t>
      </w:r>
      <w:r>
        <w:rPr>
          <w:rFonts w:ascii="Times New Roman;sans-serif" w:hAnsi="Times New Roman;sans-serif"/>
          <w:b w:val="false"/>
          <w:color w:val="000000"/>
          <w:sz w:val="22"/>
        </w:rPr>
        <w:t xml:space="preserve">means Indebtedness that is Incurred to refinance any Indebtedness (or unutilized commitment in respect of Indebtedness) existing on the date of this Agreement or Incurred (or established) in compliance with this Agreement (including Indebtedness of the Company that refinances Indebtedness of any Restricted Subsidiary (to the extent permitted in this Agreement) and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62890"/>
                <wp:effectExtent l="0" t="0" r="0" b="0"/>
                <wp:wrapNone/>
                <wp:docPr id="99" name="Frame9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Indebtedness of any Restricted Subsidiary that refinances Indebtedness of the Company or of another Restricted Subsidiary) including Indebtedness that refinances Refinancing Indebtedness, and Indebtedness Incurred pursuant to a commitment that refinances any Indebtedness or unutilized commitment; provided, that (1) if the Indebtedness being refinanced is Subordinated Obligations or Guarantor Subordinated Obligations, the Refinancing Indebtedness has a final Stated Maturity at the time such Refinancing Indebtedness is Incurred that is equal to or greater than the final Stated Maturity of the Indebtedness being refinanced (or if shorter, of the Initial Term Loans), (2) such Refinancing Indebtedness is Incurred in an aggregate principal amount (or if issued with original issue discount, an aggregate issue price) that is equal to or less than the sum of (x) the aggregate principal amount then outstanding of the Indebtedness being refinanced, plus (y) an amount equal to any unutilized commitment relating to the Indebtedness being refinanced or otherwise then outstanding under a Credit Facility or other financing arrangement being refinanced to the extent the unutilized commitment being refinanced could be drawn in compliance with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immediately prior to such refinancing, plus (z) fees, underwriting discounts, premiums and other costs and expenses (including accrued and unpaid interest) Incurred or payable in connection with such refinancing, (3) Refinancing Indebtedness shall not include (x) Indebtedness of a Restricted Subsidiary that is not a Subsidiary Guarantor that refinances Indebtedness of the Company or a Subsidiary Guarantor that could not have been initially Incurred by such Restricted Subsidiary pursuant to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or (y) Indebtedness of the Company or a Restricted Subsidiary that refinances Indebtedness of an Unrestricted Subsidiary and (4) to the extent such Refinancing Indebtedness is secured by Collateral, the Liens on Collateral securing such Refinancing Indebtedness have a priority that is equal or junior to the priority of Liens on Collateral securing the Indebtedness being extended, replaced, refinanced, renewed, repaid or restructured and such Liens shall be subject to the applicable Acceptable Intercreditor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Refunding Capital Stock</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6.02(b)(i)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Register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9.05(b)(iv)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Registration Statement</w:t>
      </w:r>
      <w:r>
        <w:rPr>
          <w:color w:val="000000"/>
        </w:rPr>
        <w:t xml:space="preserve">” </w:t>
      </w:r>
      <w:r>
        <w:rPr>
          <w:rFonts w:ascii="Times New Roman;sans-serif" w:hAnsi="Times New Roman;sans-serif"/>
          <w:b w:val="false"/>
          <w:color w:val="000000"/>
          <w:sz w:val="22"/>
        </w:rPr>
        <w:t>means the registration statement filed with the SEC on June 21, 2021, as amended from time to time prior to the date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Regulated Bank</w:t>
      </w:r>
      <w:r>
        <w:rPr>
          <w:color w:val="000000"/>
        </w:rPr>
        <w:t xml:space="preserve">” </w:t>
      </w:r>
      <w:r>
        <w:rPr>
          <w:rFonts w:ascii="Times New Roman;sans-serif" w:hAnsi="Times New Roman;sans-serif"/>
          <w:b w:val="false"/>
          <w:color w:val="000000"/>
          <w:sz w:val="22"/>
        </w:rPr>
        <w:t xml:space="preserve">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w:t>
      </w:r>
      <w:r>
        <w:rPr>
          <w:rFonts w:ascii="Times New Roman;sans-serif" w:hAnsi="Times New Roman;sans-serif"/>
          <w:b w:val="false"/>
          <w:color w:val="000000"/>
          <w:sz w:val="22"/>
          <w:u w:val="single"/>
        </w:rPr>
        <w:t>clause (iii)</w:t>
      </w:r>
      <w:r>
        <w:rPr>
          <w:rFonts w:ascii="Times New Roman;sans-serif" w:hAnsi="Times New Roman;sans-serif"/>
          <w:b w:val="false"/>
          <w:color w:val="000000"/>
          <w:sz w:val="22"/>
        </w:rPr>
        <w:t>; or (v) any other U.S. or non-U.S. depository institution or any branch, agency or similar office thereof supervised by a bank regulatory authority in any jurisdiction.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Regulation U</w:t>
      </w:r>
      <w:r>
        <w:rPr>
          <w:color w:val="000000"/>
        </w:rPr>
        <w:t xml:space="preserve">” </w:t>
      </w:r>
      <w:r>
        <w:rPr>
          <w:rFonts w:ascii="Times New Roman;sans-serif" w:hAnsi="Times New Roman;sans-serif"/>
          <w:b w:val="false"/>
          <w:color w:val="000000"/>
          <w:sz w:val="22"/>
        </w:rPr>
        <w:t>means Regulation U of the Board as from time to time in effect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Related Business</w:t>
      </w:r>
      <w:r>
        <w:rPr>
          <w:color w:val="000000"/>
        </w:rPr>
        <w:t xml:space="preserve">” </w:t>
      </w:r>
      <w:r>
        <w:rPr>
          <w:rFonts w:ascii="Times New Roman;sans-serif" w:hAnsi="Times New Roman;sans-serif"/>
          <w:b w:val="false"/>
          <w:color w:val="000000"/>
          <w:sz w:val="22"/>
        </w:rPr>
        <w:t>means those businesses in which the Company or any of its Subsidiaries is engaged on the Closing Date, or that are similar, related, complementary, incidental or ancillary thereto or extensions, developments or expansions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Related Funds</w:t>
      </w:r>
      <w:r>
        <w:rPr>
          <w:color w:val="000000"/>
        </w:rPr>
        <w:t xml:space="preserve">” </w:t>
      </w:r>
      <w:r>
        <w:rPr>
          <w:rFonts w:ascii="Times New Roman;sans-serif" w:hAnsi="Times New Roman;sans-serif"/>
          <w:b w:val="false"/>
          <w:color w:val="000000"/>
          <w:sz w:val="22"/>
        </w:rPr>
        <w:t>means with respect to any Lender that is an Approved Fund, any other Approved Fund that is managed by the same investment advisor as such Lender or by an Affiliate of such investment advisor.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Related Parties</w:t>
      </w:r>
      <w:r>
        <w:rPr>
          <w:color w:val="000000"/>
        </w:rPr>
        <w:t xml:space="preserve">” </w:t>
      </w:r>
      <w:r>
        <w:rPr>
          <w:rFonts w:ascii="Times New Roman;sans-serif" w:hAnsi="Times New Roman;sans-serif"/>
          <w:b w:val="false"/>
          <w:color w:val="000000"/>
          <w:sz w:val="22"/>
        </w:rPr>
        <w:t>means, with respect to any specified Person, such Person’s Affiliates and the respective directors, officers, employees, agents and advisors of such Person and such Person’s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Relevant Governmental Body</w:t>
      </w:r>
      <w:r>
        <w:rPr>
          <w:color w:val="000000"/>
        </w:rPr>
        <w:t xml:space="preserve">” </w:t>
      </w:r>
      <w:r>
        <w:rPr>
          <w:rFonts w:ascii="Times New Roman;sans-serif" w:hAnsi="Times New Roman;sans-serif"/>
          <w:b w:val="false"/>
          <w:color w:val="000000"/>
          <w:sz w:val="22"/>
        </w:rPr>
        <w:t>means the Board or the NYFRB, or a committee officially endorsed or convened by the Board or the NYFRB,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Replaced Term Loans</w:t>
      </w:r>
      <w:r>
        <w:rPr>
          <w:color w:val="000000"/>
        </w:rPr>
        <w:t xml:space="preserve">” </w:t>
      </w:r>
      <w:r>
        <w:rPr>
          <w:rFonts w:ascii="Times New Roman;sans-serif" w:hAnsi="Times New Roman;sans-serif"/>
          <w:b w:val="false"/>
          <w:color w:val="000000"/>
          <w:sz w:val="22"/>
        </w:rPr>
        <w:t>has the meaning assigned to such term in Section 9.02(b)(iii).</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62890"/>
                <wp:effectExtent l="0" t="0" r="0" b="0"/>
                <wp:wrapNone/>
                <wp:docPr id="100" name="Frame10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Replacement Debt</w:t>
      </w:r>
      <w:r>
        <w:rPr>
          <w:color w:val="000000"/>
        </w:rPr>
        <w:t xml:space="preserve">” </w:t>
      </w:r>
      <w:r>
        <w:rPr>
          <w:rFonts w:ascii="Times New Roman;sans-serif" w:hAnsi="Times New Roman;sans-serif"/>
          <w:b w:val="false"/>
          <w:color w:val="000000"/>
          <w:sz w:val="22"/>
        </w:rPr>
        <w:t xml:space="preserve">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Times New Roman;sans-serif" w:hAnsi="Times New Roman;sans-serif"/>
          <w:b w:val="false"/>
          <w:color w:val="000000"/>
          <w:sz w:val="22"/>
          <w:u w:val="single"/>
        </w:rPr>
        <w:t>Section 6.01(b)(i)(C)</w:t>
      </w:r>
      <w:r>
        <w:rPr>
          <w:color w:val="000000"/>
        </w:rPr>
        <w:t xml:space="preserve"> </w:t>
      </w:r>
      <w:r>
        <w:rPr>
          <w:rFonts w:ascii="Times New Roman;sans-serif" w:hAnsi="Times New Roman;sans-serif"/>
          <w:b w:val="false"/>
          <w:color w:val="000000"/>
          <w:sz w:val="22"/>
        </w:rPr>
        <w:t>(and any subsequent refinancing of such Replacement Debt).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Replacement Term Loans</w:t>
      </w:r>
      <w:r>
        <w:rPr>
          <w:color w:val="000000"/>
        </w:rPr>
        <w:t xml:space="preserve">” </w:t>
      </w:r>
      <w:r>
        <w:rPr>
          <w:rFonts w:ascii="Times New Roman;sans-serif" w:hAnsi="Times New Roman;sans-serif"/>
          <w:b w:val="false"/>
          <w:color w:val="000000"/>
          <w:sz w:val="22"/>
        </w:rPr>
        <w:t>has the meaning assigned to such term in Section 9.02(b)(iii).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Reply Amount</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Reply Price</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Representative</w:t>
      </w:r>
      <w:r>
        <w:rPr>
          <w:color w:val="000000"/>
        </w:rPr>
        <w:t xml:space="preserve">” </w:t>
      </w:r>
      <w:r>
        <w:rPr>
          <w:rFonts w:ascii="Times New Roman;sans-serif" w:hAnsi="Times New Roman;sans-serif"/>
          <w:b w:val="false"/>
          <w:color w:val="000000"/>
          <w:sz w:val="22"/>
        </w:rPr>
        <w:t>has the meaning assigned to such term in Section 9.13(a).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Repricing Transaction</w:t>
      </w:r>
      <w:r>
        <w:rPr>
          <w:color w:val="000000"/>
        </w:rPr>
        <w:t xml:space="preserve">” </w:t>
      </w:r>
      <w:r>
        <w:rPr>
          <w:rFonts w:ascii="Times New Roman;sans-serif" w:hAnsi="Times New Roman;sans-serif"/>
          <w:b w:val="false"/>
          <w:color w:val="000000"/>
          <w:sz w:val="22"/>
        </w:rPr>
        <w:t xml:space="preserve">means each of (a) the optional prepayment, repayment, refinancing, substitution or replacement of all or a portion of the Initial Term Loans substantially concurrently with the incurrence by any Loan Party of any broadly syndicated Dollar denominated long-term term “B” credit facility secured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basis with the Initial Term Loans (including any first-lien secured Replacement Term Loans) having an Effective Yield that is less than the Effective Yield applicable to the Initial Term Loans so prepaid, repaid, refinanced, substituted or replaced and (b) any amendment, waiver or other modification to this Agreement that would have the effect of reducing the Effective Yield applicable to the Initial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primary purpose (as determined by the Company in good faith) of such prepayment, repayment, refinancing, substitution, replacement, amendment, waiver or other modification was to reduce the Effective Yield applicable to the Initial Term Loans;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further, that in no event shall any such prepayment, repayment, refinancing, substitution, replacement, amendment, waiver or other modification in connection with a Change of Control or Material Acquisition (or other Material Investment)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Required Asset Sale/Casualty Event Percentage</w:t>
      </w:r>
      <w:r>
        <w:rPr>
          <w:color w:val="000000"/>
        </w:rPr>
        <w:t xml:space="preserve">” </w:t>
      </w:r>
      <w:r>
        <w:rPr>
          <w:rFonts w:ascii="Times New Roman;sans-serif" w:hAnsi="Times New Roman;sans-serif"/>
          <w:b w:val="false"/>
          <w:color w:val="000000"/>
          <w:sz w:val="22"/>
        </w:rPr>
        <w:t xml:space="preserve">means (a) if the Consolidated First Lien Leverage Ratio is greater than 1.00:1.00, 100%, (b) if the Consolidated First Lien Leverage Ratio is less than or equal to 1.00:1.00 and greater than 0.75:1.00, 25% and (c) if the Consolidated First Lien Leverage Ratio is less than or equal to 0.75:1.00, 0%; it being understood and agreed that, for purposes of this definition as it applies to the determination of the amount of Net Available Cash that is required to be applied to prepay Subject Loans under </w:t>
      </w:r>
      <w:r>
        <w:rPr>
          <w:rFonts w:ascii="Times New Roman;sans-serif" w:hAnsi="Times New Roman;sans-serif"/>
          <w:b w:val="false"/>
          <w:color w:val="000000"/>
          <w:sz w:val="22"/>
          <w:u w:val="single"/>
        </w:rPr>
        <w:t>Section 2.11(b)(ii)</w:t>
      </w:r>
      <w:r>
        <w:rPr>
          <w:rFonts w:ascii="Times New Roman;sans-serif" w:hAnsi="Times New Roman;sans-serif"/>
          <w:b w:val="false"/>
          <w:color w:val="000000"/>
          <w:sz w:val="22"/>
        </w:rPr>
        <w:t>, the Consolidated First Lien Leverage Ratio shall be determined after giving pro forma effect to such prepayment and to any other repayment or prepayment at or prior to the time such prepayment is due.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Required Excess Cash Flow Percentage</w:t>
      </w:r>
      <w:r>
        <w:rPr>
          <w:color w:val="000000"/>
        </w:rPr>
        <w:t xml:space="preserve">” </w:t>
      </w:r>
      <w:r>
        <w:rPr>
          <w:rFonts w:ascii="Times New Roman;sans-serif" w:hAnsi="Times New Roman;sans-serif"/>
          <w:b w:val="false"/>
          <w:color w:val="000000"/>
          <w:sz w:val="22"/>
        </w:rPr>
        <w:t xml:space="preserve">means, as of the last day of any Excess Cash Flow Period, (a) if the Consolidated First Lien Leverage Ratio is greater than 1.00:1.00, 50%, (b) if the Consolidated First Lien Leverage Ratio is less than or equal to 1.00:1.00 and greater than 0.75:1.00, 25% and (c) if the Consolidated First Lien Leverage Ratio is less than or equal to 0.75:1.00, 0%; it being understood and agreed that, for purposes of this definition as it applies to the determination of the amount of Excess Cash Flow that is required to be applied to prepay Subject Loans under </w:t>
      </w:r>
      <w:r>
        <w:rPr>
          <w:rFonts w:ascii="Times New Roman;sans-serif" w:hAnsi="Times New Roman;sans-serif"/>
          <w:b w:val="false"/>
          <w:color w:val="000000"/>
          <w:sz w:val="22"/>
          <w:u w:val="single"/>
        </w:rPr>
        <w:t>Section 2.11(b)(i)</w:t>
      </w:r>
      <w:r>
        <w:rPr>
          <w:color w:val="000000"/>
        </w:rPr>
        <w:t xml:space="preserve"> </w:t>
      </w:r>
      <w:r>
        <w:rPr>
          <w:rFonts w:ascii="Times New Roman;sans-serif" w:hAnsi="Times New Roman;sans-serif"/>
          <w:b w:val="false"/>
          <w:color w:val="000000"/>
          <w:sz w:val="22"/>
        </w:rPr>
        <w:t>for any Excess Cash Flow Period, the Consolidated First Lien Leverage Ratio shall be determined after giving pro forma effect to such prepayment and to any other repayment or prepayment at or prior to the time such Excess Cash Flow prepayment is due.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Required Lenders</w:t>
      </w:r>
      <w:r>
        <w:rPr>
          <w:color w:val="000000"/>
        </w:rPr>
        <w:t xml:space="preserve">” </w:t>
      </w:r>
      <w:r>
        <w:rPr>
          <w:rFonts w:ascii="Times New Roman;sans-serif" w:hAnsi="Times New Roman;sans-serif"/>
          <w:b w:val="false"/>
          <w:color w:val="000000"/>
          <w:sz w:val="22"/>
        </w:rPr>
        <w:t>means, at any time, Lenders having Loans or unused Commitments representing more than 50% of the sum of the total Loans and such unused Commitments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Required Secured Parties</w:t>
      </w:r>
      <w:r>
        <w:rPr>
          <w:color w:val="000000"/>
        </w:rPr>
        <w:t xml:space="preserve">” </w:t>
      </w:r>
      <w:r>
        <w:rPr>
          <w:rFonts w:ascii="Times New Roman;sans-serif" w:hAnsi="Times New Roman;sans-serif"/>
          <w:b w:val="false"/>
          <w:color w:val="000000"/>
          <w:sz w:val="22"/>
        </w:rPr>
        <w:t>has the meaning set forth in the Collateral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Requirements of Law</w:t>
      </w:r>
      <w:r>
        <w:rPr>
          <w:color w:val="000000"/>
        </w:rPr>
        <w:t xml:space="preserve">” </w:t>
      </w:r>
      <w:r>
        <w:rPr>
          <w:rFonts w:ascii="Times New Roman;sans-serif" w:hAnsi="Times New Roman;sans-serif"/>
          <w:b w:val="false"/>
          <w:color w:val="000000"/>
          <w:sz w:val="22"/>
        </w:rPr>
        <w:t xml:space="preserve">means, with respect to any Person, collectively, the common law and all federal, state, local, foreign, multinational or international laws, statutes, codes, treaties, standards, rules and regulations, guidelines, ordinances, orders, judgments, writs, injunctions, decrees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62890"/>
                <wp:effectExtent l="0" t="0" r="0" b="0"/>
                <wp:wrapNone/>
                <wp:docPr id="101" name="Frame10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Responsible Officer</w:t>
      </w:r>
      <w:r>
        <w:rPr>
          <w:color w:val="000000"/>
        </w:rPr>
        <w:t xml:space="preserve">” </w:t>
      </w:r>
      <w:r>
        <w:rPr>
          <w:rFonts w:ascii="Times New Roman;sans-serif" w:hAnsi="Times New Roman;sans-serif"/>
          <w:b w:val="false"/>
          <w:color w:val="000000"/>
          <w:sz w:val="22"/>
        </w:rPr>
        <w:t xml:space="preserve">of any Person means the chief executive officer, the president, the chief financial officer, the treasurer, any assistant treasurer, any executive vice president, any senior vice president, any vice president or the chief operating officer of such Person and any other individual or 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Times New Roman;sans-serif" w:hAnsi="Times New Roman;sans-serif"/>
          <w:b w:val="false"/>
          <w:color w:val="000000"/>
          <w:sz w:val="22"/>
          <w:u w:val="single"/>
        </w:rPr>
        <w:t>Article 2</w:t>
      </w:r>
      <w:r>
        <w:rPr>
          <w:rFonts w:ascii="Times New Roman;sans-serif" w:hAnsi="Times New Roman;sans-serif"/>
          <w:b w:val="false"/>
          <w:color w:val="000000"/>
          <w:sz w:val="22"/>
        </w:rPr>
        <w:t>, any other officer of the applicable Loan Party so designated by any of the foregoing officers in a written notice to the Administrative Agent (including, for the avoidance of doubt, by electronic means).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Restricted Amount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2.11(b)(iv)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Restricted Payment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Restricted Payment Transaction”</w:t>
      </w:r>
      <w:r>
        <w:rPr>
          <w:color w:val="000000"/>
        </w:rPr>
        <w:t xml:space="preserve"> </w:t>
      </w:r>
      <w:r>
        <w:rPr>
          <w:rFonts w:ascii="Times New Roman;sans-serif" w:hAnsi="Times New Roman;sans-serif"/>
          <w:b w:val="false"/>
          <w:color w:val="000000"/>
          <w:sz w:val="22"/>
        </w:rPr>
        <w:t xml:space="preserve">means any Restricted Payment permitted pursuant to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 any Permitted Payment, any Permitted Investment, or any transaction specifically excluded from the definition of the term “Restricted Payment” (including pursuant to the exception contained in clause (i) of such definition and the parenthetical exclusions contained in clauses (ii) and (iii) of such definition).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Restricted Subsidiary</w:t>
      </w:r>
      <w:r>
        <w:rPr>
          <w:color w:val="000000"/>
        </w:rPr>
        <w:t xml:space="preserve">” </w:t>
      </w:r>
      <w:r>
        <w:rPr>
          <w:rFonts w:ascii="Times New Roman;sans-serif" w:hAnsi="Times New Roman;sans-serif"/>
          <w:b w:val="false"/>
          <w:color w:val="000000"/>
          <w:sz w:val="22"/>
        </w:rPr>
        <w:t>means any Subsidiary of the Company other than an Unrestricted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Return Bid</w:t>
      </w:r>
      <w:r>
        <w:rPr>
          <w:color w:val="000000"/>
        </w:rPr>
        <w:t xml:space="preserve">” </w:t>
      </w:r>
      <w:r>
        <w:rPr>
          <w:rFonts w:ascii="Times New Roman;sans-serif" w:hAnsi="Times New Roman;sans-serif"/>
          <w:b w:val="false"/>
          <w:color w:val="000000"/>
          <w:sz w:val="22"/>
        </w:rPr>
        <w:t>has the meaning assigned to such term in the definition of “Dutch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S&amp;P</w:t>
      </w:r>
      <w:r>
        <w:rPr>
          <w:color w:val="000000"/>
        </w:rPr>
        <w:t xml:space="preserve">” </w:t>
      </w:r>
      <w:r>
        <w:rPr>
          <w:rFonts w:ascii="Times New Roman;sans-serif" w:hAnsi="Times New Roman;sans-serif"/>
          <w:b w:val="false"/>
          <w:color w:val="000000"/>
          <w:sz w:val="22"/>
        </w:rPr>
        <w:t>means Standard &amp; Poor’s Ratings Services.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Sanctioned Country</w:t>
      </w:r>
      <w:r>
        <w:rPr>
          <w:color w:val="000000"/>
        </w:rPr>
        <w:t xml:space="preserve">” </w:t>
      </w:r>
      <w:r>
        <w:rPr>
          <w:rFonts w:ascii="Times New Roman;sans-serif" w:hAnsi="Times New Roman;sans-serif"/>
          <w:b w:val="false"/>
          <w:color w:val="000000"/>
          <w:sz w:val="22"/>
        </w:rPr>
        <w:t>means any country that is the subject of comprehensive territorial Sanctions (as of the date of this Agreement, Crimea, Cuba, Iran, North Korea and Syria).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Sanctioned Person</w:t>
      </w:r>
      <w:r>
        <w:rPr>
          <w:color w:val="000000"/>
        </w:rPr>
        <w:t xml:space="preserve">” </w:t>
      </w:r>
      <w:r>
        <w:rPr>
          <w:rFonts w:ascii="Times New Roman;sans-serif" w:hAnsi="Times New Roman;sans-serif"/>
          <w:b w:val="false"/>
          <w:color w:val="000000"/>
          <w:sz w:val="22"/>
        </w:rPr>
        <w:t>means at any time (a) any Person named at such time on (i) the SDN List, (ii) the Sanctioned Entities List maintained by the U.S. Department of State, (iii) the consolidated list of persons, groups and entities subject to European Union financial sanctions maintained by the European Union External Action Committee, (iv) the Consolidated List of Financial Sanctions Targets in the UK maintained by Her Majesty’s Treasury of the United Kingdom, (v) the Compendium of United Nations Security Council Sanctions Lists and (vi) any Sanctions-related list of designated Persons maintained by the Government of Canada pursuant to, or as described in, any applicable Canadian Economic Sanctions and Export Control Laws, (b) any Person located, organized or resident in a Sanctioned Country, or (c) any Person 50% or more owned by any Person or Persons in (a)(i) of this definition.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Sanctions</w:t>
      </w:r>
      <w:r>
        <w:rPr>
          <w:color w:val="000000"/>
        </w:rPr>
        <w:t xml:space="preserve">” </w:t>
      </w:r>
      <w:r>
        <w:rPr>
          <w:rFonts w:ascii="Times New Roman;sans-serif" w:hAnsi="Times New Roman;sans-serif"/>
          <w:b w:val="false"/>
          <w:color w:val="000000"/>
          <w:sz w:val="22"/>
        </w:rPr>
        <w:t>means any economic or financial sanctions or trade embargoes imposed, administered or enforced by OFAC, the U.S. Department of State, the European Union, the United Nations Security Council, Her Majesty’s Treasury or the Government of Canada.</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62890"/>
                <wp:effectExtent l="0" t="0" r="0" b="0"/>
                <wp:wrapNone/>
                <wp:docPr id="102" name="Frame10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Sanctions Authority</w:t>
      </w:r>
      <w:r>
        <w:rPr>
          <w:color w:val="000000"/>
        </w:rPr>
        <w:t xml:space="preserve">” </w:t>
      </w:r>
      <w:r>
        <w:rPr>
          <w:rFonts w:ascii="Times New Roman;sans-serif" w:hAnsi="Times New Roman;sans-serif"/>
          <w:b w:val="false"/>
          <w:color w:val="000000"/>
          <w:sz w:val="22"/>
        </w:rPr>
        <w:t>means the United States Government (including without limitation, OFAC, the U.S. Department of Commerce, and the U.S. Department of State), the European Union, the United Kingdom (including Her Majesty’s Treasury) and Canada.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Sanctions List</w:t>
      </w:r>
      <w:r>
        <w:rPr>
          <w:color w:val="000000"/>
        </w:rPr>
        <w:t xml:space="preserve">” </w:t>
      </w:r>
      <w:r>
        <w:rPr>
          <w:rFonts w:ascii="Times New Roman;sans-serif" w:hAnsi="Times New Roman;sans-serif"/>
          <w:b w:val="false"/>
          <w:color w:val="000000"/>
          <w:sz w:val="22"/>
        </w:rPr>
        <w:t xml:space="preserve">means OFAC’s Specially Designated Nationals and Blocked Persons List and Sectoral Sanctions Identifications List, the Consolidated United Nations Security Council Sanctions List, HMT’s Consolidated List of Financial Sanctions Targets or any other Sanctions-related list of designated Persons maintained by a Sanctions Authority, each as amended, supplemented or substituted from time to time.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Scheduled Consideration</w:t>
      </w:r>
      <w:r>
        <w:rPr>
          <w:color w:val="000000"/>
        </w:rPr>
        <w:t xml:space="preserve">” </w:t>
      </w:r>
      <w:r>
        <w:rPr>
          <w:rFonts w:ascii="Times New Roman;sans-serif" w:hAnsi="Times New Roman;sans-serif"/>
          <w:b w:val="false"/>
          <w:color w:val="000000"/>
          <w:sz w:val="22"/>
        </w:rPr>
        <w:t>has the meaning assigned to such term in Section 2.11(b)(i)(B)(7).</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means the Securities and Exchange Commission, or any Governmental Authority succeeding to any or all of its functions.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Secured Obligations</w:t>
      </w:r>
      <w:r>
        <w:rPr>
          <w:color w:val="000000"/>
        </w:rPr>
        <w:t xml:space="preserve">” </w:t>
      </w:r>
      <w:r>
        <w:rPr>
          <w:rFonts w:ascii="Times New Roman;sans-serif" w:hAnsi="Times New Roman;sans-serif"/>
          <w:b w:val="false"/>
          <w:color w:val="000000"/>
          <w:sz w:val="22"/>
        </w:rPr>
        <w:t>means all Obligations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Secured Parties</w:t>
      </w:r>
      <w:r>
        <w:rPr>
          <w:color w:val="000000"/>
        </w:rPr>
        <w:t xml:space="preserve">” </w:t>
      </w:r>
      <w:r>
        <w:rPr>
          <w:rFonts w:ascii="Times New Roman;sans-serif" w:hAnsi="Times New Roman;sans-serif"/>
          <w:b w:val="false"/>
          <w:color w:val="000000"/>
          <w:sz w:val="22"/>
        </w:rPr>
        <w:t xml:space="preserve">means (i) the Lenders, (ii) the Administrative Agent, (iii) the Arrangers and (iv) the beneficiaries of each indemnification obligation undertaken by any Loan Party under any Loan Document.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Securities Act</w:t>
      </w:r>
      <w:r>
        <w:rPr>
          <w:color w:val="000000"/>
        </w:rPr>
        <w:t xml:space="preserve">” </w:t>
      </w:r>
      <w:r>
        <w:rPr>
          <w:rFonts w:ascii="Times New Roman;sans-serif" w:hAnsi="Times New Roman;sans-serif"/>
          <w:b w:val="false"/>
          <w:color w:val="000000"/>
          <w:sz w:val="22"/>
        </w:rPr>
        <w:t>means the Securities Act of 1933 and the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Senior Notes</w:t>
      </w:r>
      <w:r>
        <w:rPr>
          <w:color w:val="000000"/>
        </w:rPr>
        <w:t xml:space="preserve">” </w:t>
      </w:r>
      <w:r>
        <w:rPr>
          <w:rFonts w:ascii="Times New Roman;sans-serif" w:hAnsi="Times New Roman;sans-serif"/>
          <w:b w:val="false"/>
          <w:color w:val="000000"/>
          <w:sz w:val="22"/>
        </w:rPr>
        <w:t>has the meaning assigned to such term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Separation Agreement</w:t>
      </w:r>
      <w:r>
        <w:rPr>
          <w:color w:val="000000"/>
        </w:rPr>
        <w:t xml:space="preserve">” </w:t>
      </w:r>
      <w:r>
        <w:rPr>
          <w:rFonts w:ascii="Times New Roman;sans-serif" w:hAnsi="Times New Roman;sans-serif"/>
          <w:b w:val="false"/>
          <w:color w:val="000000"/>
          <w:sz w:val="22"/>
        </w:rPr>
        <w:t>means the Separation and Distribution Agreement, dated as of August 2, 2021 between L Brands and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Shared Incremental Amount</w:t>
      </w:r>
      <w:r>
        <w:rPr>
          <w:color w:val="000000"/>
        </w:rPr>
        <w:t xml:space="preserve">” </w:t>
      </w:r>
      <w:r>
        <w:rPr>
          <w:rFonts w:ascii="Times New Roman;sans-serif" w:hAnsi="Times New Roman;sans-serif"/>
          <w:b w:val="false"/>
          <w:color w:val="000000"/>
          <w:sz w:val="22"/>
        </w:rPr>
        <w:t xml:space="preserve">means, as of any date of determination, (a) the greater of (i) $1,000.0 million and (ii) 100% of Consolidated EBITDA as of the last day of the most recently ended Test Period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(b) the aggregate principal amount of all Incremental Facilities and/or Incremental Equivalent Debt originally incurred or issued in reliance on the Shared Incremental Amount outstanding on such date, in each case after giving effect to any reclassification of any such Indebtedness as having been incurred under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of the definition of “Incremental Cap”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SOFR</w:t>
      </w:r>
      <w:r>
        <w:rPr>
          <w:color w:val="000000"/>
        </w:rPr>
        <w:t xml:space="preserve">” </w:t>
      </w:r>
      <w:r>
        <w:rPr>
          <w:rFonts w:ascii="Times New Roman;sans-serif" w:hAnsi="Times New Roman;sans-serif"/>
          <w:b w:val="false"/>
          <w:strike/>
          <w:color w:val="FF0000"/>
          <w:sz w:val="22"/>
        </w:rPr>
        <w:t>with respect to any day means</w:t>
      </w:r>
      <w:r>
        <w:rPr>
          <w:rFonts w:ascii="Times New Roman;sans-serif" w:hAnsi="Times New Roman;sans-serif"/>
          <w:b/>
          <w:color w:val="0000FF"/>
          <w:sz w:val="22"/>
          <w:u w:val="single"/>
        </w:rPr>
        <w:t>means a rate equal to</w:t>
      </w:r>
      <w:r>
        <w:rPr>
          <w:color w:val="000000"/>
        </w:rPr>
        <w:t xml:space="preserve"> </w:t>
      </w:r>
      <w:r>
        <w:rPr>
          <w:rFonts w:ascii="Times New Roman;sans-serif" w:hAnsi="Times New Roman;sans-serif"/>
          <w:b w:val="false"/>
          <w:color w:val="000000"/>
          <w:sz w:val="22"/>
        </w:rPr>
        <w:t xml:space="preserve">the secured overnight financing rate </w:t>
      </w:r>
      <w:r>
        <w:rPr>
          <w:rFonts w:ascii="Times New Roman;sans-serif" w:hAnsi="Times New Roman;sans-serif"/>
          <w:b w:val="false"/>
          <w:strike/>
          <w:color w:val="FF0000"/>
          <w:sz w:val="22"/>
        </w:rPr>
        <w:t>published for such day by the Federal Reserve Bank of New York, as the administrator of the benchmark, (or a successor administrator) on the Federal Reserve Bank of New York’s Website</w:t>
      </w:r>
      <w:r>
        <w:rPr>
          <w:rFonts w:ascii="Times New Roman;sans-serif" w:hAnsi="Times New Roman;sans-serif"/>
          <w:b/>
          <w:color w:val="0000FF"/>
          <w:sz w:val="22"/>
          <w:u w:val="single"/>
        </w:rPr>
        <w:t>as administered by the SOFR Administrator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SOFR Administrator” means the NYFRB (or a successor administrator of the secured overnight financing rate).</w: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SOFR Administrator’s Website” means the Federal Reserve Bank of New York’s Website, currently at http://www.newyorkfed.org, or any successor source for the secured overnight financing rate identified as such by the SOFR Administrator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SPC</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9.05(e)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Special Purpose Financing Fees</w:t>
      </w:r>
      <w:r>
        <w:rPr>
          <w:color w:val="000000"/>
        </w:rPr>
        <w:t xml:space="preserve">” </w:t>
      </w:r>
      <w:r>
        <w:rPr>
          <w:rFonts w:ascii="Times New Roman;sans-serif" w:hAnsi="Times New Roman;sans-serif"/>
          <w:b w:val="false"/>
          <w:color w:val="000000"/>
          <w:sz w:val="22"/>
        </w:rPr>
        <w:t>means distributions or payments made directly or by means of discounts with respect to any participation interest issued or sold in connection with, and other fees paid to a Person that is not a Restricted Subsidiary in connection with, any Specified Receivables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Specified Event of Default</w:t>
      </w:r>
      <w:r>
        <w:rPr>
          <w:color w:val="000000"/>
        </w:rPr>
        <w:t xml:space="preserve">” </w:t>
      </w:r>
      <w:r>
        <w:rPr>
          <w:rFonts w:ascii="Times New Roman;sans-serif" w:hAnsi="Times New Roman;sans-serif"/>
          <w:b w:val="false"/>
          <w:color w:val="000000"/>
          <w:sz w:val="22"/>
        </w:rPr>
        <w:t xml:space="preserve">means an Event of Default pursuant to </w:t>
      </w:r>
      <w:r>
        <w:rPr>
          <w:rFonts w:ascii="Times New Roman;sans-serif" w:hAnsi="Times New Roman;sans-serif"/>
          <w:b w:val="false"/>
          <w:color w:val="000000"/>
          <w:sz w:val="22"/>
          <w:u w:val="single"/>
        </w:rPr>
        <w:t>Section 7.01(a)</w:t>
      </w:r>
      <w:r>
        <w:rPr>
          <w:color w:val="000000"/>
        </w:rPr>
        <w:t xml:space="preserve"> </w:t>
      </w:r>
      <w:r>
        <w:rPr>
          <w:rFonts w:ascii="Times New Roman;sans-serif" w:hAnsi="Times New Roman;sans-serif"/>
          <w:b w:val="false"/>
          <w:color w:val="000000"/>
          <w:sz w:val="22"/>
        </w:rPr>
        <w:t xml:space="preserve">or, with respect to the Company or any other Borrower, </w:t>
      </w:r>
      <w:r>
        <w:rPr>
          <w:rFonts w:ascii="Times New Roman;sans-serif" w:hAnsi="Times New Roman;sans-serif"/>
          <w:b w:val="false"/>
          <w:color w:val="000000"/>
          <w:sz w:val="22"/>
          <w:u w:val="single"/>
        </w:rPr>
        <w:t>Section 7.01(f)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62890"/>
                <wp:effectExtent l="0" t="0" r="0" b="0"/>
                <wp:wrapNone/>
                <wp:docPr id="103" name="Frame10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Specified Receivables Facility</w:t>
      </w:r>
      <w:r>
        <w:rPr>
          <w:color w:val="000000"/>
        </w:rPr>
        <w:t xml:space="preserve">” </w:t>
      </w:r>
      <w:r>
        <w:rPr>
          <w:rFonts w:ascii="Times New Roman;sans-serif" w:hAnsi="Times New Roman;sans-serif"/>
          <w:b w:val="false"/>
          <w:color w:val="000000"/>
          <w:sz w:val="22"/>
        </w:rPr>
        <w:t>means any Receivables Facility that meets the following conditions: (a) the Company shall have determined in good faith that such Receivables Facility (including financing terms, covenants, termination events and other provisions) is in the aggregate economically fair, reasonable and beneficial to the Company; (b) all sales or other conveyances of Receivables Facility Assets by the Company or applicable Restricted Subsidiary to any Receivables Subsidiary are made for fair market value; (c) the financing terms, covenants, termination events and other provisions thereof shall be on market terms (as determined by the Company in good faith) and may include Standard Receivables Undertakings; and (d) the obligations under such Receivables Facility shall not be guaranteed by, or secured by assets of, the Company or any of its Restricted Subsidiaries, other than a Receivables Subsidiary (it being agreed that the foregoing shall not prohibit Standard Receivables Undertakings, or precautionary financing statements or similar filings, in respect of Receivables Facility Assets).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Standard Receivables Undertakings</w:t>
      </w:r>
      <w:r>
        <w:rPr>
          <w:color w:val="000000"/>
        </w:rPr>
        <w:t xml:space="preserve">” </w:t>
      </w:r>
      <w:r>
        <w:rPr>
          <w:rFonts w:ascii="Times New Roman;sans-serif" w:hAnsi="Times New Roman;sans-serif"/>
          <w:b w:val="false"/>
          <w:color w:val="000000"/>
          <w:sz w:val="22"/>
        </w:rPr>
        <w:t>means any Receivables Facility Guarantee and/or any representations, warranties, covenants and indemnities entered into by the Company or any Restricted Subsidiary which the Company has determined in good faith to be customary in a Receivables Facility, including, without limitation, those relating to the servicing of the assets of a Receivables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Stated Maturity</w:t>
      </w:r>
      <w:r>
        <w:rPr>
          <w:color w:val="000000"/>
        </w:rPr>
        <w:t xml:space="preserve">” </w:t>
      </w:r>
      <w:r>
        <w:rPr>
          <w:rFonts w:ascii="Times New Roman;sans-serif" w:hAnsi="Times New Roman;sans-serif"/>
          <w:b w:val="false"/>
          <w:color w:val="000000"/>
          <w:sz w:val="22"/>
        </w:rPr>
        <w:t>means, with respect to any Indebtedness, the date specified in such Indebtedness as the fixed date on which the payment of principal of such Indebtedness is due and payable, including pursuant to any mandatory redemption provision (but excluding any provision providing for the repurchase or repayment of such Indebtedness at the option of the holder thereof upon the happening of any contingency).</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2"/>
        </w:rPr>
        <w:t>Statutory Reserve Rate</w:t>
      </w:r>
      <w:r>
        <w:rPr>
          <w:strike/>
          <w:color w:val="FF0000"/>
        </w:rPr>
        <w:t xml:space="preserve">” </w:t>
      </w:r>
      <w:r>
        <w:rPr>
          <w:rFonts w:ascii="Times New Roman;sans-serif" w:hAnsi="Times New Roman;sans-serif"/>
          <w:b w:val="false"/>
          <w:strike/>
          <w:color w:val="FF0000"/>
          <w:sz w:val="22"/>
        </w:rPr>
        <w:t>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Such reserve percentage shall include those imposed pursuant to Regulation D. LIBO Rate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Subordinated Obligations</w:t>
      </w:r>
      <w:r>
        <w:rPr>
          <w:color w:val="000000"/>
        </w:rPr>
        <w:t xml:space="preserve">” </w:t>
      </w:r>
      <w:r>
        <w:rPr>
          <w:rFonts w:ascii="Times New Roman;sans-serif" w:hAnsi="Times New Roman;sans-serif"/>
          <w:b w:val="false"/>
          <w:color w:val="000000"/>
          <w:sz w:val="22"/>
        </w:rPr>
        <w:t>means any Indebtedness of the Company (whether outstanding on the date of this Agreement or thereafter Incurred) that is expressly subordinated in right of payment to the Loans pursuant to a written agreement (other than Indebtedness owing to a 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Subject Loans</w:t>
      </w:r>
      <w:r>
        <w:rPr>
          <w:color w:val="000000"/>
        </w:rPr>
        <w:t xml:space="preserve">” </w:t>
      </w:r>
      <w:r>
        <w:rPr>
          <w:rFonts w:ascii="Times New Roman;sans-serif" w:hAnsi="Times New Roman;sans-serif"/>
          <w:b w:val="false"/>
          <w:color w:val="000000"/>
          <w:sz w:val="22"/>
        </w:rPr>
        <w:t xml:space="preserve">means, as of any date of determination, (a) Initial Term Loans and (b) any Additional Term Loans that are subject to ratable prepayment requirements in accordance with </w:t>
      </w:r>
      <w:r>
        <w:rPr>
          <w:rFonts w:ascii="Times New Roman;sans-serif" w:hAnsi="Times New Roman;sans-serif"/>
          <w:b w:val="false"/>
          <w:color w:val="000000"/>
          <w:sz w:val="22"/>
          <w:u w:val="single"/>
        </w:rPr>
        <w:t>Section 2.11(b)</w:t>
      </w:r>
      <w:r>
        <w:rPr>
          <w:color w:val="000000"/>
        </w:rPr>
        <w:t xml:space="preserve"> </w:t>
      </w:r>
      <w:r>
        <w:rPr>
          <w:rFonts w:ascii="Times New Roman;sans-serif" w:hAnsi="Times New Roman;sans-serif"/>
          <w:b w:val="false"/>
          <w:color w:val="000000"/>
          <w:sz w:val="22"/>
        </w:rPr>
        <w:t>on such date of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Subject Proceeds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2.11(b)(ii)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Subject Transaction</w:t>
      </w:r>
      <w:r>
        <w:rPr>
          <w:color w:val="000000"/>
        </w:rPr>
        <w:t xml:space="preserve">” </w:t>
      </w:r>
      <w:r>
        <w:rPr>
          <w:rFonts w:ascii="Times New Roman;sans-serif" w:hAnsi="Times New Roman;sans-serif"/>
          <w:b w:val="false"/>
          <w:color w:val="000000"/>
          <w:sz w:val="22"/>
        </w:rPr>
        <w:t>means, with respect to any Test Period, (a) the Transactions, (b) any Purchase, (c) any Sale, (d) the designation of a Restricted Subsidiary as an Unrestricted Subsidiary or an Unrestricted Subsidiary as a Restricted Subsidiary, (e) any incurrence or repayment of Indebtedness (other than revolving Indebtedness), (f) any Cost Saving Initiative and/or (g) any other event that by the terms of the Loan Documents requires pro forma compliance with a test or covenant hereunder or requires such test or covenant to be calculated on a pro forma basis.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Subsidiary</w:t>
      </w:r>
      <w:r>
        <w:rPr>
          <w:color w:val="000000"/>
        </w:rPr>
        <w:t xml:space="preserve">” </w:t>
      </w:r>
      <w:r>
        <w:rPr>
          <w:rFonts w:ascii="Times New Roman;sans-serif" w:hAnsi="Times New Roman;sans-serif"/>
          <w:b w:val="false"/>
          <w:color w:val="000000"/>
          <w:sz w:val="22"/>
        </w:rPr>
        <w:t xml:space="preserve">of any Person means any corporation, association, partnership or other business entity of which more than 50.0% of the total voting power of shares of Capital Stock or other equity interests (including partnership interests) entitled (without regard to the occurrence of any contingency) to vote in the election of directors, managers or trustees thereof is at the time owned or controlled, directly or indirectly, by (i) such Person or (ii) one or more Subsidiaries of such Person.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62890"/>
                <wp:effectExtent l="0" t="0" r="0" b="0"/>
                <wp:wrapNone/>
                <wp:docPr id="104" name="Frame10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Subsidiary Guarantee</w:t>
      </w:r>
      <w:r>
        <w:rPr>
          <w:color w:val="000000"/>
        </w:rPr>
        <w:t xml:space="preserve">” </w:t>
      </w:r>
      <w:r>
        <w:rPr>
          <w:rFonts w:ascii="Times New Roman;sans-serif" w:hAnsi="Times New Roman;sans-serif"/>
          <w:b w:val="false"/>
          <w:color w:val="000000"/>
          <w:sz w:val="22"/>
        </w:rPr>
        <w:t>means any guarantee of the Loans that may from time to time be entered into by a Restricted Subsidiary of the Company on the Closing Date or after the Closing Date. As used in this Agreement, “Subsidiary Guarantee” refers to a Subsidiary Guarantee of the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Subsidiary Guarantor</w:t>
      </w:r>
      <w:r>
        <w:rPr>
          <w:color w:val="000000"/>
        </w:rPr>
        <w:t xml:space="preserve">” </w:t>
      </w:r>
      <w:r>
        <w:rPr>
          <w:rFonts w:ascii="Times New Roman;sans-serif" w:hAnsi="Times New Roman;sans-serif"/>
          <w:b w:val="false"/>
          <w:color w:val="000000"/>
          <w:sz w:val="22"/>
        </w:rPr>
        <w:t>means (x) on the Closing Date, each subsidiary of the Company (other than any subsidiary that is an Excluded Subsidiary on the Closing Date) and (y) thereafter, each subsidiary of the Company that becomes a guarantor of the Secured Obligations pursuant to the terms of this Agreement, in each case, until such time as the relevant subsidiary is released from its obligations under the Collateral Agreement in accordance with the terms and provisions hereof. Notwithstanding the foregoing, the Company may from time to time, upon notice to the Administrative Agent, elect to cause any subsidiary that would otherwise be an Excluded Subsidiary to become a Subsidiary Guarantor hereunder (but shall have no obligation to do so), subject to the satisfaction of guarantee and collateral requirements consistent with the Collateral and Guarantee Requirements or otherwise reasonably acceptable to the Company and the Administrative Agent (which shall include, in the case of a Foreign Subsidiary, guarantee and collateral requirements customary under local law, including customary local limitations).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Swap Obligations</w:t>
      </w:r>
      <w:r>
        <w:rPr>
          <w:color w:val="000000"/>
        </w:rPr>
        <w:t xml:space="preserve">” </w:t>
      </w:r>
      <w:r>
        <w:rPr>
          <w:rFonts w:ascii="Times New Roman;sans-serif" w:hAnsi="Times New Roman;sans-serif"/>
          <w:b w:val="false"/>
          <w:color w:val="000000"/>
          <w:sz w:val="22"/>
        </w:rPr>
        <w:t>means, with respect to any Loan Party,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Taxes</w:t>
      </w:r>
      <w:r>
        <w:rPr>
          <w:color w:val="000000"/>
        </w:rPr>
        <w:t xml:space="preserve">” </w:t>
      </w:r>
      <w:r>
        <w:rPr>
          <w:rFonts w:ascii="Times New Roman;sans-serif" w:hAnsi="Times New Roman;sans-serif"/>
          <w:b w:val="false"/>
          <w:color w:val="000000"/>
          <w:sz w:val="22"/>
        </w:rPr>
        <w:t>means any and all present or future taxes, levies, imposts, duties, deductions, charges or withholdings imposed by any Governmental Authority, including any interest, additions to tax or penalties applicable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Temporary Cash Investments</w:t>
      </w:r>
      <w:r>
        <w:rPr>
          <w:color w:val="000000"/>
        </w:rPr>
        <w:t xml:space="preserve">” </w:t>
      </w:r>
      <w:r>
        <w:rPr>
          <w:rFonts w:ascii="Times New Roman;sans-serif" w:hAnsi="Times New Roman;sans-serif"/>
          <w:b w:val="false"/>
          <w:color w:val="000000"/>
          <w:sz w:val="22"/>
        </w:rPr>
        <w:t xml:space="preserve">means any of the following: (i) any investment in (x) direct obligations of the United States, Canada, a member state of the European Union or any country in whose currency funds are being held pending their application in the making of an investment or capital expenditure by the Company or a Restricted Subsidiary in that country or with such funds, or any agency or instrumentality of any thereof, or obligations Guaranteed by the United States or a member state of the European Union or any country in whose currency funds are being held pending their application in the making of an investment or capital expenditure by the Company or a Restricted Subsidiary in that country or with such funds, or any agency or instrumentality of any of the foregoing, or obligations guaranteed by any of the foregoing or (y) direct obligations of any foreign country recognized by the United States rated at least “A” by S&amp;P or “A-1” by Moody’s (or, in either case, the equivalent of such rating by such organization or, if no rating of S&amp;P or Moody’s then exists, the equivalent of such rating by any nationally recognized rating organization), (ii) overnight bank deposits, and investments in time deposit accounts, certificates of deposit, bankers’ acceptances and money market deposits (or, with respect to foreign banks, similar instruments) maturing not more than one year after the date of acquisition thereof issued by (x) any bank or other institutional lender under a Credit Facility or any affiliate thereof or (y) a bank or trust company that is organized under the laws of the United States, any state thereof or any foreign country recognized by the United States having capital and surplus aggregating in excess of $250.0 million (or the foreign currency equivalent thereof) and whose long term debt is rated at least “A” by S&amp;P or “A-1” by Moody’s (or, in either case, the equivalent of such rating by such organization or, if no rating of S&amp;P or Moody’s then exists, the equivalent of such rating by any nationally recognized rating organization) at the time such Investment is made, (iii) repurchase obligations for underlying securities or instruments of the types described in clause (i) or (ii) above entered into with a bank meeting the qualifications described in clause (ii) above, (iv) Investments in commercial paper, maturing not more than 24 months after the date of acquisition, issued by a Person (other than that of the Company or any of its Subsidiaries), with a rating at the time as of which any Investment therein is made of “P-2” (or higher) according to Moody’s or “A-2” (or higher) according to S&amp;P (or, in either case, the equivalent of such rating by such organization or, if no rating of S&amp;P or Moody’s then exists, the equivalent of such rating by any nationally recognized rating organization), (v) Investments in securities maturing not more than 24 months after the date of acquisition issued or fully guaranteed by any state, commonwealth or territory of the United States, or by any political subdivision or taxing authority thereof, and rated at least “BBB-” by S&amp;P or “Baa3” by Moody’s (or, in either case, the equivalent of such rating by such organization or, if no rating of S&amp;P or Moody’s then exists, the equivalent of such rating by any nationally recognized rating organization), (vi) Indebtedness or Preferred Stock (other than of the Company or any of its Subsidiaries) </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62890"/>
                <wp:effectExtent l="0" t="0" r="0" b="0"/>
                <wp:wrapNone/>
                <wp:docPr id="105" name="Frame10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having a rating of “A” or higher by S&amp;P or “A2” or higher by Moody’s (or, in either case, the equivalent of such rating by such organization or, if no rating of S&amp;P or Moody’s then exists, the equivalent of such rating by any nationally recognized rating organization), (vii) investment funds investing 95.0% of their assets in securities of the type described in clauses (i) through (vi) above (which funds may also hold cash pending investment and/or distribution), (viii) any money market deposit accounts issued or offered by a domestic commercial bank or a commercial bank organized and located in a country recognized by the United States, in each case, having capital and surplus in excess of $250.0 million (or the foreign currency equivalent thereof), or investments in money market funds subject to the risk limiting conditions of Rule 2a-7 (or any successor rule) of the SEC under the Investment Company Act of 1940, as amended, and (ix) similar investments approved by the Board of Directors in the ordinary course of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Trade Payables</w:t>
      </w:r>
      <w:r>
        <w:rPr>
          <w:color w:val="000000"/>
        </w:rPr>
        <w:t xml:space="preserve">” </w:t>
      </w:r>
      <w:r>
        <w:rPr>
          <w:rFonts w:ascii="Times New Roman;sans-serif" w:hAnsi="Times New Roman;sans-serif"/>
          <w:b w:val="false"/>
          <w:color w:val="000000"/>
          <w:sz w:val="22"/>
        </w:rPr>
        <w:t>means, with respect to any Person, any accounts payable or any indebtedness or monetary obligation to trade creditors created, assumed or guaranteed by such Person arising in the ordinary course of business in connection with the acquisition of goods or services.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Facility</w:t>
      </w:r>
      <w:r>
        <w:rPr>
          <w:color w:val="000000"/>
        </w:rPr>
        <w:t xml:space="preserve">” </w:t>
      </w:r>
      <w:r>
        <w:rPr>
          <w:rFonts w:ascii="Times New Roman;sans-serif" w:hAnsi="Times New Roman;sans-serif"/>
          <w:b w:val="false"/>
          <w:color w:val="000000"/>
          <w:sz w:val="22"/>
        </w:rPr>
        <w:t>means the Term Loans provided to or for the benefit of the Company pursuant to the terms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Lender</w:t>
      </w:r>
      <w:r>
        <w:rPr>
          <w:color w:val="000000"/>
        </w:rPr>
        <w:t xml:space="preserve">” </w:t>
      </w:r>
      <w:r>
        <w:rPr>
          <w:rFonts w:ascii="Times New Roman;sans-serif" w:hAnsi="Times New Roman;sans-serif"/>
          <w:b w:val="false"/>
          <w:color w:val="000000"/>
          <w:sz w:val="22"/>
        </w:rPr>
        <w:t>means a Lender with an Initial Term Loan Commitment or an Additional Term Loan Commitment or an outstanding Initial Term Loan or Additional Term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Loan</w:t>
      </w:r>
      <w:r>
        <w:rPr>
          <w:color w:val="000000"/>
        </w:rPr>
        <w:t xml:space="preserve">” </w:t>
      </w:r>
      <w:r>
        <w:rPr>
          <w:rFonts w:ascii="Times New Roman;sans-serif" w:hAnsi="Times New Roman;sans-serif"/>
          <w:b w:val="false"/>
          <w:color w:val="000000"/>
          <w:sz w:val="22"/>
        </w:rPr>
        <w:t>means the Initial Term Loans and, if applicable, any Additional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Loan Borrower</w:t>
      </w:r>
      <w:r>
        <w:rPr>
          <w:color w:val="000000"/>
        </w:rPr>
        <w:t xml:space="preserve">” </w:t>
      </w:r>
      <w:r>
        <w:rPr>
          <w:rFonts w:ascii="Times New Roman;sans-serif" w:hAnsi="Times New Roman;sans-serif"/>
          <w:b w:val="false"/>
          <w:color w:val="000000"/>
          <w:sz w:val="22"/>
        </w:rPr>
        <w:t xml:space="preserve">means (a) the Company and (b) any Subsidiary that enters into a Borrower Joinder pursuant to </w:t>
      </w:r>
      <w:r>
        <w:rPr>
          <w:rFonts w:ascii="Times New Roman;sans-serif" w:hAnsi="Times New Roman;sans-serif"/>
          <w:b w:val="false"/>
          <w:color w:val="000000"/>
          <w:sz w:val="22"/>
          <w:u w:val="single"/>
        </w:rPr>
        <w:t>Section 9.02(d)</w:t>
      </w:r>
      <w:r>
        <w:rPr>
          <w:color w:val="000000"/>
        </w:rPr>
        <w:t xml:space="preserve"> </w:t>
      </w:r>
      <w:r>
        <w:rPr>
          <w:rFonts w:ascii="Times New Roman;sans-serif" w:hAnsi="Times New Roman;sans-serif"/>
          <w:b w:val="false"/>
          <w:color w:val="000000"/>
          <w:sz w:val="22"/>
        </w:rPr>
        <w:t>of this Agreement as a Term Loan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Loan Priority Collateral</w:t>
      </w:r>
      <w:r>
        <w:rPr>
          <w:color w:val="000000"/>
        </w:rPr>
        <w:t xml:space="preserve">” </w:t>
      </w:r>
      <w:r>
        <w:rPr>
          <w:rFonts w:ascii="Times New Roman;sans-serif" w:hAnsi="Times New Roman;sans-serif"/>
          <w:b w:val="false"/>
          <w:color w:val="000000"/>
          <w:sz w:val="22"/>
        </w:rPr>
        <w:t>has the meaning assigned to the term “Term Priority Collateral” in the ABL Intercreditor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SOFR</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val="false"/>
          <w:strike/>
          <w:color w:val="FF0000"/>
          <w:sz w:val="22"/>
        </w:rPr>
        <w:t>for the applicable Corresponding Tenor as of the applicable Reference Time, the forward-looking term rate based on SOFR that has been selected or recommended by the Relevant Governmental Body.</w:t>
      </w:r>
      <w:r>
        <w:rPr>
          <w:rFonts w:ascii="Times New Roman;sans-serif" w:hAnsi="Times New Roman;sans-serif"/>
          <w:b/>
          <w:color w:val="0000FF"/>
          <w:sz w:val="22"/>
          <w:u w:val="single"/>
        </w:rPr>
        <w:t>with respect to any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 xml:space="preserve">Term SOFR </w:t>
      </w:r>
      <w:r>
        <w:rPr>
          <w:rFonts w:ascii="Times New Roman;sans-serif" w:hAnsi="Times New Roman;sans-serif"/>
          <w:b/>
          <w:strike/>
          <w:color w:val="FF0000"/>
          <w:sz w:val="22"/>
        </w:rPr>
        <w:t>Notice</w:t>
      </w:r>
      <w:r>
        <w:rPr>
          <w:strike/>
          <w:color w:val="FF0000"/>
        </w:rPr>
        <w:t xml:space="preserve">” </w:t>
      </w:r>
      <w:r>
        <w:rPr>
          <w:rFonts w:ascii="Times New Roman;sans-serif" w:hAnsi="Times New Roman;sans-serif"/>
          <w:b w:val="false"/>
          <w:strike/>
          <w:color w:val="FF0000"/>
          <w:sz w:val="22"/>
        </w:rPr>
        <w:t>means a notification by the Administrative Agent to the Lenders and the Company of the occurrence of a Term SOFR Transition Event</w:t>
      </w:r>
      <w:r>
        <w:rPr>
          <w:rFonts w:ascii="Times New Roman;sans-serif" w:hAnsi="Times New Roman;sans-serif"/>
          <w:b/>
          <w:color w:val="0000FF"/>
          <w:sz w:val="22"/>
          <w:u w:val="single"/>
        </w:rPr>
        <w:t>Determination Day” has the meaning assigned to it in the definition of Term SOFR Reference Rate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2"/>
        </w:rPr>
        <w:t>Term SOFR Transition Event</w:t>
      </w:r>
      <w:r>
        <w:rPr>
          <w:strike/>
          <w:color w:val="FF0000"/>
        </w:rPr>
        <w:t xml:space="preserve">” </w:t>
      </w:r>
      <w:r>
        <w:rPr>
          <w:rFonts w:ascii="Times New Roman;sans-serif" w:hAnsi="Times New Roman;sans-serif"/>
          <w:b w:val="false"/>
          <w:strike/>
          <w:color w:val="FF0000"/>
          <w:sz w:val="22"/>
        </w:rPr>
        <w:t>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w: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 xml:space="preserve">Term SOFR Reference Rate” means, for any day and time (such day, the “Term SOFR Determination Day”), with respect to any Term SOFR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62890"/>
                <wp:effectExtent l="0" t="0" r="0" b="0"/>
                <wp:wrapNone/>
                <wp:docPr id="106" name="Frame10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color w:val="0000FF"/>
          <w:sz w:val="22"/>
          <w:u w:val="single"/>
        </w:rPr>
      </w:pPr>
      <w:r>
        <w:rPr>
          <w:rFonts w:ascii="Times New Roman;sans-serif" w:hAnsi="Times New Roman;sans-serif"/>
          <w:b/>
          <w:color w:val="0000FF"/>
          <w:sz w:val="22"/>
          <w:u w:val="single"/>
        </w:rPr>
        <w:t>Administrator, so long as such first preceding U.S. Government Securities Business Day is not more than five U.S. Government Securities Business Days prior to such Term SOFR Determination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Test Period</w:t>
      </w:r>
      <w:r>
        <w:rPr>
          <w:color w:val="000000"/>
        </w:rPr>
        <w:t xml:space="preserve">” </w:t>
      </w:r>
      <w:r>
        <w:rPr>
          <w:rFonts w:ascii="Times New Roman;sans-serif" w:hAnsi="Times New Roman;sans-serif"/>
          <w:b w:val="false"/>
          <w:color w:val="000000"/>
          <w:sz w:val="22"/>
        </w:rPr>
        <w:t xml:space="preserve">means, as of any date of determination under this Agreement, the then most recently ended period of four consecutive fiscal quarters of the Company for which financial statements of the Company and its consolidated subsidiaries are available.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Titled Person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Threshold Amount</w:t>
      </w:r>
      <w:r>
        <w:rPr>
          <w:color w:val="000000"/>
        </w:rPr>
        <w:t xml:space="preserve">” </w:t>
      </w:r>
      <w:r>
        <w:rPr>
          <w:rFonts w:ascii="Times New Roman;sans-serif" w:hAnsi="Times New Roman;sans-serif"/>
          <w:b w:val="false"/>
          <w:color w:val="000000"/>
          <w:sz w:val="22"/>
        </w:rPr>
        <w:t>means $300 million.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Trademarks</w:t>
      </w:r>
      <w:r>
        <w:rPr>
          <w:color w:val="000000"/>
        </w:rPr>
        <w:t xml:space="preserve">” </w:t>
      </w:r>
      <w:r>
        <w:rPr>
          <w:rFonts w:ascii="Times New Roman;sans-serif" w:hAnsi="Times New Roman;sans-serif"/>
          <w:b w:val="false"/>
          <w:color w:val="000000"/>
          <w:sz w:val="22"/>
        </w:rPr>
        <w:t>means the following: (a) all trademarks (including service marks), common law marks, trade names, trade dress, logos, slogans and other indicia of origin, and the registrations and applications for registration thereof and the goodwill of the business symbolized by the foregoing; (b) all renewals of the foregoing; (c) all income, royalties, damages and payments now or hereafter due or payable under any of the foregoing, including, without limitation, damages or payments for past or future infringements thereof; (d) the right to sue for past, present and future infringements thereof; and (e) all domestic rights corresponding to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Transaction Costs</w:t>
      </w:r>
      <w:r>
        <w:rPr>
          <w:color w:val="000000"/>
        </w:rPr>
        <w:t xml:space="preserve">” </w:t>
      </w:r>
      <w:r>
        <w:rPr>
          <w:rFonts w:ascii="Times New Roman;sans-serif" w:hAnsi="Times New Roman;sans-serif"/>
          <w:b w:val="false"/>
          <w:color w:val="000000"/>
          <w:sz w:val="22"/>
        </w:rPr>
        <w:t>means fees, premiums, expenses and other transaction costs (including original issue discount or upfront fees) payable or otherwise borne by the Company and/or its subsidiaries in connection with the Transactions and the transactions contemplated thereby.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Transactions</w:t>
      </w:r>
      <w:r>
        <w:rPr>
          <w:color w:val="000000"/>
        </w:rPr>
        <w:t xml:space="preserve">” </w:t>
      </w:r>
      <w:r>
        <w:rPr>
          <w:rFonts w:ascii="Times New Roman;sans-serif" w:hAnsi="Times New Roman;sans-serif"/>
          <w:b w:val="false"/>
          <w:color w:val="000000"/>
          <w:sz w:val="22"/>
        </w:rPr>
        <w:t>means (a) the execution, delivery and performance by the Loan Parties of the Loan Documents to which they are a party, (b) the transactions contemplated by the Separation Agreement, (c) the borrowing of Loans and the use of the proceeds thereof, (d) the issuance of the Senior Notes and the use of the proceeds thereof, (e) the payment of the Closing Date Payment, (f) the distribution of the Closing Date Distribution and (g) the payment of Transaction Costs.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Treasury Capital Stock</w:t>
      </w:r>
      <w:r>
        <w:rPr>
          <w:color w:val="000000"/>
        </w:rPr>
        <w:t xml:space="preserve">” </w:t>
      </w:r>
      <w:r>
        <w:rPr>
          <w:rFonts w:ascii="Times New Roman;sans-serif" w:hAnsi="Times New Roman;sans-serif"/>
          <w:b w:val="false"/>
          <w:color w:val="000000"/>
          <w:sz w:val="22"/>
        </w:rPr>
        <w:t>has the meaning assigned to such term in Section 6.02(b)(i).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Treasury Regulations</w:t>
      </w:r>
      <w:r>
        <w:rPr>
          <w:color w:val="000000"/>
        </w:rPr>
        <w:t xml:space="preserve">” </w:t>
      </w:r>
      <w:r>
        <w:rPr>
          <w:rFonts w:ascii="Times New Roman;sans-serif" w:hAnsi="Times New Roman;sans-serif"/>
          <w:b w:val="false"/>
          <w:color w:val="000000"/>
          <w:sz w:val="22"/>
        </w:rPr>
        <w:t>means the U.S. federal income tax regulations promulgated under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Type</w:t>
      </w:r>
      <w:r>
        <w:rPr>
          <w:color w:val="000000"/>
        </w:rPr>
        <w:t>”</w:t>
      </w:r>
      <w:r>
        <w:rPr>
          <w:rFonts w:ascii="Times New Roman;sans-serif" w:hAnsi="Times New Roman;sans-serif"/>
          <w:b w:val="false"/>
          <w:color w:val="000000"/>
          <w:sz w:val="22"/>
        </w:rPr>
        <w:t xml:space="preserve">, when used in reference to any Loan or Borrowing, refers to whether the rate of interest on such Loan, or on the Loans comprising such Borrowing, is determined by reference to </w:t>
      </w:r>
      <w:r>
        <w:rPr>
          <w:rFonts w:ascii="Times New Roman;sans-serif" w:hAnsi="Times New Roman;sans-serif"/>
          <w:b w:val="false"/>
          <w:strike/>
          <w:color w:val="FF0000"/>
          <w:sz w:val="22"/>
        </w:rPr>
        <w:t>the LIBO Rate, or</w:t>
      </w:r>
      <w:r>
        <w:rPr>
          <w:rFonts w:ascii="Times New Roman;sans-serif" w:hAnsi="Times New Roman;sans-serif"/>
          <w:b/>
          <w:color w:val="0000FF"/>
          <w:sz w:val="22"/>
          <w:u w:val="single"/>
        </w:rPr>
        <w:t>Adjusted Term SOFR,</w:t>
      </w:r>
      <w:r>
        <w:rPr>
          <w:color w:val="000000"/>
        </w:rPr>
        <w:t xml:space="preserve"> </w:t>
      </w:r>
      <w:r>
        <w:rPr>
          <w:rFonts w:ascii="Times New Roman;sans-serif" w:hAnsi="Times New Roman;sans-serif"/>
          <w:b w:val="false"/>
          <w:color w:val="000000"/>
          <w:sz w:val="22"/>
        </w:rPr>
        <w:t>the Alternate Base Rate</w:t>
      </w:r>
      <w:r>
        <w:rPr>
          <w:color w:val="0000FF"/>
          <w:u w:val="single"/>
        </w:rPr>
        <w:t xml:space="preserve"> </w:t>
      </w:r>
      <w:r>
        <w:rPr>
          <w:rFonts w:ascii="Times New Roman;sans-serif" w:hAnsi="Times New Roman;sans-serif"/>
          <w:b/>
          <w:color w:val="0000FF"/>
          <w:sz w:val="22"/>
          <w:u w:val="single"/>
        </w:rPr>
        <w:t>or, if applicable pursuant to Section 2.14, Adjusted Daily Simple SOFR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UCC</w:t>
      </w:r>
      <w:r>
        <w:rPr>
          <w:color w:val="000000"/>
        </w:rPr>
        <w:t xml:space="preserve">” </w:t>
      </w:r>
      <w:r>
        <w:rPr>
          <w:rFonts w:ascii="Times New Roman;sans-serif" w:hAnsi="Times New Roman;sans-serif"/>
          <w:b w:val="false"/>
          <w:color w:val="000000"/>
          <w:sz w:val="22"/>
        </w:rPr>
        <w:t>means the Uniform Commercial Code as in effect from time to time in the State of New York or any other state the laws of which are required to be applied in connection with the creation or perfection of security interests.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Regulatory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40" w:before="0" w:after="220"/>
        <w:ind w:left="0" w:right="0" w:firstLine="720"/>
        <w:jc w:val="both"/>
        <w:rPr/>
      </w:pPr>
      <w:r>
        <w:rPr>
          <w:color w:val="000000"/>
        </w:rPr>
        <w:t>“</w:t>
      </w:r>
      <w:r>
        <w:rPr>
          <w:rFonts w:ascii="Times New Roman;sans-serif" w:hAnsi="Times New Roman;sans-serif"/>
          <w:b/>
          <w:color w:val="000000"/>
          <w:sz w:val="22"/>
        </w:rPr>
        <w:t>Unadjusted Benchmark Replacement</w:t>
      </w:r>
      <w:r>
        <w:rPr>
          <w:color w:val="000000"/>
        </w:rPr>
        <w:t xml:space="preserve">” </w:t>
      </w:r>
      <w:r>
        <w:rPr>
          <w:rFonts w:ascii="Times New Roman;sans-serif" w:hAnsi="Times New Roman;sans-serif"/>
          <w:b w:val="false"/>
          <w:color w:val="000000"/>
          <w:sz w:val="22"/>
        </w:rPr>
        <w:t>means the applicable Benchmark Replacement excluding the related Benchmark Replacement Adjustment.</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62890"/>
                <wp:effectExtent l="0" t="0" r="0" b="0"/>
                <wp:wrapNone/>
                <wp:docPr id="107" name="Frame10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20"/>
        <w:ind w:left="0" w:right="0" w:firstLine="720"/>
        <w:jc w:val="both"/>
        <w:rPr/>
      </w:pPr>
      <w:r>
        <w:rPr>
          <w:color w:val="000000"/>
        </w:rPr>
        <w:t>“</w:t>
      </w:r>
      <w:r>
        <w:rPr>
          <w:rFonts w:ascii="Times New Roman;sans-serif" w:hAnsi="Times New Roman;sans-serif"/>
          <w:b/>
          <w:color w:val="000000"/>
          <w:sz w:val="22"/>
        </w:rPr>
        <w:t>Unfunded Liabilities</w:t>
      </w:r>
      <w:r>
        <w:rPr>
          <w:color w:val="000000"/>
        </w:rPr>
        <w:t xml:space="preserve">” </w:t>
      </w:r>
      <w:r>
        <w:rPr>
          <w:rFonts w:ascii="Times New Roman;sans-serif" w:hAnsi="Times New Roman;sans-serif"/>
          <w:b w:val="false"/>
          <w:color w:val="000000"/>
          <w:sz w:val="22"/>
        </w:rPr>
        <w:t>means, with respect to any Plan at any time, the amount (if any) by which (a) the present value of all benefits under such Plan exceeds (b) the fair market value of all assets of such Plan allocable to such benefits, all determined as of the then most recent valuation date for such Plan, but only to the extent that such excess represents a potential liability of the Company or any ERISA Affiliate to the PBGC or any other Person under Title IV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Unrestricted Subsidiary</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[reserved], (ii) any Subsidiary of the Company that at the time of determination is an Unrestricted Subsidiary, as designated by the Board of Directors in the manner provided below, and (iii) any Subsidiary of an Unrestricted Subsidiary. The Board of Directors may designate any Subsidiary of the Company (including any newly acquired or newly formed Subsidiary of the Company) to be an Unrestricted Subsidiary unless such Subsidiary or any of its Subsidiaries owns any Capital Stock or Indebtedness of, or owns or holds any Lien on any property of, the Company or any other Restricted Subsidiary of the Company that is not a Subsidiary of the Subsidiary to be so designated;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 the Subsidiary to be so designated has total consolidated assets of $1,000 or less 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if such Subsidiary has consolidated assets greater than $1,000, then such designation would be permitted under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 xml:space="preserve">. The Board of Directors may designate any Unrestricted Subsidiary to be a Restricted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immediately after giving effect to such designation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xml:space="preserve">) the Company could Incur at least $1.00 of additional Indebtedness under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the Consolidated Coverage Ratio would be greater than it was immediately prior to giving effect to such designation or (</w:t>
      </w:r>
      <w:r>
        <w:rPr>
          <w:rFonts w:ascii="Times New Roman;sans-serif" w:hAnsi="Times New Roman;sans-serif"/>
          <w:b w:val="false"/>
          <w:color w:val="000000"/>
          <w:sz w:val="22"/>
          <w:u w:val="single"/>
        </w:rPr>
        <w:t>z</w:t>
      </w:r>
      <w:r>
        <w:rPr>
          <w:rFonts w:ascii="Times New Roman;sans-serif" w:hAnsi="Times New Roman;sans-serif"/>
          <w:b w:val="false"/>
          <w:color w:val="000000"/>
          <w:sz w:val="22"/>
        </w:rPr>
        <w:t xml:space="preserve">) such Subsidiary shall be a Receivables Subsidiary with no Indebtedness outstanding other than Indebtedness that can be Incurred (and upon such designation shall be deemed to be Incurred and outstanding) pursuant to </w:t>
      </w:r>
      <w:r>
        <w:rPr>
          <w:rFonts w:ascii="Times New Roman;sans-serif" w:hAnsi="Times New Roman;sans-serif"/>
          <w:b w:val="false"/>
          <w:color w:val="000000"/>
          <w:sz w:val="22"/>
          <w:u w:val="single"/>
        </w:rPr>
        <w:t>Section 6.01(b)(ix)</w:t>
      </w:r>
      <w:r>
        <w:rPr>
          <w:rFonts w:ascii="Times New Roman;sans-serif" w:hAnsi="Times New Roman;sans-serif"/>
          <w:b w:val="false"/>
          <w:color w:val="000000"/>
          <w:sz w:val="22"/>
        </w:rPr>
        <w:t>. Any such designation by the Board of Directors shall be evidenced to the Administrative Agent by promptly providing to the Administrative Agent a copy of the resolution of the Company’s Board of Directors giving effect to such designation and an Officer’s Certificate of the Company certifying that such designation complied with the foregoing provisions.</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United States</w:t>
      </w:r>
      <w:r>
        <w:rPr>
          <w:color w:val="000000"/>
        </w:rPr>
        <w:t xml:space="preserve">” </w:t>
      </w:r>
      <w:r>
        <w:rPr>
          <w:rFonts w:ascii="Times New Roman;sans-serif" w:hAnsi="Times New Roman;sans-serif"/>
          <w:b w:val="false"/>
          <w:color w:val="000000"/>
          <w:sz w:val="22"/>
        </w:rPr>
        <w:t>means the United States of America.</w: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U.S. Government Securities Business Day”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U.S. Person</w:t>
      </w:r>
      <w:r>
        <w:rPr>
          <w:color w:val="000000"/>
        </w:rPr>
        <w:t xml:space="preserve">” </w:t>
      </w:r>
      <w:r>
        <w:rPr>
          <w:rFonts w:ascii="Times New Roman;sans-serif" w:hAnsi="Times New Roman;sans-serif"/>
          <w:b w:val="false"/>
          <w:color w:val="000000"/>
          <w:sz w:val="22"/>
        </w:rPr>
        <w:t>means any Person that is a “United States Person” as defined in Section 7701(a)(30)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USA PATRIOT Act</w:t>
      </w:r>
      <w:r>
        <w:rPr>
          <w:color w:val="000000"/>
        </w:rPr>
        <w:t xml:space="preserve">” </w:t>
      </w:r>
      <w:r>
        <w:rPr>
          <w:rFonts w:ascii="Times New Roman;sans-serif" w:hAnsi="Times New Roman;sans-serif"/>
          <w:b w:val="false"/>
          <w:color w:val="000000"/>
          <w:sz w:val="22"/>
        </w:rPr>
        <w:t>means The Uniting and Strengthening America by Providing Appropriate Tools Required to Intercept and Obstruct Terrorism Act of 2001 (Title III of Pub. L. No. 107-56 (signed into law October 26, 2001)).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VS Transaction</w:t>
      </w:r>
      <w:r>
        <w:rPr>
          <w:color w:val="000000"/>
        </w:rPr>
        <w:t xml:space="preserve">” </w:t>
      </w:r>
      <w:r>
        <w:rPr>
          <w:rFonts w:ascii="Times New Roman;sans-serif" w:hAnsi="Times New Roman;sans-serif"/>
          <w:b w:val="false"/>
          <w:color w:val="000000"/>
          <w:sz w:val="22"/>
        </w:rPr>
        <w:t>means (i) the Separation of the Spin Business (each as defined in the Registration Statement) from L Brands as described in the Registration Statement, (ii) the Distribution (as defined in the VS Separation Agreement), (iii) the payment of the Special Cash Payment (as defined in the Separation Agreement), (iv) the consummation of the other ancillary transactions described in the Separation Agreement and the Registration Statement (including the Pre-Closing Reorganization Transactions) and (v) the payment of fees and expenses incurred in connection with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Weighted Average Life to Maturity</w:t>
      </w:r>
      <w:r>
        <w:rPr>
          <w:color w:val="000000"/>
        </w:rPr>
        <w:t xml:space="preserve">” </w:t>
      </w:r>
      <w:r>
        <w:rPr>
          <w:rFonts w:ascii="Times New Roman;sans-serif" w:hAnsi="Times New Roman;sans-serif"/>
          <w:b w:val="false"/>
          <w:color w:val="000000"/>
          <w:sz w:val="22"/>
        </w:rPr>
        <w:t xml:space="preserve">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effect of any prepayment made in respect of such Indebtedness shall be disregarded in making such calculation.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Wholly-Owned Subsidiary</w:t>
      </w:r>
      <w:r>
        <w:rPr>
          <w:color w:val="000000"/>
        </w:rPr>
        <w:t xml:space="preserve">” </w:t>
      </w:r>
      <w:r>
        <w:rPr>
          <w:rFonts w:ascii="Times New Roman;sans-serif" w:hAnsi="Times New Roman;sans-serif"/>
          <w:b w:val="false"/>
          <w:color w:val="000000"/>
          <w:sz w:val="22"/>
        </w:rPr>
        <w:t xml:space="preserve">of any Person means a subsidiary of such Person 100% of the Capital Stock of which (other than directors’ qualifying shares or shares required by Requirements of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62890"/>
                <wp:effectExtent l="0" t="0" r="0" b="0"/>
                <wp:wrapNone/>
                <wp:docPr id="108" name="Frame10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Law to be owned by a resident of the relevant jurisdiction) is owned by such Person or by one or more Wholly-Owned Subsidiaries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Withdrawal Liability</w:t>
      </w:r>
      <w:r>
        <w:rPr>
          <w:color w:val="000000"/>
        </w:rPr>
        <w:t xml:space="preserve">” </w:t>
      </w:r>
      <w:r>
        <w:rPr>
          <w:rFonts w:ascii="Times New Roman;sans-serif" w:hAnsi="Times New Roman;sans-serif"/>
          <w:b w:val="false"/>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Withholding Agent</w:t>
      </w:r>
      <w:r>
        <w:rPr>
          <w:color w:val="000000"/>
        </w:rPr>
        <w:t xml:space="preserve">” </w:t>
      </w:r>
      <w:r>
        <w:rPr>
          <w:rFonts w:ascii="Times New Roman;sans-serif" w:hAnsi="Times New Roman;sans-serif"/>
          <w:b w:val="false"/>
          <w:color w:val="000000"/>
          <w:sz w:val="22"/>
        </w:rPr>
        <w:t xml:space="preserve">means a Loan Party or the Administrative Agent.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jc w:val="both"/>
        <w:rPr/>
      </w:pPr>
      <w:r>
        <w:rPr>
          <w:rFonts w:ascii="Times New Roman;sans-serif" w:hAnsi="Times New Roman;sans-serif"/>
          <w:b w:val="false"/>
          <w:color w:val="000000"/>
          <w:sz w:val="22"/>
        </w:rPr>
        <w:t>Section 1.0b.</w:t>
      </w:r>
      <w:r>
        <w:rPr>
          <w:rFonts w:ascii="Times New Roman;sans-serif" w:hAnsi="Times New Roman;sans-serif"/>
          <w:b w:val="false"/>
          <w:color w:val="000000"/>
          <w:sz w:val="22"/>
        </w:rPr>
        <w:t>Classification of Loans and Borrowings. For purposes of this Agreement, Loans may be classified and referred to by Class (</w:t>
      </w:r>
      <w:r>
        <w:rPr>
          <w:rFonts w:ascii="Times New Roman;sans-serif" w:hAnsi="Times New Roman;sans-serif"/>
          <w:b w:val="false"/>
          <w:i/>
          <w:color w:val="000000"/>
          <w:sz w:val="22"/>
        </w:rPr>
        <w:t>e.g.</w:t>
      </w:r>
      <w:r>
        <w:rPr>
          <w:rFonts w:ascii="Times New Roman;sans-serif" w:hAnsi="Times New Roman;sans-serif"/>
          <w:b w:val="false"/>
          <w:color w:val="000000"/>
          <w:sz w:val="22"/>
        </w:rPr>
        <w:t>, a “Term Loan”) or by Type (</w:t>
      </w:r>
      <w:r>
        <w:rPr>
          <w:rFonts w:ascii="Times New Roman;sans-serif" w:hAnsi="Times New Roman;sans-serif"/>
          <w:b w:val="false"/>
          <w:i/>
          <w:color w:val="000000"/>
          <w:sz w:val="22"/>
        </w:rPr>
        <w:t>e.g.</w:t>
      </w:r>
      <w:r>
        <w:rPr>
          <w:rFonts w:ascii="Times New Roman;sans-serif" w:hAnsi="Times New Roman;sans-serif"/>
          <w:b w:val="false"/>
          <w:color w:val="000000"/>
          <w:sz w:val="22"/>
        </w:rPr>
        <w:t>,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Loan”) or by Class and Type (</w:t>
      </w:r>
      <w:r>
        <w:rPr>
          <w:rFonts w:ascii="Times New Roman;sans-serif" w:hAnsi="Times New Roman;sans-serif"/>
          <w:b w:val="false"/>
          <w:i/>
          <w:color w:val="000000"/>
          <w:sz w:val="22"/>
        </w:rPr>
        <w:t>e.g.</w:t>
      </w:r>
      <w:r>
        <w:rPr>
          <w:rFonts w:ascii="Times New Roman;sans-serif" w:hAnsi="Times New Roman;sans-serif"/>
          <w:b w:val="false"/>
          <w:color w:val="000000"/>
          <w:sz w:val="22"/>
        </w:rPr>
        <w:t>,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Term Loan”). Borrowings also may be classified and referred to by Class (</w:t>
      </w:r>
      <w:r>
        <w:rPr>
          <w:rFonts w:ascii="Times New Roman;sans-serif" w:hAnsi="Times New Roman;sans-serif"/>
          <w:b w:val="false"/>
          <w:i/>
          <w:color w:val="000000"/>
          <w:sz w:val="22"/>
        </w:rPr>
        <w:t>e.g.</w:t>
      </w:r>
      <w:r>
        <w:rPr>
          <w:rFonts w:ascii="Times New Roman;sans-serif" w:hAnsi="Times New Roman;sans-serif"/>
          <w:b w:val="false"/>
          <w:color w:val="000000"/>
          <w:sz w:val="22"/>
        </w:rPr>
        <w:t>, a “Term Loan Borrowing”) or by Type (</w:t>
      </w:r>
      <w:r>
        <w:rPr>
          <w:rFonts w:ascii="Times New Roman;sans-serif" w:hAnsi="Times New Roman;sans-serif"/>
          <w:b w:val="false"/>
          <w:i/>
          <w:color w:val="000000"/>
          <w:sz w:val="22"/>
        </w:rPr>
        <w:t>e.g.</w:t>
      </w:r>
      <w:r>
        <w:rPr>
          <w:rFonts w:ascii="Times New Roman;sans-serif" w:hAnsi="Times New Roman;sans-serif"/>
          <w:b w:val="false"/>
          <w:color w:val="000000"/>
          <w:sz w:val="22"/>
        </w:rPr>
        <w:t>,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 or by Class and Type (</w:t>
      </w:r>
      <w:r>
        <w:rPr>
          <w:rFonts w:ascii="Times New Roman;sans-serif" w:hAnsi="Times New Roman;sans-serif"/>
          <w:b w:val="false"/>
          <w:i/>
          <w:color w:val="000000"/>
          <w:sz w:val="22"/>
        </w:rPr>
        <w:t>e.g.</w:t>
      </w:r>
      <w:r>
        <w:rPr>
          <w:rFonts w:ascii="Times New Roman;sans-serif" w:hAnsi="Times New Roman;sans-serif"/>
          <w:b w:val="false"/>
          <w:color w:val="000000"/>
          <w:sz w:val="22"/>
        </w:rPr>
        <w:t>,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Term Loan Borrowing”).</w:t>
      </w:r>
    </w:p>
    <w:p>
      <w:pPr>
        <w:pStyle w:val="TextBody"/>
        <w:bidi w:val="0"/>
        <w:spacing w:lineRule="auto" w:line="240" w:before="0" w:after="240"/>
        <w:jc w:val="both"/>
        <w:rPr/>
      </w:pPr>
      <w:r>
        <w:rPr>
          <w:rFonts w:ascii="Times New Roman;sans-serif" w:hAnsi="Times New Roman;sans-serif"/>
          <w:b w:val="false"/>
          <w:color w:val="000000"/>
          <w:sz w:val="22"/>
        </w:rPr>
        <w:t>Section 1.0c.</w:t>
      </w:r>
      <w:r>
        <w:rPr>
          <w:rFonts w:ascii="Times New Roman;sans-serif" w:hAnsi="Times New Roman;sans-serif"/>
          <w:b w:val="false"/>
          <w:color w:val="000000"/>
          <w:sz w:val="22"/>
        </w:rPr>
        <w:t xml:space="preserve">Terms Generally.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“ordinary course of business” or “ordinary course” shall, with respect to any Person, be deemed to refer to items or actions that are consistent with practice in or the norms of the industry in which such Person operates or such Person’s past practice. Unless the context requires otherwise (i) 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(ii) any reference to any Requirement of Law in any Loan Document shall include all statutory and regulatory provisions consolidating, amending, replacing, supplementing, superseding or interpreting such Requirement of Law, (iii) any reference herein or in any Loan Document to any Person shall be construed to include such Person’s successors and permitted assigns, (iv) the words “herein,” “hereof” and “hereunder,” and words of similar import, when used in any Loan Document, shall be construed to refer to such Loan Document in its entirety and not to any particular provision hereof, (v) all references herein or in any Loan Document to Articles, Sections, clauses, paragraphs, Exhibits and Schedules shall be construed to refer to Articles, Sections, clauses and paragraphs of, and Exhibits and Schedules to, such Loan Document, (vi) in the computation of periods of time in any Loan Document from a specified date to a later specified date, the word “from” means “from and including”, the words “to” and “until” mean “to but excluding” and the word “through” means “to and including”, (vii) the words “asset” and “property”, when used in any Loan Document, shall be construed to have the same meaning and effect and to refer to any and all tangible and intangible assets and properties, including Cash, securities, accounts and contract rights and (viii) the fair market value of any asset or property shall be determined by the Company in good faith.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(i)For purposes of determining compliance at any time with </w:t>
      </w:r>
      <w:r>
        <w:rPr>
          <w:rFonts w:ascii="Times New Roman;sans-serif" w:hAnsi="Times New Roman;sans-serif"/>
          <w:b w:val="false"/>
          <w:color w:val="000000"/>
          <w:sz w:val="22"/>
          <w:u w:val="single"/>
        </w:rPr>
        <w:t>Sections 6.01</w:t>
      </w:r>
      <w:r>
        <w:rPr>
          <w:rFonts w:ascii="Times New Roman;sans-serif" w:hAnsi="Times New Roman;sans-serif"/>
          <w:b w:val="false"/>
          <w:color w:val="000000"/>
          <w:sz w:val="22"/>
        </w:rPr>
        <w:t xml:space="preserve">, 6.02, 6.04, 6.05 and </w:t>
      </w:r>
      <w:r>
        <w:rPr>
          <w:rFonts w:ascii="Times New Roman;sans-serif" w:hAnsi="Times New Roman;sans-serif"/>
          <w:b w:val="false"/>
          <w:color w:val="000000"/>
          <w:sz w:val="22"/>
          <w:u w:val="single"/>
        </w:rPr>
        <w:t>6.06</w:t>
      </w:r>
      <w:r>
        <w:rPr>
          <w:rFonts w:ascii="Times New Roman;sans-serif" w:hAnsi="Times New Roman;sans-serif"/>
          <w:b w:val="false"/>
          <w:color w:val="000000"/>
          <w:sz w:val="22"/>
        </w:rPr>
        <w:t xml:space="preserve">, in the event that any Indebtedness, Lien, Restricted Payment Transaction, Disposition or Affiliate Transaction, as applicable, or portion thereof, at any time meets the criteria of more than one of the categories of transactions or items permitted pursuant to any clause of such </w:t>
      </w:r>
      <w:r>
        <w:rPr>
          <w:rFonts w:ascii="Times New Roman;sans-serif" w:hAnsi="Times New Roman;sans-serif"/>
          <w:b w:val="false"/>
          <w:color w:val="000000"/>
          <w:sz w:val="22"/>
          <w:u w:val="single"/>
        </w:rPr>
        <w:t>Sections 6.01</w:t>
      </w:r>
      <w:r>
        <w:rPr>
          <w:color w:val="000000"/>
        </w:rPr>
        <w:t xml:space="preserve"> </w:t>
      </w:r>
      <w:r>
        <w:rPr>
          <w:rFonts w:ascii="Times New Roman;sans-serif" w:hAnsi="Times New Roman;sans-serif"/>
          <w:b w:val="false"/>
          <w:color w:val="000000"/>
          <w:sz w:val="22"/>
        </w:rPr>
        <w:t xml:space="preserve">(other than </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62890"/>
                <wp:effectExtent l="0" t="0" r="0" b="0"/>
                <wp:wrapNone/>
                <wp:docPr id="109" name="Frame10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u w:val="single"/>
        </w:rPr>
        <w:t>Sections 6.01(b)(i)(A) or (iii)</w:t>
      </w:r>
      <w:r>
        <w:rPr>
          <w:color w:val="000000"/>
        </w:rPr>
        <w:t xml:space="preserve"> </w:t>
      </w:r>
      <w:r>
        <w:rPr>
          <w:rFonts w:ascii="Times New Roman;sans-serif" w:hAnsi="Times New Roman;sans-serif"/>
          <w:b w:val="false"/>
          <w:color w:val="000000"/>
          <w:sz w:val="22"/>
        </w:rPr>
        <w:t xml:space="preserve">(in the case of Indebtedness Incurred on the Closing Date)), </w:t>
      </w:r>
      <w:r>
        <w:rPr>
          <w:rFonts w:ascii="Times New Roman;sans-serif" w:hAnsi="Times New Roman;sans-serif"/>
          <w:b w:val="false"/>
          <w:color w:val="000000"/>
          <w:sz w:val="22"/>
          <w:u w:val="single"/>
        </w:rPr>
        <w:t>6.02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6.06</w:t>
      </w:r>
      <w:r>
        <w:rPr>
          <w:color w:val="000000"/>
        </w:rPr>
        <w:t xml:space="preserve"> </w:t>
      </w:r>
      <w:r>
        <w:rPr>
          <w:rFonts w:ascii="Times New Roman;sans-serif" w:hAnsi="Times New Roman;sans-serif"/>
          <w:b w:val="false"/>
          <w:color w:val="000000"/>
          <w:sz w:val="22"/>
        </w:rPr>
        <w:t>(each of the foregoing, a “</w:t>
      </w:r>
      <w:r>
        <w:rPr>
          <w:rFonts w:ascii="Times New Roman;sans-serif" w:hAnsi="Times New Roman;sans-serif"/>
          <w:b/>
          <w:color w:val="000000"/>
          <w:sz w:val="22"/>
        </w:rPr>
        <w:t>Reclassifiable Item</w:t>
      </w:r>
      <w:r>
        <w:rPr>
          <w:color w:val="000000"/>
        </w:rPr>
        <w:t>”</w:t>
      </w:r>
      <w:r>
        <w:rPr>
          <w:rFonts w:ascii="Times New Roman;sans-serif" w:hAnsi="Times New Roman;sans-serif"/>
          <w:b w:val="false"/>
          <w:color w:val="000000"/>
          <w:sz w:val="22"/>
        </w:rPr>
        <w:t xml:space="preserve">), the Company, in its sole discretion, may, from time to time, divide, classify or reclassify such Reclassifiable Item (or portion thereof) under one or more clauses of each such Section and will only be required to include such Reclassifiable Item (or portion thereof) in any one category; provided that, upon delivery of any financial statements pursuant to </w:t>
      </w:r>
      <w:r>
        <w:rPr>
          <w:rFonts w:ascii="Times New Roman;sans-serif" w:hAnsi="Times New Roman;sans-serif"/>
          <w:b w:val="false"/>
          <w:color w:val="000000"/>
          <w:sz w:val="22"/>
          <w:u w:val="single"/>
        </w:rPr>
        <w:t>Section 5.01(a)(i)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color w:val="000000"/>
          <w:sz w:val="22"/>
          <w:u w:val="single"/>
        </w:rPr>
        <w:t>(ii)</w:t>
      </w:r>
      <w:r>
        <w:rPr>
          <w:color w:val="000000"/>
        </w:rPr>
        <w:t> </w:t>
      </w:r>
      <w:r>
        <w:rPr>
          <w:rFonts w:ascii="Times New Roman;sans-serif" w:hAnsi="Times New Roman;sans-serif"/>
          <w:b w:val="false"/>
          <w:color w:val="000000"/>
          <w:sz w:val="22"/>
        </w:rPr>
        <w:t xml:space="preserve">following the initial incurrence or making of any such Reclassifiable Item, if such Reclassifiable Item could, based on such financial statements, have been incurred in reliance on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6.01(b)(i)(A)(II)</w:t>
      </w:r>
      <w:r>
        <w:rPr>
          <w:color w:val="000000"/>
        </w:rPr>
        <w:t xml:space="preserve"> </w:t>
      </w:r>
      <w:r>
        <w:rPr>
          <w:rFonts w:ascii="Times New Roman;sans-serif" w:hAnsi="Times New Roman;sans-serif"/>
          <w:b w:val="false"/>
          <w:color w:val="000000"/>
          <w:sz w:val="22"/>
        </w:rPr>
        <w:t xml:space="preserve">(in the case of Indebtedness and Liens) or any “ratio-based” basket or exception (in the case of all other Reclassifiable Items), such Reclassifiable Item shall automatically be reclassified as having been incurred or made under the applicable provisions of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6.01(b)(i)(A)(II)</w:t>
      </w:r>
      <w:r>
        <w:rPr>
          <w:color w:val="000000"/>
        </w:rPr>
        <w:t xml:space="preserve"> </w:t>
      </w:r>
      <w:r>
        <w:rPr>
          <w:rFonts w:ascii="Times New Roman;sans-serif" w:hAnsi="Times New Roman;sans-serif"/>
          <w:b w:val="false"/>
          <w:color w:val="000000"/>
          <w:sz w:val="22"/>
        </w:rPr>
        <w:t xml:space="preserve">or such “ratio-based” basket or exception, as applicable (in each case, subject to any other applicable provision of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6.01(b)(i)(A)(II)</w:t>
      </w:r>
      <w:r>
        <w:rPr>
          <w:color w:val="000000"/>
        </w:rPr>
        <w:t xml:space="preserve"> </w:t>
      </w:r>
      <w:r>
        <w:rPr>
          <w:rFonts w:ascii="Times New Roman;sans-serif" w:hAnsi="Times New Roman;sans-serif"/>
          <w:b w:val="false"/>
          <w:color w:val="000000"/>
          <w:sz w:val="22"/>
        </w:rPr>
        <w:t xml:space="preserve">or such “ratio-based” basket or exception, as applicable). It is understood and agreed that any Indebtedness, Lien, Restricted Payment Transaction, Disposition and/or Affiliate transaction need not be permitted solely by reference to one category of permitted Indebtedness, Lien, Restricted Payment Transaction, Disposition and/or Affiliate transaction under </w:t>
      </w:r>
      <w:r>
        <w:rPr>
          <w:rFonts w:ascii="Times New Roman;sans-serif" w:hAnsi="Times New Roman;sans-serif"/>
          <w:b w:val="false"/>
          <w:color w:val="000000"/>
          <w:sz w:val="22"/>
          <w:u w:val="single"/>
        </w:rPr>
        <w:t>Sections 6.01</w:t>
      </w:r>
      <w:r>
        <w:rPr>
          <w:rFonts w:ascii="Times New Roman;sans-serif" w:hAnsi="Times New Roman;sans-serif"/>
          <w:b w:val="false"/>
          <w:color w:val="000000"/>
          <w:sz w:val="22"/>
        </w:rPr>
        <w:t xml:space="preserve">, 6.02, </w:t>
      </w:r>
      <w:r>
        <w:rPr>
          <w:rFonts w:ascii="Times New Roman;sans-serif" w:hAnsi="Times New Roman;sans-serif"/>
          <w:b w:val="false"/>
          <w:color w:val="000000"/>
          <w:sz w:val="22"/>
          <w:u w:val="single"/>
        </w:rPr>
        <w:t>6.04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6.05</w:t>
      </w:r>
      <w:r>
        <w:rPr>
          <w:color w:val="000000"/>
        </w:rPr>
        <w:t xml:space="preserve"> </w:t>
      </w:r>
      <w:r>
        <w:rPr>
          <w:rFonts w:ascii="Times New Roman;sans-serif" w:hAnsi="Times New Roman;sans-serif"/>
          <w:b w:val="false"/>
          <w:color w:val="000000"/>
          <w:sz w:val="22"/>
        </w:rPr>
        <w:t>and 6.06, respectively, but may instead be permitted in part under any combination thereof or under any other available exception.</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(ii)With respect to any Default or Event of Default, the words “exists”, “is continuing” or similar expressions with respect thereto shall mean that the Default or Event of Default has occurred and has not yet been cured or waived. If any Default or Event of Default occurs due to the failure by any Loan Party or Restricted Subsidiary to take any action by a specified time, such Default or Event of Default shall be deemed to have been cured at the time, if any, that the applicable Loan Party or Restricted Subsidiary takes such action but only if the Administrative Agent or the Required Lenders shall not, prior to the taking of such action, have accelerated the Loans pursuant to Article 7 or otherwise commenced the exercise of secured creditor remedies. If any Default or Event of Default that occurs is subsequently cured as described in the preceding sentence (a “</w:t>
      </w:r>
      <w:r>
        <w:rPr>
          <w:rFonts w:ascii="Times New Roman;sans-serif" w:hAnsi="Times New Roman;sans-serif"/>
          <w:b/>
          <w:color w:val="000000"/>
          <w:sz w:val="22"/>
        </w:rPr>
        <w:t>Cured Default</w:t>
      </w:r>
      <w:r>
        <w:rPr>
          <w:color w:val="000000"/>
        </w:rPr>
        <w:t>”</w:t>
      </w:r>
      <w:r>
        <w:rPr>
          <w:rFonts w:ascii="Times New Roman;sans-serif" w:hAnsi="Times New Roman;sans-serif"/>
          <w:b w:val="false"/>
          <w:color w:val="000000"/>
          <w:sz w:val="22"/>
        </w:rPr>
        <w:t>), any other Default or Event of Default resulting from the making or deemed making of any representation or warranty by any Loan Party or any Restricted Subsidiary or the taking of (or the failure to take) any action by any Loan Party or any Restricted Subsidiary, in each case which subsequent Default or Event of Default would not have arisen had the Cured Default not occurred, shall be deemed to be cured automatically upon, and simultaneously with, the cure of the Cured Default.</w:t>
      </w:r>
    </w:p>
    <w:p>
      <w:pPr>
        <w:pStyle w:val="TextBody"/>
        <w:bidi w:val="0"/>
        <w:spacing w:lineRule="auto" w:line="240" w:before="0" w:after="240"/>
        <w:jc w:val="both"/>
        <w:rPr/>
      </w:pPr>
      <w:r>
        <w:rPr>
          <w:rFonts w:ascii="Times New Roman;sans-serif" w:hAnsi="Times New Roman;sans-serif"/>
          <w:b w:val="false"/>
          <w:color w:val="000000"/>
          <w:sz w:val="22"/>
        </w:rPr>
        <w:t>Section 1.0d.</w:t>
      </w:r>
      <w:r>
        <w:rPr>
          <w:rFonts w:ascii="Times New Roman;sans-serif" w:hAnsi="Times New Roman;sans-serif"/>
          <w:b w:val="false"/>
          <w:color w:val="000000"/>
          <w:sz w:val="22"/>
        </w:rPr>
        <w:t xml:space="preserve">Accounting Terms; GAAP.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(i)(i)    All financial statements to be delivered pursuant to this Agreement shall be prepared in accordance with GAAP as in effect from time to time and, except as otherwise expressly provided herein, all terms of an accounting or financial nature that are used in calculating the Consolidated Total Leverage Ratio, the Consolidated First Lien Leverage Ratio, the Consolidated Coverage Ratio, Consolidated EBITDA, Consolidated Net Income or Consolidated Tangible Assets shall be construed and interpreted in accordance with GAAP, as in effect from time to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if any change to GAAP or in the application thereof or any change as a result of the adoption or modification of accounting policies (including the conversion to IFRS as described below) and/or there is any change in the functional currency reflected in the financial statements or (B) if the Company elects or is required to report under IFRS, the Company or the Required Lenders may, in either case, request to amend the relevant affected provisions hereof (whether or not the request for such amendment is delivered before or after the relevant change or election) to eliminate the effect of such change or election, as the case may be, on the operation of such provisions and, upon any such request, (x) the Company and the Administrative Agent shall negotiate in good faith to enter into an amendment of the relevant affected provisions (it being understood that no amendment or similar fee shall be payable to the Administrative Agent or any Lender in connection therewith) to preserve the original intent thereof in light of the applicable change or election, as the case may be and (y) the relevant affected provisions shall be interpreted on the basis of GAAP and the currency, in each case, as in effect and applied immediately prior to the applicable change or election, as the case may be, until the request for amendment has been withdrawn by the Company or the Required Lenders, as applicable, or this Agreement has been amended as contemplated hereby. Any consent required from the Administrative Agent or any Required Lender with respect to the foregoing shall not be unreasonably withheld, conditioned or delayed.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62890"/>
                <wp:effectExtent l="0" t="0" r="0" b="0"/>
                <wp:wrapNone/>
                <wp:docPr id="110" name="Frame11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Company or any subsidiary at “fair value,” as defined therein, (ii)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(iii) the application of Accounting Standards Codification 480, 815, 805 and 718 (to the extent these pronouncements under Accounting Standards Codification 718 result in recording an equity award as a liability on the consolidated balance sheet of the Company and its Restricted Subsidiaries in the circumstance where, but for the application of the pronouncements, such award would have been classified as equity) and (iv) unless the Company elects otherwise, the policies, rules and regulations of the SEC, the American Institute of Certified Public Accountants, the International Accounting Standards Board or any other applicable regulatory or governing body applicable only to public companies. If the Company notifies the Administrative Agent that the Company is required to report under IFRS or has elected to do so through an early adoption policy, “GAAP” shall mean international financial reporting standards pursuant to IFRS (provided thereafter, the Company cannot elect to report under GAAP). </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(ii)Notwithstanding anything to the contrary herein, but subject to </w:t>
      </w:r>
      <w:r>
        <w:rPr>
          <w:rFonts w:ascii="Times New Roman;sans-serif" w:hAnsi="Times New Roman;sans-serif"/>
          <w:b w:val="false"/>
          <w:color w:val="000000"/>
          <w:sz w:val="22"/>
          <w:u w:val="single"/>
        </w:rPr>
        <w:t>Sections 1.04(d)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w:t>
      </w:r>
      <w:r>
        <w:rPr>
          <w:color w:val="000000"/>
        </w:rPr>
        <w:t> </w:t>
      </w:r>
      <w:r>
        <w:rPr>
          <w:rFonts w:ascii="Times New Roman;sans-serif" w:hAnsi="Times New Roman;sans-serif"/>
          <w:b w:val="false"/>
          <w:color w:val="000000"/>
          <w:sz w:val="22"/>
        </w:rPr>
        <w:t>and (g), all financial ratios and tests (including the Consolidated Coverage Ratio, the Consolidated Total Leverage Ratio, the Consolidated First Lien Leverage Ratio and the amount of Consolidated Tangible Assets, Consolidated Net Income and Consolidated EBITDA) (other than, for the avoidance of doubt, or purposes of calculating Excess Cash Flow)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(x) any Subject Transaction has occurred or (y) any Person that subsequently became a Restricted Subsidiary or was merged, amalgamated or consolidated with or into the Company or any of its Restricted Subsidiaries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in the case of Consolidated Tangible Assets (or with respect to any determination pertaining to the balance sheet, including the acquisition of Cash, Cash Equivalents, Investment Grade Securities and Temporary Cash Investments), as of the last day of such Test Period).</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(iii)Notwithstanding anything to the contrary contained in paragraph (a) above or in the definition of “Finance Lease Obligation”, unless the Company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sans-serif" w:hAnsi="Times New Roman;sans-serif"/>
          <w:b/>
          <w:color w:val="000000"/>
          <w:sz w:val="22"/>
        </w:rPr>
        <w:t>ASU</w:t>
      </w:r>
      <w:r>
        <w:rPr>
          <w:color w:val="000000"/>
        </w:rPr>
        <w:t>”</w:t>
      </w:r>
      <w:r>
        <w:rPr>
          <w:rFonts w:ascii="Times New Roman;sans-serif" w:hAnsi="Times New Roman;sans-serif"/>
          <w:b w:val="false"/>
          <w:color w:val="000000"/>
          <w:sz w:val="22"/>
        </w:rPr>
        <w:t>)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and Consolidated EBITDA)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(iv)For purposes of determining the permissibility of any action, change, transaction or event that by the terms of the Loan Documents requires a calculation of any financial ratio or financial test (including the Consolidated Coverage Ratio, the Consolidated Total Leverage Ratio, the Consolidated First Lien Leverage Ratio and the amount of Consolidated EBITDA, Consolidated Net Income or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62890"/>
                <wp:effectExtent l="0" t="0" r="0" b="0"/>
                <wp:wrapNone/>
                <wp:docPr id="111" name="Frame11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Consolidated Tangible Assets), subject to the succeeding </w:t>
      </w:r>
      <w:r>
        <w:rPr>
          <w:rFonts w:ascii="Times New Roman;sans-serif" w:hAnsi="Times New Roman;sans-serif"/>
          <w:b w:val="false"/>
          <w:color w:val="000000"/>
          <w:sz w:val="22"/>
          <w:u w:val="single"/>
        </w:rPr>
        <w:t>clause (e)</w:t>
      </w:r>
      <w:r>
        <w:rPr>
          <w:rFonts w:ascii="Times New Roman;sans-serif" w:hAnsi="Times New Roman;sans-serif"/>
          <w:b w:val="false"/>
          <w:color w:val="000000"/>
          <w:sz w:val="22"/>
        </w:rPr>
        <w:t>, such financial ratio or test shall be calculated at the time such action is taken, such change is made, such transaction is consummated or such event occurs, as the case may be, and no Default or Event of Default shall be deemed to have occurred solely as a result of a change in such financial ratio or financial test occurring after the time such action is taken, such change is made, such transaction is consummated or such event occurs, as the case may be.</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 xml:space="preserve">(v)Notwithstanding anything to the contrary herein (including in connection with any calculation made on a pro forma basis), if the terms of this Agreement require (i) compliance with any financial ratio or financial test (including, without limitation, any Consolidated Coverage Ratio test, any Consolidated First Lien Leverage Ratio test and/or any Consolidated Total Leverage Ratio test) and/or any cap expressed as a percentage of Consolidated Tangible Assets, Consolidated Net Income or Consolidated EBITDA, (ii) accuracy of any representation or warranty and/or the absence of a Default or Event of Default (or any type of default or event of default) or (iii) compliance with any basket, as a condition to (A) the consummation of any transaction (including in connection with any acquisition or other Investment or the assumption or incurrence of Indebtedness), or (B) the making of any Restricted Payment Transaction, the determination of whether the relevant condition is satisfied may be made, at the election of the Company, (1) in the case of any acquisition or other Investment or any Disposition and any transaction related thereto, at the time of (or on the basis of the financial statements for the most recently ended Test Period at the time of) either (x) the execution of the definitive agreement with respect to such acquisition, Investment or Disposition (or, solely in connection with an acquisition, consolidation or business combination to which the United Kingdom City Code on Takeovers and Mergers applies, the date on which a “Rule 2.7 Announcement” of a firm intention to make an offer is made) or the establishment of a commitment with respect to such Indebtedness or (y) the consummation of such acquisition, Investment or Disposition, and (2) in the case of any Restricted Payment Transaction, at the time of (or on the basis of the financial statements for the most recently ended Test Period at the time of) (x) the declaration of such Restricted Payment Transaction or delivery of notice with respect to such Restricted Payment or (y) the making of such Restricted Payment Transaction, in each case, after giving effect to the relevant acquisition, Restricted Payment Transaction or other transaction on a pro forma basis (including, in each case, giving effect to the relevant transaction, any relevant Indebtedness (including the intended use of proceeds thereof) and, at the election of the Company, giving pro forma effect to other prospective “limited conditionality” acquisitions or other Investments for which definitive agreements have been executed, and no Default or Event of Default shall be deemed to have occurred solely as a result of an adverse change in such financial ratio or test occurring after the time such election is made (but any subsequent improvement in the applicable financial ratio or test may be utilized by the Company or any Restricted Subsidiary). For the avoidance of doubt, if the Company shall have elected the option set forth in </w:t>
      </w:r>
      <w:r>
        <w:rPr>
          <w:rFonts w:ascii="Times New Roman;sans-serif" w:hAnsi="Times New Roman;sans-serif"/>
          <w:b w:val="false"/>
          <w:color w:val="000000"/>
          <w:sz w:val="22"/>
          <w:u w:val="single"/>
        </w:rPr>
        <w:t>clause (x)</w:t>
      </w:r>
      <w:r>
        <w:rPr>
          <w:color w:val="000000"/>
        </w:rPr>
        <w:t xml:space="preserve"> </w:t>
      </w:r>
      <w:r>
        <w:rPr>
          <w:rFonts w:ascii="Times New Roman;sans-serif" w:hAnsi="Times New Roman;sans-serif"/>
          <w:b w:val="false"/>
          <w:color w:val="000000"/>
          <w:sz w:val="22"/>
        </w:rPr>
        <w:t xml:space="preserve">of any of the preceding </w:t>
      </w:r>
      <w:r>
        <w:rPr>
          <w:rFonts w:ascii="Times New Roman;sans-serif" w:hAnsi="Times New Roman;sans-serif"/>
          <w:b w:val="false"/>
          <w:color w:val="000000"/>
          <w:sz w:val="22"/>
          <w:u w:val="single"/>
        </w:rPr>
        <w:t>clauses (1)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color w:val="000000"/>
          <w:sz w:val="22"/>
          <w:u w:val="single"/>
        </w:rPr>
        <w:t>(3)</w:t>
      </w:r>
      <w:r>
        <w:rPr>
          <w:color w:val="000000"/>
        </w:rPr>
        <w:t> </w:t>
      </w:r>
      <w:r>
        <w:rPr>
          <w:rFonts w:ascii="Times New Roman;sans-serif" w:hAnsi="Times New Roman;sans-serif"/>
          <w:b w:val="false"/>
          <w:color w:val="000000"/>
          <w:sz w:val="22"/>
        </w:rPr>
        <w:t xml:space="preserve">in respect of any transaction, then the Company shall be permitted to consummate such transaction even if any applicable test or condition shall cease to be satisfied subsequent to the Company’s election of such option. The provisions of this </w:t>
      </w:r>
      <w:r>
        <w:rPr>
          <w:rFonts w:ascii="Times New Roman;sans-serif" w:hAnsi="Times New Roman;sans-serif"/>
          <w:b w:val="false"/>
          <w:color w:val="000000"/>
          <w:sz w:val="22"/>
          <w:u w:val="single"/>
        </w:rPr>
        <w:t>paragraph (e)</w:t>
      </w:r>
      <w:r>
        <w:rPr>
          <w:color w:val="000000"/>
        </w:rPr>
        <w:t xml:space="preserve"> </w:t>
      </w:r>
      <w:r>
        <w:rPr>
          <w:rFonts w:ascii="Times New Roman;sans-serif" w:hAnsi="Times New Roman;sans-serif"/>
          <w:b w:val="false"/>
          <w:color w:val="000000"/>
          <w:sz w:val="22"/>
        </w:rPr>
        <w:t>shall also apply in respect of the incurrence of any Incremental Facility.</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(vi)[Reserved].</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(vii)Notwithstanding anything to the contrary herein, unless the Company otherwise notifies the Administrative Agent, with respect to any amount incurred under any revolving facility or any amounts incurred or transactions entered into (or consummated) in reliance on a provision of this Agreement that does not require compliance with a financial ratio or financial test (including any Consolidated Coverage Ratio test, Consolidated First Lien Leverage Ratio test, and/or Consolidated Total Leverage Ratio test) (any such amounts, the “</w:t>
      </w:r>
      <w:r>
        <w:rPr>
          <w:rFonts w:ascii="Times New Roman;sans-serif" w:hAnsi="Times New Roman;sans-serif"/>
          <w:b/>
          <w:color w:val="000000"/>
          <w:sz w:val="22"/>
        </w:rPr>
        <w:t>Fixed Amounts</w:t>
      </w:r>
      <w:r>
        <w:rPr>
          <w:color w:val="000000"/>
        </w:rPr>
        <w:t>”</w:t>
      </w:r>
      <w:r>
        <w:rPr>
          <w:rFonts w:ascii="Times New Roman;sans-serif" w:hAnsi="Times New Roman;sans-serif"/>
          <w:b w:val="false"/>
          <w:color w:val="000000"/>
          <w:sz w:val="22"/>
        </w:rPr>
        <w:t>) substantially concurrently with any amounts incurred or transactions entered into (or consummated) in reliance on a provision of this Agreement that requires compliance with a financial ratio or financial test (including any Consolidated Coverage Ratio test, Consolidated First Lien Leverage Ratio test and/or any Consolidated Total Leverage Ratio test) (any such amounts, the “</w:t>
      </w:r>
      <w:r>
        <w:rPr>
          <w:rFonts w:ascii="Times New Roman;sans-serif" w:hAnsi="Times New Roman;sans-serif"/>
          <w:b/>
          <w:color w:val="000000"/>
          <w:sz w:val="22"/>
        </w:rPr>
        <w:t>Incurrence-Based Amounts</w:t>
      </w:r>
      <w:r>
        <w:rPr>
          <w:color w:val="000000"/>
        </w:rPr>
        <w:t>”</w:t>
      </w:r>
      <w:r>
        <w:rPr>
          <w:rFonts w:ascii="Times New Roman;sans-serif" w:hAnsi="Times New Roman;sans-serif"/>
          <w:b w:val="false"/>
          <w:color w:val="000000"/>
          <w:sz w:val="22"/>
        </w:rPr>
        <w:t xml:space="preserve">), it is understood and agreed that the incurrence of the Incurrence-Based Amount shall be calculated first without giving effect to any Fixed Amount but giving full pro forma effect to the use of proceeds of such Fixed Amount and the related transactions and (B) the Incurrence of the Fixed Amount shall be calculated thereafter. Unless the Company elects otherwise, the Company or the applicable Restricted Subsidiary shall be deemed to have used amounts under an Incurrence-Based Amount then available to the Company or the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62890"/>
                <wp:effectExtent l="0" t="0" r="0" b="0"/>
                <wp:wrapNone/>
                <wp:docPr id="112" name="Frame11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Restricted Subsidiary prior to utilization of any amount under a Fixed Amount then available to the Company or the applicable Restricted Subsidiary.</w:t>
      </w:r>
    </w:p>
    <w:p>
      <w:pPr>
        <w:pStyle w:val="TextBody"/>
        <w:bidi w:val="0"/>
        <w:spacing w:lineRule="auto" w:line="240" w:before="0" w:after="240"/>
        <w:ind w:left="0" w:right="0" w:firstLine="1001"/>
        <w:jc w:val="both"/>
        <w:rPr>
          <w:rFonts w:ascii="Times New Roman;sans-serif" w:hAnsi="Times New Roman;sans-serif"/>
          <w:b w:val="false"/>
          <w:color w:val="000000"/>
          <w:sz w:val="22"/>
        </w:rPr>
      </w:pPr>
      <w:r>
        <w:rPr>
          <w:rFonts w:ascii="Times New Roman;sans-serif" w:hAnsi="Times New Roman;sans-serif"/>
          <w:b w:val="false"/>
          <w:color w:val="000000"/>
          <w:sz w:val="22"/>
        </w:rPr>
        <w:t>(viii)The principal amount of any non-interest bearing Indebtedness or other discount security constituting Indebtedness at any date shall be the principal amount thereof that would be shown on a balance sheet of the Company dated such date prepared in accordance with GAAP.</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(ix)The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granting of a Lien for purposes of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 xml:space="preserve">(x)For purposes of determining compliance with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6.06</w:t>
      </w:r>
      <w:r>
        <w:rPr>
          <w:rFonts w:ascii="Times New Roman;sans-serif" w:hAnsi="Times New Roman;sans-serif"/>
          <w:b w:val="false"/>
          <w:color w:val="000000"/>
          <w:sz w:val="22"/>
        </w:rPr>
        <w:t xml:space="preserve">, if any Indebtedness or Lien is Incurred in reliance on a basket measured by reference to a percentage of Consolidated Tangible Assets, and any refinancing or replacement thereof would cause the percentage of Consolidated Tangible Assets to be exceeded if calculated based on the Consolidated Tangible Assets on the date of such refinancing or replacement, such percentage of Consolidated Tangible Assets will be deemed not to be exceeded so long as the principal amount of such refinancing or replacement Indebtedness or other obligation does not exceed an amount sufficient to repay the principal amount of such Indebtedness or other obligation being refinanced or replaced,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(xi)Any financial ratios required to be maintained by the Company or any of its Restricted Subsidiaries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40" w:before="0" w:after="240"/>
        <w:jc w:val="both"/>
        <w:rPr/>
      </w:pPr>
      <w:r>
        <w:rPr>
          <w:rFonts w:ascii="Times New Roman;sans-serif" w:hAnsi="Times New Roman;sans-serif"/>
          <w:b w:val="false"/>
          <w:color w:val="000000"/>
          <w:sz w:val="22"/>
        </w:rPr>
        <w:t>Section 1.0e.</w:t>
      </w:r>
      <w:r>
        <w:rPr>
          <w:rFonts w:ascii="Times New Roman;sans-serif" w:hAnsi="Times New Roman;sans-serif"/>
          <w:b w:val="false"/>
          <w:color w:val="000000"/>
          <w:sz w:val="22"/>
        </w:rPr>
        <w:t>Effectuation of Transactions. Each of the representations and warranties contained in this Agreement (and all corresponding definitions) is made after giving effect to the Transactions, unless the context otherwise requires.</w:t>
      </w:r>
    </w:p>
    <w:p>
      <w:pPr>
        <w:pStyle w:val="TextBody"/>
        <w:bidi w:val="0"/>
        <w:spacing w:lineRule="auto" w:line="240" w:before="0" w:after="240"/>
        <w:jc w:val="both"/>
        <w:rPr/>
      </w:pPr>
      <w:r>
        <w:rPr>
          <w:rFonts w:ascii="Times New Roman;sans-serif" w:hAnsi="Times New Roman;sans-serif"/>
          <w:b w:val="false"/>
          <w:color w:val="000000"/>
          <w:sz w:val="22"/>
        </w:rPr>
        <w:t>Section 1.0f.</w:t>
      </w:r>
      <w:r>
        <w:rPr>
          <w:rFonts w:ascii="Times New Roman;sans-serif" w:hAnsi="Times New Roman;sans-serif"/>
          <w:b w:val="false"/>
          <w:color w:val="000000"/>
          <w:sz w:val="22"/>
        </w:rPr>
        <w:t>Timing of Payment and Performance.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pStyle w:val="TextBody"/>
        <w:bidi w:val="0"/>
        <w:spacing w:lineRule="auto" w:line="240" w:before="0" w:after="240"/>
        <w:jc w:val="both"/>
        <w:rPr/>
      </w:pPr>
      <w:r>
        <w:rPr>
          <w:rFonts w:ascii="Times New Roman;sans-serif" w:hAnsi="Times New Roman;sans-serif"/>
          <w:b w:val="false"/>
          <w:color w:val="000000"/>
          <w:sz w:val="22"/>
        </w:rPr>
        <w:t>Section 1.0g.</w:t>
      </w:r>
      <w:r>
        <w:rPr>
          <w:rFonts w:ascii="Times New Roman;sans-serif" w:hAnsi="Times New Roman;sans-serif"/>
          <w:b w:val="false"/>
          <w:color w:val="000000"/>
          <w:sz w:val="22"/>
        </w:rPr>
        <w:t>Times of Day. Unless otherwise specified, all references herein to times of day shall be references to New York City time (daylight or standard, as applicable).</w:t>
      </w:r>
    </w:p>
    <w:p>
      <w:pPr>
        <w:pStyle w:val="TextBody"/>
        <w:bidi w:val="0"/>
        <w:spacing w:lineRule="auto" w:line="240" w:before="0" w:after="240"/>
        <w:jc w:val="both"/>
        <w:rPr/>
      </w:pPr>
      <w:r>
        <w:rPr>
          <w:rFonts w:ascii="Times New Roman;sans-serif" w:hAnsi="Times New Roman;sans-serif"/>
          <w:b w:val="false"/>
          <w:color w:val="000000"/>
          <w:sz w:val="22"/>
        </w:rPr>
        <w:t>Section 1.0h.</w:t>
      </w:r>
      <w:r>
        <w:rPr>
          <w:rFonts w:ascii="Times New Roman;sans-serif" w:hAnsi="Times New Roman;sans-serif"/>
          <w:b w:val="false"/>
          <w:color w:val="000000"/>
          <w:sz w:val="22"/>
        </w:rPr>
        <w:t xml:space="preserve">Currency Equivalents Generally.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(i)Notwithstanding anything to the contrary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below, for purposes of any determination under </w:t>
      </w:r>
      <w:r>
        <w:rPr>
          <w:rFonts w:ascii="Times New Roman;sans-serif" w:hAnsi="Times New Roman;sans-serif"/>
          <w:b w:val="false"/>
          <w:color w:val="000000"/>
          <w:sz w:val="22"/>
          <w:u w:val="single"/>
        </w:rPr>
        <w:t>Article 5</w:t>
      </w:r>
      <w:r>
        <w:rPr>
          <w:rFonts w:ascii="Times New Roman;sans-serif" w:hAnsi="Times New Roman;sans-serif"/>
          <w:b w:val="false"/>
          <w:color w:val="000000"/>
          <w:sz w:val="22"/>
        </w:rPr>
        <w:t>, Article 6 (other than the calculation of compliance with any financial ratio for purposes of taking any action hereunder) or Article 7 with respect to the amount of any Indebtedness, Lien, Restricted Payment Transaction, Investment, Disposition, Affiliate transaction or other transaction, event or circumstance, or any determination under any other provision of this Agreement (any of the foregoing, a “</w:t>
      </w:r>
      <w:r>
        <w:rPr>
          <w:rFonts w:ascii="Times New Roman;sans-serif" w:hAnsi="Times New Roman;sans-serif"/>
          <w:b/>
          <w:color w:val="000000"/>
          <w:sz w:val="22"/>
        </w:rPr>
        <w:t>relevant transaction</w:t>
      </w:r>
      <w:r>
        <w:rPr>
          <w:color w:val="000000"/>
        </w:rPr>
        <w:t>”</w:t>
      </w:r>
      <w:r>
        <w:rPr>
          <w:rFonts w:ascii="Times New Roman;sans-serif" w:hAnsi="Times New Roman;sans-serif"/>
          <w:b w:val="false"/>
          <w:color w:val="000000"/>
          <w:sz w:val="22"/>
        </w:rPr>
        <w:t xml:space="preserve">), in a currency other than Dollars, (i) the Dollar equivalent amount of a relevant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62890"/>
                <wp:effectExtent l="0" t="0" r="0" b="0"/>
                <wp:wrapNone/>
                <wp:docPr id="113" name="Frame11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publicly available service for displaying exchange rates as may be agreed upon by the Administrative Agent and the Company) for such foreign currency, as in effect at 11:00 a.m. (London time) on the date of such relevant transaction (which, in the case of any Restricted Payment Transaction, Investment, Disposition or incurrence of Indebtedness, shall be determined as set forth in Section 1.04(e));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penalties and premiums (including tender premiums) thereon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and (ii) for the avoidance of doubt, no Default or Event of Default shall be deemed to have occurred solely as a result of a change in the rate of currency exchange occurring after the time of any relevant transaction so long as such relevant transaction was permitted at the time incurred, made, acquired, committed, entered or declared as set forth in clause (i). For purposes of the calculation of compliance with any financial ratio for purposes of taking any action hereunder (including for purposes of calculating compliance with the Incremental Cap) on any relevant date of determination, amounts denominated in currencies other than Dollars shall be translated into Dollars at the applicable currency exchange rate used in preparing the financial statements delivered pursuant to </w:t>
      </w:r>
      <w:r>
        <w:rPr>
          <w:rFonts w:ascii="Times New Roman;sans-serif" w:hAnsi="Times New Roman;sans-serif"/>
          <w:b w:val="false"/>
          <w:color w:val="000000"/>
          <w:sz w:val="22"/>
          <w:u w:val="single"/>
        </w:rPr>
        <w:t>Sections 5.01(a)(i)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(or, prior to the first such delivery, the financial statements referred to in </w:t>
      </w:r>
      <w:r>
        <w:rPr>
          <w:rFonts w:ascii="Times New Roman;sans-serif" w:hAnsi="Times New Roman;sans-serif"/>
          <w:b w:val="false"/>
          <w:color w:val="000000"/>
          <w:sz w:val="22"/>
          <w:u w:val="single"/>
        </w:rPr>
        <w:t>Section 3.04(a)</w:t>
      </w:r>
      <w:r>
        <w:rPr>
          <w:rFonts w:ascii="Times New Roman;sans-serif" w:hAnsi="Times New Roman;sans-serif"/>
          <w:b w:val="false"/>
          <w:color w:val="000000"/>
          <w:sz w:val="22"/>
        </w:rPr>
        <w:t>), as applicable, for the relevant Test Period and, at the option of the Company, will reflect the currency translation effects, determined in accordance with GAAP, of Hedging Agreements permitted hereunder in respect of currency exchange risks with respect to the applicable currency in effect on the date of determination for the Dollar equivalent amount of such Indebtedness.</w:t>
      </w:r>
      <w:r>
        <w:rPr>
          <w:color w:val="000000"/>
        </w:rPr>
        <w:t xml:space="preserve"> </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(ii)Each provision of this Agreement shall be subject to such reasonable changes of construction as the Administrative Agent may from time to time specify with the Company’s consent to appropriately reflect a change in currency of any country and any relevant market convention or practice relating to such change in currency.</w:t>
      </w:r>
    </w:p>
    <w:p>
      <w:pPr>
        <w:pStyle w:val="TextBody"/>
        <w:bidi w:val="0"/>
        <w:spacing w:lineRule="auto" w:line="240" w:before="0" w:after="240"/>
        <w:jc w:val="both"/>
        <w:rPr/>
      </w:pPr>
      <w:r>
        <w:rPr>
          <w:rFonts w:ascii="Times New Roman;sans-serif" w:hAnsi="Times New Roman;sans-serif"/>
          <w:b w:val="false"/>
          <w:color w:val="000000"/>
          <w:sz w:val="22"/>
        </w:rPr>
        <w:t>Section 1.0i.</w:t>
      </w:r>
      <w:r>
        <w:rPr>
          <w:rFonts w:ascii="Times New Roman;sans-serif" w:hAnsi="Times New Roman;sans-serif"/>
          <w:b w:val="false"/>
          <w:color w:val="000000"/>
          <w:sz w:val="22"/>
        </w:rPr>
        <w:t>Cashless Rollovers. Notwithstanding anything to the contrary contained in this Agreement or in any other Loan Document, to the extent that any Lender extends the maturity date of, or replaces, renews or refinances, any of its then-existing Loans with Incremental Loans, Replacement Term Loans, Extended Term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pStyle w:val="TextBody"/>
        <w:bidi w:val="0"/>
        <w:spacing w:lineRule="auto" w:line="240" w:before="0" w:after="2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 </w:t>
      </w:r>
    </w:p>
    <w:p>
      <w:pPr>
        <w:pStyle w:val="TextBody"/>
        <w:bidi w:val="0"/>
        <w:spacing w:lineRule="auto" w:line="240" w:before="0" w:after="2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Guarantees and Collateral. Notwithstanding any provision of any Loan Document to the contrary:</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(i)For purposes of any determination relating to the ABL Priority Collateral as to which the Administrative Agent is granted discretion hereunder or under any other Loan Document (including any determination with respect to any waiver or extension or any opportunity to request that is permitted or required under the definition of “Collateral and Guarantee Requirement,” under this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62890"/>
                <wp:effectExtent l="0" t="0" r="0" b="0"/>
                <wp:wrapNone/>
                <wp:docPr id="114" name="Frame11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Agreement or under any other Loan Document), the Administrative Agent shall be deemed to have agreed and accepted any determination in respect thereof by the Applicable Administrative Agent; and</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(ii)For purposes of any determination relating to the Term Loan Priority Collateral as to which the Administrative Agent is granted discretion hereunder or under any other Loan Document (including any determination with respect to any waiver or extension or any opportunity to request that is permitted or required under the definition of “Collateral and Guarantee Requirement,” under this Agreement or under any other Loan Document), the Administrative Agent shall be deemed to have agreed and accepted any determination in respect thereof by the Applicable Administrative Agent; it being understood and agreed that as of the Closing Date, the Administrative Agent is the Applicable Administrative Agent with respect to the Term Loan Priority Collateral. </w:t>
      </w:r>
    </w:p>
    <w:p>
      <w:pPr>
        <w:pStyle w:val="TextBody"/>
        <w:bidi w:val="0"/>
        <w:spacing w:lineRule="auto" w:line="240" w:before="0" w:after="240"/>
        <w:jc w:val="center"/>
        <w:rPr/>
      </w:pPr>
      <w:r>
        <w:rPr>
          <w:rFonts w:ascii="Times New Roman;sans-serif" w:hAnsi="Times New Roman;sans-serif"/>
          <w:b w:val="false"/>
          <w:color w:val="000000"/>
          <w:sz w:val="22"/>
        </w:rPr>
        <w:t>Article 2</w:t>
      </w:r>
      <w:r>
        <w:rPr>
          <w:rFonts w:ascii="Times New Roman;sans-serif" w:hAnsi="Times New Roman;sans-serif"/>
          <w:b w:val="false"/>
          <w:color w:val="000000"/>
          <w:sz w:val="22"/>
        </w:rPr>
        <w:t>THE CREDITS</w:t>
      </w:r>
    </w:p>
    <w:p>
      <w:pPr>
        <w:pStyle w:val="TextBody"/>
        <w:bidi w:val="0"/>
        <w:spacing w:lineRule="auto" w:line="240" w:before="0" w:after="240"/>
        <w:jc w:val="both"/>
        <w:rPr/>
      </w:pPr>
      <w:r>
        <w:rPr>
          <w:rFonts w:ascii="Times New Roman;sans-serif" w:hAnsi="Times New Roman;sans-serif"/>
          <w:b w:val="false"/>
          <w:color w:val="000000"/>
          <w:sz w:val="22"/>
        </w:rPr>
        <w:t>Section 1.0a.</w:t>
      </w:r>
      <w:r>
        <w:rPr>
          <w:rFonts w:ascii="Times New Roman;sans-serif" w:hAnsi="Times New Roman;sans-serif"/>
          <w:b w:val="false"/>
          <w:color w:val="000000"/>
          <w:sz w:val="22"/>
        </w:rPr>
        <w:t xml:space="preserve">Commitments.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(i)Subject to the terms and conditions set forth herein, each Initial Term Lender severally, and not jointly, agrees to make Initial Term Loans to the Company on the Closing Date in Dollars in a principal amount not to exceed its Initial Term Loan Commitment. Amounts paid or prepaid in respect of the Initial Term Loans may not be re-borrowed.</w:t>
      </w:r>
      <w:r>
        <w:rPr>
          <w:color w:val="000000"/>
        </w:rPr>
        <w:t xml:space="preserve"> </w:t>
      </w:r>
      <w:r>
        <w:rPr>
          <w:rFonts w:ascii="Times New Roman;sans-serif" w:hAnsi="Times New Roman;sans-serif"/>
          <w:b w:val="false"/>
          <w:color w:val="000000"/>
          <w:sz w:val="22"/>
        </w:rPr>
        <w:t>The Initial Term Loans will be funded with original issue discount of 1.00% (it being agreed that the Borrower shall be obligated to repay 100% of the principal amount of the Initial Term Loans and interest shall accrue on 100% of the principal amount of the Initial Term Loans, in each case as provided herein).</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Company, which Loans shall not exceed for any such Lender at the time of any incurrence thereof the Additional Commitment of such Class of such Lender as set forth in the applicable Refinancing Amendment, Extension Amendment or Incremental Facility Amendment.</w:t>
      </w:r>
    </w:p>
    <w:p>
      <w:pPr>
        <w:pStyle w:val="TextBody"/>
        <w:bidi w:val="0"/>
        <w:spacing w:lineRule="auto" w:line="240" w:before="0" w:after="240"/>
        <w:jc w:val="both"/>
        <w:rPr/>
      </w:pPr>
      <w:r>
        <w:rPr>
          <w:rFonts w:ascii="Times New Roman;sans-serif" w:hAnsi="Times New Roman;sans-serif"/>
          <w:b w:val="false"/>
          <w:color w:val="000000"/>
          <w:sz w:val="22"/>
        </w:rPr>
        <w:t>Section 1.0b.</w:t>
      </w:r>
      <w:r>
        <w:rPr>
          <w:rFonts w:ascii="Times New Roman;sans-serif" w:hAnsi="Times New Roman;sans-serif"/>
          <w:b w:val="false"/>
          <w:color w:val="000000"/>
          <w:sz w:val="22"/>
        </w:rPr>
        <w:t xml:space="preserve">Loans and Borrowings.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(i)Each Loan shall be made as part of a Borrowing consisting of Loans of the same Class and Type made by the Lenders ratably in accordance with their respective Commitments of the applicable Class. </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(ii)Subject to </w:t>
      </w:r>
      <w:r>
        <w:rPr>
          <w:rFonts w:ascii="Times New Roman;sans-serif" w:hAnsi="Times New Roman;sans-serif"/>
          <w:b w:val="false"/>
          <w:color w:val="000000"/>
          <w:sz w:val="22"/>
          <w:u w:val="single"/>
        </w:rPr>
        <w:t>Section 2.01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each Borrowing shall be comprised entirely of ABR Loans or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as the Company may request in accordance herewith. Each Lender at its option may make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by causing any domestic or foreign branch or Affiliate of such Lender to make such Loan;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any exercise of such option shall not affect the obligation of the Company to repay such Loan in accordance with the terms of this Agreement, (ii) such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shall be deemed to have been made and held by such Lender, and the obligation of the Company to repay such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shall nevertheless be to such Lender for the account of such domestic or foreign branch or Affiliate of such Lender and (iii) in exercising such option, such Lender shall use reasonable efforts to minimize increased costs to the Company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shall apply);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such domestic or foreign branch or Affiliate of such Lender shall be entitled to any greater indemnification under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 xml:space="preserve">with respect to such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Loan than that to which the applicable Lender was entitled on the date on which such Loan was made (except in connection with any indemnification entitlement arising as a result of a Change in Law after the date on which such Loan was made).</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(iii)At the commencement of each Interest Period for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such Borrowing shall comprise an aggregate principal amount that is an integral multiple of </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62890"/>
                <wp:effectExtent l="0" t="0" r="0" b="0"/>
                <wp:wrapNone/>
                <wp:docPr id="115" name="Frame11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$100,000 and not less than $500,000. Each ABR Borrowing when made shall be in a minimum principal amount of $100,000. Borrowings of more than one Type and Class may be outstanding at the same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there shall not at any time be more than a total of two different Interest Periods in effect for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Borrowings at any time outstanding (or such greater number of different Interest Periods as the Administrative Agent may agree from time to time).</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(iv)Notwithstanding any other provision of this Agreement, the Company shall not, nor shall it be entitled to, request, or to elect to convert or continue, any Borrowing if the Interest Period requested with respect thereto would end after the Maturity Date applicable to such Loans.</w:t>
      </w:r>
    </w:p>
    <w:p>
      <w:pPr>
        <w:pStyle w:val="TextBody"/>
        <w:bidi w:val="0"/>
        <w:spacing w:lineRule="auto" w:line="240" w:before="0" w:after="240"/>
        <w:jc w:val="both"/>
        <w:rPr/>
      </w:pPr>
      <w:r>
        <w:rPr>
          <w:rFonts w:ascii="Times New Roman;sans-serif" w:hAnsi="Times New Roman;sans-serif"/>
          <w:b w:val="false"/>
          <w:color w:val="000000"/>
          <w:sz w:val="22"/>
        </w:rPr>
        <w:t>Section 1.0c.</w:t>
      </w:r>
      <w:r>
        <w:rPr>
          <w:rFonts w:ascii="Times New Roman;sans-serif" w:hAnsi="Times New Roman;sans-serif"/>
          <w:b w:val="false"/>
          <w:color w:val="000000"/>
          <w:sz w:val="22"/>
        </w:rPr>
        <w:t xml:space="preserve">Requests for Borrowings. Each Borrowing, each conversion of Loans from one Type to the other, and each continuation of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Loans shall be made upon irrevocable notice by the Company to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subject to Section 2.16, notices in respect of borrowings to be made on the Closing Date may be conditioned on the closing of the Transactions and any borrowing in connection with any acquisition, Investment or repayment, redemption or refinancing of Indebtedness may be conditioned on the closing of such acquisition, Investment or repayment, redemption or refinancing of Indebtedness). Each such notice must be in writing or by telephone (and promptly confirmed in writing) and must be received by the Administrative Agent (by hand delivery, fax or other electronic transmission (including “.pdf” or “.tif”)) not later than (i) </w:t>
      </w:r>
      <w:r>
        <w:rPr>
          <w:rFonts w:ascii="Times New Roman;sans-serif" w:hAnsi="Times New Roman;sans-serif"/>
          <w:b w:val="false"/>
          <w:strike/>
          <w:color w:val="FF0000"/>
          <w:sz w:val="22"/>
        </w:rPr>
        <w:t>1:00 p.m. three</w:t>
      </w:r>
      <w:r>
        <w:rPr>
          <w:rFonts w:ascii="Times New Roman;sans-serif" w:hAnsi="Times New Roman;sans-serif"/>
          <w:b/>
          <w:color w:val="0000FF"/>
          <w:sz w:val="22"/>
          <w:u w:val="single"/>
        </w:rPr>
        <w:t>11:00 a.m., New York City time, three U.S. Government Securities</w:t>
      </w:r>
      <w:r>
        <w:rPr>
          <w:color w:val="000000"/>
        </w:rPr>
        <w:t xml:space="preserve"> </w:t>
      </w:r>
      <w:r>
        <w:rPr>
          <w:rFonts w:ascii="Times New Roman;sans-serif" w:hAnsi="Times New Roman;sans-serif"/>
          <w:b w:val="false"/>
          <w:color w:val="000000"/>
          <w:sz w:val="22"/>
        </w:rPr>
        <w:t xml:space="preserve">Business Days prior to the requested day of any Borrowing of, conversion to or continuation of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or conversion to ABR Loans </w:t>
      </w:r>
      <w:r>
        <w:rPr>
          <w:rFonts w:ascii="Times New Roman;sans-serif" w:hAnsi="Times New Roman;sans-serif"/>
          <w:b w:val="false"/>
          <w:strike/>
          <w:color w:val="FF0000"/>
          <w:sz w:val="22"/>
        </w:rPr>
        <w:t xml:space="preserve">(or 11:00 a.m. one Business Day prior in the case of any Borrowing of LIBO Rate Loans to be made on the Closing Date) </w:t>
      </w:r>
      <w:r>
        <w:rPr>
          <w:rFonts w:ascii="Times New Roman;sans-serif" w:hAnsi="Times New Roman;sans-serif"/>
          <w:b w:val="false"/>
          <w:color w:val="000000"/>
          <w:sz w:val="22"/>
        </w:rPr>
        <w:t>and (ii) 12:00 p.m. on the requested date of any Borrowing of or conversion to ABR Loans (or, in each case, such later time as shall be reasonably acceptable to the Administrative Agent)</w:t>
      </w:r>
      <w:r>
        <w:rPr>
          <w:rFonts w:ascii="Times New Roman;sans-serif" w:hAnsi="Times New Roman;sans-serif"/>
          <w:b w:val="false"/>
          <w:strike/>
          <w:color w:val="FF0000"/>
          <w:sz w:val="22"/>
        </w:rPr>
        <w:t xml:space="preserve">; </w:t>
      </w:r>
      <w:r>
        <w:rPr>
          <w:rFonts w:ascii="Times New Roman;sans-serif" w:hAnsi="Times New Roman;sans-serif"/>
          <w:b w:val="false"/>
          <w:strike/>
          <w:color w:val="FF0000"/>
          <w:sz w:val="22"/>
          <w:u w:val="single"/>
        </w:rPr>
        <w:t>provided</w:t>
      </w:r>
      <w:r>
        <w:rPr>
          <w:rFonts w:ascii="Times New Roman;sans-serif" w:hAnsi="Times New Roman;sans-serif"/>
          <w:b w:val="false"/>
          <w:strike/>
          <w:color w:val="FF0000"/>
          <w:sz w:val="22"/>
        </w:rPr>
        <w:t xml:space="preserve">, </w:t>
      </w:r>
      <w:r>
        <w:rPr>
          <w:rFonts w:ascii="Times New Roman;sans-serif" w:hAnsi="Times New Roman;sans-serif"/>
          <w:b w:val="false"/>
          <w:strike/>
          <w:color w:val="FF0000"/>
          <w:sz w:val="22"/>
          <w:u w:val="single"/>
        </w:rPr>
        <w:t>however</w:t>
      </w:r>
      <w:r>
        <w:rPr>
          <w:rFonts w:ascii="Times New Roman;sans-serif" w:hAnsi="Times New Roman;sans-serif"/>
          <w:b w:val="false"/>
          <w:strike/>
          <w:color w:val="FF0000"/>
          <w:sz w:val="22"/>
        </w:rPr>
        <w:t>, that if the Company wishes to request LIBO Rate Loans having an Interest Period of other than one, three or six months in duration as provided in the definition of “Interest Period,” (A) the applicable notice must be received by the Administrative Agent not later than 1:00 p.m. four Business Days prior to the requested date of such Borrowing, conversion or continuation (or such later time as is reasonably acceptable to the Administrative Agent), whereupon the Administrative Agent shall give prompt notice to the appropriate Lenders of such request and determine whether the requested Interest Period is acceptable to them and (B) not later than 11:00 a.m. three Business Days before the requested date of such Borrowing, conversion or continuation, the Administrative Agent shall notify the Company whether or not the requested Interest Period has been consented to by all the appropriate Lenders</w:t>
      </w:r>
      <w:r>
        <w:rPr>
          <w:rFonts w:ascii="Times New Roman;sans-serif" w:hAnsi="Times New Roman;sans-serif"/>
          <w:b w:val="false"/>
          <w:color w:val="000000"/>
          <w:sz w:val="22"/>
        </w:rPr>
        <w:t xml:space="preserve">. Each written notice (or confirmation of telephonic notice) with respect to a Borrowing by the Company pursuant to this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 xml:space="preserve">shall be delivered to the Administrative Agent in the form of a written Borrowing Request, appropriately completed and signed by a Responsible Officer of the Company. Each such written Borrowing Request shall specify the following information in compliance with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(i)the Class of such Borrowing;</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(ii)the aggregate amount of the requested Borrowing;</w:t>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(iii)the date of such Borrowing, which shall be a Business Day;</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(iv)whether such Borrowing is to be an ABR Borrowing or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 xml:space="preserve">(v)in the case of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 the initial Interest Period to be applicable thereto, which shall be a period contemplated by the definition of the term “Interest Period”; and</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(vi)the location and number of the Company’s account or any other designated account(s) to which funds are to be disbursed (the “</w:t>
      </w:r>
      <w:r>
        <w:rPr>
          <w:rFonts w:ascii="Times New Roman;sans-serif" w:hAnsi="Times New Roman;sans-serif"/>
          <w:b/>
          <w:color w:val="000000"/>
          <w:sz w:val="22"/>
        </w:rPr>
        <w:t>Funding Account</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val="false"/>
          <w:color w:val="000000"/>
          <w:sz w:val="22"/>
        </w:rPr>
        <w:t xml:space="preserve">If no election as to the Type of Borrowing is specified, then the requested Borrowing shall be an ABR Borrowing. If no Interest Period is specified with respect to any requested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then the Company shall be deemed to have selected an Interest Period of one month’s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62890"/>
                <wp:effectExtent l="0" t="0" r="0" b="0"/>
                <wp:wrapNone/>
                <wp:docPr id="116" name="Frame11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duration. The Administrative Agent shall advise each Lender of the details thereof and of the amount of the Loan to be made as part of the requested Borrowing (x) in the case of any ABR Borrowing, on the same Business Day of receipt of a Borrowing Request in accordance with this Section 2.03 or (y) in the case of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 no later than one Business Day following receipt of a Borrowing Request in accordance with this Section 2.03.</w:t>
      </w:r>
    </w:p>
    <w:p>
      <w:pPr>
        <w:pStyle w:val="TextBody"/>
        <w:bidi w:val="0"/>
        <w:spacing w:lineRule="auto" w:line="240" w:before="0" w:after="240"/>
        <w:jc w:val="both"/>
        <w:rPr/>
      </w:pPr>
      <w:r>
        <w:rPr>
          <w:rFonts w:ascii="Times New Roman;sans-serif" w:hAnsi="Times New Roman;sans-serif"/>
          <w:b w:val="false"/>
          <w:color w:val="000000"/>
          <w:sz w:val="22"/>
        </w:rPr>
        <w:t>Section 1.0d.</w:t>
      </w:r>
      <w:r>
        <w:rPr>
          <w:rFonts w:ascii="Times New Roman;sans-serif" w:hAnsi="Times New Roman;sans-serif"/>
          <w:b w:val="false"/>
          <w:color w:val="000000"/>
          <w:sz w:val="22"/>
        </w:rPr>
        <w:t xml:space="preserve">[Reserved]. </w:t>
      </w:r>
    </w:p>
    <w:p>
      <w:pPr>
        <w:pStyle w:val="TextBody"/>
        <w:bidi w:val="0"/>
        <w:spacing w:lineRule="auto" w:line="240" w:before="0" w:after="240"/>
        <w:jc w:val="both"/>
        <w:rPr/>
      </w:pPr>
      <w:r>
        <w:rPr>
          <w:rFonts w:ascii="Times New Roman;sans-serif" w:hAnsi="Times New Roman;sans-serif"/>
          <w:b w:val="false"/>
          <w:color w:val="000000"/>
          <w:sz w:val="22"/>
        </w:rPr>
        <w:t>Section 1.0e.</w:t>
      </w:r>
      <w:r>
        <w:rPr>
          <w:rFonts w:ascii="Times New Roman;sans-serif" w:hAnsi="Times New Roman;sans-serif"/>
          <w:b w:val="false"/>
          <w:color w:val="000000"/>
          <w:sz w:val="22"/>
        </w:rPr>
        <w:t xml:space="preserve">[Reserved]. </w:t>
      </w:r>
    </w:p>
    <w:p>
      <w:pPr>
        <w:pStyle w:val="TextBody"/>
        <w:bidi w:val="0"/>
        <w:spacing w:lineRule="auto" w:line="240" w:before="0" w:after="240"/>
        <w:jc w:val="both"/>
        <w:rPr/>
      </w:pPr>
      <w:r>
        <w:rPr>
          <w:rFonts w:ascii="Times New Roman;sans-serif" w:hAnsi="Times New Roman;sans-serif"/>
          <w:b w:val="false"/>
          <w:color w:val="000000"/>
          <w:sz w:val="22"/>
        </w:rPr>
        <w:t>Section 1.0f.</w:t>
      </w:r>
      <w:r>
        <w:rPr>
          <w:rFonts w:ascii="Times New Roman;sans-serif" w:hAnsi="Times New Roman;sans-serif"/>
          <w:b w:val="false"/>
          <w:color w:val="000000"/>
          <w:sz w:val="22"/>
        </w:rPr>
        <w:t>[Reserved].</w:t>
      </w:r>
    </w:p>
    <w:p>
      <w:pPr>
        <w:pStyle w:val="TextBody"/>
        <w:bidi w:val="0"/>
        <w:spacing w:lineRule="auto" w:line="240" w:before="0" w:after="240"/>
        <w:jc w:val="both"/>
        <w:rPr/>
      </w:pPr>
      <w:r>
        <w:rPr>
          <w:rFonts w:ascii="Times New Roman;sans-serif" w:hAnsi="Times New Roman;sans-serif"/>
          <w:b w:val="false"/>
          <w:color w:val="000000"/>
          <w:sz w:val="22"/>
        </w:rPr>
        <w:t>Section 1.0g.</w:t>
      </w:r>
      <w:r>
        <w:rPr>
          <w:rFonts w:ascii="Times New Roman;sans-serif" w:hAnsi="Times New Roman;sans-serif"/>
          <w:b w:val="false"/>
          <w:color w:val="000000"/>
          <w:sz w:val="22"/>
        </w:rPr>
        <w:t xml:space="preserve">Funding of Borrowings.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(i)Each Lender shall make each Loan to be made by it hereunder on the proposed date thereof by wire transfer of immediately available funds by 2:00 p.m. to the account of the Administrative Agent most recently designated by it for such purpose by notice to the Lenders in an amount equal to such Lender’s respective Applicable Percentage. The Administrative Agent will make such Loans available to the Company by promptly crediting the amounts so received, in like funds, to the Funding Account or as otherwise directed by the Company.</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(ii)Unless the Administrative Agent has received notice from any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sans-serif" w:hAnsi="Times New Roman;sans-serif"/>
          <w:b w:val="false"/>
          <w:color w:val="000000"/>
          <w:sz w:val="22"/>
          <w:u w:val="single"/>
        </w:rPr>
        <w:t>paragraph (a)</w:t>
      </w:r>
      <w:r>
        <w:rPr>
          <w:color w:val="000000"/>
        </w:rPr>
        <w:t xml:space="preserve"> </w:t>
      </w:r>
      <w:r>
        <w:rPr>
          <w:rFonts w:ascii="Times New Roman;sans-serif" w:hAnsi="Times New Roman;sans-serif"/>
          <w:b w:val="false"/>
          <w:color w:val="000000"/>
          <w:sz w:val="22"/>
        </w:rPr>
        <w:t xml:space="preserve">of this Section 2.07 and may, in reliance upon such assumption, make available a corresponding amount. In such event, if any Lender has not in fact made its share of the applicable Borrowing available to the Administrative Agent, then the applicable Lender and the Company severally agree to pay to the Administrative Agent forthwith on demand (without duplication) such corresponding amount with interest thereon, for each day from and including the date such amount is made available to the Company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Company, the interest rate applicable to the Loans comprising such Borrowing at such time. If such Lender pays such amount to the Administrative Agent, then such amount shall constitute such Lender’s Loan included in such Borrowing and the Company’s obligation to repay the Administrative Agent such corresponding amount pursuant to this </w:t>
      </w:r>
      <w:r>
        <w:rPr>
          <w:rFonts w:ascii="Times New Roman;sans-serif" w:hAnsi="Times New Roman;sans-serif"/>
          <w:b w:val="false"/>
          <w:color w:val="000000"/>
          <w:sz w:val="22"/>
          <w:u w:val="single"/>
        </w:rPr>
        <w:t>Section 2.07(b)</w:t>
      </w:r>
      <w:r>
        <w:rPr>
          <w:color w:val="000000"/>
        </w:rPr>
        <w:t xml:space="preserve"> </w:t>
      </w:r>
      <w:r>
        <w:rPr>
          <w:rFonts w:ascii="Times New Roman;sans-serif" w:hAnsi="Times New Roman;sans-serif"/>
          <w:b w:val="false"/>
          <w:color w:val="000000"/>
          <w:sz w:val="22"/>
        </w:rPr>
        <w:t xml:space="preserve">shall cease. If the Company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Company or any other Loan Party may have against any Lender as a result of any default by such Lender hereunder. </w:t>
      </w:r>
    </w:p>
    <w:p>
      <w:pPr>
        <w:pStyle w:val="TextBody"/>
        <w:bidi w:val="0"/>
        <w:spacing w:lineRule="auto" w:line="240" w:before="0" w:after="240"/>
        <w:jc w:val="both"/>
        <w:rPr/>
      </w:pPr>
      <w:r>
        <w:rPr>
          <w:rFonts w:ascii="Times New Roman;sans-serif" w:hAnsi="Times New Roman;sans-serif"/>
          <w:b w:val="false"/>
          <w:color w:val="000000"/>
          <w:sz w:val="22"/>
        </w:rPr>
        <w:t>Section 1.0h.</w:t>
      </w:r>
      <w:r>
        <w:rPr>
          <w:rFonts w:ascii="Times New Roman;sans-serif" w:hAnsi="Times New Roman;sans-serif"/>
          <w:b w:val="false"/>
          <w:color w:val="000000"/>
          <w:sz w:val="22"/>
        </w:rPr>
        <w:t xml:space="preserve">Type; Interest Elections.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(i)Each Borrowing initially shall be of the Type specified in the applicable Borrowing Request and, in the case of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shall have an initial Interest Period as specified in such Borrowing Request. Thereafter, the Company may elect to convert any Borrowing to a Borrowing of a different Type or to continue such Borrowing and, in the case of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may elect Interest Periods therefor, all as provided in this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 The Company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(ii)To make an election pursuant to this Section, the Company shall notify the Administrative Agent of such election in writing (by hand delivery, fax or other electronic transmission (including “.pdf” or “.tif”)) by the time that a Borrowing Request would be required under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 xml:space="preserve">if the Company were requesting a Borrowing of the Type resulting from such election to be made on the effective date of such election.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62890"/>
                <wp:effectExtent l="0" t="0" r="0" b="0"/>
                <wp:wrapNone/>
                <wp:docPr id="117" name="Frame11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(iii)Each written Interest Election Request shall specify the following information in compliance with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sans-serif" w:hAnsi="Times New Roman;sans-serif"/>
          <w:b w:val="false"/>
          <w:color w:val="000000"/>
          <w:sz w:val="22"/>
          <w:u w:val="single"/>
        </w:rPr>
        <w:t>clauses (iii)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(iv)</w:t>
      </w:r>
      <w:r>
        <w:rPr>
          <w:color w:val="000000"/>
        </w:rPr>
        <w:t xml:space="preserve"> </w:t>
      </w:r>
      <w:r>
        <w:rPr>
          <w:rFonts w:ascii="Times New Roman;sans-serif" w:hAnsi="Times New Roman;sans-serif"/>
          <w:b w:val="false"/>
          <w:color w:val="000000"/>
          <w:sz w:val="22"/>
        </w:rPr>
        <w:t>below shall be specified for each resulting Borrowing);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(2)the effective date of the election made pursuant to such Interest Election Request, which shall be a Business Day;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(3)whether the resulting Borrowing is to be an ABR Borrowing or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(4)if the resulting Borrowing is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 the Interest Period to be applicable thereto after giving effect to such election, which shall be a period contemplated by the definition of the term “Interest Period”.</w:t>
      </w:r>
    </w:p>
    <w:p>
      <w:pPr>
        <w:pStyle w:val="TextBody"/>
        <w:bidi w:val="0"/>
        <w:spacing w:lineRule="auto" w:line="240" w:before="0" w:after="240"/>
        <w:jc w:val="both"/>
        <w:rPr/>
      </w:pPr>
      <w:r>
        <w:rPr>
          <w:rFonts w:ascii="Times New Roman;sans-serif" w:hAnsi="Times New Roman;sans-serif"/>
          <w:b w:val="false"/>
          <w:color w:val="000000"/>
          <w:sz w:val="22"/>
        </w:rPr>
        <w:t xml:space="preserve">If any such Interest Election Request requests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 but does not specify an Interest Period, then the Company shall be deemed to have selected an Interest Period of one month’s duration.</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(iv)Promptly following receipt of an Interest Election Request, the Administrative Agent shall advise each applicable Lender of the details thereof and of such Lender’s portion of each resulting Borrowing.</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 xml:space="preserve">(v)If the Company fails to deliver a timely Interest Election Request with respect to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prior to the end of the Interest Period applicable thereto, then, unless such Borrowing is repaid as provided herein, such Borrowing shall be converted at the end of such Interest Period to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with an Interest Period of one month. Notwithstanding any contrary provision hereof, if an Event of Default exists and the Administrative Agent, at the request of the Required Lenders, so notifies the Company, then, so long as such Event of Default exists (i) no outstanding Borrowing may be converted to or continued as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and </w:t>
      </w:r>
      <w:r>
        <w:rPr>
          <w:rFonts w:ascii="Times New Roman;sans-serif" w:hAnsi="Times New Roman;sans-serif"/>
          <w:b w:val="false"/>
          <w:strike/>
          <w:color w:val="FF0000"/>
          <w:sz w:val="22"/>
        </w:rPr>
        <w:t>(ii)</w:t>
      </w:r>
      <w:r>
        <w:rPr>
          <w:rFonts w:ascii="Times New Roman;sans-serif" w:hAnsi="Times New Roman;sans-serif"/>
          <w:b/>
          <w:color w:val="0000FF"/>
          <w:sz w:val="22"/>
          <w:u w:val="single"/>
        </w:rPr>
        <w:t>(ii)</w:t>
      </w:r>
      <w:r>
        <w:rPr>
          <w:color w:val="000000"/>
        </w:rPr>
        <w:t xml:space="preserve"> </w:t>
      </w:r>
      <w:r>
        <w:rPr>
          <w:rFonts w:ascii="Times New Roman;sans-serif" w:hAnsi="Times New Roman;sans-serif"/>
          <w:b w:val="false"/>
          <w:color w:val="000000"/>
          <w:sz w:val="22"/>
        </w:rPr>
        <w:t xml:space="preserve">unless repaid, each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Borrowing shall be converted to an ABR Borrowing at the end of the then-current Interest Period applicable thereto.</w:t>
      </w:r>
    </w:p>
    <w:p>
      <w:pPr>
        <w:pStyle w:val="TextBody"/>
        <w:bidi w:val="0"/>
        <w:spacing w:lineRule="auto" w:line="240" w:before="0" w:after="240"/>
        <w:jc w:val="both"/>
        <w:rPr/>
      </w:pPr>
      <w:r>
        <w:rPr>
          <w:rFonts w:ascii="Times New Roman;sans-serif" w:hAnsi="Times New Roman;sans-serif"/>
          <w:b w:val="false"/>
          <w:color w:val="000000"/>
          <w:sz w:val="22"/>
        </w:rPr>
        <w:t>Section 1.0i.</w:t>
      </w:r>
      <w:r>
        <w:rPr>
          <w:rFonts w:ascii="Times New Roman;sans-serif" w:hAnsi="Times New Roman;sans-serif"/>
          <w:b w:val="false"/>
          <w:color w:val="000000"/>
          <w:sz w:val="22"/>
        </w:rPr>
        <w:t>Termination and Reduction of Commitments. Unless previously terminated, (i) the Initial Term Loan Commitments on the Closing Date shall automatically terminate upon the making of the Initial Term Loans on the Closing Date, and (ii)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terminate unless otherwise provided in the applicable Refinancing Amendment, Extension Amendment or Incremental Facility Amendment.</w:t>
      </w:r>
    </w:p>
    <w:p>
      <w:pPr>
        <w:pStyle w:val="TextBody"/>
        <w:bidi w:val="0"/>
        <w:spacing w:lineRule="auto" w:line="240" w:before="0" w:after="2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Repayment of Loans; Evidence of Debt.</w:t>
      </w:r>
      <w:r>
        <w:rPr>
          <w:color w:val="000000"/>
          <w:u w:val="single"/>
        </w:rPr>
        <w:t xml:space="preserve">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(i)The Term Loan Borrowers jointly and severally hereby unconditionally promise to repay the outstanding principal amount of the Initial Term Loans to the Administrative Agent for the account of each applicable Term Lender (i) on the last Business Day of each March, June, September and December prior to the Initial Term Loan Maturity Date (each such date being referred to as a “</w:t>
      </w:r>
      <w:r>
        <w:rPr>
          <w:rFonts w:ascii="Times New Roman;sans-serif" w:hAnsi="Times New Roman;sans-serif"/>
          <w:b/>
          <w:color w:val="000000"/>
          <w:sz w:val="22"/>
        </w:rPr>
        <w:t>Loan Installment Date</w:t>
      </w:r>
      <w:r>
        <w:rPr>
          <w:color w:val="000000"/>
        </w:rPr>
        <w:t>”</w:t>
      </w:r>
      <w:r>
        <w:rPr>
          <w:rFonts w:ascii="Times New Roman;sans-serif" w:hAnsi="Times New Roman;sans-serif"/>
          <w:b w:val="false"/>
          <w:color w:val="000000"/>
          <w:sz w:val="22"/>
        </w:rPr>
        <w:t xml:space="preserve">), commencing on the last Business Day of December 2021, in each case in an amount equal to 0.25% of the original principal amount of the Initial Term Loans (as such payments may be reduced from time to time as a result of the application of prepayments in accordance with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and purchases or assignments in accordance with </w:t>
      </w:r>
      <w:r>
        <w:rPr>
          <w:rFonts w:ascii="Times New Roman;sans-serif" w:hAnsi="Times New Roman;sans-serif"/>
          <w:b w:val="false"/>
          <w:color w:val="000000"/>
          <w:sz w:val="22"/>
          <w:u w:val="single"/>
        </w:rPr>
        <w:t>Section 9.05(g)</w:t>
      </w:r>
      <w:r>
        <w:rPr>
          <w:color w:val="000000"/>
        </w:rPr>
        <w:t xml:space="preserve"> </w:t>
      </w:r>
      <w:r>
        <w:rPr>
          <w:rFonts w:ascii="Times New Roman;sans-serif" w:hAnsi="Times New Roman;sans-serif"/>
          <w:b w:val="false"/>
          <w:color w:val="000000"/>
          <w:sz w:val="22"/>
        </w:rPr>
        <w:t xml:space="preserve">or increased as a result of any increase in the amount of such Initial Term Loans pursuant to </w:t>
      </w:r>
      <w:r>
        <w:rPr>
          <w:rFonts w:ascii="Times New Roman;sans-serif" w:hAnsi="Times New Roman;sans-serif"/>
          <w:b w:val="false"/>
          <w:color w:val="000000"/>
          <w:sz w:val="22"/>
          <w:u w:val="single"/>
        </w:rPr>
        <w:t>Section 2.22(a)</w:t>
      </w:r>
      <w:r>
        <w:rPr>
          <w:rFonts w:ascii="Times New Roman;sans-serif" w:hAnsi="Times New Roman;sans-serif"/>
          <w:b w:val="false"/>
          <w:color w:val="000000"/>
          <w:sz w:val="22"/>
        </w:rPr>
        <w:t xml:space="preserve">) and (ii) on the Initial Term Loan Maturity Date, in an amount equal to the remainder of the principal amount of the Initial Term Loans outstanding on such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62890"/>
                <wp:effectExtent l="0" t="0" r="0" b="0"/>
                <wp:wrapNone/>
                <wp:docPr id="118" name="Frame11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date, together in each case with accrued and unpaid interest on the principal amount to be paid to but excluding the date of such payment. The Term Loan Borrowers shall repay the Additional Term Loans of any Class in such scheduled amortization installments and on such date or dates as shall be specified therefor in the applicable Refinancing Amendment, Extension Amendment or Incremental Facility Amendment (as such payments may be reduced from time to time as a result of the application of prepayments in accordance with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and purchases or assignments in accordance with </w:t>
      </w:r>
      <w:r>
        <w:rPr>
          <w:rFonts w:ascii="Times New Roman;sans-serif" w:hAnsi="Times New Roman;sans-serif"/>
          <w:b w:val="false"/>
          <w:color w:val="000000"/>
          <w:sz w:val="22"/>
          <w:u w:val="single"/>
        </w:rPr>
        <w:t>Section 9.05(g)</w:t>
      </w:r>
      <w:r>
        <w:rPr>
          <w:color w:val="000000"/>
        </w:rPr>
        <w:t xml:space="preserve"> </w:t>
      </w:r>
      <w:r>
        <w:rPr>
          <w:rFonts w:ascii="Times New Roman;sans-serif" w:hAnsi="Times New Roman;sans-serif"/>
          <w:b w:val="false"/>
          <w:color w:val="000000"/>
          <w:sz w:val="22"/>
        </w:rPr>
        <w:t xml:space="preserve">or increased as a result of any increase in the amount of such Additional Term Loans pursuant to </w:t>
      </w:r>
      <w:r>
        <w:rPr>
          <w:rFonts w:ascii="Times New Roman;sans-serif" w:hAnsi="Times New Roman;sans-serif"/>
          <w:b w:val="false"/>
          <w:color w:val="000000"/>
          <w:sz w:val="22"/>
          <w:u w:val="single"/>
        </w:rPr>
        <w:t>Section 2.22(a)</w:t>
      </w:r>
      <w:r>
        <w:rPr>
          <w:rFonts w:ascii="Times New Roman;sans-serif" w:hAnsi="Times New Roman;sans-serif"/>
          <w:b w:val="false"/>
          <w:color w:val="000000"/>
          <w:sz w:val="22"/>
        </w:rPr>
        <w:t>).</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(ii)[Reserved]. </w:t>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(iii)[Reserved].</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(iv)Each Lender shall maintain in accordance with its usual practice an account or accounts evidencing the indebtedness of the Company to such Lender resulting from each Loan made by such Lender, including the amounts of principal and interest payable and paid to such Lender from time to time hereunder.</w:t>
      </w:r>
    </w:p>
    <w:p>
      <w:pPr>
        <w:pStyle w:val="TextBody"/>
        <w:bidi w:val="0"/>
        <w:spacing w:lineRule="auto" w:line="240" w:before="0" w:after="240"/>
        <w:ind w:left="0" w:right="0" w:firstLine="1184"/>
        <w:jc w:val="both"/>
        <w:rPr>
          <w:rFonts w:ascii="Times New Roman;sans-serif" w:hAnsi="Times New Roman;sans-serif"/>
          <w:b w:val="false"/>
          <w:color w:val="000000"/>
          <w:sz w:val="22"/>
        </w:rPr>
      </w:pPr>
      <w:r>
        <w:rPr>
          <w:rFonts w:ascii="Times New Roman;sans-serif" w:hAnsi="Times New Roman;sans-serif"/>
          <w:b w:val="false"/>
          <w:color w:val="000000"/>
          <w:sz w:val="22"/>
        </w:rPr>
        <w:t>(v)The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Company to each Lender hereunder and (iii) the amount of any sum received by the Administrative Agent hereunder for the account of the Lenders and each Lender’s share thereof.</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(vi)The entries made in the accounts maintained pursuant to </w:t>
      </w:r>
      <w:r>
        <w:rPr>
          <w:rFonts w:ascii="Times New Roman;sans-serif" w:hAnsi="Times New Roman;sans-serif"/>
          <w:b w:val="false"/>
          <w:color w:val="000000"/>
          <w:sz w:val="22"/>
          <w:u w:val="single"/>
        </w:rPr>
        <w:t>paragraphs (d)</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 xml:space="preserve">of this Section shall be prima facie evidence of the existence and amounts of the obligations recorded therein (absent manifest error);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failure of any Lender or the Administrative Agent to maintain such accounts or any manifest error therein shall not in any manner affect the obligation of the Company to repay the Loans in accordance with the terms of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in the event of any inconsistency between the accounts maintained by the Administrative Agent pursuant to </w:t>
      </w:r>
      <w:r>
        <w:rPr>
          <w:rFonts w:ascii="Times New Roman;sans-serif" w:hAnsi="Times New Roman;sans-serif"/>
          <w:b w:val="false"/>
          <w:color w:val="000000"/>
          <w:sz w:val="22"/>
          <w:u w:val="single"/>
        </w:rPr>
        <w:t>paragraph (e)</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2.10</w:t>
      </w:r>
      <w:r>
        <w:rPr>
          <w:color w:val="000000"/>
        </w:rPr>
        <w:t xml:space="preserve"> </w:t>
      </w:r>
      <w:r>
        <w:rPr>
          <w:rFonts w:ascii="Times New Roman;sans-serif" w:hAnsi="Times New Roman;sans-serif"/>
          <w:b w:val="false"/>
          <w:color w:val="000000"/>
          <w:sz w:val="22"/>
        </w:rPr>
        <w:t>and any Lender’s records, the accounts of the Administrative Agent shall govern.</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 xml:space="preserve">(vii)Any Lender may request that Loans made by it be evidenced by a Promissory Note. In such event, the Company shall prepare, execute and deliver to such Lender a Promissory Note payable to such Lender and its registered permitted assigns; it being understood and agreed that such Lender (and/or its applicable permitted assign) shall be required to return such Promissory Note to the Company in accordance with </w:t>
      </w:r>
      <w:r>
        <w:rPr>
          <w:rFonts w:ascii="Times New Roman;sans-serif" w:hAnsi="Times New Roman;sans-serif"/>
          <w:b w:val="false"/>
          <w:color w:val="000000"/>
          <w:sz w:val="22"/>
          <w:u w:val="single"/>
        </w:rPr>
        <w:t>Section 9.05(b)(iii)</w:t>
      </w:r>
      <w:r>
        <w:rPr>
          <w:color w:val="000000"/>
        </w:rPr>
        <w:t xml:space="preserve"> </w:t>
      </w:r>
      <w:r>
        <w:rPr>
          <w:rFonts w:ascii="Times New Roman;sans-serif" w:hAnsi="Times New Roman;sans-serif"/>
          <w:b w:val="false"/>
          <w:color w:val="000000"/>
          <w:sz w:val="22"/>
        </w:rPr>
        <w:t xml:space="preserve">and upon the occurrence of the Termination Date (or as promptly thereafter as practicable). If any Lender loses the original copy of its Promissory Note, it shall execute an affidavit of loss containing indemnification provisions reasonably satisfactory to the Company. The obligation of each Lender to execute an affidavit of loss containing a customary indemnification provision that is reasonably satisfactory to the Company shall survive the Termination Date </w:t>
      </w:r>
    </w:p>
    <w:p>
      <w:pPr>
        <w:pStyle w:val="TextBody"/>
        <w:bidi w:val="0"/>
        <w:spacing w:lineRule="auto" w:line="240" w:before="0" w:after="2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Prepayment of Loans.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Optional Prepayments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(1)Upon prior notice in accordance with </w:t>
      </w:r>
      <w:r>
        <w:rPr>
          <w:rFonts w:ascii="Times New Roman;sans-serif" w:hAnsi="Times New Roman;sans-serif"/>
          <w:b w:val="false"/>
          <w:color w:val="000000"/>
          <w:sz w:val="22"/>
          <w:u w:val="single"/>
        </w:rPr>
        <w:t>paragraph (a)(iii)</w:t>
      </w:r>
      <w:r>
        <w:rPr>
          <w:color w:val="000000"/>
        </w:rPr>
        <w:t xml:space="preserve"> </w:t>
      </w:r>
      <w:r>
        <w:rPr>
          <w:rFonts w:ascii="Times New Roman;sans-serif" w:hAnsi="Times New Roman;sans-serif"/>
          <w:b w:val="false"/>
          <w:color w:val="000000"/>
          <w:sz w:val="22"/>
        </w:rPr>
        <w:t xml:space="preserve">of this Section, the Term Loan Borrowers shall have the right at any time and from time to time to prepay any Borrowing of Term Loans of one or more Classes (such Class or Classes to be selected by the applicable Term Loan Borrower in its sole discretion) in whole or in part without premium or penalty (but subject to (A) in the case of Initial Term Loans only, </w:t>
      </w:r>
      <w:r>
        <w:rPr>
          <w:rFonts w:ascii="Times New Roman;sans-serif" w:hAnsi="Times New Roman;sans-serif"/>
          <w:b w:val="false"/>
          <w:color w:val="000000"/>
          <w:sz w:val="22"/>
          <w:u w:val="single"/>
        </w:rPr>
        <w:t>Section 2.12(f)</w:t>
      </w:r>
      <w:r>
        <w:rPr>
          <w:color w:val="000000"/>
        </w:rPr>
        <w:t xml:space="preserve"> </w:t>
      </w:r>
      <w:r>
        <w:rPr>
          <w:rFonts w:ascii="Times New Roman;sans-serif" w:hAnsi="Times New Roman;sans-serif"/>
          <w:b w:val="false"/>
          <w:color w:val="000000"/>
          <w:sz w:val="22"/>
        </w:rPr>
        <w:t xml:space="preserve">and (B) to the extent otherwise applicable,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 xml:space="preserve">). Each such prepayment shall be paid to the Lenders in accordance with their respective Applicable Percentages of the relevant Class.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(2)[Reserved].</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62890"/>
                <wp:effectExtent l="0" t="0" r="0" b="0"/>
                <wp:wrapNone/>
                <wp:docPr id="119" name="Frame11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(3)Any Borrower shall notify the Administrative Agent by telephone (confirmed in writing) of any prepayment under this </w:t>
      </w:r>
      <w:r>
        <w:rPr>
          <w:rFonts w:ascii="Times New Roman;sans-serif" w:hAnsi="Times New Roman;sans-serif"/>
          <w:b w:val="false"/>
          <w:color w:val="000000"/>
          <w:sz w:val="22"/>
          <w:u w:val="single"/>
        </w:rPr>
        <w:t>Section 2.11(a)</w:t>
      </w:r>
      <w:r>
        <w:rPr>
          <w:color w:val="000000"/>
        </w:rPr>
        <w:t xml:space="preserve"> </w:t>
      </w:r>
      <w:r>
        <w:rPr>
          <w:rFonts w:ascii="Times New Roman;sans-serif" w:hAnsi="Times New Roman;sans-serif"/>
          <w:b w:val="false"/>
          <w:color w:val="000000"/>
          <w:sz w:val="22"/>
        </w:rPr>
        <w:t xml:space="preserve">(A) in the case of a prepayment of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not later than 1:00 p.m. three Business Days before the date of prepayment or (B) in the case of a prepayment of an ABR Borrowing, not later than 1:00 p.m. on the date of prepayment. Each such notice shall be irrevocable (except as set forth in the proviso to this sentence) and shall specify the prepayment date and the principal amount of each Borrowing or portion thereof to be prepaid;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notice of prepayment may state that such notice is conditioned upon the effectiveness of other transactions or other conditional events, in which case such notice may be revoked or its effectiveness deferred by the applicable Borrower (by notice to the Administrative Agent on or prior to the specified effective date) if such condition is not satisfied until such condition is satisfied. Promptly following receipt of any such notice relating to any Borrowing, the Administrative Agent shall advise the relevant Lenders of the contents thereof. Each partial prepayment of any Borrowing shall be in an amount at least equal to the amount that would be permitted in the case of a Borrowing of the same Type and Class as provided in </w:t>
      </w:r>
      <w:r>
        <w:rPr>
          <w:rFonts w:ascii="Times New Roman;sans-serif" w:hAnsi="Times New Roman;sans-serif"/>
          <w:b w:val="false"/>
          <w:color w:val="000000"/>
          <w:sz w:val="22"/>
          <w:u w:val="single"/>
        </w:rPr>
        <w:t>Section 2.02(c)</w:t>
      </w:r>
      <w:r>
        <w:rPr>
          <w:color w:val="000000"/>
        </w:rPr>
        <w:t xml:space="preserve"> </w:t>
      </w:r>
      <w:r>
        <w:rPr>
          <w:rFonts w:ascii="Times New Roman;sans-serif" w:hAnsi="Times New Roman;sans-serif"/>
          <w:b w:val="false"/>
          <w:color w:val="000000"/>
          <w:sz w:val="22"/>
        </w:rPr>
        <w:t xml:space="preserve">or such lesser amount that is then outstanding with respect to such Borrowing being repaid. Each prepayment of Term Loans shall be applied to the Class or Classes of Term Loans specified by the applicable Borrower in the applicable prepayment notice, and each prepayment of Term Loans of such Class or Classes made pursuant to this </w:t>
      </w:r>
      <w:r>
        <w:rPr>
          <w:rFonts w:ascii="Times New Roman;sans-serif" w:hAnsi="Times New Roman;sans-serif"/>
          <w:b w:val="false"/>
          <w:color w:val="000000"/>
          <w:sz w:val="22"/>
          <w:u w:val="single"/>
        </w:rPr>
        <w:t>Section 2.11(a)</w:t>
      </w:r>
      <w:r>
        <w:rPr>
          <w:color w:val="000000"/>
        </w:rPr>
        <w:t xml:space="preserve"> </w:t>
      </w:r>
      <w:r>
        <w:rPr>
          <w:rFonts w:ascii="Times New Roman;sans-serif" w:hAnsi="Times New Roman;sans-serif"/>
          <w:b w:val="false"/>
          <w:color w:val="000000"/>
          <w:sz w:val="22"/>
        </w:rPr>
        <w:t>shall be applied against the remaining scheduled installments of principal due in respect of the Term Loans of such Class or Classes in the manner specified by such Borrower or, if not so specified on or prior to the date of such optional prepayment, in direct order of maturity.</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Mandatory Prepayments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(1)No later than the tenth Business Day after the date on which the financial statements with respect to each fiscal year of the Company are delivered pursuant to </w:t>
      </w:r>
      <w:r>
        <w:rPr>
          <w:rFonts w:ascii="Times New Roman;sans-serif" w:hAnsi="Times New Roman;sans-serif"/>
          <w:b w:val="false"/>
          <w:color w:val="000000"/>
          <w:sz w:val="22"/>
          <w:u w:val="single"/>
        </w:rPr>
        <w:t>Section 5.01(a)(i)</w:t>
      </w:r>
      <w:r>
        <w:rPr>
          <w:rFonts w:ascii="Times New Roman;sans-serif" w:hAnsi="Times New Roman;sans-serif"/>
          <w:b w:val="false"/>
          <w:color w:val="000000"/>
          <w:sz w:val="22"/>
        </w:rPr>
        <w:t>, commencing with the fiscal year of the Company ending January 28,</w:t>
      </w:r>
      <w:r>
        <w:rPr>
          <w:color w:val="000000"/>
        </w:rPr>
        <w:t xml:space="preserve"> </w:t>
      </w:r>
      <w:r>
        <w:rPr>
          <w:rFonts w:ascii="Times New Roman;sans-serif" w:hAnsi="Times New Roman;sans-serif"/>
          <w:b w:val="false"/>
          <w:color w:val="000000"/>
          <w:sz w:val="22"/>
        </w:rPr>
        <w:t xml:space="preserve">2023 the Company shall prepay Subject Loans in accordance with </w:t>
      </w:r>
      <w:r>
        <w:rPr>
          <w:rFonts w:ascii="Times New Roman;sans-serif" w:hAnsi="Times New Roman;sans-serif"/>
          <w:b w:val="false"/>
          <w:color w:val="000000"/>
          <w:sz w:val="22"/>
          <w:u w:val="single"/>
        </w:rPr>
        <w:t>clause (vi)</w:t>
      </w:r>
      <w:r>
        <w:rPr>
          <w:color w:val="000000"/>
        </w:rPr>
        <w:t xml:space="preserve"> </w:t>
      </w:r>
      <w:r>
        <w:rPr>
          <w:rFonts w:ascii="Times New Roman;sans-serif" w:hAnsi="Times New Roman;sans-serif"/>
          <w:b w:val="false"/>
          <w:color w:val="000000"/>
          <w:sz w:val="22"/>
        </w:rPr>
        <w:t>below in an aggregate principal amount (the “</w:t>
      </w:r>
      <w:r>
        <w:rPr>
          <w:rFonts w:ascii="Times New Roman;sans-serif" w:hAnsi="Times New Roman;sans-serif"/>
          <w:b/>
          <w:color w:val="000000"/>
          <w:sz w:val="22"/>
        </w:rPr>
        <w:t>ECF Prepayment Amount</w:t>
      </w:r>
      <w:r>
        <w:rPr>
          <w:color w:val="000000"/>
        </w:rPr>
        <w:t>”</w:t>
      </w:r>
      <w:r>
        <w:rPr>
          <w:rFonts w:ascii="Times New Roman;sans-serif" w:hAnsi="Times New Roman;sans-serif"/>
          <w:b w:val="false"/>
          <w:color w:val="000000"/>
          <w:sz w:val="22"/>
        </w:rPr>
        <w:t xml:space="preserve">) equal to (A) the Required Excess Cash Flow Percentage of Excess Cash Flow of the Company and its Restricted Subsidiaries for the Excess Cash Flow Period then most recently ended (this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the “</w:t>
      </w:r>
      <w:r>
        <w:rPr>
          <w:rFonts w:ascii="Times New Roman;sans-serif" w:hAnsi="Times New Roman;sans-serif"/>
          <w:b/>
          <w:color w:val="000000"/>
          <w:sz w:val="22"/>
        </w:rPr>
        <w:t>Base ECF Prepayment Amount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at the option of the Company, to the extent occurring during such Excess Cash Flow Period (or occurring after such Excess Cash Flow Period and prior to the date of the applicable Excess Cash Flow payment), and without duplication (including duplication of any amounts deducted in any prior Excess Cash Flow Period), the following (collectively, the “</w:t>
      </w:r>
      <w:r>
        <w:rPr>
          <w:rFonts w:ascii="Times New Roman;sans-serif" w:hAnsi="Times New Roman;sans-serif"/>
          <w:b/>
          <w:color w:val="000000"/>
          <w:sz w:val="22"/>
        </w:rPr>
        <w:t>ECF Deductions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(i)the aggregate principal amount of any (I) Term Loans prepaid pursuant to </w:t>
      </w:r>
      <w:r>
        <w:rPr>
          <w:rFonts w:ascii="Times New Roman;sans-serif" w:hAnsi="Times New Roman;sans-serif"/>
          <w:b w:val="false"/>
          <w:color w:val="000000"/>
          <w:sz w:val="22"/>
          <w:u w:val="single"/>
        </w:rPr>
        <w:t>Section 2.11(a)</w:t>
      </w:r>
      <w:r>
        <w:rPr>
          <w:color w:val="000000"/>
        </w:rPr>
        <w:t xml:space="preserve"> </w:t>
      </w:r>
      <w:r>
        <w:rPr>
          <w:rFonts w:ascii="Times New Roman;sans-serif" w:hAnsi="Times New Roman;sans-serif"/>
          <w:b w:val="false"/>
          <w:color w:val="000000"/>
          <w:sz w:val="22"/>
        </w:rPr>
        <w:t>and (II) loans under any ABL Facility or any ABL Incremental Debt voluntarily prepaid (or contractually committed to be prepaid, with an increase in the applicable future period to the extent so deducted but not actually prepaid);</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(ii)the aggregate principal amount of any Incremental Equivalent Debt, Replacement Debt and/or any other Indebtedness permitted to be incurred pursuant to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to the extent secured by Liens on the Collateral that are pari passu with the Liens on the Collateral securing the Obligations hereunder (without regard to the control of remedies), voluntarily prepaid, repurchased, redeemed or otherwise retired (or contractually committed to be prepaid, repurchased, redeemed or otherwise retired);</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 xml:space="preserve">(iii)the amount of any reduction in the outstanding amount of any Term Loans, Incremental Equivalent Debt, Replacement Debt and/or any other Indebtedness permitted to be Incurred pursuant to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to the extent secured by Liens on the Collateral that are pari passu with the Liens on the Collateral securing the Obligations hereunder (without regard to the control of remedies), resulting from any purchase or assignment made in accordance with </w:t>
      </w:r>
      <w:r>
        <w:rPr>
          <w:rFonts w:ascii="Times New Roman;sans-serif" w:hAnsi="Times New Roman;sans-serif"/>
          <w:b w:val="false"/>
          <w:color w:val="000000"/>
          <w:sz w:val="22"/>
          <w:u w:val="single"/>
        </w:rPr>
        <w:t>Section 9.05(g)</w:t>
      </w:r>
      <w:r>
        <w:rPr>
          <w:color w:val="000000"/>
        </w:rPr>
        <w:t xml:space="preserve"> </w:t>
      </w:r>
      <w:r>
        <w:rPr>
          <w:rFonts w:ascii="Times New Roman;sans-serif" w:hAnsi="Times New Roman;sans-serif"/>
          <w:b w:val="false"/>
          <w:color w:val="000000"/>
          <w:sz w:val="22"/>
        </w:rPr>
        <w:t xml:space="preserve">of this Agreement (including in connection with any Dutch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62890"/>
                <wp:effectExtent l="0" t="0" r="0" b="0"/>
                <wp:wrapNone/>
                <wp:docPr id="120" name="Frame12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Auction) (with respect to Term Loans) and any equivalent provisions with respect to any Incremental Equivalent Debt, Replacement Debt and/or such other Indebtedness, but only to the extent of the actual price paid in connection with such purchase or assignment;</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(iv)all Cash payments in respect of Capital Expenditures and all Cash payments made to acquire IP Rights; </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(v)Cash payments by the Company and its Restricted Subsidiaries made (or committed or budgeted) in respect of long-term liabilities (including for purposes of clarity, the current portion of such long-term liabilities) of the Company and its Restricted Subsidiaries other than Indebtedness, except to the extent such Cash payments were deducted in the calculation of Consolidated Net Income or Consolidated EBITDA for such period;</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(vi)Cash payments in respect of any Investment (including acquisitions) permitted by </w:t>
      </w:r>
      <w:r>
        <w:rPr>
          <w:rFonts w:ascii="Times New Roman;sans-serif" w:hAnsi="Times New Roman;sans-serif"/>
          <w:b w:val="false"/>
          <w:color w:val="000000"/>
          <w:sz w:val="22"/>
          <w:u w:val="single"/>
        </w:rPr>
        <w:t>Section 6.02</w:t>
      </w:r>
      <w:r>
        <w:rPr>
          <w:color w:val="000000"/>
        </w:rPr>
        <w:t xml:space="preserve"> </w:t>
      </w:r>
      <w:r>
        <w:rPr>
          <w:rFonts w:ascii="Times New Roman;sans-serif" w:hAnsi="Times New Roman;sans-serif"/>
          <w:b w:val="false"/>
          <w:color w:val="000000"/>
          <w:sz w:val="22"/>
        </w:rPr>
        <w:t xml:space="preserve">or otherwise consented to by the Required Lenders (other than Investments (x) in Cash or Cash Equivalents or (y) in the Company or any Restricted Subsidiary) and/or any Restricted Payment Transaction permitted by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 xml:space="preserve">(vii)the aggregate consideration (i) required to be paid in Cash by the Company or its Restricted Subsidiaries pursuant to binding contracts entered into prior to or during such period relating to Capital Expenditures, acquisitions or other Investments permitted by </w:t>
      </w:r>
      <w:r>
        <w:rPr>
          <w:rFonts w:ascii="Times New Roman;sans-serif" w:hAnsi="Times New Roman;sans-serif"/>
          <w:b w:val="false"/>
          <w:color w:val="000000"/>
          <w:sz w:val="22"/>
          <w:u w:val="single"/>
        </w:rPr>
        <w:t>Section 6.02</w:t>
      </w:r>
      <w:r>
        <w:rPr>
          <w:color w:val="000000"/>
        </w:rPr>
        <w:t xml:space="preserve"> </w:t>
      </w:r>
      <w:r>
        <w:rPr>
          <w:rFonts w:ascii="Times New Roman;sans-serif" w:hAnsi="Times New Roman;sans-serif"/>
          <w:b w:val="false"/>
          <w:color w:val="000000"/>
          <w:sz w:val="22"/>
        </w:rPr>
        <w:t xml:space="preserve">and/or Restricted Payment Transactions described in </w:t>
      </w:r>
      <w:r>
        <w:rPr>
          <w:rFonts w:ascii="Times New Roman;sans-serif" w:hAnsi="Times New Roman;sans-serif"/>
          <w:b w:val="false"/>
          <w:color w:val="000000"/>
          <w:sz w:val="22"/>
          <w:u w:val="single"/>
        </w:rPr>
        <w:t>clause (6)</w:t>
      </w:r>
      <w:r>
        <w:rPr>
          <w:color w:val="000000"/>
        </w:rPr>
        <w:t xml:space="preserve"> </w:t>
      </w:r>
      <w:r>
        <w:rPr>
          <w:rFonts w:ascii="Times New Roman;sans-serif" w:hAnsi="Times New Roman;sans-serif"/>
          <w:b w:val="false"/>
          <w:color w:val="000000"/>
          <w:sz w:val="22"/>
        </w:rPr>
        <w:t xml:space="preserve">above and/or (ii) otherwise committed or budgeted to be made in connection with Capital Expenditures, acquisitions or other Investments and/or Restricted Payment Transactions described in </w:t>
      </w:r>
      <w:r>
        <w:rPr>
          <w:rFonts w:ascii="Times New Roman;sans-serif" w:hAnsi="Times New Roman;sans-serif"/>
          <w:b w:val="false"/>
          <w:color w:val="000000"/>
          <w:sz w:val="22"/>
          <w:u w:val="single"/>
        </w:rPr>
        <w:t>clause (6)</w:t>
      </w:r>
      <w:r>
        <w:rPr>
          <w:color w:val="000000"/>
        </w:rPr>
        <w:t xml:space="preserve"> </w:t>
      </w:r>
      <w:r>
        <w:rPr>
          <w:rFonts w:ascii="Times New Roman;sans-serif" w:hAnsi="Times New Roman;sans-serif"/>
          <w:b w:val="false"/>
          <w:color w:val="000000"/>
          <w:sz w:val="22"/>
        </w:rPr>
        <w:t>above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clause (7)</w:t>
      </w:r>
      <w:r>
        <w:rPr>
          <w:rFonts w:ascii="Times New Roman;sans-serif" w:hAnsi="Times New Roman;sans-serif"/>
          <w:b w:val="false"/>
          <w:color w:val="000000"/>
          <w:sz w:val="22"/>
        </w:rPr>
        <w:t>, the “</w:t>
      </w:r>
      <w:r>
        <w:rPr>
          <w:rFonts w:ascii="Times New Roman;sans-serif" w:hAnsi="Times New Roman;sans-serif"/>
          <w:b/>
          <w:color w:val="000000"/>
          <w:sz w:val="22"/>
        </w:rPr>
        <w:t>Scheduled Consideration</w:t>
      </w:r>
      <w:r>
        <w:rPr>
          <w:color w:val="000000"/>
        </w:rPr>
        <w:t>”</w:t>
      </w:r>
      <w:r>
        <w:rPr>
          <w:rFonts w:ascii="Times New Roman;sans-serif" w:hAnsi="Times New Roman;sans-serif"/>
          <w:b w:val="false"/>
          <w:color w:val="000000"/>
          <w:sz w:val="22"/>
        </w:rPr>
        <w:t xml:space="preserve">) (other than Investments in (x) Cash and Cash Equivalents or (y) the Company or any Restricted Subsidiary) to be consummated or made during the period of four consecutive fiscal quarters of the Company following the end of such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the aggregate amount actually utilized to finance such Capital Expenditures, acquisitions, Investments or Restricted Payment Transactions during such subsequent period of four consecutive fiscal quarters is less than the Scheduled Consideration, the amount of the resulting shortfall shall be added to the calculation of Excess Cash Flow at the end of such subsequent period of four consecutive fiscal quarters; </w:t>
      </w:r>
    </w:p>
    <w:p>
      <w:pPr>
        <w:pStyle w:val="TextBody"/>
        <w:bidi w:val="0"/>
        <w:spacing w:lineRule="auto" w:line="240" w:before="0" w:after="240"/>
        <w:ind w:left="0" w:right="0" w:firstLine="281"/>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(viii)Cash expenditures in respect of any Hedging Agreement to the extent not otherwise deducted in the calculation of Consolidated Net Income or Consolidated EBITDA; and </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(ix)the aggregate amount of expenditures actually made by the Company and/or any Restricted Subsidiary in Cash (including any expenditure for the payment of fees or other Charges (or any amortization thereof for such period) in connection with any Disposition, incurrence or repayment of Indebtedness, issuance of Capital Stock, refinancing transaction, amendment or modification of any debt instrument, including this Agreement, and including, in each case, any such transaction consummated prior to, on or after the Closing Date, and Charges incurred in connection therewith, whether or not such transaction was successful), to the extent that such expenditures were not expensed;</w:t>
      </w:r>
    </w:p>
    <w:p>
      <w:pPr>
        <w:pStyle w:val="TextBody"/>
        <w:bidi w:val="0"/>
        <w:spacing w:lineRule="auto" w:line="240" w:before="0" w:after="240"/>
        <w:jc w:val="both"/>
        <w:rPr/>
      </w:pPr>
      <w:r>
        <w:rPr>
          <w:rFonts w:ascii="Times New Roman;sans-serif" w:hAnsi="Times New Roman;sans-serif"/>
          <w:b w:val="false"/>
          <w:color w:val="000000"/>
          <w:sz w:val="22"/>
        </w:rPr>
        <w:t xml:space="preserve">in the case of each of </w:t>
      </w:r>
      <w:r>
        <w:rPr>
          <w:rFonts w:ascii="Times New Roman;sans-serif" w:hAnsi="Times New Roman;sans-serif"/>
          <w:b w:val="false"/>
          <w:color w:val="000000"/>
          <w:sz w:val="22"/>
          <w:u w:val="single"/>
        </w:rPr>
        <w:t>clauses (1)</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(9)</w:t>
      </w:r>
      <w:r>
        <w:rPr>
          <w:rFonts w:ascii="Times New Roman;sans-serif" w:hAnsi="Times New Roman;sans-serif"/>
          <w:b w:val="false"/>
          <w:color w:val="000000"/>
          <w:sz w:val="22"/>
        </w:rPr>
        <w:t xml:space="preserve">, (I) excluding any such payments, prepayments and expenditures made during such fiscal year of the Company that reduced the amount required to be prepaid pursuant to this </w:t>
      </w:r>
      <w:r>
        <w:rPr>
          <w:rFonts w:ascii="Times New Roman;sans-serif" w:hAnsi="Times New Roman;sans-serif"/>
          <w:b w:val="false"/>
          <w:color w:val="000000"/>
          <w:sz w:val="22"/>
          <w:u w:val="single"/>
        </w:rPr>
        <w:t>Section 2.11(b)(i)</w:t>
      </w:r>
      <w:r>
        <w:rPr>
          <w:color w:val="000000"/>
        </w:rPr>
        <w:t xml:space="preserve"> </w:t>
      </w:r>
      <w:r>
        <w:rPr>
          <w:rFonts w:ascii="Times New Roman;sans-serif" w:hAnsi="Times New Roman;sans-serif"/>
          <w:b w:val="false"/>
          <w:color w:val="000000"/>
          <w:sz w:val="22"/>
        </w:rPr>
        <w:t xml:space="preserve">in the prior fiscal year of the Company, (II) in the case of any prepayment of revolving Indebtedness, to the extent accompanied by a permanent reduction in the relevant commitment and (III) to the extent that such payments, prepayments and expenditures were not financed with the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62890"/>
                <wp:effectExtent l="0" t="0" r="0" b="0"/>
                <wp:wrapNone/>
                <wp:docPr id="121" name="Frame12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proceeds of other long-term funded Indebtedness (other than revolving Indebtedness) of the Company or its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(x) no prepayment under this </w:t>
      </w:r>
      <w:r>
        <w:rPr>
          <w:rFonts w:ascii="Times New Roman;sans-serif" w:hAnsi="Times New Roman;sans-serif"/>
          <w:b w:val="false"/>
          <w:color w:val="000000"/>
          <w:sz w:val="22"/>
          <w:u w:val="single"/>
        </w:rPr>
        <w:t>Section 2.11(b)(i)</w:t>
      </w:r>
      <w:r>
        <w:rPr>
          <w:color w:val="000000"/>
        </w:rPr>
        <w:t xml:space="preserve"> </w:t>
      </w:r>
      <w:r>
        <w:rPr>
          <w:rFonts w:ascii="Times New Roman;sans-serif" w:hAnsi="Times New Roman;sans-serif"/>
          <w:b w:val="false"/>
          <w:color w:val="000000"/>
          <w:sz w:val="22"/>
        </w:rPr>
        <w:t xml:space="preserve">shall be required unless the principal amount of Subject Loans required to be prepaid exceeds $10,000,000 (and, in such case, only such amount in excess of $10,000,000 shall be required to be prepaid) and (y) to the extent the aggregate ECF Deductions for any Excess Cash Flow Period exceeds the Base ECF Prepayment Amount for such period, the Company may carry forward such excess as additional ECF Deductions to any subsequent Excess Cash Flow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at the time that any such prepayment would be required, the Company (or any Restricted Subsidiary) is also required to prepay, repurchase or offer to prepay or repurchase any Indebtedness that is secured on a </w:t>
      </w:r>
      <w:r>
        <w:rPr>
          <w:rFonts w:ascii="Times New Roman;sans-serif" w:hAnsi="Times New Roman;sans-serif"/>
          <w:b w:val="false"/>
          <w:i/>
          <w:color w:val="000000"/>
          <w:sz w:val="22"/>
        </w:rPr>
        <w:t>pari</w:t>
      </w:r>
      <w:r>
        <w:rPr>
          <w:color w:val="000000"/>
        </w:rPr>
        <w:t xml:space="preserve"> </w:t>
      </w:r>
      <w:r>
        <w:rPr>
          <w:rFonts w:ascii="Times New Roman;sans-serif" w:hAnsi="Times New Roman;sans-serif"/>
          <w:b w:val="false"/>
          <w:i/>
          <w:color w:val="000000"/>
          <w:sz w:val="22"/>
        </w:rPr>
        <w:t>passu</w:t>
      </w:r>
      <w:r>
        <w:rPr>
          <w:color w:val="000000"/>
        </w:rPr>
        <w:t xml:space="preserve"> </w:t>
      </w:r>
      <w:r>
        <w:rPr>
          <w:rFonts w:ascii="Times New Roman;sans-serif" w:hAnsi="Times New Roman;sans-serif"/>
          <w:b w:val="false"/>
          <w:color w:val="000000"/>
          <w:sz w:val="22"/>
        </w:rPr>
        <w:t>basis (without regard to the control of remedies) with any Secured Obligation pursuant to the terms of the documentation governing such Indebtedness (such Indebtedness required to be so prepaid or repurchased or offered to be so prepaid or repurchased, “</w:t>
      </w:r>
      <w:r>
        <w:rPr>
          <w:rFonts w:ascii="Times New Roman;sans-serif" w:hAnsi="Times New Roman;sans-serif"/>
          <w:b/>
          <w:color w:val="000000"/>
          <w:sz w:val="22"/>
        </w:rPr>
        <w:t>Other Applicable Indebtedness</w:t>
      </w:r>
      <w:r>
        <w:rPr>
          <w:color w:val="000000"/>
        </w:rPr>
        <w:t>”</w:t>
      </w:r>
      <w:r>
        <w:rPr>
          <w:rFonts w:ascii="Times New Roman;sans-serif" w:hAnsi="Times New Roman;sans-serif"/>
          <w:b w:val="false"/>
          <w:color w:val="000000"/>
          <w:sz w:val="22"/>
        </w:rPr>
        <w:t xml:space="preserve">) with any portion of the ECF Prepayment Amount, then the Company may apply such portion of the ECF Prepayment Amount on a pro rata basis (determined on the basis of the aggregate outstanding principal amount of the Subject Loans and the relevant Other Applicable Indebtedness (or accreted amount if such Other Applicable Indebtedness is issued with original issue discount) at such time) to the prepayment of the Subject Loans and to the prepayment of the relevant Other Applicable Indebtedness, and the amount of prepayment of the Subject Loans that would have otherwise been required pursuant to this </w:t>
      </w:r>
      <w:r>
        <w:rPr>
          <w:rFonts w:ascii="Times New Roman;sans-serif" w:hAnsi="Times New Roman;sans-serif"/>
          <w:b w:val="false"/>
          <w:color w:val="000000"/>
          <w:sz w:val="22"/>
          <w:u w:val="single"/>
        </w:rPr>
        <w:t>Section 2.11(b)(i)</w:t>
      </w:r>
      <w:r>
        <w:rPr>
          <w:color w:val="000000"/>
        </w:rPr>
        <w:t xml:space="preserve"> </w:t>
      </w:r>
      <w:r>
        <w:rPr>
          <w:rFonts w:ascii="Times New Roman;sans-serif" w:hAnsi="Times New Roman;sans-serif"/>
          <w:b w:val="false"/>
          <w:color w:val="000000"/>
          <w:sz w:val="22"/>
        </w:rPr>
        <w:t>shall be reduced accordingly; it being understood that (1) the portion of such ECF Prepayment Amount allocated to the Other Applicable Indebtedness shall not exceed the portion of such ECF Prepayment Amount required to be allocated to the Other Applicable Indebtedness pursuant to the terms thereof, and the remaining amount, if any, of such ECF Prepayment Amount shall be allocated to the Subject Loans in accordance with the terms hereof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(2)No later than (x) the fifth Business Day following the receipt of Net Available Cash in respect of any Prepayment Asset Sale or Net Insurance/Condemnation Proceeds, in each case, in respect of assets constituting Collateral, or (y) in the event that at the time of such Prepayment Asset Sale or event giving rise to Net Insurance/Condemnation Proceeds any Other Subject Indebtedness is outstanding, the earlier of (A) the 90th day following the receipt of Net Available Cash in respect of any such Prepayment Asset Sale or Net Insurance/Condemnation Proceeds, as applicable, and (B) the date on which the Company or any of its Subsidiaries uses any of such Net Available Cash to prepay or repurchase Other Subject Indebtedness pursuant to an asset sale offer made in accordance with the provisions of the indenture or other agreement governing the terms thereof, in each case, in excess of $30,000,000 in any fiscal year of the Company, the Company shall apply an amount equal to the Required Asset Sale/Casualty Event Percentage of the Net Available Cash or Net Insurance/Condemnation Proceeds received with respect thereto in excess of such thresholds (collectively, the “</w:t>
      </w:r>
      <w:r>
        <w:rPr>
          <w:rFonts w:ascii="Times New Roman;sans-serif" w:hAnsi="Times New Roman;sans-serif"/>
          <w:b/>
          <w:color w:val="000000"/>
          <w:sz w:val="22"/>
        </w:rPr>
        <w:t>Subject Proceeds</w:t>
      </w:r>
      <w:r>
        <w:rPr>
          <w:color w:val="000000"/>
        </w:rPr>
        <w:t>”</w:t>
      </w:r>
      <w:r>
        <w:rPr>
          <w:rFonts w:ascii="Times New Roman;sans-serif" w:hAnsi="Times New Roman;sans-serif"/>
          <w:b w:val="false"/>
          <w:color w:val="000000"/>
          <w:sz w:val="22"/>
        </w:rPr>
        <w:t>; and any such Net Available Cash or Net Insurance/Condemnation Proceeds that do not constitute Subject Proceeds, the “</w:t>
      </w:r>
      <w:r>
        <w:rPr>
          <w:rFonts w:ascii="Times New Roman;sans-serif" w:hAnsi="Times New Roman;sans-serif"/>
          <w:b/>
          <w:color w:val="000000"/>
          <w:sz w:val="22"/>
        </w:rPr>
        <w:t>Excluded Proceeds</w:t>
      </w:r>
      <w:r>
        <w:rPr>
          <w:color w:val="000000"/>
        </w:rPr>
        <w:t>”</w:t>
      </w:r>
      <w:r>
        <w:rPr>
          <w:rFonts w:ascii="Times New Roman;sans-serif" w:hAnsi="Times New Roman;sans-serif"/>
          <w:b w:val="false"/>
          <w:color w:val="000000"/>
          <w:sz w:val="22"/>
        </w:rPr>
        <w:t xml:space="preserve">) to prepay the outstanding principal amount of Subject Loans in accordance with </w:t>
      </w:r>
      <w:r>
        <w:rPr>
          <w:rFonts w:ascii="Times New Roman;sans-serif" w:hAnsi="Times New Roman;sans-serif"/>
          <w:b w:val="false"/>
          <w:color w:val="000000"/>
          <w:sz w:val="22"/>
          <w:u w:val="single"/>
        </w:rPr>
        <w:t>clause (vi)</w:t>
      </w:r>
      <w:r>
        <w:rPr>
          <w:color w:val="000000"/>
        </w:rPr>
        <w:t xml:space="preserve"> </w:t>
      </w:r>
      <w:r>
        <w:rPr>
          <w:rFonts w:ascii="Times New Roman;sans-serif" w:hAnsi="Times New Roman;sans-serif"/>
          <w:b w:val="false"/>
          <w:color w:val="000000"/>
          <w:sz w:val="22"/>
        </w:rPr>
        <w:t xml:space="preserve">below;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not be required to make a mandatory prepayment under this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in respect of the Subject Proceeds to the extent (x) the Subject Proceeds are reinvested in assets used or useful in the business of the Company or any of its Restricted Subsidiaries (including acquisitions and other Investments not prohibited by this Agreement (other than a direct Investment in Cash or Cash Equivalents) within 18 months following receipt thereof or (y) the Company or any of its subsidiaries has contractually committed to so reinvest the Subject Proceeds during such 18-month period and the Subject Proceeds are so reinvested within six months after the expiration of such 18-month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the Subject Proceeds have not been so reinvested prior to the expiration of the applicable period, the Company shall promptly prepay the outstanding principal amount of Subject Loans with the Subject Proceeds not so reinvested as set forth above (without regard to the immediately preceding proviso)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may elect to deem certain expenditures that would otherwise be permissible reinvestments but that occurred prior to the receipt of the applicable Net Available Cash or Net Insurance/Condemnation Proceeds (as applicable) as having been reinvested in accordance with the provisions of this </w:t>
      </w:r>
      <w:r>
        <w:rPr>
          <w:rFonts w:ascii="Times New Roman;sans-serif" w:hAnsi="Times New Roman;sans-serif"/>
          <w:b w:val="false"/>
          <w:color w:val="000000"/>
          <w:sz w:val="22"/>
          <w:u w:val="single"/>
        </w:rPr>
        <w:t>Section 2.11(b)(ii)</w:t>
      </w:r>
      <w:r>
        <w:rPr>
          <w:rFonts w:ascii="Times New Roman;sans-serif" w:hAnsi="Times New Roman;sans-serif"/>
          <w:b w:val="false"/>
          <w:color w:val="000000"/>
          <w:sz w:val="22"/>
        </w:rPr>
        <w:t xml:space="preserve">, but only to the extent such deemed expenditure shall have been made no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62890"/>
                <wp:effectExtent l="0" t="0" r="0" b="0"/>
                <wp:wrapNone/>
                <wp:docPr id="122" name="Frame12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earlier than (x) in the case of Net Available Cash, the earlier of the execution of a definitive agreement with respect to such Prepayment Asset Sale or the consummation of the applicable Disposition and (y) in the case of Net Insurance/Condemnation Proceeds, the occurrence of the event in respect of which such Net Insurance/Condemnation Proceeds were received) and (1) if, at the time that any such prepayment would be required hereunder, the Company or any of its Restricted Subsidiaries is required to prepay, repay or repurchase (or offer to prepay, repay or repurchase) any Other Applicable Indebtedness, then the relevant Person shall reduce the amount of the Subject Proceeds to be applied pursuant to this </w:t>
      </w:r>
      <w:r>
        <w:rPr>
          <w:rFonts w:ascii="Times New Roman;sans-serif" w:hAnsi="Times New Roman;sans-serif"/>
          <w:b w:val="false"/>
          <w:color w:val="000000"/>
          <w:sz w:val="22"/>
          <w:u w:val="single"/>
        </w:rPr>
        <w:t>Section 2.11(b)(ii)</w:t>
      </w:r>
      <w:r>
        <w:rPr>
          <w:color w:val="000000"/>
        </w:rPr>
        <w:t xml:space="preserve"> </w:t>
      </w:r>
      <w:r>
        <w:rPr>
          <w:rFonts w:ascii="Times New Roman;sans-serif" w:hAnsi="Times New Roman;sans-serif"/>
          <w:b w:val="false"/>
          <w:color w:val="000000"/>
          <w:sz w:val="22"/>
        </w:rPr>
        <w:t xml:space="preserve">in respect of the Subject Loans by an amount equal to the product of (I) the amount of such Net Available Cash or Net Insurance/Condemnation Proceeds and (II) a fraction, the numerator of which is the outstanding principal amount of such Other Applicable Indebtedness and the denominator of which is the sum of the outstanding principal amount of such Other Applicable Indebtedness and the outstanding principal amount of the Subject Loans; it being understood that the portion of the Subject Proceeds allocated to the Other Applicable Indebtedness shall not exceed the amount of the Subject Proceeds required to be allocated to the Other Applicable Indebtedness pursuant to the terms thereof, and the amount of the prepayment of the Subject Loans that would have otherwise been required pursuant to this </w:t>
      </w:r>
      <w:r>
        <w:rPr>
          <w:rFonts w:ascii="Times New Roman;sans-serif" w:hAnsi="Times New Roman;sans-serif"/>
          <w:b w:val="false"/>
          <w:color w:val="000000"/>
          <w:sz w:val="22"/>
          <w:u w:val="single"/>
        </w:rPr>
        <w:t>Section 2.11(b)(ii)</w:t>
      </w:r>
      <w:r>
        <w:rPr>
          <w:color w:val="000000"/>
        </w:rPr>
        <w:t xml:space="preserve"> </w:t>
      </w:r>
      <w:r>
        <w:rPr>
          <w:rFonts w:ascii="Times New Roman;sans-serif" w:hAnsi="Times New Roman;sans-serif"/>
          <w:b w:val="false"/>
          <w:color w:val="000000"/>
          <w:sz w:val="22"/>
        </w:rPr>
        <w:t>shall be reduced accordingly.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(3)In the event that the Company or any of its Restricted Subsidiaries receives Net Cash Proceeds from the issuance or incurrence of Indebtedness by the Company or any of its Restricted Subsidiaries (other than with respect to Indebtedness permitted under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except to the extent the relevant Indebtedness constitutes Refinancing Indebtedness incurred to refinance all or a portion of the Initial Term Loans pursuant to </w:t>
      </w:r>
      <w:r>
        <w:rPr>
          <w:rFonts w:ascii="Times New Roman;sans-serif" w:hAnsi="Times New Roman;sans-serif"/>
          <w:b w:val="false"/>
          <w:color w:val="000000"/>
          <w:sz w:val="22"/>
          <w:u w:val="single"/>
        </w:rPr>
        <w:t>Section 6.01(b)(i)(C)</w:t>
      </w:r>
      <w:r>
        <w:rPr>
          <w:color w:val="000000"/>
        </w:rPr>
        <w:t xml:space="preserve"> </w:t>
      </w:r>
      <w:r>
        <w:rPr>
          <w:rFonts w:ascii="Times New Roman;sans-serif" w:hAnsi="Times New Roman;sans-serif"/>
          <w:b w:val="false"/>
          <w:color w:val="000000"/>
          <w:sz w:val="22"/>
        </w:rPr>
        <w:t xml:space="preserve">or Replacement Term Loans incurred to refinance Initial Term Loans in accordance with the requirements of Section 9.02(b)), the Company shall, substantially simultaneously with (and in any event not later than two Business Days thereafter) the receipt of such Net Cash Proceeds by the Company or its applicable Restricted Subsidiary, apply an amount equal to 100% of such Net Cash Proceeds to prepay the outstanding principal amount of the relevant Initial Term Loans in accordance with </w:t>
      </w:r>
      <w:r>
        <w:rPr>
          <w:rFonts w:ascii="Times New Roman;sans-serif" w:hAnsi="Times New Roman;sans-serif"/>
          <w:b w:val="false"/>
          <w:color w:val="000000"/>
          <w:sz w:val="22"/>
          <w:u w:val="single"/>
        </w:rPr>
        <w:t>clause (vi)</w:t>
      </w:r>
      <w:r>
        <w:rPr>
          <w:color w:val="000000"/>
        </w:rPr>
        <w:t xml:space="preserve"> </w:t>
      </w:r>
      <w:r>
        <w:rPr>
          <w:rFonts w:ascii="Times New Roman;sans-serif" w:hAnsi="Times New Roman;sans-serif"/>
          <w:b w:val="false"/>
          <w:color w:val="000000"/>
          <w:sz w:val="22"/>
        </w:rPr>
        <w:t>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(4)Notwithstanding anything in this </w:t>
      </w:r>
      <w:r>
        <w:rPr>
          <w:rFonts w:ascii="Times New Roman;sans-serif" w:hAnsi="Times New Roman;sans-serif"/>
          <w:b w:val="false"/>
          <w:color w:val="000000"/>
          <w:sz w:val="22"/>
          <w:u w:val="single"/>
        </w:rPr>
        <w:t>Section 2.11(b)</w:t>
      </w:r>
      <w:r>
        <w:rPr>
          <w:color w:val="000000"/>
        </w:rPr>
        <w:t xml:space="preserve"> </w:t>
      </w:r>
      <w:r>
        <w:rPr>
          <w:rFonts w:ascii="Times New Roman;sans-serif" w:hAnsi="Times New Roman;sans-serif"/>
          <w:b w:val="false"/>
          <w:color w:val="000000"/>
          <w:sz w:val="22"/>
        </w:rPr>
        <w:t xml:space="preserve">to the contrary, (A) the Company shall not be required to prepay any amount that would otherwise be required to be paid pursuant to </w:t>
      </w:r>
      <w:r>
        <w:rPr>
          <w:rFonts w:ascii="Times New Roman;sans-serif" w:hAnsi="Times New Roman;sans-serif"/>
          <w:b w:val="false"/>
          <w:color w:val="000000"/>
          <w:sz w:val="22"/>
          <w:u w:val="single"/>
        </w:rPr>
        <w:t>Sections 2.11(b)(i)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above to the extent that the relevant Excess Cash Flow is generated by any Foreign Subsidiary, the relevant Prepayment Asset Sale is consummated by any Foreign Subsidiary, the relevant Net Insurance/Condemnation Proceeds are received by any Foreign Subsidiary or the relevant Indebtedness is incurred by any Foreign Subsidiary (except to the extent the relevant Indebtedness constitutes Refinancing Indebtedness incurred by any Foreign Subsidiary to refinance all or a portion of the Initial Term Loans or Additional Term Loans pursuant to </w:t>
      </w:r>
      <w:r>
        <w:rPr>
          <w:rFonts w:ascii="Times New Roman;sans-serif" w:hAnsi="Times New Roman;sans-serif"/>
          <w:b w:val="false"/>
          <w:color w:val="000000"/>
          <w:sz w:val="22"/>
          <w:u w:val="single"/>
        </w:rPr>
        <w:t>Section 6.01(b)(i)(C)</w:t>
      </w:r>
      <w:r>
        <w:rPr>
          <w:color w:val="000000"/>
        </w:rPr>
        <w:t xml:space="preserve"> </w:t>
      </w:r>
      <w:r>
        <w:rPr>
          <w:rFonts w:ascii="Times New Roman;sans-serif" w:hAnsi="Times New Roman;sans-serif"/>
          <w:b w:val="false"/>
          <w:color w:val="000000"/>
          <w:sz w:val="22"/>
        </w:rPr>
        <w:t xml:space="preserve">or Replacement Term Loans incurred to refinance Initial Term Loans or Additional Term Loans in accordance with the requirements of Section 9.02(b)), as the case may be, for so long as the Company determines in good faith that the repatriation to the Company of any such amount would be prohibited or delayed (beyond the time period during which such prepayment is otherwise required to be made pursuant to </w:t>
      </w:r>
      <w:r>
        <w:rPr>
          <w:rFonts w:ascii="Times New Roman;sans-serif" w:hAnsi="Times New Roman;sans-serif"/>
          <w:b w:val="false"/>
          <w:color w:val="000000"/>
          <w:sz w:val="22"/>
          <w:u w:val="single"/>
        </w:rPr>
        <w:t>Section 2.11(b)(i)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above) under any Requirement of Law or conflict with the fiduciary duties of such Foreign Subsidiary’s directors, or result in, or could reasonably be expected to result in, a material risk of personal or criminal liability for any officer, director, employee, manager, member of management or consultant of such Foreign Subsidiary </w:t>
      </w:r>
      <w:r>
        <w:rPr>
          <w:rFonts w:ascii="Times New Roman;sans-serif" w:hAnsi="Times New Roman;sans-serif"/>
          <w:b w:val="false"/>
          <w:color w:val="000000"/>
          <w:sz w:val="22"/>
          <w:shd w:fill="FFFFFF" w:val="clear"/>
        </w:rPr>
        <w:t xml:space="preserve">(including on account of financial assistance, corporate benefit, thin capitalization, capital maintenance or similar considerations); </w:t>
      </w:r>
      <w:r>
        <w:rPr>
          <w:rFonts w:ascii="Times New Roman;sans-serif" w:hAnsi="Times New Roman;sans-serif"/>
          <w:b w:val="false"/>
          <w:color w:val="000000"/>
          <w:sz w:val="22"/>
        </w:rPr>
        <w:t xml:space="preserve">it being understood and agreed that (i) solely within 365 days following the end of the applicable Excess Cash Flow Period, the event giving rise to the relevant Subject Proceeds or the receipt of proceeds from the respective Incurrence of Indebtedness, the Company shall use commercially reasonable efforts required by applicable Requirements of Law to permit such repatriation and (ii) if the repatriation of the relevant affected Excess Cash Flow, Subject Proceeds or Indebtedness proceeds, as the case may be, is permitted under the applicable Requirement of Law and, to the extent applicable, would no longer conflict with the fiduciary duties of such director, or result in, or be reasonably expected to result in, a material risk of personal or criminal liability for the Persons described above, in either case, within 365 days following the end of the applicable Excess Cash Flow Period, the event giving rise to the relevant Subject Proceeds or the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62890"/>
                <wp:effectExtent l="0" t="0" r="0" b="0"/>
                <wp:wrapNone/>
                <wp:docPr id="123" name="Frame12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receipt of Net Cash Proceeds in respect of any such Indebtedness, the relevant Foreign Subsidiary will promptly repatriate the relevant Excess Cash Flow, Subject Proceeds or Net Cash Proceeds in respect of Indebtedness, as the case may be, and the repatriated Excess Cash Flow, Subject Proceeds or Net Cash Proceeds in respect of Indebtedness, as the case may be, will be promptly (and in any event not later than two Business Days after such repatriation) applied (net of additional Taxes payable or reserved against such Excess Cash Flow, such Subject Proceeds or such Net Cash Proceeds in respect of Indebtedness, as a result thereof, in each case by any Loan Party, such Loan Party’s subsidiaries, and any Affiliates or indirect or direct equity owners of the foregoing) to the repayment of Subject Loans pursuant to this </w:t>
      </w:r>
      <w:r>
        <w:rPr>
          <w:rFonts w:ascii="Times New Roman;sans-serif" w:hAnsi="Times New Roman;sans-serif"/>
          <w:b w:val="false"/>
          <w:color w:val="000000"/>
          <w:sz w:val="22"/>
          <w:u w:val="single"/>
        </w:rPr>
        <w:t>Section 2.11(b)</w:t>
      </w:r>
      <w:r>
        <w:rPr>
          <w:color w:val="000000"/>
        </w:rPr>
        <w:t xml:space="preserve"> </w:t>
      </w:r>
      <w:r>
        <w:rPr>
          <w:rFonts w:ascii="Times New Roman;sans-serif" w:hAnsi="Times New Roman;sans-serif"/>
          <w:b w:val="false"/>
          <w:color w:val="000000"/>
          <w:sz w:val="22"/>
        </w:rPr>
        <w:t xml:space="preserve">to the extent required herein (without regard to this </w:t>
      </w:r>
      <w:r>
        <w:rPr>
          <w:rFonts w:ascii="Times New Roman;sans-serif" w:hAnsi="Times New Roman;sans-serif"/>
          <w:b w:val="false"/>
          <w:color w:val="000000"/>
          <w:sz w:val="22"/>
          <w:u w:val="single"/>
        </w:rPr>
        <w:t>clause (iv))</w:t>
      </w:r>
      <w:r>
        <w:rPr>
          <w:rFonts w:ascii="Times New Roman;sans-serif" w:hAnsi="Times New Roman;sans-serif"/>
          <w:b w:val="false"/>
          <w:color w:val="000000"/>
          <w:sz w:val="22"/>
        </w:rPr>
        <w:t xml:space="preserve">, (B) the Company shall not be required to prepay any amount that would otherwise be required to be paid pursuant to </w:t>
      </w:r>
      <w:r>
        <w:rPr>
          <w:rFonts w:ascii="Times New Roman;sans-serif" w:hAnsi="Times New Roman;sans-serif"/>
          <w:b w:val="false"/>
          <w:color w:val="000000"/>
          <w:sz w:val="22"/>
          <w:u w:val="single"/>
        </w:rPr>
        <w:t>Sections 2.11(b)(i)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w:t>
      </w:r>
      <w:r>
        <w:rPr>
          <w:rFonts w:ascii="Times New Roman;sans-serif" w:hAnsi="Times New Roman;sans-serif"/>
          <w:b w:val="false"/>
          <w:color w:val="000000"/>
          <w:sz w:val="22"/>
        </w:rPr>
        <w:t xml:space="preserve">to the extent that the relevant Excess Cash Flow is generated by any joint venture or the relevant Subject Proceeds or Net Cash Proceeds in respect of Indebtedness are received by any joint venture for so long as the Company determines in good faith that the distribution to the Company of such Excess Cash Flow, Subject Proceeds or Net Cash Proceeds in respect of Indebtedness would be prohibited under the Organizational Documents (or any relevant shareholders’ or similar agreement) governing such joint venture; it being understood that if the relevant prohibition ceases to exist within the 365-day period following the end of the applicable Excess Cash Flow Period, the event giving rise to the relevant Subject Proceeds or the receipt of Net Cash Proceeds in respect of any such Indebtedness, the relevant joint venture will promptly distribute the relevant Excess Cash Flow, the relevant Subject Proceeds or the relevant Net Cash Proceeds in respect of Indebtedness, as the case may be, and the distributed Excess Cash Flow, Subject Proceeds or Net Cash Proceeds in respect of Indebtedness, as the case may be, will be promptly (and in any event not later than ten Business Days after such distribution) applied (net of additional Taxes payable or reserved against as a result thereof) to the repayment of Subject Loans pursuant to this </w:t>
      </w:r>
      <w:r>
        <w:rPr>
          <w:rFonts w:ascii="Times New Roman;sans-serif" w:hAnsi="Times New Roman;sans-serif"/>
          <w:b w:val="false"/>
          <w:color w:val="000000"/>
          <w:sz w:val="22"/>
          <w:u w:val="single"/>
        </w:rPr>
        <w:t>Section 2.11(b)</w:t>
      </w:r>
      <w:r>
        <w:rPr>
          <w:color w:val="000000"/>
        </w:rPr>
        <w:t xml:space="preserve"> </w:t>
      </w:r>
      <w:r>
        <w:rPr>
          <w:rFonts w:ascii="Times New Roman;sans-serif" w:hAnsi="Times New Roman;sans-serif"/>
          <w:b w:val="false"/>
          <w:color w:val="000000"/>
          <w:sz w:val="22"/>
        </w:rPr>
        <w:t xml:space="preserve">to the extent required herein (without regard to this </w:t>
      </w:r>
      <w:r>
        <w:rPr>
          <w:rFonts w:ascii="Times New Roman;sans-serif" w:hAnsi="Times New Roman;sans-serif"/>
          <w:b w:val="false"/>
          <w:color w:val="000000"/>
          <w:sz w:val="22"/>
          <w:u w:val="single"/>
        </w:rPr>
        <w:t>clause (iv)</w:t>
      </w:r>
      <w:r>
        <w:rPr>
          <w:rFonts w:ascii="Times New Roman;sans-serif" w:hAnsi="Times New Roman;sans-serif"/>
          <w:b w:val="false"/>
          <w:color w:val="000000"/>
          <w:sz w:val="22"/>
        </w:rPr>
        <w:t xml:space="preserve">) and (C) if the Company determines in good faith that the repatriation to the Company of any amounts required to mandatorily prepay Subject Loans pursuant to </w:t>
      </w:r>
      <w:r>
        <w:rPr>
          <w:rFonts w:ascii="Times New Roman;sans-serif" w:hAnsi="Times New Roman;sans-serif"/>
          <w:b w:val="false"/>
          <w:color w:val="000000"/>
          <w:sz w:val="22"/>
          <w:u w:val="single"/>
        </w:rPr>
        <w:t>Sections 2.11(b)(i)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above would result in material and adverse tax consequences for any Loan Party or any of such Loan Party’s subsidiaries, taking into account any foreign tax credit or benefit actually realized in connection with such repatriation (such amount, a “</w:t>
      </w:r>
      <w:r>
        <w:rPr>
          <w:rFonts w:ascii="Times New Roman;sans-serif" w:hAnsi="Times New Roman;sans-serif"/>
          <w:b/>
          <w:color w:val="000000"/>
          <w:sz w:val="22"/>
        </w:rPr>
        <w:t>Restricted Amount</w:t>
      </w:r>
      <w:r>
        <w:rPr>
          <w:color w:val="000000"/>
        </w:rPr>
        <w:t>”</w:t>
      </w:r>
      <w:r>
        <w:rPr>
          <w:rFonts w:ascii="Times New Roman;sans-serif" w:hAnsi="Times New Roman;sans-serif"/>
          <w:b w:val="false"/>
          <w:color w:val="000000"/>
          <w:sz w:val="22"/>
        </w:rPr>
        <w:t xml:space="preserve">), as determined by the Company in good faith, the amount the Company shall be required to mandatorily prepay pursuant to </w:t>
      </w:r>
      <w:r>
        <w:rPr>
          <w:rFonts w:ascii="Times New Roman;sans-serif" w:hAnsi="Times New Roman;sans-serif"/>
          <w:b w:val="false"/>
          <w:color w:val="000000"/>
          <w:sz w:val="22"/>
          <w:u w:val="single"/>
        </w:rPr>
        <w:t>Sections 2.11(b)(i)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above, as applicable, shall be reduced by the Restricted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that the repatriation of any Subject Proceeds, Excess Cash Flow or the Net Cash Proceeds in respect of any such Indebtedness from the relevant Foreign Subsidiary would no longer have a material and adverse tax consequence within the 365-day period following the event giving rise to the relevant Subject Proceeds, the receipt of Net Cash Proceeds in respect of any such Indebtedness or the end of the applicable Excess Cash Flow Period, as the case may be, an amount equal to the Subject Proceeds, Excess Cash Flow or the Net Cash Proceeds in respect of any such Indebtedness, as applicable, not previously applied pursuant to this </w:t>
      </w:r>
      <w:r>
        <w:rPr>
          <w:rFonts w:ascii="Times New Roman;sans-serif" w:hAnsi="Times New Roman;sans-serif"/>
          <w:b w:val="false"/>
          <w:color w:val="000000"/>
          <w:sz w:val="22"/>
          <w:u w:val="single"/>
        </w:rPr>
        <w:t>clause (C)</w:t>
      </w:r>
      <w:r>
        <w:rPr>
          <w:rFonts w:ascii="Times New Roman;sans-serif" w:hAnsi="Times New Roman;sans-serif"/>
          <w:b w:val="false"/>
          <w:color w:val="000000"/>
          <w:sz w:val="22"/>
        </w:rPr>
        <w:t xml:space="preserve">, shall be promptly applied to the repayment of Subject Loans pursuant to </w:t>
      </w:r>
      <w:r>
        <w:rPr>
          <w:rFonts w:ascii="Times New Roman;sans-serif" w:hAnsi="Times New Roman;sans-serif"/>
          <w:b w:val="false"/>
          <w:color w:val="000000"/>
          <w:sz w:val="22"/>
          <w:u w:val="single"/>
        </w:rPr>
        <w:t>Section 2.11(b)</w:t>
      </w:r>
      <w:r>
        <w:rPr>
          <w:color w:val="000000"/>
        </w:rPr>
        <w:t xml:space="preserve"> </w:t>
      </w:r>
      <w:r>
        <w:rPr>
          <w:rFonts w:ascii="Times New Roman;sans-serif" w:hAnsi="Times New Roman;sans-serif"/>
          <w:b w:val="false"/>
          <w:color w:val="000000"/>
          <w:sz w:val="22"/>
        </w:rPr>
        <w:t xml:space="preserve">as otherwise required above (without regard to this </w:t>
      </w:r>
      <w:r>
        <w:rPr>
          <w:rFonts w:ascii="Times New Roman;sans-serif" w:hAnsi="Times New Roman;sans-serif"/>
          <w:b w:val="false"/>
          <w:color w:val="000000"/>
          <w:sz w:val="22"/>
          <w:u w:val="single"/>
        </w:rPr>
        <w:t>clause (iv)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(5)Each Lender may elect, by notice to the Administrative Agent at or prior to the time and in the manner specified by the Administrative Agent, prior to any prepayment of Initial Term Loans and Additional Term Loans required to be made by the Company pursuant to this </w:t>
      </w:r>
      <w:r>
        <w:rPr>
          <w:rFonts w:ascii="Times New Roman;sans-serif" w:hAnsi="Times New Roman;sans-serif"/>
          <w:b w:val="false"/>
          <w:color w:val="000000"/>
          <w:sz w:val="22"/>
          <w:u w:val="single"/>
        </w:rPr>
        <w:t>Section 2.11(b)</w:t>
      </w:r>
      <w:r>
        <w:rPr>
          <w:rFonts w:ascii="Times New Roman;sans-serif" w:hAnsi="Times New Roman;sans-serif"/>
          <w:b w:val="false"/>
          <w:color w:val="000000"/>
          <w:sz w:val="22"/>
        </w:rPr>
        <w:t>, to decline all (but not a portion) of its Applicable Percentage of such prepayment (such declined amounts, the “</w:t>
      </w:r>
      <w:r>
        <w:rPr>
          <w:rFonts w:ascii="Times New Roman;sans-serif" w:hAnsi="Times New Roman;sans-serif"/>
          <w:b/>
          <w:color w:val="000000"/>
          <w:sz w:val="22"/>
        </w:rPr>
        <w:t>Declined Proceeds</w:t>
      </w:r>
      <w:r>
        <w:rPr>
          <w:color w:val="000000"/>
        </w:rPr>
        <w:t>”</w:t>
      </w:r>
      <w:r>
        <w:rPr>
          <w:rFonts w:ascii="Times New Roman;sans-serif" w:hAnsi="Times New Roman;sans-serif"/>
          <w:b w:val="false"/>
          <w:color w:val="000000"/>
          <w:sz w:val="22"/>
        </w:rPr>
        <w:t xml:space="preserve">), which Declined Proceeds may be retained by the Company and used for any legal purpose permitted (or not prohibited)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for the avoidance of doubt, no Lender may reject any prepayment made under </w:t>
      </w:r>
      <w:r>
        <w:rPr>
          <w:rFonts w:ascii="Times New Roman;sans-serif" w:hAnsi="Times New Roman;sans-serif"/>
          <w:b w:val="false"/>
          <w:color w:val="000000"/>
          <w:sz w:val="22"/>
          <w:u w:val="single"/>
        </w:rPr>
        <w:t>Section 2.11(b)(iii)</w:t>
      </w:r>
      <w:r>
        <w:rPr>
          <w:color w:val="000000"/>
        </w:rPr>
        <w:t xml:space="preserve"> </w:t>
      </w:r>
      <w:r>
        <w:rPr>
          <w:rFonts w:ascii="Times New Roman;sans-serif" w:hAnsi="Times New Roman;sans-serif"/>
          <w:b w:val="false"/>
          <w:color w:val="000000"/>
          <w:sz w:val="22"/>
        </w:rPr>
        <w:t xml:space="preserve">above to the extent that such prepayment is made with the Net Cash Proceeds of (w) Refinancing Indebtedness (including Replacement Debt) incurred to refinance all or a portion of the Initial Term Loans or Additional Term Loans pursuant to </w:t>
      </w:r>
      <w:r>
        <w:rPr>
          <w:rFonts w:ascii="Times New Roman;sans-serif" w:hAnsi="Times New Roman;sans-serif"/>
          <w:b w:val="false"/>
          <w:color w:val="000000"/>
          <w:sz w:val="22"/>
          <w:u w:val="single"/>
        </w:rPr>
        <w:t>Section 6.01(b)(i)(C),</w:t>
      </w:r>
      <w:r>
        <w:rPr>
          <w:color w:val="000000"/>
        </w:rPr>
        <w:t xml:space="preserve"> </w:t>
      </w:r>
      <w:r>
        <w:rPr>
          <w:rFonts w:ascii="Times New Roman;sans-serif" w:hAnsi="Times New Roman;sans-serif"/>
          <w:b w:val="false"/>
          <w:color w:val="000000"/>
          <w:sz w:val="22"/>
        </w:rPr>
        <w:t xml:space="preserve">(x) Incremental Term Loans incurred to refinance all or a portion of the Term Loans pursuant to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xml:space="preserve">, (y) Replacement Term Loans incurred to refinance all or a portion of the Term Loans in accordance with the requirements of </w:t>
      </w:r>
      <w:r>
        <w:rPr>
          <w:rFonts w:ascii="Times New Roman;sans-serif" w:hAnsi="Times New Roman;sans-serif"/>
          <w:b w:val="false"/>
          <w:color w:val="000000"/>
          <w:sz w:val="22"/>
          <w:u w:val="single"/>
        </w:rPr>
        <w:t>Section 9.02(b)</w:t>
      </w:r>
      <w:r>
        <w:rPr>
          <w:color w:val="000000"/>
        </w:rPr>
        <w:t xml:space="preserve"> </w:t>
      </w:r>
      <w:r>
        <w:rPr>
          <w:rFonts w:ascii="Times New Roman;sans-serif" w:hAnsi="Times New Roman;sans-serif"/>
          <w:b w:val="false"/>
          <w:color w:val="000000"/>
          <w:sz w:val="22"/>
        </w:rPr>
        <w:t xml:space="preserve">and/or (z) Incremental Equivalent Debt incurred to refinance all or a portion of the Term Loans in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62890"/>
                <wp:effectExtent l="0" t="0" r="0" b="0"/>
                <wp:wrapNone/>
                <wp:docPr id="124" name="Frame12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accordance with the requirements of </w:t>
      </w:r>
      <w:r>
        <w:rPr>
          <w:rFonts w:ascii="Times New Roman;sans-serif" w:hAnsi="Times New Roman;sans-serif"/>
          <w:b w:val="false"/>
          <w:color w:val="000000"/>
          <w:sz w:val="22"/>
          <w:u w:val="single"/>
        </w:rPr>
        <w:t>Section 6.01(b)(i)(B)</w:t>
      </w:r>
      <w:r>
        <w:rPr>
          <w:rFonts w:ascii="Times New Roman;sans-serif" w:hAnsi="Times New Roman;sans-serif"/>
          <w:b w:val="false"/>
          <w:color w:val="000000"/>
          <w:sz w:val="22"/>
        </w:rPr>
        <w:t>. If any Lender fails to deliver a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Initial Term Loans and Additional Term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(6)Except as may otherwise be set forth in any amendment to this Agreement in connection with any Additional Term Loan, (A) each prepayment of Initial Term Loans and Additional Term Loans pursuant to this </w:t>
      </w:r>
      <w:r>
        <w:rPr>
          <w:rFonts w:ascii="Times New Roman;sans-serif" w:hAnsi="Times New Roman;sans-serif"/>
          <w:b w:val="false"/>
          <w:color w:val="000000"/>
          <w:sz w:val="22"/>
          <w:u w:val="single"/>
        </w:rPr>
        <w:t>Section 2.11(b)</w:t>
      </w:r>
      <w:r>
        <w:rPr>
          <w:color w:val="000000"/>
        </w:rPr>
        <w:t xml:space="preserve"> </w:t>
      </w:r>
      <w:r>
        <w:rPr>
          <w:rFonts w:ascii="Times New Roman;sans-serif" w:hAnsi="Times New Roman;sans-serif"/>
          <w:b w:val="false"/>
          <w:color w:val="000000"/>
          <w:sz w:val="22"/>
        </w:rPr>
        <w:t>shall be applied ratably to each Class of Term Loans (based upon the then outstanding principal amounts of the respective Classes of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prepayment constituting (w) Refinancing Indebtedness (including Replacement Debt) incurred to refinance all or a portion of the Initial Term Loans or Additional Term Loans pursuant to </w:t>
      </w:r>
      <w:r>
        <w:rPr>
          <w:rFonts w:ascii="Times New Roman;sans-serif" w:hAnsi="Times New Roman;sans-serif"/>
          <w:b w:val="false"/>
          <w:color w:val="000000"/>
          <w:sz w:val="22"/>
          <w:u w:val="single"/>
        </w:rPr>
        <w:t>Section 6.01(b)(i)(C)</w:t>
      </w:r>
      <w:r>
        <w:rPr>
          <w:rFonts w:ascii="Times New Roman;sans-serif" w:hAnsi="Times New Roman;sans-serif"/>
          <w:b w:val="false"/>
          <w:color w:val="000000"/>
          <w:sz w:val="22"/>
        </w:rPr>
        <w:t xml:space="preserve">, (x) Incremental Loans incurred to refinance all or a portion of the Term Loans pursuant to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xml:space="preserve">, (y) Replacement Term Loans incurred to refinance all or a portion of the Term Loans in accordance with the requirements of Section 9.02(c) and/or (z) Incremental Equivalent Debt incurred to refinance all or a portion of the Term Loans in accordance with the requirements of </w:t>
      </w:r>
      <w:r>
        <w:rPr>
          <w:rFonts w:ascii="Times New Roman;sans-serif" w:hAnsi="Times New Roman;sans-serif"/>
          <w:b w:val="false"/>
          <w:color w:val="000000"/>
          <w:sz w:val="22"/>
          <w:u w:val="single"/>
        </w:rPr>
        <w:t>Section 6.01(b)(i)(B)</w:t>
      </w:r>
      <w:r>
        <w:rPr>
          <w:color w:val="000000"/>
        </w:rPr>
        <w:t xml:space="preserve"> </w:t>
      </w:r>
      <w:r>
        <w:rPr>
          <w:rFonts w:ascii="Times New Roman;sans-serif" w:hAnsi="Times New Roman;sans-serif"/>
          <w:b w:val="false"/>
          <w:color w:val="000000"/>
          <w:sz w:val="22"/>
        </w:rPr>
        <w:t xml:space="preserve">shall, in each case be applied solely to each applicable Class of refinanced or replaced Term Loans), (B) with respect to each Class of Initial Term Loans and Additional Term Loans, all accepted prepayments under </w:t>
      </w:r>
      <w:r>
        <w:rPr>
          <w:rFonts w:ascii="Times New Roman;sans-serif" w:hAnsi="Times New Roman;sans-serif"/>
          <w:b w:val="false"/>
          <w:color w:val="000000"/>
          <w:sz w:val="22"/>
          <w:u w:val="single"/>
        </w:rPr>
        <w:t>Section 2.11(b)(i)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w:t>
      </w:r>
      <w:r>
        <w:rPr>
          <w:rFonts w:ascii="Times New Roman;sans-serif" w:hAnsi="Times New Roman;sans-serif"/>
          <w:b w:val="false"/>
          <w:color w:val="000000"/>
          <w:sz w:val="22"/>
        </w:rPr>
        <w:t xml:space="preserve">shall be applied against the remaining scheduled installments of principal due in respect of the Initial Term Loans and Additional Term Loans as directed by the Company (or, in the absence of direction from the Company, to the remaining scheduled amortization payments in respect of the Initial Term Loans and Additional Term Loans in direct order of maturity), and (C) each such prepayment shall be paid to the Term Lenders in accordance with their respective Applicable Percentages. The amount of such mandatory prepayments shall be applied on a pro rata basis to the then outstanding Initial Term Loans and Additional Term Loans being prepaid irrespective of whether such outstanding Loans are ABR Loans or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amount thereof shall be applied first to ABR Loans to the full extent thereof before application to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in a manner that minimizes the amount of any payments required to be made by the Company pursuant to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 xml:space="preserve">. Any prepayment of Initial Term Loans made on or prior to the date that is six months after the Closing Date pursuant to </w:t>
      </w:r>
      <w:r>
        <w:rPr>
          <w:rFonts w:ascii="Times New Roman;sans-serif" w:hAnsi="Times New Roman;sans-serif"/>
          <w:b w:val="false"/>
          <w:color w:val="000000"/>
          <w:sz w:val="22"/>
          <w:u w:val="single"/>
        </w:rPr>
        <w:t>Section 2.11(b)(iii)</w:t>
      </w:r>
      <w:r>
        <w:rPr>
          <w:color w:val="000000"/>
        </w:rPr>
        <w:t xml:space="preserve"> </w:t>
      </w:r>
      <w:r>
        <w:rPr>
          <w:rFonts w:ascii="Times New Roman;sans-serif" w:hAnsi="Times New Roman;sans-serif"/>
          <w:b w:val="false"/>
          <w:color w:val="000000"/>
          <w:sz w:val="22"/>
        </w:rPr>
        <w:t xml:space="preserve">as part of a Repricing Transaction shall be accompanied by the fee set forth in </w:t>
      </w:r>
      <w:r>
        <w:rPr>
          <w:rFonts w:ascii="Times New Roman;sans-serif" w:hAnsi="Times New Roman;sans-serif"/>
          <w:b w:val="false"/>
          <w:color w:val="000000"/>
          <w:sz w:val="22"/>
          <w:u w:val="single"/>
        </w:rPr>
        <w:t>Section 2.12(f)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(7)[Reserved].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(8)Notwithstanding any of the other provisions of this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so long as no Event of Default shall have occurred and be continuing, if any prepayment of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is required to be made under this </w:t>
      </w:r>
      <w:r>
        <w:rPr>
          <w:rFonts w:ascii="Times New Roman;sans-serif" w:hAnsi="Times New Roman;sans-serif"/>
          <w:b w:val="false"/>
          <w:color w:val="000000"/>
          <w:sz w:val="22"/>
          <w:u w:val="single"/>
        </w:rPr>
        <w:t>Section 2.11(b)</w:t>
      </w:r>
      <w:r>
        <w:rPr>
          <w:color w:val="000000"/>
        </w:rPr>
        <w:t xml:space="preserve"> </w:t>
      </w:r>
      <w:r>
        <w:rPr>
          <w:rFonts w:ascii="Times New Roman;sans-serif" w:hAnsi="Times New Roman;sans-serif"/>
          <w:b w:val="false"/>
          <w:color w:val="000000"/>
          <w:sz w:val="22"/>
        </w:rPr>
        <w:t xml:space="preserve">prior to the last day of the Interest Period therefor, Borrower may, in its sole discretion, deposit the amount of any such prepayment otherwise required to be made hereunder with the Administrative Agent until the last day of such Interest Period, at which time the Administrative Agent shall be authorized (without any further action by or notice to or from the Company or any other Loan Party) to apply such amount to the prepayment of such Loans in accordance with this </w:t>
      </w:r>
      <w:r>
        <w:rPr>
          <w:rFonts w:ascii="Times New Roman;sans-serif" w:hAnsi="Times New Roman;sans-serif"/>
          <w:b w:val="false"/>
          <w:color w:val="000000"/>
          <w:sz w:val="22"/>
          <w:u w:val="single"/>
        </w:rPr>
        <w:t>Section 2.11(b)</w:t>
      </w:r>
      <w:r>
        <w:rPr>
          <w:rFonts w:ascii="Times New Roman;sans-serif" w:hAnsi="Times New Roman;sans-serif"/>
          <w:b w:val="false"/>
          <w:color w:val="000000"/>
          <w:sz w:val="22"/>
        </w:rPr>
        <w:t xml:space="preserve">. Upon the occurrence and during the continuance of any Event of Default, the Administrative Agent shall also be authorized (without any further action by or notice to or from the Company or any other Loan Party) to apply such amount to the prepayment of the outstanding Loans in accordance with this </w:t>
      </w:r>
      <w:r>
        <w:rPr>
          <w:rFonts w:ascii="Times New Roman;sans-serif" w:hAnsi="Times New Roman;sans-serif"/>
          <w:b w:val="false"/>
          <w:color w:val="000000"/>
          <w:sz w:val="22"/>
          <w:u w:val="single"/>
        </w:rPr>
        <w:t>Section 2.11(b)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(9)At the time of each prepayment required under </w:t>
      </w:r>
      <w:r>
        <w:rPr>
          <w:rFonts w:ascii="Times New Roman;sans-serif" w:hAnsi="Times New Roman;sans-serif"/>
          <w:b w:val="false"/>
          <w:color w:val="000000"/>
          <w:sz w:val="22"/>
          <w:u w:val="single"/>
        </w:rPr>
        <w:t>Section 2.11(b)(i)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rFonts w:ascii="Times New Roman;sans-serif" w:hAnsi="Times New Roman;sans-serif"/>
          <w:b w:val="false"/>
          <w:color w:val="000000"/>
          <w:sz w:val="22"/>
        </w:rPr>
        <w:t xml:space="preserve">, the Company shall deliver to the Administrative Agent a certificate signed by a Responsible Officer of the Company setting forth in reasonable detail the calculation of the amount of such prepayment;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the case of any prepayment that may be declined at the option of any Lender, the Company shall notify the Administrative Agent in writing of such prepayment not later than 1:00 p.m. three Business Days prior to the date of the prepayment. Each such certificate shall specify the Borrowings being prepaid and the principal amount of each Borrowing (or portion thereof) to be prepaid. Prepayments shall be accompanied by accrued interest as required by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All prepayments of Borrowings under this </w:t>
      </w:r>
      <w:r>
        <w:rPr>
          <w:rFonts w:ascii="Times New Roman;sans-serif" w:hAnsi="Times New Roman;sans-serif"/>
          <w:b w:val="false"/>
          <w:color w:val="000000"/>
          <w:sz w:val="22"/>
          <w:u w:val="single"/>
        </w:rPr>
        <w:t>Section 2.11(b)</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62890"/>
                <wp:effectExtent l="0" t="0" r="0" b="0"/>
                <wp:wrapNone/>
                <wp:docPr id="125" name="Frame12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shall be subject to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and, except as set forth in the last sentence of </w:t>
      </w:r>
      <w:r>
        <w:rPr>
          <w:rFonts w:ascii="Times New Roman;sans-serif" w:hAnsi="Times New Roman;sans-serif"/>
          <w:b w:val="false"/>
          <w:color w:val="000000"/>
          <w:sz w:val="22"/>
          <w:u w:val="single"/>
        </w:rPr>
        <w:t>clause (vi)</w:t>
      </w:r>
      <w:r>
        <w:rPr>
          <w:color w:val="000000"/>
        </w:rPr>
        <w:t xml:space="preserve"> </w:t>
      </w:r>
      <w:r>
        <w:rPr>
          <w:rFonts w:ascii="Times New Roman;sans-serif" w:hAnsi="Times New Roman;sans-serif"/>
          <w:b w:val="false"/>
          <w:color w:val="000000"/>
          <w:sz w:val="22"/>
        </w:rPr>
        <w:t xml:space="preserve">above, shall otherwise be without premium or penalty. </w:t>
      </w:r>
    </w:p>
    <w:p>
      <w:pPr>
        <w:pStyle w:val="TextBody"/>
        <w:bidi w:val="0"/>
        <w:spacing w:lineRule="auto" w:line="240" w:before="0" w:after="2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Fees.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agrees to pay to the Administrative Agent, for its own account, the fees in the amounts and at the times separately agreed upon by the Company and the Administrative Agent in writing.</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(ii)All fees payable hereunder shall be paid on the dates due, in Dollars and in immediately available funds, to the Administrative Agent and, if applicable, for distribution to the Lenders. Fees paid shall not be refundable under any circumstances except as otherwise provided in the Fee Letter. Fees payable hereunder shall accrue through and including the last day of the month immediately preceding the applicable fee payment date.</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(iii)In the event that, on or prior to the date that is six months after the Closing Date, the Company (x) prepays, repays, refinances, substitutes or replaces any Initial Term Loans as part of a Repricing Transaction (including, for the avoidance of doubt, any prepayment made pursuant to </w:t>
      </w:r>
      <w:r>
        <w:rPr>
          <w:rFonts w:ascii="Times New Roman;sans-serif" w:hAnsi="Times New Roman;sans-serif"/>
          <w:b w:val="false"/>
          <w:color w:val="000000"/>
          <w:sz w:val="22"/>
          <w:u w:val="single"/>
        </w:rPr>
        <w:t>Section 2.11(b)(iii)</w:t>
      </w:r>
      <w:r>
        <w:rPr>
          <w:color w:val="000000"/>
        </w:rPr>
        <w:t xml:space="preserve"> </w:t>
      </w:r>
      <w:r>
        <w:rPr>
          <w:rFonts w:ascii="Times New Roman;sans-serif" w:hAnsi="Times New Roman;sans-serif"/>
          <w:b w:val="false"/>
          <w:color w:val="000000"/>
          <w:sz w:val="22"/>
        </w:rPr>
        <w:t xml:space="preserve">that constitutes a Repricing Transaction) or (y) effects any amendment, modification or waiver of, or consent under, this Agreement resulting in a Repricing Transaction, the Company shall pay to the Administrative Agent, for the ratable account of each of the applicable Initial Term Lenders, (I) in the case of </w:t>
      </w:r>
      <w:r>
        <w:rPr>
          <w:rFonts w:ascii="Times New Roman;sans-serif" w:hAnsi="Times New Roman;sans-serif"/>
          <w:b w:val="false"/>
          <w:color w:val="000000"/>
          <w:sz w:val="22"/>
          <w:u w:val="single"/>
        </w:rPr>
        <w:t>clause (x)</w:t>
      </w:r>
      <w:r>
        <w:rPr>
          <w:rFonts w:ascii="Times New Roman;sans-serif" w:hAnsi="Times New Roman;sans-serif"/>
          <w:b w:val="false"/>
          <w:color w:val="000000"/>
          <w:sz w:val="22"/>
        </w:rPr>
        <w:t xml:space="preserve">, a premium of 1.00% of the aggregate principal amount of the Initial Term Loans so prepaid, repaid, refinanced, substituted or replaced and (II) in the case of </w:t>
      </w:r>
      <w:r>
        <w:rPr>
          <w:rFonts w:ascii="Times New Roman;sans-serif" w:hAnsi="Times New Roman;sans-serif"/>
          <w:b w:val="false"/>
          <w:color w:val="000000"/>
          <w:sz w:val="22"/>
          <w:u w:val="single"/>
        </w:rPr>
        <w:t>clause (y)</w:t>
      </w:r>
      <w:r>
        <w:rPr>
          <w:rFonts w:ascii="Times New Roman;sans-serif" w:hAnsi="Times New Roman;sans-serif"/>
          <w:b w:val="false"/>
          <w:color w:val="000000"/>
          <w:sz w:val="22"/>
        </w:rPr>
        <w:t xml:space="preserve">, a fee equal to 1.00% of the aggregate principal amount of the Initial Term Loans that are the subject of such Repricing Transaction outstanding immediately prior to such amendment. If, on or prior to the date that is six months after the Closing Date, all or any portion of the Initial Term Loans held by any Term Lender are prepaid, repaid, refinanced, substituted or replaced pursuant to </w:t>
      </w:r>
      <w:r>
        <w:rPr>
          <w:rFonts w:ascii="Times New Roman;sans-serif" w:hAnsi="Times New Roman;sans-serif"/>
          <w:b w:val="false"/>
          <w:color w:val="000000"/>
          <w:sz w:val="22"/>
          <w:u w:val="single"/>
        </w:rPr>
        <w:t>Section 2.19(b)(iv)</w:t>
      </w:r>
      <w:r>
        <w:rPr>
          <w:color w:val="000000"/>
        </w:rPr>
        <w:t xml:space="preserve"> </w:t>
      </w:r>
      <w:r>
        <w:rPr>
          <w:rFonts w:ascii="Times New Roman;sans-serif" w:hAnsi="Times New Roman;sans-serif"/>
          <w:b w:val="false"/>
          <w:color w:val="000000"/>
          <w:sz w:val="22"/>
        </w:rPr>
        <w:t xml:space="preserve">as a result of, or in connection with, such Term Lender not agreeing or otherwise consenting to any waiver, consent, modification or amendment referred to in </w:t>
      </w:r>
      <w:r>
        <w:rPr>
          <w:rFonts w:ascii="Times New Roman;sans-serif" w:hAnsi="Times New Roman;sans-serif"/>
          <w:b w:val="false"/>
          <w:color w:val="000000"/>
          <w:sz w:val="22"/>
          <w:u w:val="single"/>
        </w:rPr>
        <w:t>clause (y)</w:t>
      </w:r>
      <w:r>
        <w:rPr>
          <w:color w:val="000000"/>
        </w:rPr>
        <w:t xml:space="preserve"> </w:t>
      </w:r>
      <w:r>
        <w:rPr>
          <w:rFonts w:ascii="Times New Roman;sans-serif" w:hAnsi="Times New Roman;sans-serif"/>
          <w:b w:val="false"/>
          <w:color w:val="000000"/>
          <w:sz w:val="22"/>
        </w:rPr>
        <w:t>above (or otherwise in connection with a Repricing Transaction), such prepayment, repayment, refinancing, substitution or replacement will be made at 101% of the principal amount so prepaid, repaid, refinanced, substituted or replaced. All such amounts shall be due and payable on the date of effectiveness of such Repricing Transaction.</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(iv)Unless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pStyle w:val="TextBody"/>
        <w:bidi w:val="0"/>
        <w:spacing w:lineRule="auto" w:line="240" w:before="0" w:after="2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Interest.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(i)The Loans comprising each ABR Borrowing shall bear interest at the Alternate Base Rate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the Applicable Rate.</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(ii)The Loans comprising each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shall bear interest at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Adjusted Term SOFR</w:t>
      </w:r>
      <w:r>
        <w:rPr>
          <w:color w:val="000000"/>
        </w:rPr>
        <w:t xml:space="preserve"> </w:t>
      </w:r>
      <w:r>
        <w:rPr>
          <w:rFonts w:ascii="Times New Roman;sans-serif" w:hAnsi="Times New Roman;sans-serif"/>
          <w:b w:val="false"/>
          <w:color w:val="000000"/>
          <w:sz w:val="22"/>
        </w:rPr>
        <w:t xml:space="preserve">for the Interest Period in effect for such Borrowing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the Applicable Rate.</w:t>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(iii)[Reserved]</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(iv)Notwithstanding the foregoing, during the existence and continuance of any Event of Default under </w:t>
      </w:r>
      <w:r>
        <w:rPr>
          <w:rFonts w:ascii="Times New Roman;sans-serif" w:hAnsi="Times New Roman;sans-serif"/>
          <w:b w:val="false"/>
          <w:color w:val="000000"/>
          <w:sz w:val="22"/>
          <w:u w:val="single"/>
        </w:rPr>
        <w:t>Section 7.01(a)</w:t>
      </w:r>
      <w:r>
        <w:rPr>
          <w:rFonts w:ascii="Times New Roman;sans-serif" w:hAnsi="Times New Roman;sans-serif"/>
          <w:b w:val="false"/>
          <w:color w:val="000000"/>
          <w:sz w:val="22"/>
        </w:rPr>
        <w:t xml:space="preserve">, if any principal of or interest on any Loan or any fee payable by the Company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Loan, 2.00% plus the rate otherwise applicable to such Loan as provided in the preceding paragraphs of this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 xml:space="preserve">or (ii) in the case of any other amount, 2.00%, plus the rate applicable to ABR Loans as provided in paragraph (a) of this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amount shall be payable pursuant to this </w:t>
      </w:r>
      <w:r>
        <w:rPr>
          <w:rFonts w:ascii="Times New Roman;sans-serif" w:hAnsi="Times New Roman;sans-serif"/>
          <w:b w:val="false"/>
          <w:color w:val="000000"/>
          <w:sz w:val="22"/>
          <w:u w:val="single"/>
        </w:rPr>
        <w:t>Section 2.13(d)</w:t>
      </w:r>
      <w:r>
        <w:rPr>
          <w:color w:val="000000"/>
        </w:rPr>
        <w:t xml:space="preserve"> </w:t>
      </w:r>
      <w:r>
        <w:rPr>
          <w:rFonts w:ascii="Times New Roman;sans-serif" w:hAnsi="Times New Roman;sans-serif"/>
          <w:b w:val="false"/>
          <w:color w:val="000000"/>
          <w:sz w:val="22"/>
        </w:rPr>
        <w:t xml:space="preserve">to any Defaulting Lender so long as such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62890"/>
                <wp:effectExtent l="0" t="0" r="0" b="0"/>
                <wp:wrapNone/>
                <wp:docPr id="126" name="Frame12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Lender is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no amounts shall accrue pursuant to this </w:t>
      </w:r>
      <w:r>
        <w:rPr>
          <w:rFonts w:ascii="Times New Roman;sans-serif" w:hAnsi="Times New Roman;sans-serif"/>
          <w:b w:val="false"/>
          <w:color w:val="000000"/>
          <w:sz w:val="22"/>
          <w:u w:val="single"/>
        </w:rPr>
        <w:t>Section 2.13(d)</w:t>
      </w:r>
      <w:r>
        <w:rPr>
          <w:color w:val="000000"/>
        </w:rPr>
        <w:t xml:space="preserve"> </w:t>
      </w:r>
      <w:r>
        <w:rPr>
          <w:rFonts w:ascii="Times New Roman;sans-serif" w:hAnsi="Times New Roman;sans-serif"/>
          <w:b w:val="false"/>
          <w:color w:val="000000"/>
          <w:sz w:val="22"/>
        </w:rPr>
        <w:t>on any overdue amount or other amount payable to a Defaulting Lender so long as such Lender is a Defaulting Lender.</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 xml:space="preserve">(v)Accrued interest on each Loan shall be payable in arrears on each Interest Payment Date for such Loan and on the Maturity Date applicable to such Loan,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interest accrued pursuant to </w:t>
      </w:r>
      <w:r>
        <w:rPr>
          <w:rFonts w:ascii="Times New Roman;sans-serif" w:hAnsi="Times New Roman;sans-serif"/>
          <w:b w:val="false"/>
          <w:color w:val="000000"/>
          <w:sz w:val="22"/>
          <w:u w:val="single"/>
        </w:rPr>
        <w:t>paragraph (d)</w:t>
      </w:r>
      <w:r>
        <w:rPr>
          <w:color w:val="000000"/>
        </w:rPr>
        <w:t xml:space="preserve"> </w:t>
      </w:r>
      <w:r>
        <w:rPr>
          <w:rFonts w:ascii="Times New Roman;sans-serif" w:hAnsi="Times New Roman;sans-serif"/>
          <w:b w:val="false"/>
          <w:color w:val="000000"/>
          <w:sz w:val="22"/>
        </w:rPr>
        <w:t xml:space="preserve">of this Section shall be payable on demand, (ii) in the event of any repayment or prepayment of any Loan, accrued interest on the principal amount repaid or prepaid shall be payable on the date of such repayment or prepayment and (iii) in the event of any conversion of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Loan prior to the end of the current Interest Period therefor, accrued interest on such Initial Term Loan shall be payable on the effective date of such conversion. Accrued interest for any Class of Additional Loans shall be payable as set forth in the applicable Refinancing Amendment, Incremental Facility Amendment or Extension Amendment.</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(vi)All interest hereunder shall be computed on the basis of a year of 360 days, except that interest computed for ABR Loans shall be computed on the basis of a year of 365 days (or 366 days in a leap year), and in each case shall be payable for the actual number of days elapsed (including the first day but excluding the last day). The applicable Alternate Base Rate or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shall be determined by the Administrative Agent, and such determination shall be conclusive absent manifest error. Interest shall accrue on each Loan from the day on which the Loan is made, and shall not accrue on a Loan, or any portion thereof, for the day on which the Loan or such portion is 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Loan that is repaid on the same day on which it is made shall bear interest for one day.</w:t>
      </w:r>
    </w:p>
    <w:p>
      <w:pPr>
        <w:pStyle w:val="TextBody"/>
        <w:bidi w:val="0"/>
        <w:spacing w:lineRule="auto" w:line="240" w:before="0" w:after="2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Alternate Rate of Interest. (a)  Subject to clauses (b</w:t>
      </w:r>
      <w:r>
        <w:rPr>
          <w:rFonts w:ascii="Times New Roman;sans-serif" w:hAnsi="Times New Roman;sans-serif"/>
          <w:b w:val="false"/>
          <w:strike/>
          <w:color w:val="FF0000"/>
          <w:sz w:val="22"/>
        </w:rPr>
        <w:t>), (c</w:t>
      </w:r>
      <w:r>
        <w:rPr>
          <w:rFonts w:ascii="Times New Roman;sans-serif" w:hAnsi="Times New Roman;sans-serif"/>
          <w:b w:val="false"/>
          <w:color w:val="000000"/>
          <w:sz w:val="22"/>
        </w:rPr>
        <w:t>), (d), (e), (f) and (g) of this Section 2.14, if</w:t>
      </w:r>
      <w:r>
        <w:rPr>
          <w:strike/>
          <w:color w:val="FF0000"/>
        </w:rPr>
        <w:t xml:space="preserve"> </w:t>
      </w:r>
      <w:r>
        <w:rPr>
          <w:rFonts w:ascii="Times New Roman;sans-serif" w:hAnsi="Times New Roman;sans-serif"/>
          <w:b w:val="false"/>
          <w:strike/>
          <w:color w:val="FF0000"/>
          <w:sz w:val="22"/>
        </w:rPr>
        <w:t>prior to the commencement of any Interest Period for a LIBO Rate Borrowing</w:t>
      </w:r>
      <w:r>
        <w:rPr>
          <w:rFonts w:ascii="Times New Roman;sans-serif" w:hAnsi="Times New Roman;sans-serif"/>
          <w:b w:val="false"/>
          <w:color w:val="000000"/>
          <w:sz w:val="22"/>
        </w:rPr>
        <w:t>:</w:t>
      </w:r>
    </w:p>
    <w:p>
      <w:pPr>
        <w:pStyle w:val="TextBody"/>
        <w:bidi w:val="0"/>
        <w:spacing w:lineRule="auto" w:line="240" w:before="0" w:after="0"/>
        <w:ind w:left="0" w:right="0" w:hanging="720"/>
        <w:jc w:val="left"/>
        <w:rPr/>
      </w:pPr>
      <w:r>
        <w:rPr>
          <w:rFonts w:ascii="Times New Roman;sans-serif" w:hAnsi="Times New Roman;sans-serif"/>
          <w:b w:val="false"/>
          <w:color w:val="000000"/>
          <w:sz w:val="22"/>
        </w:rPr>
        <w:t xml:space="preserve">(1)the Administrative Agent determines (which determination shall be conclusive absent manifest error) </w:t>
      </w:r>
      <w:r>
        <w:rPr>
          <w:rFonts w:ascii="Times New Roman;sans-serif" w:hAnsi="Times New Roman;sans-serif"/>
          <w:b/>
          <w:color w:val="0000FF"/>
          <w:sz w:val="22"/>
          <w:u w:val="single"/>
        </w:rPr>
        <w:t xml:space="preserve">prior to the commencement of any Interest Period for a Term SOFR Borrowing, </w:t>
      </w:r>
      <w:r>
        <w:rPr>
          <w:rFonts w:ascii="Times New Roman;sans-serif" w:hAnsi="Times New Roman;sans-serif"/>
          <w:b w:val="false"/>
          <w:color w:val="000000"/>
          <w:sz w:val="22"/>
        </w:rPr>
        <w:t xml:space="preserve">that adequate and reasonable means do not exist for ascertaining </w:t>
      </w:r>
      <w:r>
        <w:rPr>
          <w:rFonts w:ascii="Times New Roman;sans-serif" w:hAnsi="Times New Roman;sans-serif"/>
          <w:b w:val="false"/>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val="false"/>
          <w:strike/>
          <w:color w:val="FF0000"/>
          <w:sz w:val="22"/>
        </w:rPr>
        <w:t>LIBO Rate or the LIBO Rate</w:t>
      </w:r>
      <w:r>
        <w:rPr>
          <w:rFonts w:ascii="Times New Roman;sans-serif" w:hAnsi="Times New Roman;sans-serif"/>
          <w:b/>
          <w:color w:val="0000FF"/>
          <w:sz w:val="22"/>
          <w:u w:val="single"/>
        </w:rPr>
        <w:t>Term SOFR or Term SOFR</w:t>
      </w:r>
      <w:r>
        <w:rPr>
          <w:rFonts w:ascii="Times New Roman;sans-serif" w:hAnsi="Times New Roman;sans-serif"/>
          <w:b w:val="false"/>
          <w:color w:val="000000"/>
          <w:sz w:val="22"/>
        </w:rPr>
        <w:t xml:space="preserve">, as applicable (including because the </w:t>
      </w:r>
      <w:r>
        <w:rPr>
          <w:rFonts w:ascii="Times New Roman;sans-serif" w:hAnsi="Times New Roman;sans-serif"/>
          <w:b w:val="false"/>
          <w:strike/>
          <w:color w:val="FF0000"/>
          <w:sz w:val="22"/>
        </w:rPr>
        <w:t>LIBO Screen</w:t>
      </w:r>
      <w:r>
        <w:rPr>
          <w:rFonts w:ascii="Times New Roman;sans-serif" w:hAnsi="Times New Roman;sans-serif"/>
          <w:b/>
          <w:color w:val="0000FF"/>
          <w:sz w:val="22"/>
          <w:u w:val="single"/>
        </w:rPr>
        <w:t>Term SOFR Reference</w:t>
      </w:r>
      <w:r>
        <w:rPr>
          <w:color w:val="000000"/>
        </w:rPr>
        <w:t xml:space="preserve"> </w:t>
      </w:r>
      <w:r>
        <w:rPr>
          <w:rFonts w:ascii="Times New Roman;sans-serif" w:hAnsi="Times New Roman;sans-serif"/>
          <w:b w:val="false"/>
          <w:color w:val="000000"/>
          <w:sz w:val="22"/>
        </w:rPr>
        <w:t xml:space="preserve">Rate is not available or published on a current basis), for such Interest Period; </w:t>
      </w: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 xml:space="preserve">that no Benchmark Transition Event shall have occurred at such time; </w:t>
      </w:r>
      <w:r>
        <w:rPr>
          <w:rFonts w:ascii="Times New Roman;sans-serif" w:hAnsi="Times New Roman;sans-serif"/>
          <w:b w:val="false"/>
          <w:color w:val="000000"/>
          <w:sz w:val="22"/>
        </w:rPr>
        <w:t xml:space="preserve">or </w:t>
      </w:r>
    </w:p>
    <w:p>
      <w:pPr>
        <w:pStyle w:val="TextBody"/>
        <w:bidi w:val="0"/>
        <w:spacing w:before="0" w:after="0"/>
        <w:jc w:val="both"/>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 xml:space="preserve">(2)the Administrative Agent is advised by the Required Lenders that </w:t>
      </w:r>
      <w:r>
        <w:rPr>
          <w:rFonts w:ascii="Times New Roman;sans-serif" w:hAnsi="Times New Roman;sans-serif"/>
          <w:b w:val="false"/>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val="false"/>
          <w:strike/>
          <w:color w:val="FF0000"/>
          <w:sz w:val="22"/>
        </w:rPr>
        <w:t>LIBO Rate or the LIBO Rate</w:t>
      </w:r>
      <w:r>
        <w:rPr>
          <w:rFonts w:ascii="Times New Roman;sans-serif" w:hAnsi="Times New Roman;sans-serif"/>
          <w:b/>
          <w:color w:val="0000FF"/>
          <w:sz w:val="22"/>
          <w:u w:val="single"/>
        </w:rPr>
        <w:t>Term SOFR or Term SOFR</w:t>
      </w:r>
      <w:r>
        <w:rPr>
          <w:rFonts w:ascii="Times New Roman;sans-serif" w:hAnsi="Times New Roman;sans-serif"/>
          <w:b w:val="false"/>
          <w:color w:val="000000"/>
          <w:sz w:val="22"/>
        </w:rPr>
        <w:t>, as applicable, for such Interest Period will not adequately and fairly reflect the cost to such Lenders (or Lender) of making or maintaining their Loans (or its Loan) included in such Borrowing for such Interest Period;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then the Administrative Agent shall give notice thereof to the Company and the Lenders by telephone, telecopy or electronic mail as promptly as practicable thereafter and, until the Administrative Agent notifies the Company and the Lenders that the circumstances giving rise to such notice no longer exist, (A) any Interest Election Request that requests the conversion of any Borrowing to, or continuation of any Borrowing as,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shall be ineffective and (B) if any Borrowing Request requests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such Borrowing shall be made as an ABR Borrowing;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circumstances giving rise to such notice affect only one Type of Borrowings, then the other Type of Borrowings shall be permitted.</w:t>
      </w:r>
    </w:p>
    <w:p>
      <w:pPr>
        <w:pStyle w:val="TextBody"/>
        <w:bidi w:val="0"/>
        <w:spacing w:before="0" w:after="0"/>
        <w:jc w:val="both"/>
        <w:rPr/>
      </w:pPr>
      <w:r>
        <w:rPr/>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 xml:space="preserve">(vii)Notwithstanding anything to the contrary herein or in any other Loan Document, if a Benchmark Transition Event </w:t>
      </w:r>
      <w:r>
        <w:rPr>
          <w:rFonts w:ascii="Times New Roman;sans-serif" w:hAnsi="Times New Roman;sans-serif"/>
          <w:b w:val="false"/>
          <w:strike/>
          <w:color w:val="FF0000"/>
          <w:sz w:val="22"/>
        </w:rPr>
        <w:t xml:space="preserve">or an Early Opt-in Election, as applicable, </w:t>
      </w:r>
      <w:r>
        <w:rPr>
          <w:rFonts w:ascii="Times New Roman;sans-serif" w:hAnsi="Times New Roman;sans-serif"/>
          <w:b w:val="false"/>
          <w:color w:val="000000"/>
          <w:sz w:val="22"/>
        </w:rPr>
        <w:t xml:space="preserve">and its related Benchmark Replacement Date have occurred prior to the Reference Time in respect of any setting of the then-current Benchmark, then (x) if a Benchmark Replacement is determined in accordance with clause (1) </w:t>
      </w:r>
      <w:r>
        <w:rPr>
          <w:rFonts w:ascii="Times New Roman;sans-serif" w:hAnsi="Times New Roman;sans-serif"/>
          <w:b w:val="false"/>
          <w:strike/>
          <w:color w:val="FF0000"/>
          <w:sz w:val="22"/>
        </w:rPr>
        <w:t xml:space="preserve">or (2) </w:t>
      </w:r>
      <w:r>
        <w:rPr>
          <w:rFonts w:ascii="Times New Roman;sans-serif" w:hAnsi="Times New Roman;sans-serif"/>
          <w:b w:val="false"/>
          <w:color w:val="000000"/>
          <w:sz w:val="22"/>
        </w:rPr>
        <w:t>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Times New Roman;sans-serif" w:hAnsi="Times New Roman;sans-serif"/>
          <w:b w:val="false"/>
          <w:strike/>
          <w:color w:val="FF0000"/>
          <w:sz w:val="22"/>
        </w:rPr>
        <w:t>3</w:t>
      </w:r>
      <w:r>
        <w:rPr>
          <w:rFonts w:ascii="Times New Roman;sans-serif" w:hAnsi="Times New Roman;sans-serif"/>
          <w:b/>
          <w:color w:val="0000FF"/>
          <w:sz w:val="22"/>
          <w:u w:val="single"/>
        </w:rPr>
        <w:t>2</w:t>
      </w:r>
      <w:r>
        <w:rPr>
          <w:rFonts w:ascii="Times New Roman;sans-serif" w:hAnsi="Times New Roman;sans-serif"/>
          <w:b w:val="false"/>
          <w:color w:val="000000"/>
          <w:sz w:val="22"/>
        </w:rPr>
        <w:t xml:space="preserve">) of the definition of “Benchmark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62890"/>
                <wp:effectExtent l="0" t="0" r="0" b="0"/>
                <wp:wrapNone/>
                <wp:docPr id="127" name="Frame12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40" w:before="0" w:after="240"/>
        <w:ind w:left="0" w:right="0" w:firstLine="1440"/>
        <w:jc w:val="both"/>
        <w:rPr/>
      </w:pPr>
      <w:r>
        <w:rPr>
          <w:rFonts w:ascii="Times New Roman;sans-serif" w:hAnsi="Times New Roman;sans-serif"/>
          <w:b w:val="false"/>
          <w:strike/>
          <w:color w:val="FF0000"/>
          <w:sz w:val="22"/>
        </w:rPr>
        <w:t xml:space="preserve">(c) 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that, this clause (c) shall not be effective unless the Administrative Agent has delivered to the Lenders and the Company a Term SOFR Notice. For the avoidance of doubt, the Administrative Agent shall not be required to deliver a Term SOFR Notice after the occurrence of a Term SOFR Transition Event and may do so in its sole discretion.</w:t>
      </w:r>
    </w:p>
    <w:p>
      <w:pPr>
        <w:pStyle w:val="TextBody"/>
        <w:bidi w:val="0"/>
        <w:spacing w:lineRule="auto" w:line="240" w:before="0" w:after="240"/>
        <w:ind w:left="0" w:right="0" w:firstLine="1001"/>
        <w:jc w:val="both"/>
        <w:rPr>
          <w:rFonts w:ascii="Times New Roman;sans-serif" w:hAnsi="Times New Roman;sans-serif"/>
          <w:b/>
          <w:color w:val="0000FF"/>
          <w:sz w:val="22"/>
          <w:u w:val="single"/>
        </w:rPr>
      </w:pPr>
      <w:r>
        <w:rPr>
          <w:rFonts w:ascii="Times New Roman;sans-serif" w:hAnsi="Times New Roman;sans-serif"/>
          <w:b/>
          <w:color w:val="0000FF"/>
          <w:sz w:val="22"/>
          <w:u w:val="single"/>
        </w:rPr>
        <w:t>(viii)[Reserved.]</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(ix)In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 xml:space="preserve">(x)The Administrative Agent will promptly notify the Company and the Lenders of (i) any occurrence of a Benchmark Transition Event, </w:t>
      </w:r>
      <w:r>
        <w:rPr>
          <w:rFonts w:ascii="Times New Roman;sans-serif" w:hAnsi="Times New Roman;sans-serif"/>
          <w:b w:val="false"/>
          <w:strike/>
          <w:color w:val="FF0000"/>
          <w:sz w:val="22"/>
        </w:rPr>
        <w:t xml:space="preserve">a Term SOFR Transition Event or an Early Opt-in Election, as applicable, </w:t>
      </w:r>
      <w:r>
        <w:rPr>
          <w:rFonts w:ascii="Times New Roman;sans-serif" w:hAnsi="Times New Roman;sans-serif"/>
          <w:b w:val="false"/>
          <w:color w:val="000000"/>
          <w:sz w:val="22"/>
        </w:rPr>
        <w:t>(ii)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(xi)Notwithstanding anything to the contrary herein or in any other Loan Document, at any time (including in connection with the implementation of a Benchmark Replacement), (i) if the then-current Benchmark is a term rate (including Term SOFR or </w:t>
      </w:r>
      <w:r>
        <w:rPr>
          <w:rFonts w:ascii="Times New Roman;sans-serif" w:hAnsi="Times New Roman;sans-serif"/>
          <w:b w:val="false"/>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rFonts w:ascii="Times New Roman;sans-serif" w:hAnsi="Times New Roman;sans-serif"/>
          <w:b w:val="false"/>
          <w:color w:val="000000"/>
          <w:sz w:val="22"/>
        </w:rPr>
        <w:t>)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 xml:space="preserve">(xii)Upon the Company’s receipt of notice of the commencement of a Benchmark Unavailability Period, any Borrower may revoke any request for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Borrowing of, conversion to or continuation of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to be made, converted or continued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62890"/>
                <wp:effectExtent l="0" t="0" r="0" b="0"/>
                <wp:wrapNone/>
                <wp:docPr id="128" name="Frame12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during any Benchmark Unavailability Period and, failing that, such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pStyle w:val="TextBody"/>
        <w:bidi w:val="0"/>
        <w:spacing w:lineRule="auto" w:line="240" w:before="0" w:after="2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 xml:space="preserve">Increased Costs.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(i)If any Change in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(1)imposes, modifies or deems applicable any reserve, special deposit or similar requirement against assets of, deposits with or for the account of, or credit extended by, any Lender</w:t>
      </w:r>
      <w:r>
        <w:rPr>
          <w:strike/>
          <w:color w:val="FF0000"/>
        </w:rPr>
        <w:t xml:space="preserve"> </w:t>
      </w:r>
      <w:r>
        <w:rPr>
          <w:rFonts w:ascii="Times New Roman;sans-serif" w:hAnsi="Times New Roman;sans-serif"/>
          <w:b w:val="false"/>
          <w:strike/>
          <w:color w:val="FF0000"/>
          <w:sz w:val="22"/>
        </w:rPr>
        <w:t>(except any such reserve requirement reflected in the LIBO Rate)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(2)imposes on any Lender </w:t>
      </w:r>
      <w:r>
        <w:rPr>
          <w:rFonts w:ascii="Times New Roman;sans-serif" w:hAnsi="Times New Roman;sans-serif"/>
          <w:b w:val="false"/>
          <w:strike/>
          <w:color w:val="FF0000"/>
          <w:sz w:val="22"/>
        </w:rPr>
        <w:t xml:space="preserve">or the London interbank market </w:t>
      </w:r>
      <w:r>
        <w:rPr>
          <w:rFonts w:ascii="Times New Roman;sans-serif" w:hAnsi="Times New Roman;sans-serif"/>
          <w:b w:val="false"/>
          <w:color w:val="000000"/>
          <w:sz w:val="22"/>
        </w:rPr>
        <w:t xml:space="preserve">any other condition affecting this Agreement or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Loans made by any Lender;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(3)subjects any recipient to any Taxes (other than (A) Indemnified Taxes and (B) Excluded Taxes) on its loans, loan principal or other obligations, or its deposits, reserves, other liabilities or capital attributable thereto;</w:t>
      </w:r>
    </w:p>
    <w:p>
      <w:pPr>
        <w:pStyle w:val="TextBody"/>
        <w:bidi w:val="0"/>
        <w:spacing w:lineRule="auto" w:line="240" w:before="0" w:after="240"/>
        <w:jc w:val="both"/>
        <w:rPr/>
      </w:pPr>
      <w:r>
        <w:rPr>
          <w:rFonts w:ascii="Times New Roman;sans-serif" w:hAnsi="Times New Roman;sans-serif"/>
          <w:b w:val="false"/>
          <w:color w:val="000000"/>
          <w:sz w:val="22"/>
        </w:rPr>
        <w:t xml:space="preserve">and the result of any of the foregoing is to increase the cost to the relevant Lender or such other Recipient of making or maintaining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(or of maintaining its obligation to make any such Loan) or to reduce the amount of any sum received or receivable by such Lender hereunder (whether of principal, interest or otherwise) in respect of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in an amount deemed by such Lender to be material, then, within 30 days after the Company’s receipt of the certificate contemplated by paragraph (c) of this Section, the Company will pay to such Lender such additional amount or amounts as will compensate such Lender, for such additional costs incurred or reduction suffered;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not be liable for such compensation if (x) the relevant Change in Law is publicly announced or occurs on a date prior to the date such Lender becomes a party hereto, (y) such Lender invokes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 xml:space="preserve">or (z) in the case of any request for reimbursement under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above resulting from a market disruption, (A) the relevant circumstances do not generally affect the banking market or (B) the applicable request has not been made by Lenders constituting Required Lenders.</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(ii)If any Lender determines that any Change in Law regarding liquidity or capital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within 30 days of receipt by the Company of the certificate contemplated by </w:t>
      </w:r>
      <w:r>
        <w:rPr>
          <w:rFonts w:ascii="Times New Roman;sans-serif" w:hAnsi="Times New Roman;sans-serif"/>
          <w:b w:val="false"/>
          <w:color w:val="000000"/>
          <w:sz w:val="22"/>
          <w:u w:val="single"/>
        </w:rPr>
        <w:t>paragraph (c)</w:t>
      </w:r>
      <w:r>
        <w:rPr>
          <w:color w:val="000000"/>
        </w:rPr>
        <w:t xml:space="preserve"> </w:t>
      </w:r>
      <w:r>
        <w:rPr>
          <w:rFonts w:ascii="Times New Roman;sans-serif" w:hAnsi="Times New Roman;sans-serif"/>
          <w:b w:val="false"/>
          <w:color w:val="000000"/>
          <w:sz w:val="22"/>
        </w:rPr>
        <w:t>of this Section the Company will pay to such Lender, such additional amount or amounts as will compensate such Lender or such Lender’s holding company for any such reduction suffered.</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(iii)Any Lender requesting compensation under this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shall be required to deliver a certificate to the Company that (i) sets forth the amount or amounts necessary to compensate such Lender or its holding company, as applicable, as specified in </w:t>
      </w:r>
      <w:r>
        <w:rPr>
          <w:rFonts w:ascii="Times New Roman;sans-serif" w:hAnsi="Times New Roman;sans-serif"/>
          <w:b w:val="false"/>
          <w:color w:val="000000"/>
          <w:sz w:val="22"/>
          <w:u w:val="single"/>
        </w:rPr>
        <w:t>paragraph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of this Section, (ii) sets forth in reasonable detail the manner in which such amount or amounts were determined and (iii) certifies that such Lender is generally charging such amounts to similarly situated borrowers, which certificate shall be conclusive absent manifest error.</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(iv)Failure or delay on the part of any Lender to demand compensation pursuant to this Section shall not constitute a waiver of such Lender’s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not be required to compensate a Lender pursuant to this Section for any increased costs or reductions incurred more than 180 days prior to the date that such Lender notifies the Company of the Change in Law giving rise to such increased costs or reductions and of such Lender’s intention to claim compensation therefor;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the Change in Law giving rise to such increased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62890"/>
                <wp:effectExtent l="0" t="0" r="0" b="0"/>
                <wp:wrapNone/>
                <wp:docPr id="129" name="Frame12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costs or reductions is retroactive, then the 180-day period referred to above shall be extended to include the period of retroactive effect thereof.</w:t>
      </w:r>
    </w:p>
    <w:p>
      <w:pPr>
        <w:pStyle w:val="TextBody"/>
        <w:bidi w:val="0"/>
        <w:spacing w:lineRule="auto" w:line="240" w:before="0" w:after="2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Break Funding Payments. In the event of (a) the conversion or prepayment of any principal of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other than on the last day of an Interest Period applicable thereto (whether voluntary, mandatory, automatic, by reason of acceleration or otherwise), (b) the failure to borrow, convert, continue or prepay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on the date or in the amount specified in any notice delivered pursuant hereto or (c) the assignment of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of any Lender other than on the last day of the Interest Period applicable thereto as a result of a request by the Company pursuant to </w:t>
      </w:r>
      <w:r>
        <w:rPr>
          <w:rFonts w:ascii="Times New Roman;sans-serif" w:hAnsi="Times New Roman;sans-serif"/>
          <w:b w:val="false"/>
          <w:color w:val="000000"/>
          <w:sz w:val="22"/>
          <w:u w:val="single"/>
        </w:rPr>
        <w:t>Section 2.19</w:t>
      </w:r>
      <w:r>
        <w:rPr>
          <w:rFonts w:ascii="Times New Roman;sans-serif" w:hAnsi="Times New Roman;sans-serif"/>
          <w:b w:val="false"/>
          <w:color w:val="000000"/>
          <w:sz w:val="22"/>
        </w:rPr>
        <w:t xml:space="preserve">, then, in any such event, the Company shall compensate each Lender for the loss, cost and expense incurred by such Lender that is attributable to such event (other than loss of profit).  In the case of a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the loss, cost or expense of any Lender shall be the amount reasonably determined by such Lender to be the excess, if any, of (i) the amount of interest which would have accrued on the principal amount of such Loan had such event not occurred, at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Eurodollar market; it being understood that such loss, cost or expense shall in any case exclude any interest rate floor and all administrative, processing or similar fees.  Any Lender requesting compensation under this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shall be required to deliver a certificate to the Company (i) setting forth any amount or amounts that such Lender is entitled to receive pursuant to this Section, the basis therefor and, in reasonable detail, the manner in which such amount or amounts were determined and (ii) certifying that such Lender is generally charging the relevant amounts to similarly situated borrowers, which certificate shall be conclusive absent manifest error.  The Company shall pay such Lender the amount shown as due on any such certificate within 30 days after receipt thereof.</w:t>
      </w:r>
    </w:p>
    <w:p>
      <w:pPr>
        <w:pStyle w:val="TextBody"/>
        <w:bidi w:val="0"/>
        <w:spacing w:lineRule="auto" w:line="240" w:before="0" w:after="24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 xml:space="preserve">Taxes.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(i)Each payment by any Loan Party under any Loan Document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such Loan Party shall be increased as necessary so that, net of such withholding (including such withholding applicable to additional amounts payable under this Section), the applicable Recipient receives the amount it would have received had no such withholding been made.</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(ii)In addition, the Loan Parties shall pay any Other Taxes to the relevant Governmental Authority in accordance with applicable law, or at the option of, and upon written request by, the Administrative Agent, timely reimburse it for the payment of, any Other Taxes.</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(iii)Each Loan Party shall jointly and severally indemnify each Recipient within 15 days after written demand therefor, for the full amount of any Indemnified Taxes paid by such Recipient on or with respect to any payment by or on account of any obligation of any Loan Party hereunder (including Indemnified Taxes imposed or asserted on or attributable to amounts payable under this Section) and any reasonable expenses arising therefrom or with respect thereto, whether or not such Indemnified Taxes were correctly or legally imposed or asserted by the relevant Governmental Authority;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Loan Parties shall not be obligated to make payment to such Recipient for penalties, interest or expenses attributable to the gross negligence or willful misconduct of such Recipient. A certificate as to the amount of such payment or liability delivered to the applicable Loan Party by a Recipient, or by the Administrative Agent on behalf of another Recipient, shall be conclusive absent manifest error.</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(iv)Each Lender shall severally indemnify the Administrative Agent, within 10 days after written demand therefor, for the full amount of any Taxes (but, in the case of any Indemnified Taxes, only to the extent that the Loan Parties have not already indemnified the Administrative Agent for such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62890"/>
                <wp:effectExtent l="0" t="0" r="0" b="0"/>
                <wp:wrapNone/>
                <wp:docPr id="130" name="Frame13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Excluded Taxes were correctly or legally imposed or asserted by the relevant Governmental Authority. A certificate setting forth and explaining in reasonable detail the amount of such payment or liability delivered to a Lender by the Administrative Agent shall be conclusive absent manifest error. </w:t>
      </w:r>
    </w:p>
    <w:p>
      <w:pPr>
        <w:pStyle w:val="TextBody"/>
        <w:bidi w:val="0"/>
        <w:spacing w:lineRule="auto" w:line="240" w:before="0" w:after="240"/>
        <w:ind w:left="0" w:right="0" w:firstLine="1184"/>
        <w:jc w:val="both"/>
        <w:rPr>
          <w:rFonts w:ascii="Times New Roman;sans-serif" w:hAnsi="Times New Roman;sans-serif"/>
          <w:b w:val="false"/>
          <w:color w:val="000000"/>
          <w:sz w:val="22"/>
        </w:rPr>
      </w:pPr>
      <w:r>
        <w:rPr>
          <w:rFonts w:ascii="Times New Roman;sans-serif" w:hAnsi="Times New Roman;sans-serif"/>
          <w:b w:val="false"/>
          <w:color w:val="000000"/>
          <w:sz w:val="22"/>
        </w:rPr>
        <w:t>(v)As soon as practicable after any payment of Indemnified Taxes or Other Taxes by a Loan Party to a Governmental Authority,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(vi)(i) Any Foreign Lender that is entitled to an exemption from, or reduction of withholding Tax under the law of the United States, or any treaty to which the United States is a party, with respect to payments under this Agreement or any other Loan Document shall deliver to the Company (with a copy to the Administrative Agent), on or prior to the date of this Agreement (or, in the case of any Lender that becomes a party to this Agreement pursuant to an Assignment and Assumption, on or about the date on which such Lender becomes a Lender under this Agreement) either (a) two properly executed originals of Form W-8ECI or Form W-8BEN or Form W-8BEN-E, as applicable (or any successor forms) prescribed by the IRS or other documents satisfactory to the Company and the Administrative Agent, as the case may be, certifying (i) that all payments to be made to such Foreign Lender under the Loan Documents are exempt from United States withholding Taxes because such payments are effectively connected with the conduct by such Lender of a trade or business within the United States and are included in such Lender’s gross income or (ii) that all payments to be made to such Foreign Lender under the Loan Documents are completely exempt from Taxes or are subject to such Taxes at a reduced rate by an applicable Tax treaty, (b)(i) a certificate executed by such Lender certifying that such Lender is not a “bank” within the meaning of Section 881(c)(3)(A) of the Code and that such Lender qualifies for the portfolio interest exemption under Section 881(c) of the Code, and (ii) two properly executed originals of IRS Form W-8BEN or Form W-8BEN-E, as applicable (or any successor form) or (c) in the case of a Foreign Lender that is not the beneficial owner of payments made under this Agreement (including a partnership or a participating Lender) (i) an IRS Form W-8IMY on behalf of itself and (ii) the relevant forms prescribed in this paragraph (f)(A) that would be required of each such beneficial owner or partner of such partnership if such beneficial owner or partner were a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the Lender is a partnership and one or more of its partners are claiming the exemption for portfolio interest under Section 881(c) of the Code, such Lender may provide a certificate described in clause (b)(i) on behalf of such partners, in each case, certifying such Lender’s entitlement to an exemption from, or reduction of, U.S. federal withholding Tax with respect to payments of interest to be made hereunder or under this Agreement or any other Loan Document. In the case of a Foreign Lender claiming the benefits of an income tax treaty to which the United States is a party, the IRS Form W-8BEN or Form W-8BEN-E, as applicable, shall (x) with respect to payments of interest under the Loan Documents, establish an exemption from U.S. federal withholding Tax pursuant to the “interest” article of such tax treaty and (y) with respect to any other applicable payments under the Loan Documents, establish an exemption from U.S. federal withholding Tax pursuant to the “business profits” or “other income” article of such tax treaty. Each Lender that is not a Foreign Lender shall deliver to the Company (with a copy to the Administrative Agent) two properly executed originals IRS Form W-9 (or any successor form). Each Lender agrees (but only to the extent it is legally entitled to do so) to provide the Company (with a copy to the Administrative Agent) with new forms prescribed by the IRS upon the expiration or obsolescence of any previously delivered form, after the occurrence of any event requiring a change in the most recent forms delivered by it to the Company and the Administrative Agent, or at any other time reasonably requested by the Company or promptly notify the Company or the Administrative Agent in writing of its legal inability to do so.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62890"/>
                <wp:effectExtent l="0" t="0" r="0" b="0"/>
                <wp:wrapNone/>
                <wp:docPr id="131" name="Frame13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1471(b)(3)(C)(i)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Section 2.17(f)(ii), “FATCA” shall include any amendments made to FATCA after the date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(5)Any Lender that is entitled to an exemption from, or reduction of withholding Tax under the laws of a country other than the United States, or any treaty to which such country is a party, with respect to payments under this Agreement or any other Loan Document shall deliver to the Company (with a copy to the Administrative Agent), at the time or times reasonably requested by the Company or the Administrative Agent, (A) such properly completed and duly executed documentation prescribed by applicable laws as will permit the Company or the Administrative Agent, as the case may be, to establish such Lender’s entitlement to any available exemption from, or reduction of, applicable Taxes (other than United States Taxes), and (B) such other documentation and reasonably requested information as will permit the Company or the Administrative Agent, as the case may be, to determine, if applicable, the required rate of withholding or deduction for any applicable Taxes and any required information reporting requirements, in each case, in respect of any payments to be made to such Lender pursuant to any Loan Document. The completion, execution and submission of any documentation contemplated by this Section 2.17(f)(iii) shall not be required if in the Lender’s judgment such completion, execution or submission would subject such Lender to any material unreimbursed cost or expense or would materially prejudice the legal or commercial position of such Lender. Each Lender shall deliver to the Company and the Administrative Agent two further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Company or the Administrative Agent, or promptly notify the Company and the Administrative Agent that it is unable to do so. Each Lender shall promptly notify the Administrative Agent at any time it determines that it is no longer in a position to provide any previously delivered form or certification under this Section 2.17(f)(iii) to the Company or the Administrative Agent. Notwithstanding any other provision of this Section 2.17(f)(iii), a Lender or Agent shall not be required to deliver any form pursuant to this Section 2.17(f)(iii) that it is not legally able to deliver.</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 xml:space="preserve">(vii)If the Administrative Agent or a Lender determines, in its sole discretion, that it has received a refund of any Taxes as to which it has been indemnified by a Loan Party or with respect to which a Loan Party has paid additional amounts pursuant to this Section, it shall pay over such refund to the Loan Party (but only to the extent of indemnity payments made, or additional amounts paid, by the Loan Party under this Section with respect to the Taxes giving rise to such refund), net of all out-of-pocket expenses of the Administrative Agent or such Lender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Loan Party, upon the request of the Administrative Agent or such Lender, agrees to repay the amount paid over to the Loan Party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Loan Party or any other Person.</w:t>
      </w:r>
    </w:p>
    <w:p>
      <w:pPr>
        <w:pStyle w:val="TextBody"/>
        <w:bidi w:val="0"/>
        <w:spacing w:lineRule="auto" w:line="240" w:before="0" w:after="240"/>
        <w:ind w:left="0" w:right="0" w:firstLine="1001"/>
        <w:jc w:val="both"/>
        <w:rPr/>
      </w:pPr>
      <w:r>
        <w:rPr>
          <w:rFonts w:ascii="Times New Roman;sans-serif" w:hAnsi="Times New Roman;sans-serif"/>
          <w:b w:val="false"/>
          <w:color w:val="000000"/>
          <w:sz w:val="22"/>
        </w:rPr>
        <w:t xml:space="preserve">(viii)Each party’s obligations under this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the termination of the Commitments and the repayment, satisfaction or discharge of all obligations under this Agreement and any other Loan Document.</w:t>
      </w:r>
    </w:p>
    <w:p>
      <w:pPr>
        <w:pStyle w:val="TextBody"/>
        <w:bidi w:val="0"/>
        <w:spacing w:lineRule="auto" w:line="240" w:before="0" w:after="24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rPr>
        <w:t xml:space="preserve">Payments Generally; Allocation of Proceeds; Sharing of Payments.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(i)Unless otherwise specified, the Company shall make each payment required to be made by it hereunder (whether of principal, interest or fees or of amounts payable under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62890"/>
                <wp:effectExtent l="0" t="0" r="0" b="0"/>
                <wp:wrapNone/>
                <wp:docPr id="132" name="Frame13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or otherwise) prior to the time expressed hereunder or under such Loan Document (or, if no time is expressly required, by 2:00 p.m.) on the date when due, in immediately available funds, without set-off (except as otherwise provided in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Company by the Administrative Agent, except that payments pursuant to </w:t>
      </w:r>
      <w:r>
        <w:rPr>
          <w:rFonts w:ascii="Times New Roman;sans-serif" w:hAnsi="Times New Roman;sans-serif"/>
          <w:b w:val="false"/>
          <w:color w:val="000000"/>
          <w:sz w:val="22"/>
          <w:u w:val="single"/>
        </w:rPr>
        <w:t>Sections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9.03</w:t>
      </w:r>
      <w:r>
        <w:rPr>
          <w:color w:val="000000"/>
        </w:rPr>
        <w:t xml:space="preserve"> </w:t>
      </w:r>
      <w:r>
        <w:rPr>
          <w:rFonts w:ascii="Times New Roman;sans-serif" w:hAnsi="Times New Roman;sans-serif"/>
          <w:b w:val="false"/>
          <w:color w:val="000000"/>
          <w:sz w:val="22"/>
        </w:rPr>
        <w:t>shall be made directly to the Persons entitled thereto. The Administrative Agent shall distribute any such payments received by it for the account of any other Person to the appropriate recipient promptly following receipt thereof. Each Lender agrees that in computing such Lender’s portion of any Borrowing to be made hereunder, the Administrative Agent may, in its discretion, round such Lender’s percentage of such Borrowing to the next higher or lower whole dollar amount. All payments (including accrued interest) hereunder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(ii)Subject in all respects to the provisions of the ABL Intercreditor Agreement or any other applicable Acceptable Intercreditor Agreement, all proceeds of Collateral received by the Administrative Agent at any time when an Event of Default exists and all or any portion of the Loans have been accelerated hereunder pursuant to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 xml:space="preserve">, shall, upon election by the Administrative Agent or at the direction of the Required Lenders, be applied,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on a pro rata basis, to pay any fees, indemnities or expense reimbursements then due to the Administrative Agent from the Company constituting Obligations hereunder,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on a pro rata basis, to pay any fees or expense reimbursements then due to the Lenders from the Company constituting Obligations hereunder,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pay interest due and payable in respect of any Loans, on a pro rata basis,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to prepay principal on the Loans on a pro rata basis among the Secured Parties,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to the payment of any other Secured Obligation due to the Administrative Agent, any Lender or any other Secured Party by the Company on a pro rata basis, </w:t>
      </w: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xml:space="preserve">, as provided for under the ABL Intercreditor Agreement or any other applicable Acceptable Intercreditor Agreement and </w:t>
      </w:r>
      <w:r>
        <w:rPr>
          <w:rFonts w:ascii="Times New Roman;sans-serif" w:hAnsi="Times New Roman;sans-serif"/>
          <w:b w:val="false"/>
          <w:color w:val="000000"/>
          <w:sz w:val="22"/>
          <w:u w:val="single"/>
        </w:rPr>
        <w:t>seventh</w:t>
      </w:r>
      <w:r>
        <w:rPr>
          <w:rFonts w:ascii="Times New Roman;sans-serif" w:hAnsi="Times New Roman;sans-serif"/>
          <w:b w:val="false"/>
          <w:color w:val="000000"/>
          <w:sz w:val="22"/>
        </w:rPr>
        <w:t>, to the Company or as the Company shall direct.</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(iii)If any Lender obtains payment (whether voluntary, involuntary, through the exercise of any right of set-off or otherwise) in respect of any principal of or interest on any of its Loans of any Class held by it resulting in such Lender receiving payment of a greater proportion of the aggregate amount of its Loans of such Class and accrued interest thereon than the proportion received by any other Lender with Loans of such Class, then the Lender receiving such greater proportion shall purchase (for Cash at face value) participations in the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(x) any payment made by the Company pursuant to and in accordance with the express terms of this Agreement or (y) any payment obtained by any Lender as consideration for the assignment of or sale of a participation in any of its Loans to any permitted assignee or participant, including any payment made or deemed made in connection with </w:t>
      </w:r>
      <w:r>
        <w:rPr>
          <w:rFonts w:ascii="Times New Roman;sans-serif" w:hAnsi="Times New Roman;sans-serif"/>
          <w:b w:val="false"/>
          <w:color w:val="000000"/>
          <w:sz w:val="22"/>
          <w:u w:val="single"/>
        </w:rPr>
        <w:t>Sections 2.22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9.02(b)</w:t>
      </w:r>
      <w:r>
        <w:rPr>
          <w:color w:val="000000"/>
        </w:rPr>
        <w:t>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xml:space="preserve">. The Company consents to the foregoing and agrees, to the extent it may effectively do so under applicable Requirements of Law, that any Lender acquiring a participation pursuant to the foregoing arrangements may exercise against the Company rights of set-off and counterclaim with respect to such participation as fully as if such Lender were a direct creditor of the Company in the amount of such participation. The Administrative Agent will keep records (which shall be conclusive and binding in the absence of manifest error) of participations purchased under this </w:t>
      </w:r>
      <w:r>
        <w:rPr>
          <w:rFonts w:ascii="Times New Roman;sans-serif" w:hAnsi="Times New Roman;sans-serif"/>
          <w:b w:val="false"/>
          <w:color w:val="000000"/>
          <w:sz w:val="22"/>
          <w:u w:val="single"/>
        </w:rPr>
        <w:t>Section 2.18(c)</w:t>
      </w:r>
      <w:r>
        <w:rPr>
          <w:color w:val="000000"/>
        </w:rPr>
        <w:t xml:space="preserve"> </w:t>
      </w:r>
      <w:r>
        <w:rPr>
          <w:rFonts w:ascii="Times New Roman;sans-serif" w:hAnsi="Times New Roman;sans-serif"/>
          <w:b w:val="false"/>
          <w:color w:val="000000"/>
          <w:sz w:val="22"/>
        </w:rPr>
        <w:t xml:space="preserve">and will, in each case, notify the Lenders following any such purchases or repayments. Each Lender that purchases a participation pursuant to this </w:t>
      </w:r>
      <w:r>
        <w:rPr>
          <w:rFonts w:ascii="Times New Roman;sans-serif" w:hAnsi="Times New Roman;sans-serif"/>
          <w:b w:val="false"/>
          <w:color w:val="000000"/>
          <w:sz w:val="22"/>
          <w:u w:val="single"/>
        </w:rPr>
        <w:t>Section 2.18(c)</w:t>
      </w:r>
      <w:r>
        <w:rPr>
          <w:color w:val="000000"/>
        </w:rPr>
        <w:t xml:space="preserve"> </w:t>
      </w:r>
      <w:r>
        <w:rPr>
          <w:rFonts w:ascii="Times New Roman;sans-serif" w:hAnsi="Times New Roman;sans-serif"/>
          <w:b w:val="false"/>
          <w:color w:val="000000"/>
          <w:sz w:val="22"/>
        </w:rPr>
        <w:t>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62890"/>
                <wp:effectExtent l="0" t="0" r="0" b="0"/>
                <wp:wrapNone/>
                <wp:docPr id="133" name="Frame13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(iv)Unless the Administrative Agent has received notice from the Company or any other applicable Borrower prior to the date on which any payment is due to the Administrative Agent for the account of any Lender hereunder that the Company will not make such payment, the Administrative Agent may assume that the Company has made such payment on such date in accordance herewith and may, in reliance upon such assumption, distribute to the applicable Lender the amount due. In such event, if the Company has not in fact made such payment, then each Lender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 xml:space="preserve">(v)If any Lender fails to make any payment required to be made by it pursuant to </w:t>
      </w:r>
      <w:r>
        <w:rPr>
          <w:rFonts w:ascii="Times New Roman;sans-serif" w:hAnsi="Times New Roman;sans-serif"/>
          <w:b w:val="false"/>
          <w:color w:val="000000"/>
          <w:sz w:val="22"/>
          <w:u w:val="single"/>
        </w:rPr>
        <w:t>Section 2.07(a)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2.18(d)</w:t>
      </w:r>
      <w:r>
        <w:rPr>
          <w:rFonts w:ascii="Times New Roman;sans-serif" w:hAnsi="Times New Roman;sans-serif"/>
          <w:b w:val="false"/>
          <w:color w:val="000000"/>
          <w:sz w:val="22"/>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lineRule="auto" w:line="240" w:before="0" w:after="240"/>
        <w:jc w:val="both"/>
        <w:rPr/>
      </w:pPr>
      <w:r>
        <w:rPr>
          <w:rFonts w:ascii="Times New Roman;sans-serif" w:hAnsi="Times New Roman;sans-serif"/>
          <w:b w:val="false"/>
          <w:color w:val="000000"/>
          <w:sz w:val="22"/>
        </w:rPr>
        <w:t>s.</w:t>
      </w:r>
      <w:r>
        <w:rPr>
          <w:rFonts w:ascii="Times New Roman;sans-serif" w:hAnsi="Times New Roman;sans-serif"/>
          <w:b w:val="false"/>
          <w:color w:val="000000"/>
          <w:sz w:val="22"/>
        </w:rPr>
        <w:t>Mitigation Obligations; Replacement of Lenders.</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(i)If any Lender requests compensation under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or such Lender determines it can no longer make or maintain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pursuant to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xml:space="preserve">, or the Company is required to pay any additional amount to or indemnify any Lender or any Governmental Authority for the account of any Lender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rFonts w:ascii="Times New Roman;sans-serif" w:hAnsi="Times New Roman;sans-serif"/>
          <w:b w:val="false"/>
          <w:color w:val="000000"/>
          <w:sz w:val="22"/>
        </w:rPr>
        <w:t xml:space="preserve">, as applicable, in the future or mitigate the impact of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as the case may be, and (ii) would not subject such Lender to any material unreimbursed out-of-pocket cost or expense and would not otherwise be disadvantageous to such Lender in any material respect. The Company hereby agrees to pay all reasonable out-of-pocket costs and expenses incurred by any Lender in connection with any such designation or assignment.</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(ii)If (i) any Lender requests compensation under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or such Lender determines it can no longer make or maintain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pursuant to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xml:space="preserve">, (ii) the Company is required to pay any additional amount to or indemnify any Lender or any Governmental Authority for the account of any Lender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(iii) any Lender is a Defaulting Lender or (iv) in connection with any proposed amendment, waiver or consent requiring the consent of “each Lender” or “each Lender directly affected thereby” (or any other Class or group of Lenders other than the Required Lenders) with respect to which Required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(each such Lender, a “</w:t>
      </w:r>
      <w:r>
        <w:rPr>
          <w:rFonts w:ascii="Times New Roman;sans-serif" w:hAnsi="Times New Roman;sans-serif"/>
          <w:b/>
          <w:color w:val="000000"/>
          <w:sz w:val="22"/>
        </w:rPr>
        <w:t>Non-Consenting Lender</w:t>
      </w:r>
      <w:r>
        <w:rPr>
          <w:color w:val="000000"/>
        </w:rPr>
        <w:t>”</w:t>
      </w:r>
      <w:r>
        <w:rPr>
          <w:rFonts w:ascii="Times New Roman;sans-serif" w:hAnsi="Times New Roman;sans-serif"/>
          <w:b w:val="false"/>
          <w:color w:val="000000"/>
          <w:sz w:val="22"/>
        </w:rPr>
        <w:t xml:space="preserve">), then the Company may, at its sole expense and effort, upon notice to such Lender and the Administrative Agent, (x) terminate the applicable Commitments and/or Additional Commitments of such Lender, and repay all Obligations of the Company owing to such Lender relating to the applicable Loans and participations held by such Lender as of such termination date under one or more credit facilities or Additional Credit Facilities hereunder as the Company may elect or (y) replace such Lender by requiring such Lender to assign and delegate (and such Lender shall be obligated to assign and delegate), without recourse (in accordance with and subject to the restrictions contained in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xml:space="preserve">), all of its interests, rights and obligations under this Agreement to an Eligible Assignee that shall assume such obligations (which Eligible Assignee may be another Lender, if any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Lender shall have received payment of an amount equal to the outstanding principal amount of its Loans of such Class, accrued interest thereon, accrued fees and all other amounts payable to it hereunder with respect to such Class of Loans, Commitments and/or Additional Commitments, (B) in the case of any assignment resulting from a claim for compensation under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such assignment will result in a reduction in such compensation or payments and (C) such assignment does not conflict with applicable law. No action by or consent of a </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62890"/>
                <wp:effectExtent l="0" t="0" r="0" b="0"/>
                <wp:wrapNone/>
                <wp:docPr id="134" name="Frame13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Defaulting Lender or a Non-Consenting Lender shall be necessary in connection with such assignment, which shall be immediately and automatically effective upon payment of the amounts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the immediately preceding sentence. No Lender (other than a Defaulting Lender) shall be required to make any such assignment and delegation, and the Company may not repay the Obligations of such Lender or terminate its Commitments or Additional Commitments, if, prior thereto, as a result of a waiver by such Lender or otherwise, the circumstances entitling the Company to require such assignment and delegation cease to apply. Each Lender agrees that if it is replaced pursuant to this </w:t>
      </w:r>
      <w:r>
        <w:rPr>
          <w:rFonts w:ascii="Times New Roman;sans-serif" w:hAnsi="Times New Roman;sans-serif"/>
          <w:b w:val="false"/>
          <w:color w:val="000000"/>
          <w:sz w:val="22"/>
          <w:u w:val="single"/>
        </w:rPr>
        <w:t>Section 2.19</w:t>
      </w:r>
      <w:r>
        <w:rPr>
          <w:rFonts w:ascii="Times New Roman;sans-serif" w:hAnsi="Times New Roman;sans-serif"/>
          <w:b w:val="false"/>
          <w:color w:val="000000"/>
          <w:sz w:val="22"/>
        </w:rPr>
        <w:t>, it shall execute and deliver to the Administrative Agent an Assignment and Assumption to evidence such sale and purchase and shall deliver to the Administrative Agent any Promissory Note (if the assigning Lender’s Loans are evidenced by one or more Promissory Notes) subject to such Assignment and Assumption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failure of any Lender replaced pursuant to this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to execute an Assignment and Assumption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xml:space="preserve">. To the extent that any Lender is replaced pursuant to </w:t>
      </w:r>
      <w:r>
        <w:rPr>
          <w:rFonts w:ascii="Times New Roman;sans-serif" w:hAnsi="Times New Roman;sans-serif"/>
          <w:b w:val="false"/>
          <w:color w:val="000000"/>
          <w:sz w:val="22"/>
          <w:u w:val="single"/>
        </w:rPr>
        <w:t>Section 2.19(b)(iv)</w:t>
      </w:r>
      <w:r>
        <w:rPr>
          <w:color w:val="000000"/>
        </w:rPr>
        <w:t xml:space="preserve"> </w:t>
      </w:r>
      <w:r>
        <w:rPr>
          <w:rFonts w:ascii="Times New Roman;sans-serif" w:hAnsi="Times New Roman;sans-serif"/>
          <w:b w:val="false"/>
          <w:color w:val="000000"/>
          <w:sz w:val="22"/>
        </w:rPr>
        <w:t xml:space="preserve">in connection with a Repricing Transaction requiring payment of a fee pursuant to </w:t>
      </w:r>
      <w:r>
        <w:rPr>
          <w:rFonts w:ascii="Times New Roman;sans-serif" w:hAnsi="Times New Roman;sans-serif"/>
          <w:b w:val="false"/>
          <w:color w:val="000000"/>
          <w:sz w:val="22"/>
          <w:u w:val="single"/>
        </w:rPr>
        <w:t>Section 2.12(f)</w:t>
      </w:r>
      <w:r>
        <w:rPr>
          <w:rFonts w:ascii="Times New Roman;sans-serif" w:hAnsi="Times New Roman;sans-serif"/>
          <w:b w:val="false"/>
          <w:color w:val="000000"/>
          <w:sz w:val="22"/>
        </w:rPr>
        <w:t xml:space="preserve">, the Company shall pay to each Lender being replaced as a result of such Repricing Transaction the fee set forth in </w:t>
      </w:r>
      <w:r>
        <w:rPr>
          <w:rFonts w:ascii="Times New Roman;sans-serif" w:hAnsi="Times New Roman;sans-serif"/>
          <w:b w:val="false"/>
          <w:color w:val="000000"/>
          <w:sz w:val="22"/>
          <w:u w:val="single"/>
        </w:rPr>
        <w:t>Section 2.12(f)</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val="false"/>
          <w:color w:val="000000"/>
          <w:sz w:val="22"/>
        </w:rPr>
        <w:t>t.</w:t>
      </w:r>
      <w:r>
        <w:rPr>
          <w:rFonts w:ascii="Times New Roman;sans-serif" w:hAnsi="Times New Roman;sans-serif"/>
          <w:b w:val="false"/>
          <w:color w:val="000000"/>
          <w:sz w:val="22"/>
        </w:rPr>
        <w:t xml:space="preserve">Illegality.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Term SOFR</w:t>
      </w:r>
      <w:r>
        <w:rPr>
          <w:rFonts w:ascii="Times New Roman;sans-serif" w:hAnsi="Times New Roman;sans-serif"/>
          <w:b w:val="false"/>
          <w:color w:val="000000"/>
          <w:sz w:val="22"/>
        </w:rPr>
        <w:t xml:space="preserve">, or to determine or charge interest rates based upon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Term SOFR</w:t>
      </w:r>
      <w:r>
        <w:rPr>
          <w:rFonts w:ascii="Times New Roman;sans-serif" w:hAnsi="Times New Roman;sans-serif"/>
          <w:b w:val="false"/>
          <w:color w:val="000000"/>
          <w:sz w:val="22"/>
        </w:rPr>
        <w:t xml:space="preserve">, or any Governmental Authority has imposed material restrictions on the authority of such Lender to purchase or sell, or to take deposits of, Dollars in the applicable interbank market, then, on notice thereof by such Lender to the Company through the Administrative Agent, (a) any obligation of such Lender to make or continue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in Dollars or to convert ABR Loans to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shall be suspended and (b) if such notice asserts the illegality of such Lender making or maintaining ABR Loans the interest rate on which is determined by reference to the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component of the Alternate Base Rate, the interest rate on which ABR Loans of such Lender, shall, if necessary to avoid such illegality, be determined by the Administrative Agent without reference to the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component of the Alternate Base Rate, in each case until such Lender notifies the Administrative Agent and the Company that the circumstances giving rise to such determination no longer exist (which notice such Lender agrees to give promptly). Upon receipt of such notice, (x) the Company shall, upon demand from such Lender (with a copy to the Administrative Agent), prepay or convert all of such Lender’s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to ABR Loans (the interest rate on which ABR Loans of such Lender shall, if necessary to avoid such illegality, be determined by the Administrative Agent without reference to the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component of the Alternate Base Rate) either on the last day of the Interest Period therefor, if such Lender may lawfully continue to maintain such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to such day, or immediately, if such Lender may not lawfully continue to maintain such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(in which case the Company shall not be required to make payments pursuant to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in connection with such payment) and (y) if such notice asserts the illegality of such Lender determining or charging interest rates based upon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Term SOFR</w:t>
      </w:r>
      <w:r>
        <w:rPr>
          <w:rFonts w:ascii="Times New Roman;sans-serif" w:hAnsi="Times New Roman;sans-serif"/>
          <w:b w:val="false"/>
          <w:color w:val="000000"/>
          <w:sz w:val="22"/>
        </w:rPr>
        <w:t xml:space="preserve">, the Administrative Agent shall during the period of such suspension compute the Alternate Base Rate applicable to such Lender without reference to the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component thereof until the Administrative Agent is advised in writing by such Lender that it is no longer illegal for such Lender to determine or charge interest rates based upon </w:t>
      </w:r>
      <w:r>
        <w:rPr>
          <w:rFonts w:ascii="Times New Roman;sans-serif" w:hAnsi="Times New Roman;sans-serif"/>
          <w:b w:val="false"/>
          <w:strike/>
          <w:color w:val="FF0000"/>
          <w:sz w:val="22"/>
        </w:rPr>
        <w:t>the LIBO Rate</w:t>
      </w:r>
      <w:r>
        <w:rPr>
          <w:rFonts w:ascii="Times New Roman;sans-serif" w:hAnsi="Times New Roman;sans-serif"/>
          <w:b/>
          <w:color w:val="0000FF"/>
          <w:sz w:val="22"/>
          <w:u w:val="single"/>
        </w:rPr>
        <w:t>Term SOFR</w:t>
      </w:r>
      <w:r>
        <w:rPr>
          <w:rFonts w:ascii="Times New Roman;sans-serif" w:hAnsi="Times New Roman;sans-serif"/>
          <w:b w:val="false"/>
          <w:color w:val="000000"/>
          <w:sz w:val="22"/>
        </w:rPr>
        <w:t>. Upon any such prepayment or conversion, the Company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62890"/>
                <wp:effectExtent l="0" t="0" r="0" b="0"/>
                <wp:wrapNone/>
                <wp:docPr id="135" name="Frame13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u.</w:t>
      </w:r>
      <w:r>
        <w:rPr>
          <w:rFonts w:ascii="Times New Roman;sans-serif" w:hAnsi="Times New Roman;sans-serif"/>
          <w:b w:val="false"/>
          <w:color w:val="000000"/>
          <w:sz w:val="22"/>
        </w:rPr>
        <w:t>Defaulting Lenders. Notwithstanding any provision of this Agreement to the contrary, if any Lender becomes a Defaulting Lender, then the following provisions shall apply for so long as such Lender is a Defaulting Lender:</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(i)[Reserved].</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(ii)The Commitments and Loans of such Defaulting Lender shall not be included in determining whether all Lenders, each affected Lender, the Required Lenders, or such other number of Lenders as may be required hereby or under any other Loan Document have taken or may take any action hereunder (including any consent to any waiver, amendment or modification pursuant to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waiver, amendment or modification requiring the consent of all Lenders or each affected Lender which affects such Defaulting Lender disproportionately and adversely relative to other affected Lenders shall require the consent of such Defaulting Lender.</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(iii)Any payment of principal, interest, fees or other amounts received by the Administrative Agent for the account of any Defaulting Lender (whether voluntary or mandatory, at maturity, pursuant to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2.18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Article 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9.05</w:t>
      </w:r>
      <w:r>
        <w:rPr>
          <w:color w:val="000000"/>
        </w:rPr>
        <w:t xml:space="preserve"> </w:t>
      </w:r>
      <w:r>
        <w:rPr>
          <w:rFonts w:ascii="Times New Roman;sans-serif" w:hAnsi="Times New Roman;sans-serif"/>
          <w:b w:val="false"/>
          <w:color w:val="000000"/>
          <w:sz w:val="22"/>
        </w:rPr>
        <w:t xml:space="preserve">or otherwise, and including any amounts made available to the Administrative Agent by such Defaulting Lender pursuant to </w:t>
      </w:r>
      <w:r>
        <w:rPr>
          <w:rFonts w:ascii="Times New Roman;sans-serif" w:hAnsi="Times New Roman;sans-serif"/>
          <w:b w:val="false"/>
          <w:color w:val="000000"/>
          <w:sz w:val="22"/>
          <w:u w:val="single"/>
        </w:rPr>
        <w:t>Section 9.09</w:t>
      </w:r>
      <w:r>
        <w:rPr>
          <w:rFonts w:ascii="Times New Roman;sans-serif" w:hAnsi="Times New Roman;sans-serif"/>
          <w:b w:val="false"/>
          <w:color w:val="000000"/>
          <w:sz w:val="22"/>
        </w:rPr>
        <w:t xml:space="preserve">), shall be applied at such time or times as may be determined by the Administrative Agent and, where relevant, the Company as follows: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the payment of any amounts owing by such Defaulting Lender to the Administrative Agent hereunder;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so long as no Default or Event of Default exists, as the Company may request, to the funding of any Loan in respect of which such Defaulting Lender has failed to fund its portion thereof as required by this Agreement;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if so determined by the Administrative Agent or the Company, to be held in a deposit account and released in order to satisfy obligations of such Defaulting Lender to fund Loans under this Agreement;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to the payment of any amounts owing to the non-Defaulting Lenders as a result of any judgment of a court of competent jurisdiction obtained by any non-Defaulting Lender against such Defaulting Lender as a result of such Defaulting Lender’s breach of its obligations under this Agreement;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(x) such payment is a payment of the principal amount of any Loan in respect of which such Defaulting Lender has not fully funded its appropriate share and (y) such Loan was made or created, as applicable, at a time when the conditions applicable thereto were satisfied or waived, such payment shall be applied solely to pay the Loans of all non-Defaulting Lenders on a pro rata basis prior to being applied to the payment of any Loans of such Defaulting Lender. Any payments, prepayments or other amounts paid or payable to any Defaulting Lender that are applied (or held) to pay amounts owed by any Defaulting Lender or to post Cash collateral pursuant to this </w:t>
      </w:r>
      <w:r>
        <w:rPr>
          <w:rFonts w:ascii="Times New Roman;sans-serif" w:hAnsi="Times New Roman;sans-serif"/>
          <w:b w:val="false"/>
          <w:color w:val="000000"/>
          <w:sz w:val="22"/>
          <w:u w:val="single"/>
        </w:rPr>
        <w:t>Section 2.21(c)</w:t>
      </w:r>
      <w:r>
        <w:rPr>
          <w:color w:val="000000"/>
        </w:rPr>
        <w:t xml:space="preserve"> </w:t>
      </w:r>
      <w:r>
        <w:rPr>
          <w:rFonts w:ascii="Times New Roman;sans-serif" w:hAnsi="Times New Roman;sans-serif"/>
          <w:b w:val="false"/>
          <w:color w:val="000000"/>
          <w:sz w:val="22"/>
        </w:rPr>
        <w:t>shall be deemed paid to and redirected by such Defaulting Lender, and each Lender irrevocably consents hereto.</w:t>
      </w:r>
    </w:p>
    <w:p>
      <w:pPr>
        <w:pStyle w:val="TextBody"/>
        <w:bidi w:val="0"/>
        <w:spacing w:lineRule="auto" w:line="240" w:before="0" w:after="24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rPr>
        <w:t xml:space="preserve">Incremental Facilities.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(i)The Company or any Loan Party may, at any time, on one or more occasions pursuant to an Incremental Facility Amendment add one or more new Classes of term facilities and/or increase the principal amount of the Term Loans of any existing Class by requesting new term loan commitments to be added to such Loans (any such new Class or increase, an “</w:t>
      </w:r>
      <w:r>
        <w:rPr>
          <w:rFonts w:ascii="Times New Roman;sans-serif" w:hAnsi="Times New Roman;sans-serif"/>
          <w:b/>
          <w:color w:val="000000"/>
          <w:sz w:val="22"/>
        </w:rPr>
        <w:t>Incremental Term Facility</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Incremental Facility</w:t>
      </w:r>
      <w:r>
        <w:rPr>
          <w:color w:val="000000"/>
        </w:rPr>
        <w:t xml:space="preserve">” </w:t>
      </w:r>
      <w:r>
        <w:rPr>
          <w:rFonts w:ascii="Times New Roman;sans-serif" w:hAnsi="Times New Roman;sans-serif"/>
          <w:b w:val="false"/>
          <w:color w:val="000000"/>
          <w:sz w:val="22"/>
        </w:rPr>
        <w:t>and any loans made pursuant to an Incremental Term Facility or Incremental Facility, “</w:t>
      </w:r>
      <w:r>
        <w:rPr>
          <w:rFonts w:ascii="Times New Roman;sans-serif" w:hAnsi="Times New Roman;sans-serif"/>
          <w:b/>
          <w:color w:val="000000"/>
          <w:sz w:val="22"/>
        </w:rPr>
        <w:t>Incremental Term Loans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Incremental Loans</w:t>
      </w:r>
      <w:r>
        <w:rPr>
          <w:color w:val="000000"/>
        </w:rPr>
        <w:t>”</w:t>
      </w:r>
      <w:r>
        <w:rPr>
          <w:rFonts w:ascii="Times New Roman;sans-serif" w:hAnsi="Times New Roman;sans-serif"/>
          <w:b w:val="false"/>
          <w:color w:val="000000"/>
          <w:sz w:val="22"/>
        </w:rPr>
        <w:t xml:space="preserve">) in an aggregate outstanding principal amount not to exceed the Incremental Cap;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(1)no Incremental Commitment may be in an amount that is less than $5,000,000 (or such lesser amount to which the Administrative Agent may reasonably agree),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(2)except as separately agreed from time to time between any Loan Party and any Lender, no Lender shall be obligated to provide any Incremental Commitment, and the determination to provide such commitments shall be within the sole and absolute discretion of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62890"/>
                <wp:effectExtent l="0" t="0" r="0" b="0"/>
                <wp:wrapNone/>
                <wp:docPr id="136" name="Frame13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Lender (it being agreed that no Loan Party shall be obligated to offer the opportunity to any Lender to participate in any Incremental Facility),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(4)[Reserved],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(5)the Effective Yield (and the components thereof) applicable to any Incremental Facility may be determined by the Company and the lender or lenders providing such Incremental Facility;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any broadly syndicated Dollar-denominated term loan “B” Incremental Term Facility that is scheduled to mature prior to the date that is one year after the Initial Term Loan Maturity Date, the Effective Yield applicable thereto may not be more than 0.50% higher than the Effective Yield applicable to the Initial Term Loans unless the Applicable Rate (and/or, as provided in the proviso below, the Alternate Base Rate floor or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floor) with respect to the Initial Term Loans is adjusted such that the Effective Yield on the Initial Term Loans is not more than 0.50% per annum less than the Effective Yield with respect to such Incremental Facility;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any increase in Effective Yield applicable to any Initial Term Loan due to the application or imposition of an Alternate Base Rate floor or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floor on any Incremental Term Loan may, at the election of the Company, be effected through an increase in the Alternate Base Rate floor or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floor applicable to such Initial Term Loans or an increase in the interest rate margin applicable to such Incremental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the MFN Provision (1) shall not apply to any Incremental Term Facility having an aggregate principal amount not exceeding the greater of $500.0 million and 50% of Consolidated EBITDA as of the last day of the most recently ended Test Period and (2) shall not apply to any Incremental Term Facility incurred more than twelve months after the Closing Date (this </w:t>
      </w:r>
      <w:r>
        <w:rPr>
          <w:rFonts w:ascii="Times New Roman;sans-serif" w:hAnsi="Times New Roman;sans-serif"/>
          <w:b w:val="false"/>
          <w:color w:val="000000"/>
          <w:sz w:val="22"/>
          <w:u w:val="single"/>
        </w:rPr>
        <w:t>clause (v)</w:t>
      </w:r>
      <w:r>
        <w:rPr>
          <w:rFonts w:ascii="Times New Roman;sans-serif" w:hAnsi="Times New Roman;sans-serif"/>
          <w:b w:val="false"/>
          <w:color w:val="000000"/>
          <w:sz w:val="22"/>
        </w:rPr>
        <w:t>, the “</w:t>
      </w:r>
      <w:r>
        <w:rPr>
          <w:rFonts w:ascii="Times New Roman;sans-serif" w:hAnsi="Times New Roman;sans-serif"/>
          <w:b/>
          <w:color w:val="000000"/>
          <w:sz w:val="22"/>
        </w:rPr>
        <w:t>MFN Provision</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(6)the final maturity date with respect to any Incremental Term Loans shall be no earlier than the Initial Term Loan Maturity Date at the time of the incurrence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foregoing limitation shall not apply to (A) customary bridge loans with a maturity date of not longer than one year;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loans, notes, securities or other Indebtedness which are exchanged for or otherwise replace such bridge loans shall be subject to the requirements of this </w:t>
      </w:r>
      <w:r>
        <w:rPr>
          <w:rFonts w:ascii="Times New Roman;sans-serif" w:hAnsi="Times New Roman;sans-serif"/>
          <w:b w:val="false"/>
          <w:color w:val="000000"/>
          <w:sz w:val="22"/>
          <w:u w:val="single"/>
        </w:rPr>
        <w:t>clause (vi)</w:t>
      </w:r>
      <w:r>
        <w:rPr>
          <w:rFonts w:ascii="Times New Roman;sans-serif" w:hAnsi="Times New Roman;sans-serif"/>
          <w:b w:val="false"/>
          <w:color w:val="000000"/>
          <w:sz w:val="22"/>
        </w:rPr>
        <w:t>, (B) [reserved]</w:t>
      </w:r>
      <w:r>
        <w:rPr>
          <w:color w:val="000000"/>
        </w:rPr>
        <w:t xml:space="preserve"> </w:t>
      </w:r>
      <w:r>
        <w:rPr>
          <w:rFonts w:ascii="Times New Roman;sans-serif" w:hAnsi="Times New Roman;sans-serif"/>
          <w:b w:val="false"/>
          <w:color w:val="000000"/>
          <w:sz w:val="22"/>
        </w:rPr>
        <w:t>or (C) Incremental Term Facilities having an aggregate principal amount outstanding not exceeding the greater of $500.0 million and 50% of Consolidated EBITDA as of the last day of the most recently ended Test Period (as selected by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(7)the Weighted Average Life to Maturity of any Incremental Term Facility shall be no shorter than the remaining Weighted Average Life to Maturity of the Initial Term Loans;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foregoing limitation shall not apply to (A) customary bridge loans with a maturity date of not longer than one year;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loans, notes, securities or other Indebtedness which are exchanged for or otherwise replace such bridge loans shall be subject to the requirements of this </w:t>
      </w:r>
      <w:r>
        <w:rPr>
          <w:rFonts w:ascii="Times New Roman;sans-serif" w:hAnsi="Times New Roman;sans-serif"/>
          <w:b w:val="false"/>
          <w:color w:val="000000"/>
          <w:sz w:val="22"/>
          <w:u w:val="single"/>
        </w:rPr>
        <w:t>clause (vii)</w:t>
      </w:r>
      <w:r>
        <w:rPr>
          <w:rFonts w:ascii="Times New Roman;sans-serif" w:hAnsi="Times New Roman;sans-serif"/>
          <w:b w:val="false"/>
          <w:color w:val="000000"/>
          <w:sz w:val="22"/>
        </w:rPr>
        <w:t>, (B) [reserved] or (C) Incremental Term Facilities having an aggregate principal amount outstanding not exceeding the greater of $500.0 million and 50% of Consolidated EBITDA as of the last day of the most recently ended Test Period (as selected by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(8)subject to </w:t>
      </w:r>
      <w:r>
        <w:rPr>
          <w:rFonts w:ascii="Times New Roman;sans-serif" w:hAnsi="Times New Roman;sans-serif"/>
          <w:b w:val="false"/>
          <w:color w:val="000000"/>
          <w:sz w:val="22"/>
          <w:u w:val="single"/>
        </w:rPr>
        <w:t>clauses (vi)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(vii)</w:t>
      </w:r>
      <w:r>
        <w:rPr>
          <w:color w:val="000000"/>
        </w:rPr>
        <w:t xml:space="preserve"> </w:t>
      </w:r>
      <w:r>
        <w:rPr>
          <w:rFonts w:ascii="Times New Roman;sans-serif" w:hAnsi="Times New Roman;sans-serif"/>
          <w:b w:val="false"/>
          <w:color w:val="000000"/>
          <w:sz w:val="22"/>
        </w:rPr>
        <w:t>above, any Incremental Term Facility may otherwise have an amortization schedule as determined by the Company and the lenders providing such Incremental Term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(9)subject to </w:t>
      </w:r>
      <w:r>
        <w:rPr>
          <w:rFonts w:ascii="Times New Roman;sans-serif" w:hAnsi="Times New Roman;sans-serif"/>
          <w:b w:val="false"/>
          <w:color w:val="000000"/>
          <w:sz w:val="22"/>
          <w:u w:val="single"/>
        </w:rPr>
        <w:t>clause (v)</w:t>
      </w:r>
      <w:r>
        <w:rPr>
          <w:color w:val="000000"/>
        </w:rPr>
        <w:t xml:space="preserve"> </w:t>
      </w:r>
      <w:r>
        <w:rPr>
          <w:rFonts w:ascii="Times New Roman;sans-serif" w:hAnsi="Times New Roman;sans-serif"/>
          <w:b w:val="false"/>
          <w:color w:val="000000"/>
          <w:sz w:val="22"/>
        </w:rPr>
        <w:t>above, to the extent applicable, any fees payable in connection with any Incremental Facility shall be determined by the Company and the arrangers and/or lenders providing such Incremental Facility,</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62890"/>
                <wp:effectExtent l="0" t="0" r="0" b="0"/>
                <wp:wrapNone/>
                <wp:docPr id="137" name="Frame13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(10)(A) each Incremental Facility shall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with the Initial Term Loans in right of payment and security and (B) no Incremental Facility may be (x) guaranteed by any Person which is not a Loan Party or (y) secured by Liens on any assets other than the Collateral,</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(11)any Incremental Term Facility may provide for the ability to participate (A) on a pro rata basis or non-pro rata basis in any voluntary prepayment of Term Loans made pursuant to </w:t>
      </w:r>
      <w:r>
        <w:rPr>
          <w:rFonts w:ascii="Times New Roman;sans-serif" w:hAnsi="Times New Roman;sans-serif"/>
          <w:b w:val="false"/>
          <w:color w:val="000000"/>
          <w:sz w:val="22"/>
          <w:u w:val="single"/>
        </w:rPr>
        <w:t>Section 2.11(a)</w:t>
      </w:r>
      <w:r>
        <w:rPr>
          <w:color w:val="000000"/>
        </w:rPr>
        <w:t xml:space="preserve"> </w:t>
      </w:r>
      <w:r>
        <w:rPr>
          <w:rFonts w:ascii="Times New Roman;sans-serif" w:hAnsi="Times New Roman;sans-serif"/>
          <w:b w:val="false"/>
          <w:color w:val="000000"/>
          <w:sz w:val="22"/>
        </w:rPr>
        <w:t xml:space="preserve">and (B) on a pro rata or less than pro rata basis (but not on a greater than pro rata basis, other than in the case of prepayment with proceeds of Indebtedness refinancing such Incremental Term Loans) in any mandatory prepayment of Term Loans required pursuant to </w:t>
      </w:r>
      <w:r>
        <w:rPr>
          <w:rFonts w:ascii="Times New Roman;sans-serif" w:hAnsi="Times New Roman;sans-serif"/>
          <w:b w:val="false"/>
          <w:color w:val="000000"/>
          <w:sz w:val="22"/>
          <w:u w:val="single"/>
        </w:rPr>
        <w:t>Section 2.11(b)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(12)no Specified Event of Default shall exist immediately prior to or after giving effect to the effectiveness of such Incremental Facility (except in connection with any acquisition or other Investment or irrevocable repayment or redemption of Indebtedness, where no such Specified Event of Default shall exist at the time as elected by the Company pursuant to </w:t>
      </w:r>
      <w:r>
        <w:rPr>
          <w:rFonts w:ascii="Times New Roman;sans-serif" w:hAnsi="Times New Roman;sans-serif"/>
          <w:b w:val="false"/>
          <w:color w:val="000000"/>
          <w:sz w:val="22"/>
          <w:u w:val="single"/>
        </w:rPr>
        <w:t>Section 1.04(e))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(13)except as otherwise set forth above or below, all other terms of any such Incremental Term Facility, shall (x) be substantially identical to the terms of any then-existing Term Facility, (y) reflect market terms and conditions (as determined by the Company in good faith) at the time of incurrence or issuance or (z) be reasonably satisfactory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(14)the proceeds of any Incremental Facility may be used for working capital, Capital Expenditures and other general corporate purposes of the Company and its subsidiaries (including permitted Restricted Payment Transactions and any other purpose not prohibited by the terms of the Loan Documents), and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(15)on the date of the making of any Incremental Term Loans that will be added to any Class of Initial Term Loans or Additional Term Loans, and notwithstanding anything to the contrary set forth in </w:t>
      </w:r>
      <w:r>
        <w:rPr>
          <w:rFonts w:ascii="Times New Roman;sans-serif" w:hAnsi="Times New Roman;sans-serif"/>
          <w:b w:val="false"/>
          <w:color w:val="000000"/>
          <w:sz w:val="22"/>
          <w:u w:val="single"/>
        </w:rPr>
        <w:t>Sections 2.08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2.13</w:t>
      </w:r>
      <w:r>
        <w:rPr>
          <w:rFonts w:ascii="Times New Roman;sans-serif" w:hAnsi="Times New Roman;sans-serif"/>
          <w:b w:val="false"/>
          <w:color w:val="000000"/>
          <w:sz w:val="22"/>
        </w:rPr>
        <w:t xml:space="preserve">, such Incremental Term Loans shall be added to (and constitute a part of) each borrowing of outstanding Initial Term Loans or Additional Term Loans, as applicable, of the same type with the same Interest Period of the respective Class on a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basis (based on the relative sizes of the various outstanding Borrowings), so that each Term Lender will participate proportionately in each then outstanding borrowing of Initial Term Loans or Additional Term Loans, as applicable, of the same type with the same Interest Period of the respective Class.</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(ii)Incremental Commitments may be provided by any existing Lender or by any other Eligible Assignee (any such other Eligible Assignee being called an “</w:t>
      </w:r>
      <w:r>
        <w:rPr>
          <w:rFonts w:ascii="Times New Roman;sans-serif" w:hAnsi="Times New Roman;sans-serif"/>
          <w:b/>
          <w:color w:val="000000"/>
          <w:sz w:val="22"/>
        </w:rPr>
        <w:t>Additional Lender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Administrative Agent shall have consented (such consent not to be unreasonably withheld, conditioned or delayed) to the relevant Additional Lender’s provision of Incremental Commitments if such consent would be required under </w:t>
      </w:r>
      <w:r>
        <w:rPr>
          <w:rFonts w:ascii="Times New Roman;sans-serif" w:hAnsi="Times New Roman;sans-serif"/>
          <w:b w:val="false"/>
          <w:color w:val="000000"/>
          <w:sz w:val="22"/>
          <w:u w:val="single"/>
        </w:rPr>
        <w:t>Section 9.05(b)</w:t>
      </w:r>
      <w:r>
        <w:rPr>
          <w:color w:val="000000"/>
        </w:rPr>
        <w:t xml:space="preserve"> </w:t>
      </w:r>
      <w:r>
        <w:rPr>
          <w:rFonts w:ascii="Times New Roman;sans-serif" w:hAnsi="Times New Roman;sans-serif"/>
          <w:b w:val="false"/>
          <w:color w:val="000000"/>
          <w:sz w:val="22"/>
        </w:rPr>
        <w:t>for an assignment of Loans to such Additional Lender.</w:t>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(iii)Each Lender or Additional Lender providing a portion of any Incremental Commitment shall execute and deliver to the Administrative Agent and the Company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(iv)As a condition precedent to the effectiveness of any Incremental Facility or the making of any Incremental Loans, (i) upon its request, the Administrative Agent shall have received customary written opinions of counsel, as well as such reaffirmation agreements, supplements and/or amendments as it shall reasonably require, (ii) the Administrative Agent shall have received, from each Additional Lender, an administrative questionnaire, in the form provided to such Additional Lender by the Administrative Agent (the “</w:t>
      </w:r>
      <w:r>
        <w:rPr>
          <w:rFonts w:ascii="Times New Roman;sans-serif" w:hAnsi="Times New Roman;sans-serif"/>
          <w:b/>
          <w:color w:val="000000"/>
          <w:sz w:val="22"/>
        </w:rPr>
        <w:t>Administrative Questionnaire</w:t>
      </w:r>
      <w:r>
        <w:rPr>
          <w:color w:val="000000"/>
        </w:rPr>
        <w:t>”</w:t>
      </w:r>
      <w:r>
        <w:rPr>
          <w:rFonts w:ascii="Times New Roman;sans-serif" w:hAnsi="Times New Roman;sans-serif"/>
          <w:b w:val="false"/>
          <w:color w:val="000000"/>
          <w:sz w:val="22"/>
        </w:rPr>
        <w:t xml:space="preserve">) and such other documents as it shall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62890"/>
                <wp:effectExtent l="0" t="0" r="0" b="0"/>
                <wp:wrapNone/>
                <wp:docPr id="138" name="Frame13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reasonably require from such Additional Lender, (iii) the Administrative Agent and applicable Additional Lenders shall have received all fees required to be paid in respect of such Incremental Facility or Incremental Loans and (iv) upon its request, the Administrative Agent shall have received a certificate of the applicable Borrower, signed by a Responsible Officer thereof: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(a)certifying and attaching a copy of the resolutions adopted by the governing body of the applicable Borrower approving or consenting to such Incremental Facility or Incremental Loans,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(b)to the extent applicable, certifying that the condition set forth in </w:t>
      </w:r>
      <w:r>
        <w:rPr>
          <w:rFonts w:ascii="Times New Roman;sans-serif" w:hAnsi="Times New Roman;sans-serif"/>
          <w:b w:val="false"/>
          <w:color w:val="000000"/>
          <w:sz w:val="22"/>
          <w:u w:val="single"/>
        </w:rPr>
        <w:t>clause (a)(xii)</w:t>
      </w:r>
      <w:r>
        <w:rPr>
          <w:color w:val="000000"/>
        </w:rPr>
        <w:t xml:space="preserve"> </w:t>
      </w:r>
      <w:r>
        <w:rPr>
          <w:rFonts w:ascii="Times New Roman;sans-serif" w:hAnsi="Times New Roman;sans-serif"/>
          <w:b w:val="false"/>
          <w:color w:val="000000"/>
          <w:sz w:val="22"/>
        </w:rPr>
        <w:t>above has been satisfied.</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 xml:space="preserve">(v)The Lenders hereby irrevocably authorize the Administrative Agent to enter into any Incremental Facility Amendment and/or any amendment to any other Loan Documents as may be necessary in order to establish any new or any increase in any Classes or sub-Classes in respect of Loans or commitments pursuant to this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 xml:space="preserve">and such technical amendments as may be necessary or appropriate in the reasonable opinion of the Administrative Agent and the Company in connection with the establishment or increase, as applicable, of such Classes or sub-Classes, in each case on terms consistent with this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(vi)To the extent the provisions of </w:t>
      </w:r>
      <w:r>
        <w:rPr>
          <w:rFonts w:ascii="Times New Roman;sans-serif" w:hAnsi="Times New Roman;sans-serif"/>
          <w:b w:val="false"/>
          <w:color w:val="000000"/>
          <w:sz w:val="22"/>
          <w:u w:val="single"/>
        </w:rPr>
        <w:t>clause (a)(xv)</w:t>
      </w:r>
      <w:r>
        <w:rPr>
          <w:color w:val="000000"/>
        </w:rPr>
        <w:t xml:space="preserve"> </w:t>
      </w:r>
      <w:r>
        <w:rPr>
          <w:rFonts w:ascii="Times New Roman;sans-serif" w:hAnsi="Times New Roman;sans-serif"/>
          <w:b w:val="false"/>
          <w:color w:val="000000"/>
          <w:sz w:val="22"/>
        </w:rPr>
        <w:t xml:space="preserve">above require that Term Lenders making new Incremental Term Loans add such Incremental Term Loans to the then outstanding borrowings of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Loans of the respective Class of Initial Term Loans or Additional Term Loans, as applicable, it is acknowledged that the effect thereof may result in such new Incremental Term Loans having short Interest Periods (i.e., an Interest Period that began during an Interest Period then applicable to outstanding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Loans of the respective Class and which will end on the last day of such Interest Period).</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 xml:space="preserve">(vii)This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 xml:space="preserve">shall supersede any provision in </w:t>
      </w:r>
      <w:r>
        <w:rPr>
          <w:rFonts w:ascii="Times New Roman;sans-serif" w:hAnsi="Times New Roman;sans-serif"/>
          <w:b w:val="false"/>
          <w:color w:val="000000"/>
          <w:sz w:val="22"/>
          <w:u w:val="single"/>
        </w:rPr>
        <w:t>Section 2.18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w:t>
      </w:r>
      <w:r>
        <w:rPr>
          <w:color w:val="000000"/>
        </w:rPr>
        <w:t xml:space="preserve"> </w:t>
      </w:r>
      <w:r>
        <w:rPr>
          <w:rFonts w:ascii="Times New Roman;sans-serif" w:hAnsi="Times New Roman;sans-serif"/>
          <w:b w:val="false"/>
          <w:color w:val="000000"/>
          <w:sz w:val="22"/>
        </w:rPr>
        <w:t>to the contrary.</w:t>
      </w:r>
    </w:p>
    <w:p>
      <w:pPr>
        <w:pStyle w:val="TextBody"/>
        <w:bidi w:val="0"/>
        <w:spacing w:lineRule="auto" w:line="240" w:before="0" w:after="240"/>
        <w:jc w:val="both"/>
        <w:rPr/>
      </w:pPr>
      <w:r>
        <w:rPr>
          <w:rFonts w:ascii="Times New Roman;sans-serif" w:hAnsi="Times New Roman;sans-serif"/>
          <w:b w:val="false"/>
          <w:color w:val="000000"/>
          <w:sz w:val="22"/>
        </w:rPr>
        <w:t>w.</w:t>
      </w:r>
      <w:r>
        <w:rPr>
          <w:rFonts w:ascii="Times New Roman;sans-serif" w:hAnsi="Times New Roman;sans-serif"/>
          <w:b w:val="false"/>
          <w:color w:val="000000"/>
          <w:sz w:val="22"/>
        </w:rPr>
        <w:t xml:space="preserve">Extensions of Loans.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(i)Notwithstanding anything to the contrary in this Agreement, pursuant to one or more offers (each, an “</w:t>
      </w:r>
      <w:r>
        <w:rPr>
          <w:rFonts w:ascii="Times New Roman;sans-serif" w:hAnsi="Times New Roman;sans-serif"/>
          <w:b/>
          <w:color w:val="000000"/>
          <w:sz w:val="22"/>
        </w:rPr>
        <w:t>Extension Offer</w:t>
      </w:r>
      <w:r>
        <w:rPr>
          <w:color w:val="000000"/>
        </w:rPr>
        <w:t>”</w:t>
      </w:r>
      <w:r>
        <w:rPr>
          <w:rFonts w:ascii="Times New Roman;sans-serif" w:hAnsi="Times New Roman;sans-serif"/>
          <w:b w:val="false"/>
          <w:color w:val="000000"/>
          <w:sz w:val="22"/>
        </w:rPr>
        <w:t>) made from time to time by the Company to all Lenders holding Loans of any Class or Commitments of any Class, in each case on a pro rata basis (based on the aggregate outstanding principal amount of the respective Loans or Commitments of such Class) and on the same terms to each such Lender, the Company is hereby permitted from time to time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Times New Roman;sans-serif" w:hAnsi="Times New Roman;sans-serif"/>
          <w:b/>
          <w:color w:val="000000"/>
          <w:sz w:val="22"/>
        </w:rPr>
        <w:t>Extension</w:t>
      </w:r>
      <w:r>
        <w:rPr>
          <w:color w:val="000000"/>
        </w:rPr>
        <w:t>”</w:t>
      </w:r>
      <w:r>
        <w:rPr>
          <w:rFonts w:ascii="Times New Roman;sans-serif" w:hAnsi="Times New Roman;sans-serif"/>
          <w:b w:val="false"/>
          <w:color w:val="000000"/>
          <w:sz w:val="22"/>
        </w:rPr>
        <w:t>); it being understood that any Extended Term Loans shall constitute a separate Class of Loans from the Class of Loans from which they were converted: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(1)[Reserved];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(2)except as to (x) interest rates, fees, amortization, final maturity date, premiums, required prepayment dates and participation in prepayments (which shall, subject to immediately succeeding </w:t>
      </w:r>
      <w:r>
        <w:rPr>
          <w:rFonts w:ascii="Times New Roman;sans-serif" w:hAnsi="Times New Roman;sans-serif"/>
          <w:b w:val="false"/>
          <w:color w:val="000000"/>
          <w:sz w:val="22"/>
          <w:u w:val="single"/>
        </w:rPr>
        <w:t>clauses (iii)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(iv)</w:t>
      </w:r>
      <w:r>
        <w:rPr>
          <w:color w:val="000000"/>
        </w:rPr>
        <w:t>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(v)</w:t>
      </w:r>
      <w:r>
        <w:rPr>
          <w:rFonts w:ascii="Times New Roman;sans-serif" w:hAnsi="Times New Roman;sans-serif"/>
          <w:b w:val="false"/>
          <w:color w:val="000000"/>
          <w:sz w:val="22"/>
        </w:rPr>
        <w:t xml:space="preserve">, be determined by the Company and set forth in the relevant Extension Offer), (y) terms applicable to such Extended Term Loans that are more favorable to the lenders or the agent of such Extended Term Loans than those contained in the Loan Documents and are then conformed (or added) to the Loan Documents on or prior to the effectiveness of such Extension for the benefit of the Term Lenders or, as applicable, the Administrative Agent pursuant to the applicable Extension Amendment and (z) any covenants or other provisions applicable only to periods after the Latest Maturity Date (in each case, as of the date of such Extension), the Term Loans of any Lender extended pursuant to any Extension (any </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62890"/>
                <wp:effectExtent l="0" t="0" r="0" b="0"/>
                <wp:wrapNone/>
                <wp:docPr id="139" name="Frame13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such extended Term Loans, the “</w:t>
      </w:r>
      <w:r>
        <w:rPr>
          <w:rFonts w:ascii="Times New Roman;sans-serif" w:hAnsi="Times New Roman;sans-serif"/>
          <w:b/>
          <w:color w:val="000000"/>
          <w:sz w:val="22"/>
        </w:rPr>
        <w:t>Extended Term Loans</w:t>
      </w:r>
      <w:r>
        <w:rPr>
          <w:color w:val="000000"/>
        </w:rPr>
        <w:t>”</w:t>
      </w:r>
      <w:r>
        <w:rPr>
          <w:rFonts w:ascii="Times New Roman;sans-serif" w:hAnsi="Times New Roman;sans-serif"/>
          <w:b w:val="false"/>
          <w:color w:val="000000"/>
          <w:sz w:val="22"/>
        </w:rPr>
        <w:t>) shall have substantially consistent terms (or terms not less favorable to existing Lenders) as the tranche of Term Loans subject to the relevant Extension Offer;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(3)the final maturity date of any Extended Term Loans shall be no earlier than the then applicable Latest Maturity Date at the time of extension;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(4)the Weighted Average Life to Maturity of any Extended Term Loans shall be no shorter than the remaining Weighted Average Life to Maturity of the Term Loans or any other Extended Term Loans extended thereby;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(5)subject to </w:t>
      </w:r>
      <w:r>
        <w:rPr>
          <w:rFonts w:ascii="Times New Roman;sans-serif" w:hAnsi="Times New Roman;sans-serif"/>
          <w:b w:val="false"/>
          <w:color w:val="000000"/>
          <w:sz w:val="22"/>
          <w:u w:val="single"/>
        </w:rPr>
        <w:t>clauses (iii)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(iv)</w:t>
      </w:r>
      <w:r>
        <w:rPr>
          <w:color w:val="000000"/>
        </w:rPr>
        <w:t xml:space="preserve"> </w:t>
      </w:r>
      <w:r>
        <w:rPr>
          <w:rFonts w:ascii="Times New Roman;sans-serif" w:hAnsi="Times New Roman;sans-serif"/>
          <w:b w:val="false"/>
          <w:color w:val="000000"/>
          <w:sz w:val="22"/>
        </w:rPr>
        <w:t>above, any Extended Term Loans may otherwise have an amortization schedule as determined by the Company and the Lenders providing such Extended Term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(6)any Extended Term Loans may provide for the ability to participate (A) on a pro rata basis or non-pro rata basis in any voluntary prepayment of Term Loans made pursuant to </w:t>
      </w:r>
      <w:r>
        <w:rPr>
          <w:rFonts w:ascii="Times New Roman;sans-serif" w:hAnsi="Times New Roman;sans-serif"/>
          <w:b w:val="false"/>
          <w:color w:val="000000"/>
          <w:sz w:val="22"/>
          <w:u w:val="single"/>
        </w:rPr>
        <w:t>Section 2.11(a)</w:t>
      </w:r>
      <w:r>
        <w:rPr>
          <w:color w:val="000000"/>
        </w:rPr>
        <w:t xml:space="preserve"> </w:t>
      </w:r>
      <w:r>
        <w:rPr>
          <w:rFonts w:ascii="Times New Roman;sans-serif" w:hAnsi="Times New Roman;sans-serif"/>
          <w:b w:val="false"/>
          <w:color w:val="000000"/>
          <w:sz w:val="22"/>
        </w:rPr>
        <w:t xml:space="preserve">and (B) on a pro rata or less than pro rata basis (but not on a greater than pro rata basis other than in the case of prepayment with proceeds of Indebtedness refinancing such Extended Term Loans) in any mandatory prepayment of Term Loans required pursuant to </w:t>
      </w:r>
      <w:r>
        <w:rPr>
          <w:rFonts w:ascii="Times New Roman;sans-serif" w:hAnsi="Times New Roman;sans-serif"/>
          <w:b w:val="false"/>
          <w:color w:val="000000"/>
          <w:sz w:val="22"/>
          <w:u w:val="single"/>
        </w:rPr>
        <w:t>Section 2.11(b)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(7)if the aggregate principal amount of Loans or commitments, as the case may be, in respect of which Lenders shall have accepted the relevant Extension Offer exceeds the maximum aggregate principal amount of Loans or commitments, as the case may be, offered to be extended by the Company pursuant to such Extension Offer, then the Loans or commitments, as the case may be, of such Lenders shall be extended ratably up to such maximum amount based on the respective principal amounts (but not to exceed actual holdings of record) held by Lenders that have accepted such Extension Offer;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(8)unless the Administrative Agent otherwise agrees, each Extension shall be in a minimum amount of $5,000,000;</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(9)any applicable Minimum Extension Condition shall be satisfied or waived by the Company;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(10)all documentation in respect of such Extension shall be consistent with the foregoing.</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(ii)With respect to any Extension consummated pursuant to this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xml:space="preserve">, (i) no such Extension shall constitute a voluntary or mandatory prepayment for purposes of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(ii) the scheduled amortization payments (in so far as such schedule affects payments due to Lenders participating in the relevant Class) set forth in </w:t>
      </w:r>
      <w:r>
        <w:rPr>
          <w:rFonts w:ascii="Times New Roman;sans-serif" w:hAnsi="Times New Roman;sans-serif"/>
          <w:b w:val="false"/>
          <w:color w:val="000000"/>
          <w:sz w:val="22"/>
          <w:u w:val="single"/>
        </w:rPr>
        <w:t>Section 2.10</w:t>
      </w:r>
      <w:r>
        <w:rPr>
          <w:color w:val="000000"/>
        </w:rPr>
        <w:t xml:space="preserve"> </w:t>
      </w:r>
      <w:r>
        <w:rPr>
          <w:rFonts w:ascii="Times New Roman;sans-serif" w:hAnsi="Times New Roman;sans-serif"/>
          <w:b w:val="false"/>
          <w:color w:val="000000"/>
          <w:sz w:val="22"/>
        </w:rPr>
        <w:t xml:space="preserve">shall be adjusted to give effect to such Extension of the relevant Class and (iii) except as set forth in </w:t>
      </w:r>
      <w:r>
        <w:rPr>
          <w:rFonts w:ascii="Times New Roman;sans-serif" w:hAnsi="Times New Roman;sans-serif"/>
          <w:b w:val="false"/>
          <w:color w:val="000000"/>
          <w:sz w:val="22"/>
          <w:u w:val="single"/>
        </w:rPr>
        <w:t>clause (a)(viii)</w:t>
      </w:r>
      <w:r>
        <w:rPr>
          <w:color w:val="000000"/>
        </w:rPr>
        <w:t xml:space="preserve"> </w:t>
      </w:r>
      <w:r>
        <w:rPr>
          <w:rFonts w:ascii="Times New Roman;sans-serif" w:hAnsi="Times New Roman;sans-serif"/>
          <w:b w:val="false"/>
          <w:color w:val="000000"/>
          <w:sz w:val="22"/>
        </w:rPr>
        <w:t xml:space="preserve">above, no Extension Offer is required to be in any minimum amount or any minimum increment;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may, at its election, specify as a condition (a “</w:t>
      </w:r>
      <w:r>
        <w:rPr>
          <w:rFonts w:ascii="Times New Roman;sans-serif" w:hAnsi="Times New Roman;sans-serif"/>
          <w:b/>
          <w:color w:val="000000"/>
          <w:sz w:val="22"/>
        </w:rPr>
        <w:t>Minimum Extension Condition</w:t>
      </w:r>
      <w:r>
        <w:rPr>
          <w:color w:val="000000"/>
        </w:rPr>
        <w:t>”</w:t>
      </w:r>
      <w:r>
        <w:rPr>
          <w:rFonts w:ascii="Times New Roman;sans-serif" w:hAnsi="Times New Roman;sans-serif"/>
          <w:b w:val="false"/>
          <w:color w:val="000000"/>
          <w:sz w:val="22"/>
        </w:rPr>
        <w:t xml:space="preserve">) to consummating such Extension that a minimum amount (to be determined and specified in the relevant Extension Offer in the Company’s sole discretion and which may be waived by the Company in its sole discretion) of Loans or commitments (as applicable) of any or all applicable Classes be tendered. The Administrative Agent and the Lenders hereby consent to the transactions contemplated by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(including, for the avoidance of doubt, any payment of any interest, fees or premium in respect of any tranche of Extended Term Loans on such terms as may be set forth in the relevant Extension Offer) and hereby waive the requirements of any provision of this Agreement (including </w:t>
      </w:r>
      <w:r>
        <w:rPr>
          <w:rFonts w:ascii="Times New Roman;sans-serif" w:hAnsi="Times New Roman;sans-serif"/>
          <w:b w:val="false"/>
          <w:color w:val="000000"/>
          <w:sz w:val="22"/>
          <w:u w:val="single"/>
        </w:rPr>
        <w:t>Sections 2.10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2.18</w:t>
      </w:r>
      <w:r>
        <w:rPr>
          <w:rFonts w:ascii="Times New Roman;sans-serif" w:hAnsi="Times New Roman;sans-serif"/>
          <w:b w:val="false"/>
          <w:color w:val="000000"/>
          <w:sz w:val="22"/>
        </w:rPr>
        <w:t>) or any other Loan Document that may otherwise prohibit any Extension or any other transaction contemplated by this Section.</w:t>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(iii)No consent of any Lender or the Administrative Agent shall be required to effectuate any Extension, other than the consent of each Lender agreeing to such Extension with respect to one or more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62890"/>
                <wp:effectExtent l="0" t="0" r="0" b="0"/>
                <wp:wrapNone/>
                <wp:docPr id="140" name="Frame14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of its Loans and/or commitments under any Class (or a portion thereof). All Extended Term Loans and all obligations in respect thereof shall constitute Secured Obligations under this Agreement and the other Loan Documents that are secured by the Collateral and guaranteed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basis with all other Secured Obligations under this Agreement and the other Loan Documents. The Lenders hereby irrevocably authorize the Administrative Agent to enter into any Extension Amendment and such other amendments to this Agreement and the other Loan Documents as may be necessary in order to establish new Classes or sub-Classes in respect of Loans or commitments so extended and such technical amendments as may be necessary or appropriate in the reasonable opinion of the Administrative Agent and the Company in connection with the establishment of such new Classes or sub-Classes, in each case on terms consistent with this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(iv)In connection with any Extension, the Company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w:t>
      </w:r>
    </w:p>
    <w:p>
      <w:pPr>
        <w:pStyle w:val="TextBody"/>
        <w:bidi w:val="0"/>
        <w:spacing w:lineRule="auto" w:line="240" w:before="0" w:after="240"/>
        <w:jc w:val="center"/>
        <w:rPr/>
      </w:pPr>
      <w:r>
        <w:rPr>
          <w:rFonts w:ascii="Times New Roman;sans-serif" w:hAnsi="Times New Roman;sans-serif"/>
          <w:b w:val="false"/>
          <w:color w:val="000000"/>
          <w:sz w:val="22"/>
        </w:rPr>
        <w:t>Article 3</w:t>
      </w:r>
      <w:r>
        <w:rPr>
          <w:rFonts w:ascii="Times New Roman;sans-serif" w:hAnsi="Times New Roman;sans-serif"/>
          <w:b w:val="false"/>
          <w:color w:val="000000"/>
          <w:sz w:val="22"/>
        </w:rPr>
        <w:t>REPRESENTATIONS AND WARRANTIES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represents and warrants to the Lenders that:</w:t>
      </w:r>
    </w:p>
    <w:p>
      <w:pPr>
        <w:pStyle w:val="TextBody"/>
        <w:bidi w:val="0"/>
        <w:spacing w:lineRule="auto" w:line="240" w:before="0" w:after="240"/>
        <w:jc w:val="both"/>
        <w:rPr/>
      </w:pPr>
      <w:r>
        <w:rPr>
          <w:rFonts w:ascii="Times New Roman;sans-serif" w:hAnsi="Times New Roman;sans-serif"/>
          <w:b w:val="false"/>
          <w:color w:val="000000"/>
          <w:sz w:val="22"/>
        </w:rPr>
        <w:t>Section 1.0a.</w:t>
      </w:r>
      <w:r>
        <w:rPr>
          <w:rFonts w:ascii="Times New Roman;sans-serif" w:hAnsi="Times New Roman;sans-serif"/>
          <w:b w:val="false"/>
          <w:color w:val="000000"/>
          <w:sz w:val="22"/>
        </w:rPr>
        <w:t>Corporate Existence and Power. Each Loan Party is duly organized, validly existing and in good standing under the laws of the jurisdiction of its organization and has all corporate or other organizational power and authority required to carry on its business as now conducted.</w:t>
      </w:r>
    </w:p>
    <w:p>
      <w:pPr>
        <w:pStyle w:val="TextBody"/>
        <w:bidi w:val="0"/>
        <w:spacing w:lineRule="auto" w:line="240" w:before="0" w:after="240"/>
        <w:jc w:val="both"/>
        <w:rPr/>
      </w:pPr>
      <w:r>
        <w:rPr>
          <w:rFonts w:ascii="Times New Roman;sans-serif" w:hAnsi="Times New Roman;sans-serif"/>
          <w:b w:val="false"/>
          <w:color w:val="000000"/>
          <w:sz w:val="22"/>
        </w:rPr>
        <w:t>Section 1.0b.</w:t>
      </w:r>
      <w:r>
        <w:rPr>
          <w:rFonts w:ascii="Times New Roman;sans-serif" w:hAnsi="Times New Roman;sans-serif"/>
          <w:b w:val="false"/>
          <w:color w:val="000000"/>
          <w:sz w:val="22"/>
        </w:rPr>
        <w:t>Corporate and Governmental Authorization; No Contravention. The Transactions to be entered into by each Loan Party are within such Loan Party’s corporate or other organizational power, have been duly authorized by all necessary corporate or other organizational action, require no action by or in respect of, or filing with, any governmental body, agency or official (other than the filing of reports with the Securities and Exchange Commission and filings necessary to satisfy the Collateral and Guarantee Requirement) and do not contravene, or constitute a default under, any provision of applicable law or regulation or of the certificate of incorporation, bylaws or other organizational documents of such Loan Party or of any agreement, judgment, injunction, order, decree or other instrument binding upon such Loan Party, in each case where the failure to take such action, make such filing or such contravention or default would reasonably be expected to have a Material Adverse Effect.</w:t>
      </w:r>
    </w:p>
    <w:p>
      <w:pPr>
        <w:pStyle w:val="TextBody"/>
        <w:bidi w:val="0"/>
        <w:spacing w:lineRule="auto" w:line="240" w:before="0" w:after="240"/>
        <w:jc w:val="both"/>
        <w:rPr/>
      </w:pPr>
      <w:r>
        <w:rPr>
          <w:rFonts w:ascii="Times New Roman;sans-serif" w:hAnsi="Times New Roman;sans-serif"/>
          <w:b w:val="false"/>
          <w:color w:val="000000"/>
          <w:sz w:val="22"/>
        </w:rPr>
        <w:t>Section 1.0c.</w:t>
      </w:r>
      <w:r>
        <w:rPr>
          <w:rFonts w:ascii="Times New Roman;sans-serif" w:hAnsi="Times New Roman;sans-serif"/>
          <w:b w:val="false"/>
          <w:color w:val="000000"/>
          <w:sz w:val="22"/>
        </w:rPr>
        <w:t>Binding Effect. This Agreement has been duly executed and delivered by the Company and constitutes, and each Collateral Agreement (at such times as the Collateral and Guarantee Requirement is required to be satisfied) has been duly executed and delivered by the Company and each Material Subsidiary party thereto and constitutes, a valid and binding obligation of the Company (or such Material Subsidiary, if applicable), enforceable in accordance with its terms, subject to applicable bankruptcy, insolvency and other similar laws affecting creditors’ rights generally, concepts of reasonableness and general principles of equity, regardless of whether considered in a proceeding in equity or at law.</w:t>
      </w:r>
    </w:p>
    <w:p>
      <w:pPr>
        <w:pStyle w:val="TextBody"/>
        <w:bidi w:val="0"/>
        <w:spacing w:lineRule="auto" w:line="240" w:before="0" w:after="240"/>
        <w:jc w:val="both"/>
        <w:rPr/>
      </w:pPr>
      <w:r>
        <w:rPr>
          <w:rFonts w:ascii="Times New Roman;sans-serif" w:hAnsi="Times New Roman;sans-serif"/>
          <w:b w:val="false"/>
          <w:color w:val="000000"/>
          <w:sz w:val="22"/>
        </w:rPr>
        <w:t>Section 1.0d.</w:t>
      </w:r>
      <w:r>
        <w:rPr>
          <w:rFonts w:ascii="Times New Roman;sans-serif" w:hAnsi="Times New Roman;sans-serif"/>
          <w:b w:val="false"/>
          <w:color w:val="000000"/>
          <w:sz w:val="22"/>
        </w:rPr>
        <w:t xml:space="preserve">Financial Information.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(i)The consolidated balance sheet of the Company and the Subsidiaries and the related consolidated statements of income, shareholders’ equity and cash flows as of and for (i) the fiscal year of the Company ended January 30, 2021, reported on by Ernst &amp; Young LLP and set forth in the Registration Statement and (ii) the fiscal quarter of the Company ended May 1, 2021, certified by a Responsible Officer of the Company, in each case fairly present, in conformity with GAAP, the consolidated financial position of the Company and the Subsidiaries as of such date and their consolidated results of operations and cash flows for such fiscal year of the Company or portion of such fiscal year, as applicable (in the case of clause (ii), subject to changes resulting from audit and normal year-end adjustments and the absence of footnotes).</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62890"/>
                <wp:effectExtent l="0" t="0" r="0" b="0"/>
                <wp:wrapNone/>
                <wp:docPr id="141" name="Frame14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(ii)From January 30, 2021 to the date hereof, there has been no material adverse change in the business, financial position or results of operations of the Company and the Restricted Subsidiaries, considered as a whole.</w:t>
      </w:r>
    </w:p>
    <w:p>
      <w:pPr>
        <w:pStyle w:val="TextBody"/>
        <w:bidi w:val="0"/>
        <w:spacing w:lineRule="auto" w:line="240" w:before="0" w:after="240"/>
        <w:jc w:val="both"/>
        <w:rPr/>
      </w:pPr>
      <w:r>
        <w:rPr>
          <w:rFonts w:ascii="Times New Roman;sans-serif" w:hAnsi="Times New Roman;sans-serif"/>
          <w:b w:val="false"/>
          <w:color w:val="000000"/>
          <w:sz w:val="22"/>
        </w:rPr>
        <w:t>Section 1.0e.</w:t>
      </w:r>
      <w:r>
        <w:rPr>
          <w:rFonts w:ascii="Times New Roman;sans-serif" w:hAnsi="Times New Roman;sans-serif"/>
          <w:b w:val="false"/>
          <w:color w:val="000000"/>
          <w:sz w:val="22"/>
        </w:rPr>
        <w:t xml:space="preserve">Litigation and Environmental Matters.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(i)Except for the Disclosed Matters, there is no action, suit or proceeding pending against, or to the knowledge of the Company threatened against or affecting, the Company or any Restricted Subsidiary before any court or arbitrator or any governmental body, agency or official in which there is, in the good faith judgment of the Company (which shall be conclusive), a reasonable possibility of an adverse decision and, which would reasonably be expected to have a Material Adverse Effect.</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(ii)Except with respect to any matters that, individually or in the aggregate, are not reasonably expected in the good faith judgment of the Company (which shall be conclusive) to have a Material Adverse Effect, neither the Company nor any of the Restricted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(iii)Since January 30, 2021, there has been no change in the status of the Disclosed Matters that, individually or in the aggregate in the good faith judgment of the Company (which shall be conclusive), has resulted in a Material Adverse Effect.</w:t>
      </w:r>
    </w:p>
    <w:p>
      <w:pPr>
        <w:pStyle w:val="TextBody"/>
        <w:bidi w:val="0"/>
        <w:spacing w:lineRule="auto" w:line="240" w:before="0" w:after="240"/>
        <w:jc w:val="both"/>
        <w:rPr/>
      </w:pPr>
      <w:r>
        <w:rPr>
          <w:rFonts w:ascii="Times New Roman;sans-serif" w:hAnsi="Times New Roman;sans-serif"/>
          <w:b w:val="false"/>
          <w:color w:val="000000"/>
          <w:sz w:val="22"/>
        </w:rPr>
        <w:t>Section 1.0f.</w:t>
      </w:r>
      <w:r>
        <w:rPr>
          <w:rFonts w:ascii="Times New Roman;sans-serif" w:hAnsi="Times New Roman;sans-serif"/>
          <w:b w:val="false"/>
          <w:color w:val="000000"/>
          <w:sz w:val="22"/>
        </w:rPr>
        <w:t>Anti-Corruption Laws and Sanctions. The Company has implemented and maintains in effect policies and procedures designed to promote compliance by the Company, its Restricted Subsidiaries and their respective directors, officers, employees and agents (acting in their capacity as such) with the FCPA, the U.K. Bribery Act 2010 and applicable Sanctions, and the Company and each of its Restricted Subsidiaries, to the knowledge of the Company, is in compliance with all Anti-Corruption Laws, applicable Sanctions, and, to the extent applicable, the USA Patriot Act, in all material respects. None of the Company or any Restricted Subsidiary, or, to the knowledge of the Company, any director, officer, employee or agent with respect to the facility of the Company or any Restricted Subsidiary, is a Sanctioned Person. This Section applies, other than to the extent that such representation and warranty would result in a violation of Council Regulation (EC) No 2271/96, as amended (or any implementing law or regulation in any member state of the European Union or the United Kingdom).</w:t>
      </w:r>
    </w:p>
    <w:p>
      <w:pPr>
        <w:pStyle w:val="TextBody"/>
        <w:bidi w:val="0"/>
        <w:spacing w:lineRule="auto" w:line="240" w:before="0" w:after="240"/>
        <w:jc w:val="both"/>
        <w:rPr/>
      </w:pPr>
      <w:r>
        <w:rPr>
          <w:rFonts w:ascii="Times New Roman;sans-serif" w:hAnsi="Times New Roman;sans-serif"/>
          <w:b w:val="false"/>
          <w:color w:val="000000"/>
          <w:sz w:val="22"/>
        </w:rPr>
        <w:t>Section 1.0g.</w:t>
      </w:r>
      <w:r>
        <w:rPr>
          <w:rFonts w:ascii="Times New Roman;sans-serif" w:hAnsi="Times New Roman;sans-serif"/>
          <w:b w:val="false"/>
          <w:color w:val="000000"/>
          <w:sz w:val="22"/>
        </w:rPr>
        <w:t xml:space="preserve">Subsidiaries.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(i)Each of the Restricted Subsidiaries is a corporation, limited liability company or partnership duly organized, validly existing and, to the extent applicable, in good standing under the laws of its jurisdiction of organization, and has all requisite power and authority required to carry on its business as now conducted except to the extent that the failure of any such Restricted Subsidiary to be so organized, existing or in good standing or to have such power and authority is not reasonably expected by the Company to have a Material Adverse Effect.</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(ii)Schedule 3.07 hereto completely and accurately sets forth the names and jurisdictions of organization of each Restricted Subsidiary that is a Domestic Subsidiary as of the Closing Date, indicating for each such Subsidiary whether it is a Material Subsidiary as of the Closing Date.</w:t>
      </w:r>
    </w:p>
    <w:p>
      <w:pPr>
        <w:pStyle w:val="TextBody"/>
        <w:bidi w:val="0"/>
        <w:spacing w:lineRule="auto" w:line="240" w:before="0" w:after="240"/>
        <w:jc w:val="both"/>
        <w:rPr/>
      </w:pPr>
      <w:r>
        <w:rPr>
          <w:rFonts w:ascii="Times New Roman;sans-serif" w:hAnsi="Times New Roman;sans-serif"/>
          <w:b w:val="false"/>
          <w:color w:val="000000"/>
          <w:sz w:val="22"/>
        </w:rPr>
        <w:t>Section 1.0h.</w:t>
      </w:r>
      <w:r>
        <w:rPr>
          <w:rFonts w:ascii="Times New Roman;sans-serif" w:hAnsi="Times New Roman;sans-serif"/>
          <w:b w:val="false"/>
          <w:color w:val="000000"/>
          <w:sz w:val="22"/>
        </w:rPr>
        <w:t>Not an Investment Company. None of the Company or the Subsidiary Loan Parties is required to register as an “investment company” under (and within the meaning of) the Investment Company Act of 1940, as amended.</w:t>
      </w:r>
    </w:p>
    <w:p>
      <w:pPr>
        <w:pStyle w:val="TextBody"/>
        <w:bidi w:val="0"/>
        <w:spacing w:lineRule="auto" w:line="240" w:before="0" w:after="240"/>
        <w:jc w:val="both"/>
        <w:rPr/>
      </w:pPr>
      <w:r>
        <w:rPr>
          <w:rFonts w:ascii="Times New Roman;sans-serif" w:hAnsi="Times New Roman;sans-serif"/>
          <w:b w:val="false"/>
          <w:color w:val="000000"/>
          <w:sz w:val="22"/>
        </w:rPr>
        <w:t>Section 1.0i.</w:t>
      </w:r>
      <w:r>
        <w:rPr>
          <w:rFonts w:ascii="Times New Roman;sans-serif" w:hAnsi="Times New Roman;sans-serif"/>
          <w:b w:val="false"/>
          <w:color w:val="000000"/>
          <w:sz w:val="22"/>
        </w:rPr>
        <w:t xml:space="preserve">ERISA. The Company and its ERISA Affiliates (i) have fulfilled their material obligations, whether or not waived, under the minimum funding standards of Section 302 of ERISA and Section 412 of the Code with respect to each Plan, (ii) are in compliance in all material respects with the presently applicable provisions of ERISA and the Code and (iii) have not incurred any liability in excess of $300,000,000 to the PBGC or a Plan under Title IV of ERISA other than a liability to the PBGC for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62890"/>
                <wp:effectExtent l="0" t="0" r="0" b="0"/>
                <wp:wrapNone/>
                <wp:docPr id="142" name="Frame14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premiums under Section 4007 of ERISA;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this sentence shall not apply to (x) any ERISA Affiliate as described in Section 414(m) of the Code (other than the Company or a Subsidiary) or any Plan maintained by such an ERISA Affiliate or (y) any Multiemployer Plan. The Company and its Subsidiaries have made all material payments to Multiemployer Plans which they have been required to make under the related collective bargaining agreement or applicable law. As of the Closing Date, the Company and its Subsidiaries do not contribute to or have an obligation to contribute to a Multiemployer Plan, nor have they contributed or had an obligation to contribute to a Multiemployer Plan in the preceding six years.</w:t>
      </w:r>
    </w:p>
    <w:p>
      <w:pPr>
        <w:pStyle w:val="TextBody"/>
        <w:bidi w:val="0"/>
        <w:spacing w:lineRule="auto" w:line="240" w:before="0" w:after="2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Taxes. The Company and its Restricted Subsidiaries have filed all United States federal income tax returns and all other material tax returns which, in the opinion of the Company, are required to be filed by them and have paid all taxes due pursuant to such returns or pursuant to any assessment received by the Company or any Restricted Subsidiary, except for assessments which are being contested in good faith by appropriate proceedings or where the failure to do any of the foregoing would not reasonably be expected to have a Material Adverse Effect. The charges, accruals and reserves on the books of the Company and its Restricted Subsidiaries in respect of taxes or other governmental charges are, in the opinion of the Company, adequate.</w:t>
      </w:r>
    </w:p>
    <w:p>
      <w:pPr>
        <w:pStyle w:val="TextBody"/>
        <w:bidi w:val="0"/>
        <w:spacing w:lineRule="auto" w:line="240" w:before="0" w:after="240"/>
        <w:jc w:val="center"/>
        <w:rPr/>
      </w:pPr>
      <w:r>
        <w:rPr>
          <w:rFonts w:ascii="Times New Roman;sans-serif" w:hAnsi="Times New Roman;sans-serif"/>
          <w:b w:val="false"/>
          <w:color w:val="000000"/>
          <w:sz w:val="22"/>
        </w:rPr>
        <w:t>Article 4</w:t>
      </w:r>
      <w:r>
        <w:rPr>
          <w:rFonts w:ascii="Times New Roman;sans-serif" w:hAnsi="Times New Roman;sans-serif"/>
          <w:b w:val="false"/>
          <w:color w:val="000000"/>
          <w:sz w:val="22"/>
        </w:rPr>
        <w:t>CONDITIONS</w:t>
      </w:r>
    </w:p>
    <w:p>
      <w:pPr>
        <w:pStyle w:val="TextBody"/>
        <w:bidi w:val="0"/>
        <w:spacing w:lineRule="auto" w:line="240" w:before="0" w:after="240"/>
        <w:jc w:val="both"/>
        <w:rPr/>
      </w:pPr>
      <w:r>
        <w:rPr>
          <w:rFonts w:ascii="Times New Roman;sans-serif" w:hAnsi="Times New Roman;sans-serif"/>
          <w:b w:val="false"/>
          <w:color w:val="000000"/>
          <w:sz w:val="22"/>
        </w:rPr>
        <w:t>Section 1.0a.</w:t>
      </w:r>
      <w:r>
        <w:rPr>
          <w:rFonts w:ascii="Times New Roman;sans-serif" w:hAnsi="Times New Roman;sans-serif"/>
          <w:b w:val="false"/>
          <w:color w:val="000000"/>
          <w:sz w:val="22"/>
        </w:rPr>
        <w:t xml:space="preserve">Closing Date. The obligations of each Lender to make Loans shall not become effective until the date on which each of the following conditions is satisfied (or waived in accordance with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Credit Agreement and Loan Documents</w:t>
      </w:r>
      <w:r>
        <w:rPr>
          <w:rFonts w:ascii="Times New Roman;sans-serif" w:hAnsi="Times New Roman;sans-serif"/>
          <w:b w:val="false"/>
          <w:color w:val="000000"/>
          <w:sz w:val="22"/>
        </w:rPr>
        <w:t xml:space="preserve">. The Administrative Agent (or its counsel) shall have received from each Loan Party party thereto (i) a counterpart signed by each such Loan Party (or written evidence reasonably satisfactory to the Administrative Agent (which may include a copy transmitted by facsimile or other electronic method) that such party has signed a counterpart) of (A) this Agreement, (B) the Collateral Agreement and the ABL Intercreditor Agreement, (C) [reserved] and (D) any Promissory Note requested by a Lender at least three Business Days prior to the Closing Date and (ii) a Borrowing Request as required by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Legal Opinions</w:t>
      </w:r>
      <w:r>
        <w:rPr>
          <w:rFonts w:ascii="Times New Roman;sans-serif" w:hAnsi="Times New Roman;sans-serif"/>
          <w:b w:val="false"/>
          <w:color w:val="000000"/>
          <w:sz w:val="22"/>
        </w:rPr>
        <w:t>. The Administrative Agent (or its counsel) shall have received, on behalf of itself and the Lenders on the Closing Date, a customary written opinion of (i) Davis Polk &amp; Wardwell LLP, in its capacity as special New York counsel to the Loan Parties and (ii) Morris, Nichols, Arsht &amp; Tunnell LLP, in its capacity as special Delaware counsel to the Loan Parties, in each case, dated the Closing Date and addressed to the Administrative Agent and the Lenders.</w:t>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(iii)[Reserved].</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Organization; Existence etc.; Closing Certificates</w:t>
      </w:r>
      <w:r>
        <w:rPr>
          <w:rFonts w:ascii="Times New Roman;sans-serif" w:hAnsi="Times New Roman;sans-serif"/>
          <w:b w:val="false"/>
          <w:color w:val="000000"/>
          <w:sz w:val="22"/>
        </w:rPr>
        <w:t>. The Administrative Agent shall have received (i) such documents and certificates as the Administrative Agent or its counsel may reasonably request relating to the organization, existence and good standing of the Loan Parties, the authorization by the Loan Parties of the transactions contemplated hereby and any other legal matters relating to the Loan Parties or the transactions contemplated hereby, all in form and substance reasonably satisfactory to the Administrative Agent and its counsel) and (ii) a certificate of the Company, dated the Closing Date and executed by a secretary, assistant secretary or other senior officer (as the case may be) thereof, confirming (A) the representations and warranties set forth in Article 3 of this Agreement and (B) no Default has occurred and is continuing.</w:t>
      </w:r>
    </w:p>
    <w:p>
      <w:pPr>
        <w:pStyle w:val="TextBody"/>
        <w:bidi w:val="0"/>
        <w:spacing w:lineRule="auto" w:line="240" w:before="0" w:after="240"/>
        <w:ind w:left="0" w:right="0" w:firstLine="1184"/>
        <w:jc w:val="both"/>
        <w:rPr>
          <w:rFonts w:ascii="Times New Roman;sans-serif" w:hAnsi="Times New Roman;sans-serif"/>
          <w:b w:val="false"/>
          <w:color w:val="000000"/>
          <w:sz w:val="22"/>
        </w:rPr>
      </w:pPr>
      <w:r>
        <w:rPr>
          <w:rFonts w:ascii="Times New Roman;sans-serif" w:hAnsi="Times New Roman;sans-serif"/>
          <w:b w:val="false"/>
          <w:color w:val="000000"/>
          <w:sz w:val="22"/>
        </w:rPr>
        <w:t>(v)[Reserved].</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xml:space="preserve">. Prior to or substantially concurrently with the funding of the Initial Term Loans hereunder, the Administrative Agent shall have received (i) all fees required to be paid by the Company on the Closing Date pursuant to the Fee Letter and any separate letter agreement with respect to fees payable to the Administrative Agent and (ii) all expenses required to be paid by the Company for which invoices have been presented at least three Business Days prior to the Closing Date (including the reasonable and documented fees and expenses of a single legal counsel for the Administrative Agent), in </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62890"/>
                <wp:effectExtent l="0" t="0" r="0" b="0"/>
                <wp:wrapNone/>
                <wp:docPr id="143" name="Frame14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case on or before the Closing Date, which amounts, in the Company’s sole discretion, may be offset against the proceeds of the Loans or may be paid from the proceeds of the Initial Term Loans.</w:t>
      </w:r>
    </w:p>
    <w:p>
      <w:pPr>
        <w:pStyle w:val="TextBody"/>
        <w:bidi w:val="0"/>
        <w:spacing w:lineRule="auto" w:line="240" w:before="0" w:after="240"/>
        <w:ind w:left="0" w:right="0" w:firstLine="1062"/>
        <w:jc w:val="both"/>
        <w:rPr>
          <w:rFonts w:ascii="Times New Roman;sans-serif" w:hAnsi="Times New Roman;sans-serif"/>
          <w:b w:val="false"/>
          <w:color w:val="000000"/>
          <w:sz w:val="22"/>
        </w:rPr>
      </w:pPr>
      <w:r>
        <w:rPr>
          <w:rFonts w:ascii="Times New Roman;sans-serif" w:hAnsi="Times New Roman;sans-serif"/>
          <w:b w:val="false"/>
          <w:color w:val="000000"/>
          <w:sz w:val="22"/>
        </w:rPr>
        <w:t>(vii)[Reserved].</w:t>
      </w:r>
    </w:p>
    <w:p>
      <w:pPr>
        <w:pStyle w:val="TextBody"/>
        <w:bidi w:val="0"/>
        <w:spacing w:lineRule="auto" w:line="240" w:before="0" w:after="240"/>
        <w:ind w:left="0" w:right="0" w:firstLine="1001"/>
        <w:jc w:val="both"/>
        <w:rPr>
          <w:rFonts w:ascii="Times New Roman;sans-serif" w:hAnsi="Times New Roman;sans-serif"/>
          <w:b w:val="false"/>
          <w:color w:val="000000"/>
          <w:sz w:val="22"/>
        </w:rPr>
      </w:pPr>
      <w:r>
        <w:rPr>
          <w:rFonts w:ascii="Times New Roman;sans-serif" w:hAnsi="Times New Roman;sans-serif"/>
          <w:b w:val="false"/>
          <w:color w:val="000000"/>
          <w:sz w:val="22"/>
        </w:rPr>
        <w:t>(viii)[Reserved].</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(ix)[Reserved].</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xml:space="preserve">. The Administrative Agent shall have received a certificate dated as of the Closing Date in substantially the form of </w:t>
      </w:r>
      <w:r>
        <w:rPr>
          <w:rFonts w:ascii="Times New Roman;sans-serif" w:hAnsi="Times New Roman;sans-serif"/>
          <w:b w:val="false"/>
          <w:color w:val="000000"/>
          <w:sz w:val="22"/>
          <w:u w:val="single"/>
        </w:rPr>
        <w:t>Exhibit K</w:t>
      </w:r>
      <w:r>
        <w:rPr>
          <w:color w:val="000000"/>
        </w:rPr>
        <w:t xml:space="preserve"> </w:t>
      </w:r>
      <w:r>
        <w:rPr>
          <w:rFonts w:ascii="Times New Roman;sans-serif" w:hAnsi="Times New Roman;sans-serif"/>
          <w:b w:val="false"/>
          <w:color w:val="000000"/>
          <w:sz w:val="22"/>
        </w:rPr>
        <w:t>from the chief financial officer (or other officer with reasonably equivalent responsibilities) of the Company certifying as to the matters set forth therein (or, at the option of the Company, a third party opinion as to the solvency of the Company and its Subsidiaries on a consolidated basis issued by a nationally recognized firm).</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u w:val="single"/>
        </w:rPr>
        <w:t>Perfection Certificate</w:t>
      </w:r>
      <w:r>
        <w:rPr>
          <w:rFonts w:ascii="Times New Roman;sans-serif" w:hAnsi="Times New Roman;sans-serif"/>
          <w:b w:val="false"/>
          <w:color w:val="000000"/>
          <w:sz w:val="22"/>
        </w:rPr>
        <w:t>. The Administrative Agent shall have received a completed Perfection Certificate dated the Closing Date and signed by a Responsible Officer of each Loan Party (or by the Company on behalf of each Loan Party), together with all attachments contemplated thereby.</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(xii)</w:t>
      </w:r>
      <w:r>
        <w:rPr>
          <w:rFonts w:ascii="Times New Roman;sans-serif" w:hAnsi="Times New Roman;sans-serif"/>
          <w:b w:val="false"/>
          <w:color w:val="000000"/>
          <w:sz w:val="22"/>
          <w:u w:val="single"/>
        </w:rPr>
        <w:t>Pledged Stock; Stock Powers; Pledged Notes</w:t>
      </w:r>
      <w:r>
        <w:rPr>
          <w:rFonts w:ascii="Times New Roman;sans-serif" w:hAnsi="Times New Roman;sans-serif"/>
          <w:b w:val="false"/>
          <w:color w:val="000000"/>
          <w:sz w:val="22"/>
        </w:rPr>
        <w:t>. To the extent delivery thereof is required under the Collateral Agreement, the Administrative Agent (or its bailee) shall have received (i) the certificates representing the Capital Stock required to be pledged pursuant to the Collateral Agreement, together with an undated stock or similar power for each such certificate executed in blank by a duly authorized officer of the pledgor thereof and (ii) each Material Debt Instrument (if any) required to be pledged pursuant to the Collateral Agreement endorsed (without recourse) in blank (or accompanied by an executed transfer form in blank) by the pledgor thereof.</w:t>
      </w:r>
    </w:p>
    <w:p>
      <w:pPr>
        <w:pStyle w:val="TextBody"/>
        <w:bidi w:val="0"/>
        <w:spacing w:lineRule="auto" w:line="240" w:before="0" w:after="240"/>
        <w:ind w:left="0" w:right="0" w:firstLine="1001"/>
        <w:jc w:val="both"/>
        <w:rPr/>
      </w:pPr>
      <w:r>
        <w:rPr>
          <w:rFonts w:ascii="Times New Roman;sans-serif" w:hAnsi="Times New Roman;sans-serif"/>
          <w:b w:val="false"/>
          <w:color w:val="000000"/>
          <w:sz w:val="22"/>
        </w:rPr>
        <w:t>(xiii)</w:t>
      </w:r>
      <w:r>
        <w:rPr>
          <w:rFonts w:ascii="Times New Roman;sans-serif" w:hAnsi="Times New Roman;sans-serif"/>
          <w:b w:val="false"/>
          <w:color w:val="000000"/>
          <w:sz w:val="22"/>
          <w:u w:val="single"/>
        </w:rPr>
        <w:t>Filings Registrations and Recordings</w:t>
      </w:r>
      <w:r>
        <w:rPr>
          <w:rFonts w:ascii="Times New Roman;sans-serif" w:hAnsi="Times New Roman;sans-serif"/>
          <w:b w:val="false"/>
          <w:color w:val="000000"/>
          <w:sz w:val="22"/>
        </w:rPr>
        <w:t>. Each document (including any UCC financing statement) required by any Collateral Document or under law, to be filed, registered or recorded in order to create in favor of the Collateral Agent, for the benefit of the Secured Parties, a perfected lien on the Collateral described therein, prior and superior in right to any other person (other than as permitted or contemplated by this Agreement and any Collateral Document), shall have been so filed, registered or recorded (or shall be provided for to the reasonable satisfaction of the Administrative Agent).</w:t>
      </w:r>
    </w:p>
    <w:p>
      <w:pPr>
        <w:pStyle w:val="TextBody"/>
        <w:bidi w:val="0"/>
        <w:spacing w:lineRule="auto" w:line="240" w:before="0" w:after="240"/>
        <w:ind w:left="0" w:right="0" w:firstLine="1013"/>
        <w:jc w:val="both"/>
        <w:rPr/>
      </w:pPr>
      <w:r>
        <w:rPr>
          <w:rFonts w:ascii="Times New Roman;sans-serif" w:hAnsi="Times New Roman;sans-serif"/>
          <w:b w:val="false"/>
          <w:color w:val="000000"/>
          <w:sz w:val="22"/>
        </w:rPr>
        <w:t>(xiv)</w:t>
      </w:r>
      <w:r>
        <w:rPr>
          <w:rFonts w:ascii="Times New Roman;sans-serif" w:hAnsi="Times New Roman;sans-serif"/>
          <w:b w:val="false"/>
          <w:color w:val="000000"/>
          <w:sz w:val="22"/>
          <w:u w:val="single"/>
        </w:rPr>
        <w:t>Separation</w:t>
      </w:r>
      <w:r>
        <w:rPr>
          <w:rFonts w:ascii="Times New Roman;sans-serif" w:hAnsi="Times New Roman;sans-serif"/>
          <w:b w:val="false"/>
          <w:color w:val="000000"/>
          <w:sz w:val="22"/>
        </w:rPr>
        <w:t>. (x) The Pre-Closing Reorganization Transactions shall have occurred or shall occur substantially simultaneously with the initial funding of the Initial Term Loans and (y) the Form 10 shall have been declared effective by the Securities Exchange Commission.</w:t>
      </w:r>
    </w:p>
    <w:p>
      <w:pPr>
        <w:pStyle w:val="TextBody"/>
        <w:bidi w:val="0"/>
        <w:spacing w:lineRule="auto" w:line="240" w:before="0" w:after="240"/>
        <w:ind w:left="0" w:right="0" w:firstLine="107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(xv)[Reserved]. </w:t>
      </w:r>
    </w:p>
    <w:p>
      <w:pPr>
        <w:pStyle w:val="TextBody"/>
        <w:bidi w:val="0"/>
        <w:spacing w:lineRule="auto" w:line="240" w:before="0" w:after="240"/>
        <w:ind w:left="0" w:right="0" w:firstLine="1013"/>
        <w:jc w:val="both"/>
        <w:rPr/>
      </w:pPr>
      <w:r>
        <w:rPr>
          <w:rFonts w:ascii="Times New Roman;sans-serif" w:hAnsi="Times New Roman;sans-serif"/>
          <w:b w:val="false"/>
          <w:color w:val="000000"/>
          <w:sz w:val="22"/>
        </w:rPr>
        <w:t>(xvi)</w:t>
      </w:r>
      <w:r>
        <w:rPr>
          <w:rFonts w:ascii="Times New Roman;sans-serif" w:hAnsi="Times New Roman;sans-serif"/>
          <w:b w:val="false"/>
          <w:color w:val="000000"/>
          <w:sz w:val="22"/>
          <w:u w:val="single"/>
        </w:rPr>
        <w:t>USA PATRIOT Act</w:t>
      </w:r>
      <w:r>
        <w:rPr>
          <w:rFonts w:ascii="Times New Roman;sans-serif" w:hAnsi="Times New Roman;sans-serif"/>
          <w:b w:val="false"/>
          <w:color w:val="000000"/>
          <w:sz w:val="22"/>
        </w:rPr>
        <w:t>. No later than three Business Days in advance of the Closing Date, the Administrative Agent shall have received all documentation and other information reasonably requested in writing by the Administrative Agent with respect to any Loan Party at least ten Business Days in advance of the Closing Date, which documentation or other information is required by U.S. regulatory authorities under applicable “know your customer” and anti-money laundering rules and regulations, including the USA PATRIOT Act (including if the Company qualifies as a “legal entity customer” under the Beneficial Ownership Regulation, a Beneficial Ownership Certification in relation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For purposes of determining whether the conditions specified in this </w:t>
      </w:r>
      <w:r>
        <w:rPr>
          <w:rFonts w:ascii="Times New Roman;sans-serif" w:hAnsi="Times New Roman;sans-serif"/>
          <w:b w:val="false"/>
          <w:color w:val="000000"/>
          <w:sz w:val="22"/>
          <w:u w:val="single"/>
        </w:rPr>
        <w:t>Section 4.01</w:t>
      </w:r>
      <w:r>
        <w:rPr>
          <w:color w:val="000000"/>
        </w:rPr>
        <w:t xml:space="preserve"> </w:t>
      </w:r>
      <w:r>
        <w:rPr>
          <w:rFonts w:ascii="Times New Roman;sans-serif" w:hAnsi="Times New Roman;sans-serif"/>
          <w:b w:val="false"/>
          <w:color w:val="000000"/>
          <w:sz w:val="22"/>
        </w:rPr>
        <w:t xml:space="preserve">have been satisfied on the Closing Date, by funding the Loans hereunder, the Administrative Agent and each Lender that has executed this Agreement (or an Assignment and Assumption on the Closing Date) shall be deemed to have consented to, approved or accepted, or to be satisfied with, each document or other matter required hereunder to be consented to or approved by or acceptable or satisfactory to the Administrative Agent or such Lender, as the case may be. </w:t>
      </w:r>
    </w:p>
    <w:p>
      <w:pPr>
        <w:pStyle w:val="TextBody"/>
        <w:bidi w:val="0"/>
        <w:spacing w:lineRule="auto" w:line="240" w:before="0" w:after="240"/>
        <w:jc w:val="both"/>
        <w:rPr/>
      </w:pPr>
      <w:r>
        <w:rPr>
          <w:rFonts w:ascii="Times New Roman;sans-serif" w:hAnsi="Times New Roman;sans-serif"/>
          <w:b w:val="false"/>
          <w:color w:val="000000"/>
          <w:sz w:val="22"/>
        </w:rPr>
        <w:t>Section 1.0b.</w:t>
      </w:r>
      <w:r>
        <w:rPr>
          <w:rFonts w:ascii="Times New Roman;sans-serif" w:hAnsi="Times New Roman;sans-serif"/>
          <w:b w:val="false"/>
          <w:color w:val="000000"/>
          <w:sz w:val="22"/>
        </w:rPr>
        <w:t>[Reserved].</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62890"/>
                <wp:effectExtent l="0" t="0" r="0" b="0"/>
                <wp:wrapNone/>
                <wp:docPr id="144" name="Frame14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center"/>
        <w:rPr/>
      </w:pPr>
      <w:r>
        <w:rPr>
          <w:rFonts w:ascii="Times New Roman;sans-serif" w:hAnsi="Times New Roman;sans-serif"/>
          <w:b w:val="false"/>
          <w:color w:val="000000"/>
          <w:sz w:val="22"/>
        </w:rPr>
        <w:t>Article 5</w:t>
      </w:r>
      <w:r>
        <w:rPr>
          <w:rFonts w:ascii="Times New Roman;sans-serif" w:hAnsi="Times New Roman;sans-serif"/>
          <w:b w:val="false"/>
          <w:color w:val="000000"/>
          <w:sz w:val="22"/>
        </w:rPr>
        <w:t>AFFIRMATIVE COVENANTS</w:t>
      </w:r>
    </w:p>
    <w:p>
      <w:pPr>
        <w:pStyle w:val="TextBody"/>
        <w:bidi w:val="0"/>
        <w:spacing w:lineRule="auto" w:line="240" w:before="0" w:after="240"/>
        <w:jc w:val="both"/>
        <w:rPr/>
      </w:pPr>
      <w:r>
        <w:rPr>
          <w:rFonts w:ascii="Times New Roman;sans-serif" w:hAnsi="Times New Roman;sans-serif"/>
          <w:b w:val="false"/>
          <w:color w:val="000000"/>
          <w:sz w:val="22"/>
        </w:rPr>
        <w:t>From the Closing Date until the date on which all Commitments have expired or terminated and the principal of and interest on each Loan and all fees, expenses and other amounts payable under any Loan Document (other than contingent indemnification and expense reimbursement obligations for which no claim or demand has been made) have been paid in full in Cash (such date, the “</w:t>
      </w:r>
      <w:r>
        <w:rPr>
          <w:rFonts w:ascii="Times New Roman;sans-serif" w:hAnsi="Times New Roman;sans-serif"/>
          <w:b/>
          <w:color w:val="000000"/>
          <w:sz w:val="22"/>
        </w:rPr>
        <w:t>Termination Date</w:t>
      </w:r>
      <w:r>
        <w:rPr>
          <w:color w:val="000000"/>
        </w:rPr>
        <w:t>”</w:t>
      </w:r>
      <w:r>
        <w:rPr>
          <w:rFonts w:ascii="Times New Roman;sans-serif" w:hAnsi="Times New Roman;sans-serif"/>
          <w:b w:val="false"/>
          <w:color w:val="000000"/>
          <w:sz w:val="22"/>
        </w:rPr>
        <w:t>), the Company hereby covenants and agrees that:</w:t>
      </w:r>
    </w:p>
    <w:p>
      <w:pPr>
        <w:pStyle w:val="TextBody"/>
        <w:bidi w:val="0"/>
        <w:spacing w:lineRule="auto" w:line="240" w:before="0" w:after="240"/>
        <w:jc w:val="both"/>
        <w:rPr/>
      </w:pPr>
      <w:r>
        <w:rPr>
          <w:rFonts w:ascii="Times New Roman;sans-serif" w:hAnsi="Times New Roman;sans-serif"/>
          <w:b w:val="false"/>
          <w:color w:val="000000"/>
          <w:sz w:val="22"/>
        </w:rPr>
        <w:t>Section 1.0a.</w:t>
      </w:r>
      <w:r>
        <w:rPr>
          <w:rFonts w:ascii="Times New Roman;sans-serif" w:hAnsi="Times New Roman;sans-serif"/>
          <w:b w:val="false"/>
          <w:color w:val="000000"/>
          <w:sz w:val="22"/>
        </w:rPr>
        <w:t xml:space="preserve">Information.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Company will deliver to the Administrative Agent (for delivery by the Administrative Agent to each of the Lenders):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(1)as soon as available and in any event within 90 days after the end of each fiscal year of the Company, the Annual Report of the Company on Form 10-K for such fiscal year, containing financial statements reported on in a manner acceptable to the Securities and Exchange Commission by Ernst &amp; Young LLP or other independent public accountants of nationally recognized standing selected by the Company (without a “going concern” or like qualification, exception or statement and without any qualification or exception as to the scope of such audit (except for any such qualification, exception or statement pertaining to, or disclosure of an exception, statement or qualification resulting from, (x) the maturity (or impending maturity) of any Indebtedness, (y) any breach or anticipated breach of any financial covenant or (z) the activities, operations, financial results, assets or liabilities of any Unrestricted Subsidiary) and except that such report may include a “going concern” or “emphasis of matter” explanatory paragraph or other statement);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(2)as soon as available and in any event within 45 days after the end of each of the first three quarters of each fiscal year of the Company, a copy of the Company’s report on Form 10-Q for such quarter with the financial statements therein contained to be certified (subject to normal year-end adjustments) as to fairness of presentation, generally accepted accounting principles (except footnotes) and consistency, by a Financial Officer;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(3)within five Business Days after the delivery of financial statements pursuant to </w:t>
      </w:r>
      <w:r>
        <w:rPr>
          <w:rFonts w:ascii="Times New Roman;sans-serif" w:hAnsi="Times New Roman;sans-serif"/>
          <w:b w:val="false"/>
          <w:color w:val="000000"/>
          <w:sz w:val="22"/>
          <w:u w:val="single"/>
        </w:rPr>
        <w:t>Section 5.01(a)(i)</w:t>
      </w:r>
      <w:r>
        <w:rPr>
          <w:rFonts w:ascii="Times New Roman;sans-serif" w:hAnsi="Times New Roman;sans-serif"/>
          <w:b w:val="false"/>
          <w:color w:val="000000"/>
          <w:sz w:val="22"/>
        </w:rPr>
        <w:t>, (A) if such adjustments are material, a summary (which may be in footnote form) of any pro forma adjustments necessary to eliminate the accounts of Unrestricted Subsidiaries (if any) from such financial statements and (B) a list identifying each subsidiary of the Company as a Restricted Subsidiary or an Unrestricted Subsidiary as of the date of delivery of such financial statements or confirming that there is no change in such information since the later of the Closing Date and the most recent prior delivery of such information;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(4)simultaneously with the delivery of each set of financial statements referred to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above, a certificate of a Financial Officer (A) [reserved], (B) stating whether, to the best knowledge of such Financial Officer, any Default exists on the date of such certificate and, if any Default then exists, setting forth the details thereof and the action which the Company is taking or proposes to take with respect thereto and (C) stating that, to the best knowledge of such Financial Officer, the Collateral and Guarantee Requirement is satisfied;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(6)promptly upon the mailing thereof to the stockholders of the Company generally, copies of all financial statements and material reports and proxy statements so mailed;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(7)promptly upon the filing thereof, copies of all registration statements (other than the exhibits thereto and any registration statements on Form S-8 or its equivalent) and reports on Forms 10-K, 10-Q and 8-K (or their equivalents) which the Company shall have filed with the Securities and Exchange Commission;</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62890"/>
                <wp:effectExtent l="0" t="0" r="0" b="0"/>
                <wp:wrapNone/>
                <wp:docPr id="145" name="Frame14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(8)promptly following a request therefor, any documentation or other information that a Lender reasonably requests (such request to be made through the Administrative Agent) in order to comply with its ongoing obligations under applicable “know your customer” and anti-money laundering rules and regulations, including the Patriot Act and the Beneficial Ownership Regulation;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(9)within four Business Days of any executive officer of the Company or any Financial Officer obtaining knowledge of any condition or event recognized by such officer to be a Default, a certificate of a Financial Officer setting forth the details thereof and the action which the Company is taking or proposes to take with respect thereto;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(10)if and when any executive officer of the Company or any Financial Officer obtains knowledge that any ERISA Affiliate (x) has given or is required to give notice to the PBGC of any “reportable event” (as defined in Section 4043 of ERISA) with respect to any Plan which would reasonably be expected to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(y) has received notice of complete or partial Withdrawal Liability, a copy of such notice or (z) has received notice from the PBGC under Title IV of ERISA of an intent to terminate or appoint a trustee to administer any Plan, a copy of such notice;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(11)from time to time such additional information regarding the financial position or business of the Company and Subsidiaries as the Administrative Agent, at the request of any Lender, may reasonably request.</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(ii)Certificates delivered pursuant to this Section shall be signed manually or shall be copies of a manually signed certificate.</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(iii)The Company may provide for electronic delivery of the financial statements, certificates, reports and registration statements described in </w:t>
      </w:r>
      <w:r>
        <w:rPr>
          <w:rFonts w:ascii="Times New Roman;sans-serif" w:hAnsi="Times New Roman;sans-serif"/>
          <w:b w:val="false"/>
          <w:color w:val="000000"/>
          <w:sz w:val="22"/>
          <w:u w:val="single"/>
        </w:rPr>
        <w:t>clauses (i)</w:t>
      </w:r>
      <w:r>
        <w:rPr>
          <w:rFonts w:ascii="Times New Roman;sans-serif" w:hAnsi="Times New Roman;sans-serif"/>
          <w:b w:val="false"/>
          <w:color w:val="000000"/>
          <w:sz w:val="22"/>
        </w:rPr>
        <w:t xml:space="preserve">, (ii), </w:t>
      </w:r>
      <w:r>
        <w:rPr>
          <w:rFonts w:ascii="Times New Roman;sans-serif" w:hAnsi="Times New Roman;sans-serif"/>
          <w:b/>
          <w:color w:val="000000"/>
          <w:sz w:val="22"/>
        </w:rPr>
        <w:t>(iii)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w:t>
      </w:r>
      <w:r>
        <w:rPr>
          <w:rFonts w:ascii="Times New Roman;sans-serif" w:hAnsi="Times New Roman;sans-serif"/>
          <w:b w:val="false"/>
          <w:color w:val="000000"/>
          <w:sz w:val="22"/>
        </w:rPr>
        <w:t xml:space="preserve">, (vi) and </w:t>
      </w:r>
      <w:r>
        <w:rPr>
          <w:rFonts w:ascii="Times New Roman;sans-serif" w:hAnsi="Times New Roman;sans-serif"/>
          <w:b w:val="false"/>
          <w:color w:val="000000"/>
          <w:sz w:val="22"/>
          <w:u w:val="single"/>
        </w:rPr>
        <w:t>(vii)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paragraph (a)</w:t>
      </w:r>
      <w:r>
        <w:rPr>
          <w:color w:val="000000"/>
        </w:rPr>
        <w:t xml:space="preserve"> </w:t>
      </w:r>
      <w:r>
        <w:rPr>
          <w:rFonts w:ascii="Times New Roman;sans-serif" w:hAnsi="Times New Roman;sans-serif"/>
          <w:b w:val="false"/>
          <w:color w:val="000000"/>
          <w:sz w:val="22"/>
        </w:rPr>
        <w:t xml:space="preserve">of this Section by posting such financial statements, certificates, reports and registration statements on Intralinks or any similar service approved by the Administrative Agent, or delivering such financial statements, certificates, reports and registration statements to the Administrative Agent for posting on Intralinks (or any such similar service). Furthermore, any items required to be furnished pursuant to </w:t>
      </w:r>
      <w:r>
        <w:rPr>
          <w:rFonts w:ascii="Times New Roman;sans-serif" w:hAnsi="Times New Roman;sans-serif"/>
          <w:b w:val="false"/>
          <w:color w:val="000000"/>
          <w:sz w:val="22"/>
          <w:u w:val="single"/>
        </w:rPr>
        <w:t>Sections 5.01(a)(i)</w:t>
      </w:r>
      <w:r>
        <w:rPr>
          <w:rFonts w:ascii="Times New Roman;sans-serif" w:hAnsi="Times New Roman;sans-serif"/>
          <w:b w:val="false"/>
          <w:color w:val="000000"/>
          <w:sz w:val="22"/>
        </w:rPr>
        <w:t xml:space="preserve">, (ii), </w:t>
      </w:r>
      <w:r>
        <w:rPr>
          <w:rFonts w:ascii="Times New Roman;sans-serif" w:hAnsi="Times New Roman;sans-serif"/>
          <w:b w:val="false"/>
          <w:color w:val="000000"/>
          <w:sz w:val="22"/>
          <w:u w:val="single"/>
        </w:rPr>
        <w:t>(vi)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(vii)</w:t>
      </w:r>
      <w:r>
        <w:rPr>
          <w:color w:val="000000"/>
        </w:rPr>
        <w:t> </w:t>
      </w:r>
      <w:r>
        <w:rPr>
          <w:rFonts w:ascii="Times New Roman;sans-serif" w:hAnsi="Times New Roman;sans-serif"/>
          <w:b w:val="false"/>
          <w:color w:val="000000"/>
          <w:sz w:val="22"/>
        </w:rPr>
        <w:t xml:space="preserve">shall be deemed to have been delivered on the date on which the Administrative Agent receives notice that the Company has filed such item with the Securities and Exchange Commission and is available on the EDGAR website on the Internet at www.sec.gov or any successor government website that is freely and readily available to the Administrative Agent without charge;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give notice of any such filing to the Administrative Agent (who shall then give notice of any such filing to the Lenders). Notwithstanding the foregoing, the Company shall deliver paper or electronic copies of any such financial statement to the Administrative Agent if the Administrative Agent requests the Company to furnish such paper or electronic copies until written notice to cease delivering such paper or electronic copies is given by the Administrative Agent.</w:t>
      </w:r>
    </w:p>
    <w:p>
      <w:pPr>
        <w:pStyle w:val="TextBody"/>
        <w:bidi w:val="0"/>
        <w:spacing w:lineRule="auto" w:line="240" w:before="0" w:after="240"/>
        <w:jc w:val="both"/>
        <w:rPr/>
      </w:pPr>
      <w:r>
        <w:rPr>
          <w:rFonts w:ascii="Times New Roman;sans-serif" w:hAnsi="Times New Roman;sans-serif"/>
          <w:b w:val="false"/>
          <w:color w:val="000000"/>
          <w:sz w:val="22"/>
        </w:rPr>
        <w:t>Section 1.0b.</w:t>
      </w:r>
      <w:r>
        <w:rPr>
          <w:rFonts w:ascii="Times New Roman;sans-serif" w:hAnsi="Times New Roman;sans-serif"/>
          <w:b w:val="false"/>
          <w:color w:val="000000"/>
          <w:sz w:val="22"/>
        </w:rPr>
        <w:t xml:space="preserve">Maintenance of Properties. The Company will, and will cause each Restricted Subsidiary to, maintain and keep in good condition, repair and working order all properties used or useful in the conduct of its business and supply such properties with all necessary equipment and make all necessary repairs, renewals, replacements, betterments and improvements thereof, all as in the judgment of the Company may be necessary so that the business carried on in connection therewith may be properly and advantageously conducted at all times, in each case where the failure to do so would reasonably be expected to have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nothing in this Section shall prevent the Company or any Restricted Subsidiary from discontinuing the operation and maintenance of any of such properties if such discontinuance is, in the judgment of the Company, desirable in the conduct of the business of the Company or such Restricted Subsidiary, as the case may be, and not disadvantageous in any material respect to the Lenders.</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62890"/>
                <wp:effectExtent l="0" t="0" r="0" b="0"/>
                <wp:wrapNone/>
                <wp:docPr id="146" name="Frame14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Section 1.0c.</w:t>
      </w:r>
      <w:r>
        <w:rPr>
          <w:rFonts w:ascii="Times New Roman;sans-serif" w:hAnsi="Times New Roman;sans-serif"/>
          <w:b w:val="false"/>
          <w:color w:val="000000"/>
          <w:sz w:val="22"/>
        </w:rPr>
        <w:t xml:space="preserve">Maintenance of Insurance. The Company will, and will cause each Restricted Subsidiary to, insure and keep insured, with reputable insurance companies, so much of its properties and such of its liabilities for bodily injury or property damage, to such an extent and against such risks (including fire), as companies engaged in similar businesses customarily insure properties and liabilities of a similar character; or, in lieu thereof, the Company will maintain, or cause each Restricted Subsidiary to maintain, a system or systems of self-insurance which will be in accord with the customary practices of companies engaged in similar businesses in maintaining such systems, in each case where the failure to do so would reasonably be expected to have a Material Adverse Effect. Each such policy of insurance shall (i) name the Administrative Agent on behalf of the Lenders as a loss payee or an additional insured, as applicable, thereunder as its interests may appear and (ii) to the extent available from the relevant insurance carrier, in the case of each casualty insurance policy (excluding any business interruption insurance policy), contain a loss payable clause or endorsement that names the Administrative Agent, on behalf of the Lenders, as the loss payee thereunder and, to the extent available, provide for at least 30 days’ prior written notice to the Administrative Agent of any modification or cancellation of such policy (or 10 days’ prior written notice in the case of the failure to pay any premiums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have until the date that is 60 days after the Closing Date (or such later date as agreed by the Administrative Agent) to comply with the requirements of the foregoing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w:t>
      </w:r>
      <w:r>
        <w:rPr>
          <w:rFonts w:ascii="Times New Roman;sans-serif" w:hAnsi="Times New Roman;sans-serif"/>
          <w:b w:val="false"/>
          <w:color w:val="000000"/>
          <w:sz w:val="22"/>
        </w:rPr>
        <w:t>with respect to policies in effect on the Closing Date.</w:t>
      </w:r>
    </w:p>
    <w:p>
      <w:pPr>
        <w:pStyle w:val="TextBody"/>
        <w:bidi w:val="0"/>
        <w:spacing w:lineRule="auto" w:line="240" w:before="0" w:after="240"/>
        <w:jc w:val="both"/>
        <w:rPr/>
      </w:pPr>
      <w:r>
        <w:rPr>
          <w:rFonts w:ascii="Times New Roman;sans-serif" w:hAnsi="Times New Roman;sans-serif"/>
          <w:b w:val="false"/>
          <w:color w:val="000000"/>
          <w:sz w:val="22"/>
        </w:rPr>
        <w:t>Section 1.0d.</w:t>
      </w:r>
      <w:r>
        <w:rPr>
          <w:rFonts w:ascii="Times New Roman;sans-serif" w:hAnsi="Times New Roman;sans-serif"/>
          <w:b w:val="false"/>
          <w:color w:val="000000"/>
          <w:sz w:val="22"/>
        </w:rPr>
        <w:t xml:space="preserve">Preservation of Corporate Existence. Except pursuant to a transaction not prohibited by </w:t>
      </w:r>
      <w:r>
        <w:rPr>
          <w:rFonts w:ascii="Times New Roman;sans-serif" w:hAnsi="Times New Roman;sans-serif"/>
          <w:b w:val="false"/>
          <w:color w:val="000000"/>
          <w:sz w:val="22"/>
          <w:u w:val="single"/>
        </w:rPr>
        <w:t>Section 6.04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6.08</w:t>
      </w:r>
      <w:r>
        <w:rPr>
          <w:rFonts w:ascii="Times New Roman;sans-serif" w:hAnsi="Times New Roman;sans-serif"/>
          <w:b w:val="false"/>
          <w:color w:val="000000"/>
          <w:sz w:val="22"/>
        </w:rPr>
        <w:t>, each Loan Party shall preserve and maintain its corporate existence, rights, franchises and privileges in any State of the United States which it shall select as its jurisdiction of incorporation or organization, and qualify and remain qualified as a foreign corporation or foreign organization in each jurisdiction in which such qualification is necessary, except such jurisdictions, if any, where the failure to preserve and maintain its corporate or other organizational existence, rights, franchises and privileges, or qualify or remain qualified will not have a Material Adverse Effect on the business or property of such Loan Party.</w:t>
      </w:r>
    </w:p>
    <w:p>
      <w:pPr>
        <w:pStyle w:val="TextBody"/>
        <w:bidi w:val="0"/>
        <w:spacing w:lineRule="auto" w:line="240" w:before="0" w:after="240"/>
        <w:jc w:val="both"/>
        <w:rPr/>
      </w:pPr>
      <w:r>
        <w:rPr>
          <w:rFonts w:ascii="Times New Roman;sans-serif" w:hAnsi="Times New Roman;sans-serif"/>
          <w:b w:val="false"/>
          <w:color w:val="000000"/>
          <w:sz w:val="22"/>
        </w:rPr>
        <w:t>Section 1.0e.</w:t>
      </w:r>
      <w:r>
        <w:rPr>
          <w:rFonts w:ascii="Times New Roman;sans-serif" w:hAnsi="Times New Roman;sans-serif"/>
          <w:b w:val="false"/>
          <w:color w:val="000000"/>
          <w:sz w:val="22"/>
        </w:rPr>
        <w:t>Inspections. The Company will, and will cause each of its Restricted Subsidiaries to, permit any authorized representative designated by the Administrative Agent to visit and inspect any of the properties of the Company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(subject to such accountants’ customary policies and procedures) (provided that the Company (or any of its subsidiaries) may, if it so chooses, have one or more employees or representatives be present at or participate in any such discussion), all upon reasonable notice and at reasonable times during normal business hours; provided that (x) only the Administrative Agent on behalf of the Lenders may exercise the rights of the Administrative Agent and the Lenders under this Section 5.05, (y) the Administrative Agent shall not exercise such rights more often than one time during any calendar year and (z) only one such time per calendar year shall be at the expense of the Company; provided, further, that when an Event of Default exists, the Administrative Agent (or any of its representatives or independent contractors) may do any of the foregoing at the expense of the Company at any time during normal business hours and upon reasonable advance notice; provided, further that notwithstanding anything to the contrary herein, neither the Company nor any Restricted Subsidiary shall be required to disclose, permit the inspection, examination or making of copies of or taking abstracts from, or discuss any document, information or other matter (i) that constitutes non-financial trade secrets or non-financial proprietary information of the Company and its subsidiaries and/or any of its customers and/or suppliers, (ii) in respect of which disclosure to the Administrative Agent or any Lender (or any of their respective representatives or contractors) is prohibited by applicable law, (iii) that is subject to attorney-client or similar privilege or constitutes attorney work product or (iv) in respect of which the Company or any Restricted Subsidiary owes confidentiality obligations to any third party (provided such confidentiality obligations were not entered into solely in contemplation of the requirements of this Section 5.05); provided, further, that in the event any of the circumstances described in the preceding proviso exist, the Company shall provide notice to the Administrative Agent thereof and shall use commercially reasonable efforts to describe, to the extent both feasible and permitted under applicable Requirements of Law or confidentiality obligations, or without waiving such privilege, as applicable, the applicable document, information or other matter.</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62890"/>
                <wp:effectExtent l="0" t="0" r="0" b="0"/>
                <wp:wrapNone/>
                <wp:docPr id="147" name="Frame14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Section 1.0f.</w:t>
      </w:r>
      <w:r>
        <w:rPr>
          <w:rFonts w:ascii="Times New Roman;sans-serif" w:hAnsi="Times New Roman;sans-serif"/>
          <w:b w:val="false"/>
          <w:color w:val="000000"/>
          <w:sz w:val="22"/>
        </w:rPr>
        <w:t>[Reserved]</w:t>
      </w:r>
    </w:p>
    <w:p>
      <w:pPr>
        <w:pStyle w:val="TextBody"/>
        <w:bidi w:val="0"/>
        <w:spacing w:before="0" w:after="24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Section 1.0g.</w:t>
      </w:r>
      <w:r>
        <w:rPr>
          <w:rFonts w:ascii="Times New Roman;sans-serif" w:hAnsi="Times New Roman;sans-serif"/>
          <w:b w:val="false"/>
          <w:color w:val="000000"/>
          <w:sz w:val="22"/>
        </w:rPr>
        <w:t>Compliance with Laws. The Company will, and will cause each Restricted Subsidiary to, comply in all material respects with all applicable laws, ordinances, rules, regulations and requirements of governmental authorities (including ERISA and the rules and regulations thereunder), except to the extent that (a) the necessity of compliance therewith is contested in good faith by appropriate proceedings or (b) the failure to so comply would not result in any Material Adverse Effect.</w:t>
      </w:r>
    </w:p>
    <w:p>
      <w:pPr>
        <w:pStyle w:val="TextBody"/>
        <w:bidi w:val="0"/>
        <w:spacing w:lineRule="auto" w:line="240" w:before="0" w:after="240"/>
        <w:jc w:val="both"/>
        <w:rPr/>
      </w:pPr>
      <w:r>
        <w:rPr>
          <w:rFonts w:ascii="Times New Roman;sans-serif" w:hAnsi="Times New Roman;sans-serif"/>
          <w:b w:val="false"/>
          <w:color w:val="000000"/>
          <w:sz w:val="22"/>
        </w:rPr>
        <w:t>Section 1.0h.</w:t>
      </w:r>
      <w:r>
        <w:rPr>
          <w:rFonts w:ascii="Times New Roman;sans-serif" w:hAnsi="Times New Roman;sans-serif"/>
          <w:b w:val="false"/>
          <w:color w:val="000000"/>
          <w:sz w:val="22"/>
        </w:rPr>
        <w:t>Use of Proceeds. The Company will use the proceeds of the Initial Term Loans to make the Closing Date Payment, to pay Transaction Costs and for other general corporate purposes (including, without limitation, repurchases of, and dividends on, its equity securities). None of the Company, any Subsidiary or director, officer, employee or agent of the Company or any Subsidiary will directly or knowingly indirectly use the proceeds of the Loans or lend, contribute or otherwise make available such proceeds to any subsidiary, joint venture partner or other Person for the purpose of (a) financing any payments to any governmental official or employee, political party, official of a political party, candidate for political office, or anyone else acting in an official governmental capacity in material violation of any Anti-Corruption Laws or (b) financing the activities of or any transactions with any Sanctioned Person or in any Sanctioned Country, except to the extent licensed or otherwise authorized under U.S. law. This Section applies, other than to the extent that such covenant would result in a violation of Council Regulation (EC) No 2271/96, as amended (or any implementing law or regulation in any member state of the European Union or the United Kingdom).</w:t>
      </w:r>
    </w:p>
    <w:p>
      <w:pPr>
        <w:pStyle w:val="TextBody"/>
        <w:bidi w:val="0"/>
        <w:spacing w:lineRule="auto" w:line="240" w:before="0" w:after="240"/>
        <w:jc w:val="both"/>
        <w:rPr/>
      </w:pPr>
      <w:r>
        <w:rPr>
          <w:rFonts w:ascii="Times New Roman;sans-serif" w:hAnsi="Times New Roman;sans-serif"/>
          <w:b w:val="false"/>
          <w:color w:val="000000"/>
          <w:sz w:val="22"/>
        </w:rPr>
        <w:t>Section 1.0i.</w:t>
      </w:r>
      <w:r>
        <w:rPr>
          <w:rFonts w:ascii="Times New Roman;sans-serif" w:hAnsi="Times New Roman;sans-serif"/>
          <w:b w:val="false"/>
          <w:color w:val="000000"/>
          <w:sz w:val="22"/>
        </w:rPr>
        <w:t>Information Regarding Collateral. The Company will furnish to the Collateral Agent prompt written notice of any change in (i) the legal name of any Loan Party, as set forth in its organizational documents, (ii) the jurisdiction of organization or the form of organization of any Loan Party (including as a result of any merger, amalgamation or consolidation), (iii) the location of the chief executive office of any Loan Party or (iv) the organizational identification number, if any, or, with respect to any Loan Party organized under the laws of a jurisdiction that requires such information to be set forth on the face of a UCC financing statement, the Federal Taxpayer Identification Number of such Loan Party. The Company agrees not to effect or permit any change referred to in the preceding sentence unless all filings have been made under the UCC or otherwise that are required in order for the Collateral Agent to continue at all times following such change to have a valid, legal and perfected security interest in all the Collateral.</w:t>
      </w:r>
    </w:p>
    <w:p>
      <w:pPr>
        <w:pStyle w:val="TextBody"/>
        <w:bidi w:val="0"/>
        <w:spacing w:lineRule="auto" w:line="240" w:before="0" w:after="2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Collateral and Guarantee Requirement .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(i)If (i) any Restricted Subsidiary (other than an Excluded Subsidiary) is formed or acquired after the Closing Date or (ii) any Subsidiary (other than an Excluded Subsidiary) shall become a Restricted Subsidiary after the Closing Date, then the Company will promptly, but in no event later than 15 days after such formation or acquisition (in the case of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xml:space="preserve">) or 15 days after any executive officer or Financial Officer of the Company obtains knowledge thereof (in the case of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(or in each case such later date as is acceptable to the Administrative Agent), notify the Administrative Agent thereof and cause the Collateral and Guarantee Requirement to be satisfied with respect to such Restricted Subsidiary.</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(ii)The Company will, and the Company will cause each of the Material Subsidiaries to, execute any and all further documents, financing statements, agreements and instruments, and take all such further actions (including the filing and recording of financing statements), that may be required under any applicable law, or that the Collateral Agent or the Required Lenders may reasonably request, to cause the Collateral and Guarantee Requirement to be and remain satisfied, all at the expense of the Company.</w:t>
      </w:r>
    </w:p>
    <w:p>
      <w:pPr>
        <w:pStyle w:val="TextBody"/>
        <w:bidi w:val="0"/>
        <w:spacing w:lineRule="auto" w:line="240" w:before="0" w:after="2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Credit Ratings. The Company will use commercially reasonable efforts to maintain Credit Ratings from each of S&amp;P and Moody’s at all times (but not any specific ratings).</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62890"/>
                <wp:effectExtent l="0" t="0" r="0" b="0"/>
                <wp:wrapNone/>
                <wp:docPr id="148" name="Frame14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center"/>
        <w:rPr/>
      </w:pPr>
      <w:r>
        <w:rPr>
          <w:rFonts w:ascii="Times New Roman;sans-serif" w:hAnsi="Times New Roman;sans-serif"/>
          <w:b w:val="false"/>
          <w:color w:val="000000"/>
          <w:sz w:val="22"/>
        </w:rPr>
        <w:t>Article 6</w:t>
      </w:r>
      <w:r>
        <w:rPr>
          <w:rFonts w:ascii="Times New Roman;sans-serif" w:hAnsi="Times New Roman;sans-serif"/>
          <w:b w:val="false"/>
          <w:color w:val="000000"/>
          <w:sz w:val="22"/>
        </w:rPr>
        <w:t>NEGATIVE COVENANTS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From the Closing Date and until the Termination Date has occurred, the Company and each other Borrower covenant and agree with the Lenders that:</w:t>
      </w:r>
    </w:p>
    <w:p>
      <w:pPr>
        <w:pStyle w:val="TextBody"/>
        <w:bidi w:val="0"/>
        <w:spacing w:lineRule="auto" w:line="240" w:before="0" w:after="240"/>
        <w:jc w:val="both"/>
        <w:rPr/>
      </w:pPr>
      <w:r>
        <w:rPr>
          <w:rFonts w:ascii="Times New Roman;sans-serif" w:hAnsi="Times New Roman;sans-serif"/>
          <w:b w:val="false"/>
          <w:color w:val="000000"/>
          <w:sz w:val="22"/>
        </w:rPr>
        <w:t>Section 1.0a.</w:t>
      </w:r>
      <w:r>
        <w:rPr>
          <w:rFonts w:ascii="Times New Roman;sans-serif" w:hAnsi="Times New Roman;sans-serif"/>
          <w:b w:val="false"/>
          <w:color w:val="000000"/>
          <w:sz w:val="22"/>
        </w:rPr>
        <w:t xml:space="preserve">Limitation on Indebtedness.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(i)The Company will not, and will not permit any Restricted Subsidiary to, Incur any Indebtedness;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Company or any Restricted Subsidiary may Incur Indebtedness if on the date of the Incurrence of such Indebtedness, after giving effect to the Incurrence thereof, the Consolidated Coverage Ratio would be equal to or greater than 2.00:1.00.</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(ii)Notwithstanding the foregoing Section 6.01(a), the Company and its Restricted Subsidiaries may Incur the following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(1)(A) Indebtedness (I) Incurred (including but not limited to in respect of letters of credit or bankers’ acceptances issued or created thereunder) and (without limiting the foregoing), in each case, any Refinancing Indebtedness in respect thereof, in a maximum principal amount at any time outstanding not exceeding in the aggregate the amount equal to the greater of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$750.0 million 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an amount equal to the Borrowing Base (plus, in the event of any refinancing of any such Indebtedness, the aggregate amount of fees, underwriting discounts, premiums and other costs and expenses (including accrued and unpaid interest) Incurred or payable in connection with such refinancing) plus (II) in an unlimited amount, if on the date of the Incurrence of such Indebtedness (other than any such Refinancing Indebtedness), after giving effect to such Incurrence (or, at the Company’s option, on the date of the initial borrowing of such Indebtedness or entry into the definitive agreement providing the commitment to fund such Indebtedness after giving pro forma effect to the Incurrence of the entire committed amount of such Indebtedness (such committed amount, a “</w:t>
      </w:r>
      <w:r>
        <w:rPr>
          <w:rFonts w:ascii="Times New Roman;sans-serif" w:hAnsi="Times New Roman;sans-serif"/>
          <w:b w:val="false"/>
          <w:color w:val="000000"/>
          <w:sz w:val="22"/>
          <w:u w:val="single"/>
        </w:rPr>
        <w:t>Ratio Tested Committed Amount</w:t>
      </w:r>
      <w:r>
        <w:rPr>
          <w:color w:val="000000"/>
        </w:rPr>
        <w:t>”</w:t>
      </w:r>
      <w:r>
        <w:rPr>
          <w:rFonts w:ascii="Times New Roman;sans-serif" w:hAnsi="Times New Roman;sans-serif"/>
          <w:b w:val="false"/>
          <w:color w:val="000000"/>
          <w:sz w:val="22"/>
        </w:rPr>
        <w:t>), in which case such Ratio Tested Committed Amount may thereafter be borrowed and reborrowed, in whole or in part, from time to time, without further compliance with this clause) the Consolidated First Lien Leverage Ratio would be equal to or less than 1.50:1.00; and (in the case of this subclause (II)) any Refinancing Indebtedness with respect to any such Indebtedness (or Ratio Tested Committed Amount), (B) Incremental Equivalent Debt and any Refinancing Indebtedness in respect thereof and (C) the Obligations hereunder (including any Additional Term Loans) and any Refinancing Indebtedness in respect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(2)Indebtedness (A) of any Restricted Subsidiary to the Company, or (B) of the Company or any Restricted Subsidiary to any 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this Section 6.01(b)(ii), any subsequent issuance or transfer of any Capital Stock of such Restricted Subsidiary to which such Indebtedness is owed, or other event, that results in such Restricted Subsidiary ceasing to be a Restricted Subsidiary or any other subsequent transfer of such Indebtedness (except to the Company or a Restricted Subsidiary) will be deemed, in each case, an Incurrence of such Indebtedness by the issuer thereof not permitted by this </w:t>
      </w:r>
      <w:r>
        <w:rPr>
          <w:rFonts w:ascii="Times New Roman;sans-serif" w:hAnsi="Times New Roman;sans-serif"/>
          <w:b w:val="false"/>
          <w:color w:val="000000"/>
          <w:sz w:val="22"/>
          <w:u w:val="single"/>
        </w:rPr>
        <w:t>Section 6.01(b)(ii)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(3)Indebtedness represented by the Senior Notes, any Indebtedness (other than the Indebtedness under any ABL Facility described in </w:t>
      </w:r>
      <w:r>
        <w:rPr>
          <w:rFonts w:ascii="Times New Roman;sans-serif" w:hAnsi="Times New Roman;sans-serif"/>
          <w:b w:val="false"/>
          <w:color w:val="000000"/>
          <w:sz w:val="22"/>
          <w:u w:val="single"/>
        </w:rPr>
        <w:t>Section 6.01(b)(i)(A)(I)</w:t>
      </w:r>
      <w:r>
        <w:rPr>
          <w:color w:val="000000"/>
        </w:rPr>
        <w:t xml:space="preserve"> </w:t>
      </w:r>
      <w:r>
        <w:rPr>
          <w:rFonts w:ascii="Times New Roman;sans-serif" w:hAnsi="Times New Roman;sans-serif"/>
          <w:b w:val="false"/>
          <w:color w:val="000000"/>
          <w:sz w:val="22"/>
        </w:rPr>
        <w:t xml:space="preserve">above) outstanding (or Incurred pursuant to any commitment outstanding) on the Closing Date and any Refinancing Indebtedness Incurred in respect of any Indebtedness (or unutilized commitments) described in this </w:t>
      </w:r>
      <w:r>
        <w:rPr>
          <w:rFonts w:ascii="Times New Roman;sans-serif" w:hAnsi="Times New Roman;sans-serif"/>
          <w:b/>
          <w:color w:val="000000"/>
          <w:sz w:val="22"/>
          <w:u w:val="single"/>
        </w:rPr>
        <w:t>Section 6.01(b)(iii)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color w:val="000000"/>
          <w:sz w:val="22"/>
          <w:u w:val="single"/>
        </w:rPr>
        <w:t>Section 6.01(a)</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(4)Purchase Money Obligations and Finance Lease Obligations, and in each case any Refinancing Indebtedness with respect thereto, (A) outstanding on the Closing Date and (B) in an additional aggregate principal amount at any time outstanding not exceeding an amount equal to the greater of $140.0 million and 3.5% of Consolidated Tangible Assets;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(5)Indebtedness (A) supported by a letter of credit issued pursuant to any Credit Facility in a principal amount not exceeding the face amount of such letter of credit or (B)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62890"/>
                <wp:effectExtent l="0" t="0" r="0" b="0"/>
                <wp:wrapNone/>
                <wp:docPr id="149" name="Frame14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consisting of accommodation guarantees for the benefit of trade creditors of the Company or any of its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(6)(A) Guarantees by the Company or any Restricted Subsidiary of Indebtedness or any other obligation or liability of the Company or any Restricted Subsidiary (other than any Indebtedness Incurred by the Company or such Restricted Subsidiary, as the case may be, in violation of this Section 6.01), or (B) without limiting </w:t>
      </w:r>
      <w:r>
        <w:rPr>
          <w:rFonts w:ascii="Times New Roman;sans-serif" w:hAnsi="Times New Roman;sans-serif"/>
          <w:b w:val="false"/>
          <w:color w:val="000000"/>
          <w:sz w:val="22"/>
          <w:u w:val="single"/>
        </w:rPr>
        <w:t>Section 6.06</w:t>
      </w:r>
      <w:r>
        <w:rPr>
          <w:rFonts w:ascii="Times New Roman;sans-serif" w:hAnsi="Times New Roman;sans-serif"/>
          <w:b w:val="false"/>
          <w:color w:val="000000"/>
          <w:sz w:val="22"/>
        </w:rPr>
        <w:t xml:space="preserve">, Indebtedness of the Company or any Restricted Subsidiary arising by reason of any Lien granted by or applicable to such Person securing Indebtedness of the Company or any Restricted Subsidiary (other than any Indebtedness Incurred by the Company or such Restricted Subsidiary, as the case may be, in violation of this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(7)Indebtedness of the Company or any Restricted Subsidiary (A) arising from the honoring of a check, draft or similar instrument of such Person drawn against insufficient funds in the ordinary course of business, or (B) consisting of guarantees, indemnities, obligations in respect of earnouts or other purchase price adjustments, or similar obligations, Incurred in connection with the acquisition or disposition of any business, assets or Person;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(8)Indebtedness of the Company or any Restricted Subsidiary in respect of (A) letters of credit, bankers’ acceptances or other similar instruments or obligations issued, or relating to liabilities or obligations incurred, in the ordinary course of business (including those issued to governmental entities in connection with self-insurance under applicable workers’ compensation statutes), (B) completion guarantees, surety, judgment, appeal or performance bonds, or other similar bonds, instruments or obligations, provided, or relating to liabilities or obligations incurred, in the ordinary course of business, including in respect of liabilities or obligations of franchisees, (C) Hedging Obligations, (D) Management Guarantees or Management Indebtedness, (E) the financing of insurance premiums in the ordinary course of business, (F) take-or-pay obligations under supply arrangements incurred in the ordinary course of business, (G) netting, overdraft protection and other arrangements arising under standard business terms of any bank at which the Company or any Restricted Subsidiary maintains an overdraft, cash pooling or other similar facility or arrangement, (H) Junior Capital, (I) Bank Products Obligations or (J) Open Account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(9)Indebtedness (A) of a Receivables Subsidiary secured by a Lien on all or part of the assets disposed of in, or otherwise Incurred in connection with, a Financing Disposition or (B) otherwise Incurred in connection with a Specified Receivables Facility in an aggregate principal amount at any time outstanding under this Section 6.01(b)(ix) not exceeding an amount equal to the greater of $120.0 million and 60.0% of the aggregate accounts excluded from the definition of “Eligible Accounts” under the ABL Facility as such definition is in effect on the Closing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(1) such Indebtedness is not recourse to the Company or any Restricted Subsidiary that is not a Receivables Subsidiary (other than with respect to Standard Receivables Undertakings); (2) in the event such Indebtedness shall become recourse to the Company or any Restricted Subsidiary that is not a Receivables Subsidiary (other than with respect to Standard Receivables Undertakings), such Indebtedness will be deemed to be, and must be classified by the Company as, Incurred at such time (or at the time initially Incurred) under one or more of the other provisions of this Section 6.01 for so long as such Indebtedness shall be so recourse; and (3) in the event that at any time thereafter such Indebtedness shall comply with the provisions of the preceding </w:t>
      </w:r>
      <w:r>
        <w:rPr>
          <w:rFonts w:ascii="Times New Roman;sans-serif" w:hAnsi="Times New Roman;sans-serif"/>
          <w:b w:val="false"/>
          <w:color w:val="000000"/>
          <w:sz w:val="22"/>
          <w:u w:val="single"/>
        </w:rPr>
        <w:t>subclause (1)</w:t>
      </w:r>
      <w:r>
        <w:rPr>
          <w:rFonts w:ascii="Times New Roman;sans-serif" w:hAnsi="Times New Roman;sans-serif"/>
          <w:b w:val="false"/>
          <w:color w:val="000000"/>
          <w:sz w:val="22"/>
        </w:rPr>
        <w:t>, the Company may classify such Indebtedness in whole or in part as Incurred under this Section 6.01(b)(ix);</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(10)Contribution Indebtedness and any Refinancing Indebtedness with respect thereto;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(11)Indebtedness of (A) the Company or any Restricted Subsidiary Incurred to finance or refinance, or otherwise Incurred in connection with, any acquisition of assets (including Capital Stock), business or Person, or any merger or consolidation of any Person with or into the Company or any Restricted Subsidiary, or (B) any Person that is acquired by or merged or consolidated with or into the Company or any Restricted Subsidiary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62890"/>
                <wp:effectExtent l="0" t="0" r="0" b="0"/>
                <wp:wrapNone/>
                <wp:docPr id="150" name="Frame15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Indebtedness thereof Incurred in connection with any such acquisition, merger or consolidation);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on the date of such acquisition, merger or consolidation, after giving effect thereto, (x) in the case of any such Indebtedness that is secured by Parity Priority Liens on the Collateral, either (1) the Consolidated First Lien Leverage Ratio would be equal to or less than 1.50:1.00 or (2) the Consolidated First Lien Leverage Ratio would be equal to or be less than the Consolidated First Lien Leverage Ratio immediately prior to giving effect thereto, or (y) in the case of any other such Indebtedness Incurred pursuant to this Section 6.01(b)(xi), either (1) the Consolidated Coverage Ratio would be equal to or greater than 2.00:1.00 or (2) the Consolidated Coverage Ratio would be equal to or be greater than the Consolidated Coverage Ratio immediately prior to giving effect thereto; and any Refinancing Indebtedness with respect to any such Indebtedness;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(12)Indebtedness of the Company or any Restricted Subsidiary in an aggregate principal amount at any time outstanding not exceeding an amount equal to the greater of $240.0 million and 6.0% of Consolidated Tangible Assets;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(13)Indebtedness of the Company or any Restricted Subsidiary Incurred as consideration in connection with any acquisition of assets (including Capital Stock), business or Person, or any merger or consolidation of any Person with or into the Company or any Restricted Subsidiary, and any Refinancing Indebtedness with respect thereto, in an aggregate principal amount at any time outstanding not exceeding an amount equal to the greater of $100.0 million and 2.5% of Consolidated Tangible Assets;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(14)Indebtedness issuable upon the conversion or exchange of shares of Disqualified Stock issued in accordance with Section 6.01(a), and any Refinancing Indebtedness with respect thereto;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(15)Indebtedness of any Foreign Subsidiary in an aggregate principal amount at any time outstanding not exceeding an amount equal to the greater of $200.0 million and 5.0% of Consolidated Tangible Assets;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(16)Indebtedness of any Restricted Subsidiary that is not a Guarantor in an aggregate principal amount at any time outstanding not exceeding an amount equal to the greater of $200.0 million and 5.0% of Consolidated Tangible Assets;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(17)Indebtedness existing on the Closing Date. </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(iii)For purposes of determining compliance with, and the outstanding principal amount of any particular Indebtedness Incurred pursuant to and in compliance with, this Section 6.01,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any other obligation of the obligor on such Indebtedness (or of any other Person who could have Incurred such Indebtedness under this Section 6.01) arising under any Guarantee, Lien or letter of credit, bankers’ acceptance or other similar instrument or obligation supporting such Indebtedness shall be disregarded to the extent that such Guarantee, Lien or letter of credit, bankers’ acceptance or other similar instrument or obligation secures the principal amount of such Indebtedness;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in the event that Indebtedness meets the criteria of more than one of the types of Indebtedness described in Section 6.01(a) 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the Company, in its sole discretion, shall classify or reclassify such item of Indebtedness and may include the amount and type of such Indebtedness in Section 6.01(a) or one or more of the clauses or subclauses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above (including in part under one such clause or subclause and in part under another such clause or subclause);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Company shall so determine) any Indebtedness Incurred pursuant to </w:t>
      </w:r>
      <w:r>
        <w:rPr>
          <w:rFonts w:ascii="Times New Roman;sans-serif" w:hAnsi="Times New Roman;sans-serif"/>
          <w:b w:val="false"/>
          <w:color w:val="000000"/>
          <w:sz w:val="22"/>
          <w:u w:val="single"/>
        </w:rPr>
        <w:t>Section 6.01(b)(iv)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(b)(ix)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(b)(xvi)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color w:val="000000"/>
          <w:sz w:val="22"/>
          <w:u w:val="single"/>
        </w:rPr>
        <w:t>(xvii)</w:t>
      </w:r>
      <w:r>
        <w:rPr>
          <w:color w:val="000000"/>
        </w:rPr>
        <w:t xml:space="preserve"> </w:t>
      </w:r>
      <w:r>
        <w:rPr>
          <w:rFonts w:ascii="Times New Roman;sans-serif" w:hAnsi="Times New Roman;sans-serif"/>
          <w:b w:val="false"/>
          <w:color w:val="000000"/>
          <w:sz w:val="22"/>
        </w:rPr>
        <w:t xml:space="preserve">shall cease to be deemed Incurred or outstanding for purposes of such clause but shall be deemed Incurred for the purposes of Section 6.01(a) or </w:t>
      </w:r>
      <w:r>
        <w:rPr>
          <w:rFonts w:ascii="Times New Roman;sans-serif" w:hAnsi="Times New Roman;sans-serif"/>
          <w:b/>
          <w:color w:val="000000"/>
          <w:sz w:val="22"/>
          <w:u w:val="single"/>
        </w:rPr>
        <w:t>Section 6.01(b)(i)(A)(II)</w:t>
      </w:r>
      <w:r>
        <w:rPr>
          <w:color w:val="000000"/>
        </w:rPr>
        <w:t xml:space="preserve"> </w:t>
      </w:r>
      <w:r>
        <w:rPr>
          <w:rFonts w:ascii="Times New Roman;sans-serif" w:hAnsi="Times New Roman;sans-serif"/>
          <w:b w:val="false"/>
          <w:color w:val="000000"/>
          <w:sz w:val="22"/>
        </w:rPr>
        <w:t xml:space="preserve">from and after the first date on which the Company or any Restricted Subsidiary could have Incurred such Indebtedness under Section 6.01(a) or </w:t>
      </w:r>
      <w:r>
        <w:rPr>
          <w:rFonts w:ascii="Times New Roman;sans-serif" w:hAnsi="Times New Roman;sans-serif"/>
          <w:b/>
          <w:color w:val="000000"/>
          <w:sz w:val="22"/>
          <w:u w:val="single"/>
        </w:rPr>
        <w:t>Section 6.01(b)(i)(A)(II)</w:t>
      </w:r>
      <w:r>
        <w:rPr>
          <w:rFonts w:ascii="Times New Roman;sans-serif" w:hAnsi="Times New Roman;sans-serif"/>
          <w:b w:val="false"/>
          <w:color w:val="000000"/>
          <w:sz w:val="22"/>
        </w:rPr>
        <w:t>, as applicable, without reliance on such clause; (</w:t>
      </w:r>
      <w:r>
        <w:rPr>
          <w:rFonts w:ascii="Times New Roman;sans-serif" w:hAnsi="Times New Roman;sans-serif"/>
          <w:b w:val="false"/>
          <w:color w:val="000000"/>
          <w:sz w:val="22"/>
          <w:u w:val="single"/>
        </w:rPr>
        <w:t>iii</w:t>
      </w:r>
      <w:r>
        <w:rPr>
          <w:rFonts w:ascii="Times New Roman;sans-serif" w:hAnsi="Times New Roman;sans-serif"/>
          <w:b w:val="false"/>
          <w:color w:val="000000"/>
          <w:sz w:val="22"/>
        </w:rPr>
        <w:t>) the amount of Indebtedness issued at a price that is less than the principal amount thereof shall be equal to the amount of the liability in respect thereof determined in accordance with GAAP; (</w:t>
      </w:r>
      <w:r>
        <w:rPr>
          <w:rFonts w:ascii="Times New Roman;sans-serif" w:hAnsi="Times New Roman;sans-serif"/>
          <w:b w:val="false"/>
          <w:color w:val="000000"/>
          <w:sz w:val="22"/>
          <w:u w:val="single"/>
        </w:rPr>
        <w:t>iv</w:t>
      </w:r>
      <w:r>
        <w:rPr>
          <w:rFonts w:ascii="Times New Roman;sans-serif" w:hAnsi="Times New Roman;sans-serif"/>
          <w:b w:val="false"/>
          <w:color w:val="000000"/>
          <w:sz w:val="22"/>
        </w:rPr>
        <w:t xml:space="preserve">) the principal amount of Indebtedness outstanding under any clause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above shall be determined after giving effect to the application of proceeds of any such Indebtedness to refinance any such other Indebtedness; (</w:t>
      </w:r>
      <w:r>
        <w:rPr>
          <w:rFonts w:ascii="Times New Roman;sans-serif" w:hAnsi="Times New Roman;sans-serif"/>
          <w:b w:val="false"/>
          <w:color w:val="000000"/>
          <w:sz w:val="22"/>
          <w:u w:val="single"/>
        </w:rPr>
        <w:t>v</w:t>
      </w:r>
      <w:r>
        <w:rPr>
          <w:rFonts w:ascii="Times New Roman;sans-serif" w:hAnsi="Times New Roman;sans-serif"/>
          <w:b w:val="false"/>
          <w:color w:val="000000"/>
          <w:sz w:val="22"/>
        </w:rPr>
        <w:t xml:space="preserve">) if any Indebtedness is Incurred to refinance Indebtedness initially Incurred (or, Indebtedness Incurred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62890"/>
                <wp:effectExtent l="0" t="0" r="0" b="0"/>
                <wp:wrapNone/>
                <wp:docPr id="151" name="Frame15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to refinance Indebtedness initially Incurred) in reliance on any provision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above measured by reference to a percentage of Consolidated Tangible Assets at the time of Incurrence, and such refinancing would cause such percentage of Consolidated Tangible Assets to be exceeded if calculated based on the Consolidated Tangible Assets on the date of such refinancing, such percentage of Consolidated Tangible Assets shall not be deemed to be exceeded (and such refinancing Indebtedness shall be deemed permitted) so long as the principal amount of such refinancing Indebtedness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 and (</w:t>
      </w:r>
      <w:r>
        <w:rPr>
          <w:rFonts w:ascii="Times New Roman;sans-serif" w:hAnsi="Times New Roman;sans-serif"/>
          <w:b w:val="false"/>
          <w:color w:val="000000"/>
          <w:sz w:val="22"/>
          <w:u w:val="single"/>
        </w:rPr>
        <w:t>vi</w:t>
      </w:r>
      <w:r>
        <w:rPr>
          <w:rFonts w:ascii="Times New Roman;sans-serif" w:hAnsi="Times New Roman;sans-serif"/>
          <w:b w:val="false"/>
          <w:color w:val="000000"/>
          <w:sz w:val="22"/>
        </w:rPr>
        <w:t xml:space="preserve">) if any Indebtedness is Incurred to refinance Indebtedness initially Incurred (or, Indebtedness Incurred to refinance Indebtedness initially Incurred) in reliance on any provision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above measured by a dollar amount, such dollar amount shall not be deemed to be exceeded (and such refinancing Indebtedness shall be deemed permitted) to the extent the principal amount of such newly Incurred Indebtedness does not exceed the principal amount of such Indebtedness being refinanced, plus the aggregate amount of fees, underwriting discounts, premiums and other costs and expenses (including accrued and unpaid interest) Incurred or payable in connection with such refinancing. Notwithstanding anything herein to the contrary, Indebtedness outstanding on the Closing Date under the ABL Facility shall be classified as Incurred under </w:t>
      </w:r>
      <w:r>
        <w:rPr>
          <w:rFonts w:ascii="Times New Roman;sans-serif" w:hAnsi="Times New Roman;sans-serif"/>
          <w:b/>
          <w:color w:val="000000"/>
          <w:sz w:val="22"/>
          <w:u w:val="single"/>
        </w:rPr>
        <w:t>Section 6.01(b)(i)(A)(I)</w:t>
      </w:r>
      <w:r>
        <w:rPr>
          <w:rFonts w:ascii="Times New Roman;sans-serif" w:hAnsi="Times New Roman;sans-serif"/>
          <w:b w:val="false"/>
          <w:color w:val="000000"/>
          <w:sz w:val="22"/>
        </w:rPr>
        <w:t>, and may not later be reclassified.</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(iv)For purposes of determining compliance with any provision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(or any category of Permitted Liens described in the definition thereof) measured by a dollar amount or by reference to a percentage of Consolidated Tangible Assets, in each case, for the Incurrence of Indebtedness or Liens securing Indebtedness denominated in a foreign currency, the dollar equivalent principal amount of such Indebtedness Incurred pursuant thereto shall be calculated based on the relevant currency exchange rate in effect on the date that such Indebtedness was Incurred, in the case of term Indebtedness, or first committed, in the case of revolving or deferred draw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the dollar equivalent principal amount of any such Indebtedness outstanding on the Closing Date shall be calculated based on the relevant currency exchange rate in effect on the Closing Date,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if such Indebtedness is Incurred to refinance other Indebtedness denominated in a foreign currency (or in a different currency from such Indebtedness so being Incurred), and such refinancing would cause the applicable provision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(or category of Permitted Liens) measured by a dollar amount or by reference to a percentage of Consolidated Tangible Assets, as applicable, to be exceeded if calculated at the relevant currency exchange rate in effect on the date of such refinancing, such provision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(or category of Permitted Liens) measured by a dollar amount or by reference to a percentage of Consolidated Tangible Assets, as applicable, shall be deemed not to have been exceeded so long as the principal amount of such Refinancing Indebtedness does not exceed (i) the outstanding or committed principal amount (whichever is higher) of such Indebtedness being refinanced plus (ii) the aggregate amount of fees, underwriting discounts, premiums and other costs and expenses (including accrued and unpaid interest) Incurred or payable in connection with such refinancing and (</w:t>
      </w:r>
      <w:r>
        <w:rPr>
          <w:rFonts w:ascii="Times New Roman;sans-serif" w:hAnsi="Times New Roman;sans-serif"/>
          <w:b w:val="false"/>
          <w:color w:val="000000"/>
          <w:sz w:val="22"/>
          <w:u w:val="single"/>
        </w:rPr>
        <w:t>z</w:t>
      </w:r>
      <w:r>
        <w:rPr>
          <w:rFonts w:ascii="Times New Roman;sans-serif" w:hAnsi="Times New Roman;sans-serif"/>
          <w:b w:val="false"/>
          <w:color w:val="000000"/>
          <w:sz w:val="22"/>
        </w:rPr>
        <w:t>) the dollar equivalent principal amount of Indebtedness denominated in a foreign currency and Incurred pursuant to the ABL Facility shall be calculated based on the relevant currency exchange rate in effect on, at the Company’s option, (A) the Closing Date, (B) any date on which any of the respective commitments under the ABL Facility shall be reallocated between or among facilities or subfacilities thereunder, or on which such rate is otherwise calculated for any purpose thereunder, or (C) the date of such Incurrence.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lineRule="auto" w:line="240" w:before="0" w:after="240"/>
        <w:jc w:val="both"/>
        <w:rPr/>
      </w:pPr>
      <w:r>
        <w:rPr>
          <w:rFonts w:ascii="Times New Roman;sans-serif" w:hAnsi="Times New Roman;sans-serif"/>
          <w:b w:val="false"/>
          <w:color w:val="000000"/>
          <w:sz w:val="22"/>
        </w:rPr>
        <w:t>Section 1.0b.</w:t>
      </w:r>
      <w:r>
        <w:rPr>
          <w:rFonts w:ascii="Times New Roman;sans-serif" w:hAnsi="Times New Roman;sans-serif"/>
          <w:b w:val="false"/>
          <w:color w:val="000000"/>
          <w:sz w:val="22"/>
        </w:rPr>
        <w:t xml:space="preserve">Limitation on Restricted Payments.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(i)The Company shall not, and shall not permit any Restricted Subsidiary to, directly or indirectly, (i) declare or pay any dividend or make any distribution on or in respect of its Capital Stock (including any such payment in connection with any merger or consolidation to which the Company is a party) except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dividends or distributions payable solely in its Capital Stock (other than Disqualified Stock) 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dividends or distributions payable to the Company or any Restricted Subsidiary (and, in the case of any such Restricted Subsidiary making such dividend or distribution, to holders of its Capital Stock on no more than a pro rata basis, measured by the number of shares owned of the applicable class), </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62890"/>
                <wp:effectExtent l="0" t="0" r="0" b="0"/>
                <wp:wrapNone/>
                <wp:docPr id="152" name="Frame15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(ii) purchase, redeem, retire or otherwise acquire for value any Capital Stock of the Company held by Persons other than the Company or a Restricted Subsidiary (other than any acquisition of Capital Stock deemed to occur upon the exercise of options if such Capital Stock represents a portion of the exercise price thereof), (iii) voluntarily purchase, repurchase, redeem, defease or otherwise voluntarily acquire or retire for value, prior to scheduled maturity, scheduled repayment or scheduled sinking fund payment, any Subordinated Obligations (other than a purchase, repurchase, redemption, defeasance or other acquisition or retirement for value in anticipation of satisfying a sinking fund obligation, principal installment or final maturity, in each case due within one year of the date of such purchase, repurchase, redemption, defeasance or other acquisition or retirement) or (iv) make any Investment (other than a Permitted Investment) in any Person (any such dividend, distribution, purchase, repurchase, redemption, defeasance, other acquisition or retirement or Investment being herein referred to as a “</w:t>
      </w:r>
      <w:r>
        <w:rPr>
          <w:rFonts w:ascii="Times New Roman;sans-serif" w:hAnsi="Times New Roman;sans-serif"/>
          <w:b/>
          <w:color w:val="000000"/>
          <w:sz w:val="22"/>
        </w:rPr>
        <w:t>Restricted Payment</w:t>
      </w:r>
      <w:r>
        <w:rPr>
          <w:color w:val="000000"/>
        </w:rPr>
        <w:t>”</w:t>
      </w:r>
      <w:r>
        <w:rPr>
          <w:rFonts w:ascii="Times New Roman;sans-serif" w:hAnsi="Times New Roman;sans-serif"/>
          <w:b w:val="false"/>
          <w:color w:val="000000"/>
          <w:sz w:val="22"/>
        </w:rPr>
        <w:t>), if at the time the Company or such Restricted Subsidiary makes such Restricted Payment after giving effect thereto:</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(1)    an Event of Default shall have occurred and be continuing (or would result therefrom);</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(2)    the Company could not Incur at least an additional $1.00 of Indebtedness pursuant to Section 6.01(a); or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(3)    the aggregate amount of such Restricted Payment and all other Restricted Payments (the amount so expended, if other than in cash, to be as determined in good faith by the Board of Directors, whose determination shall be conclusive and evidenced by a resolution of the Board of Directors) declared or made subsequent to the Closing Date and then outstanding would exceed, without duplication, the sum of:</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(a)50.0% of the Consolidated Net Income accrued during the period (treated as one accounting period) beginning on August 2, 2021 to the end of the most recent fiscal quarter ending prior to the date of such Restricted Payment for which consolidated financial statements of the Company are available (or, in case such Consolidated Net Income shall be a negative number, zero);</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(b)the aggregate Net Cash Proceeds and the fair value (as determined in good faith by the Company) of property or assets received (x) by the Company as capital contributions to the Company after the Closing Date or from the issuance or sale (other than to a Restricted Subsidiary) of its Capital Stock (other than Disqualified Stock) after the Closing Date (other than Excluded Contributions and Contribution Amounts) or (y) by the Company or any Restricted Subsidiary from the Incurrence by the Company or any Restricted Subsidiary after the Closing Date of Indebtedness that shall have been converted into or exchanged for Capital Stock of the Company (other than Disqualified Stock) or Capital Stock of any Parent Entity, plus the amount of any cash and the fair value (as determined in good faith by the Company) of any property or assets, received by the Company or any Restricted Subsidiary upon such conversion or exchange;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(c)(1) the aggregate amount of cash and the fair value (as determined in good faith by the Company) of any property or assets received from dividends, distributions, interest payments, return of capital, repayments of Investments or other transfers of assets to the Company or any Restricted Subsidiary from any Unrestricted Subsidiary, including dividends or other distributions related to dividends or other distributions made pursuant to </w:t>
      </w:r>
      <w:r>
        <w:rPr>
          <w:rFonts w:ascii="Times New Roman;sans-serif" w:hAnsi="Times New Roman;sans-serif"/>
          <w:b w:val="false"/>
          <w:color w:val="000000"/>
          <w:sz w:val="22"/>
          <w:u w:val="single"/>
        </w:rPr>
        <w:t>Section 6.02(b)(x)</w:t>
      </w:r>
      <w:r>
        <w:rPr>
          <w:rFonts w:ascii="Times New Roman;sans-serif" w:hAnsi="Times New Roman;sans-serif"/>
          <w:b w:val="false"/>
          <w:color w:val="000000"/>
          <w:sz w:val="22"/>
        </w:rPr>
        <w:t>, plus (2) the aggregate amount resulting from the redesignation of any Unrestricted Subsidiary as a Restricted Subsidiary (valued in each case as provided in the definition of “Investment”);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(d)in the case of any disposition or repayment of any Investment constituting a Restricted Payment (without duplication of any amount deducted in calculating the amount of Investments at any time outstanding included in the amount of Restricted Payments), the aggregate amount of cash and the fair value (as determined in </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62890"/>
                <wp:effectExtent l="0" t="0" r="0" b="0"/>
                <wp:wrapNone/>
                <wp:docPr id="153" name="Frame15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good faith by the Company) of any property or assets received by the Company or a Restricted Subsidiary with respect to all such dispositions and repayments.</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(ii)The provisions of </w:t>
      </w:r>
      <w:r>
        <w:rPr>
          <w:rFonts w:ascii="Times New Roman;sans-serif" w:hAnsi="Times New Roman;sans-serif"/>
          <w:b w:val="false"/>
          <w:color w:val="000000"/>
          <w:sz w:val="22"/>
          <w:u w:val="single"/>
        </w:rPr>
        <w:t>Section 6.02(a)</w:t>
      </w:r>
      <w:r>
        <w:rPr>
          <w:color w:val="000000"/>
        </w:rPr>
        <w:t xml:space="preserve"> </w:t>
      </w:r>
      <w:r>
        <w:rPr>
          <w:rFonts w:ascii="Times New Roman;sans-serif" w:hAnsi="Times New Roman;sans-serif"/>
          <w:b w:val="false"/>
          <w:color w:val="000000"/>
          <w:sz w:val="22"/>
        </w:rPr>
        <w:t>do not prohibit any of the following (each, a “</w:t>
      </w:r>
      <w:r>
        <w:rPr>
          <w:rFonts w:ascii="Times New Roman;sans-serif" w:hAnsi="Times New Roman;sans-serif"/>
          <w:b/>
          <w:color w:val="000000"/>
          <w:sz w:val="22"/>
        </w:rPr>
        <w:t>Permitted Payment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any purchase, redemption, repurchase, defeasance or other acquisition or retirement of Capital Stock of the Company (“</w:t>
      </w:r>
      <w:r>
        <w:rPr>
          <w:rFonts w:ascii="Times New Roman;sans-serif" w:hAnsi="Times New Roman;sans-serif"/>
          <w:b/>
          <w:color w:val="000000"/>
          <w:sz w:val="22"/>
        </w:rPr>
        <w:t>Treasury Capital Stock</w:t>
      </w:r>
      <w:r>
        <w:rPr>
          <w:color w:val="000000"/>
        </w:rPr>
        <w:t>”</w:t>
      </w:r>
      <w:r>
        <w:rPr>
          <w:rFonts w:ascii="Times New Roman;sans-serif" w:hAnsi="Times New Roman;sans-serif"/>
          <w:b w:val="false"/>
          <w:color w:val="000000"/>
          <w:sz w:val="22"/>
        </w:rPr>
        <w:t>) or Subordinated Obligations made by exchange (including any such exchange pursuant to the exercise of a conversion right or privilege in connection with which cash is paid in lieu of the issuance of fractional shares) for, or out of the proceeds of the issuance or sale of, Capital Stock of the Company (other than Disqualified Stock and other than Capital Stock issued or sold to a Subsidiary) (“</w:t>
      </w:r>
      <w:r>
        <w:rPr>
          <w:rFonts w:ascii="Times New Roman;sans-serif" w:hAnsi="Times New Roman;sans-serif"/>
          <w:b/>
          <w:color w:val="000000"/>
          <w:sz w:val="22"/>
        </w:rPr>
        <w:t>Refunding Capital Stock</w:t>
      </w:r>
      <w:r>
        <w:rPr>
          <w:color w:val="000000"/>
        </w:rPr>
        <w:t>”</w:t>
      </w:r>
      <w:r>
        <w:rPr>
          <w:rFonts w:ascii="Times New Roman;sans-serif" w:hAnsi="Times New Roman;sans-serif"/>
          <w:b w:val="false"/>
          <w:color w:val="000000"/>
          <w:sz w:val="22"/>
        </w:rPr>
        <w:t xml:space="preserve">) or a capital contribution to the Company, in each case other than Excluded Contributions and Contribution Amounts;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Net Cash Proceeds from such issuance, sale or capital contribution shall be excluded in subsequent calculations under </w:t>
      </w:r>
      <w:r>
        <w:rPr>
          <w:rFonts w:ascii="Times New Roman;sans-serif" w:hAnsi="Times New Roman;sans-serif"/>
          <w:b w:val="false"/>
          <w:color w:val="000000"/>
          <w:sz w:val="22"/>
          <w:u w:val="single"/>
        </w:rPr>
        <w:t>Section 6.02(a)(3)(B)</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if immediately prior to such acquisition or retirement of such Treasury Capital Stock, dividends thereon were permitted pursuant to </w:t>
      </w:r>
      <w:r>
        <w:rPr>
          <w:rFonts w:ascii="Times New Roman;sans-serif" w:hAnsi="Times New Roman;sans-serif"/>
          <w:b w:val="false"/>
          <w:color w:val="000000"/>
          <w:sz w:val="22"/>
          <w:u w:val="single"/>
        </w:rPr>
        <w:t>Section 6.02(b)(xi)</w:t>
      </w:r>
      <w:r>
        <w:rPr>
          <w:rFonts w:ascii="Times New Roman;sans-serif" w:hAnsi="Times New Roman;sans-serif"/>
          <w:b w:val="false"/>
          <w:color w:val="000000"/>
          <w:sz w:val="22"/>
        </w:rPr>
        <w:t>, dividends on such Refunding Capital Stock in an aggregate amount per annum not exceeding the aggregate amount per annum of dividends so permitted on such Treasury Capital Stock;</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(2)any purchase, redemption, repurchase, defeasance or other acquisition or retirement of Subordinated Obligations (</w:t>
      </w:r>
      <w:r>
        <w:rPr>
          <w:rFonts w:ascii="Times New Roman;sans-serif" w:hAnsi="Times New Roman;sans-serif"/>
          <w:b w:val="false"/>
          <w:color w:val="000000"/>
          <w:sz w:val="22"/>
          <w:u w:val="single"/>
        </w:rPr>
        <w:t>w</w:t>
      </w:r>
      <w:r>
        <w:rPr>
          <w:rFonts w:ascii="Times New Roman;sans-serif" w:hAnsi="Times New Roman;sans-serif"/>
          <w:b w:val="false"/>
          <w:color w:val="000000"/>
          <w:sz w:val="22"/>
        </w:rPr>
        <w:t>) made by exchange for, or out of the proceeds of the Incurrence of, Indebtedness of the Company or any of its Restricted Subsidiaries or Refinancing Indebtedness Incurred in compliance with Section 6.01,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xml:space="preserve">) from Net Available Cash or an equivalent amount to the extent permitted by </w:t>
      </w:r>
      <w:r>
        <w:rPr>
          <w:rFonts w:ascii="Times New Roman;sans-serif" w:hAnsi="Times New Roman;sans-serif"/>
          <w:b w:val="false"/>
          <w:color w:val="000000"/>
          <w:sz w:val="22"/>
          <w:u w:val="single"/>
        </w:rPr>
        <w:t>Section 6.04</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[reserved] or (</w:t>
      </w:r>
      <w:r>
        <w:rPr>
          <w:rFonts w:ascii="Times New Roman;sans-serif" w:hAnsi="Times New Roman;sans-serif"/>
          <w:b w:val="false"/>
          <w:color w:val="000000"/>
          <w:sz w:val="22"/>
          <w:u w:val="single"/>
        </w:rPr>
        <w:t>z</w:t>
      </w:r>
      <w:r>
        <w:rPr>
          <w:rFonts w:ascii="Times New Roman;sans-serif" w:hAnsi="Times New Roman;sans-serif"/>
          <w:b w:val="false"/>
          <w:color w:val="000000"/>
          <w:sz w:val="22"/>
        </w:rPr>
        <w:t>) constituting Acquired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(3)any dividend paid or redemption made within 60 days after the date of declaration thereof or of the giving of notice thereof, as applicable, if at such date of declaration or the giving of such notice, such dividend or redemption would have complied with this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(4)Investments or other Restricted Payments in an aggregate amount outstanding at any time not to exceed the amount of Excluded Contributions;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(5)loans, advances, dividends or distributions by the Company to any Parent Entity to permit any Parent Entity to repurchase or otherwise acquire its Capital Stock (including any options, warrants or other rights in respect thereof), or payments by the Company to repurchase or otherwise acquire Capital Stock of the Company (including any options, warrants or other rights in respect thereof), in each case from current or former Management Investors or repurchases of equity from others to offset dilution from issuances of equity to such persons (including any repurchase or acquisition by reason of the Company retaining any Capital Stock, option, warrant or other right in respect of tax withholding obligations, and any related payment in respect of any such obligation), such payments, loans, advances, dividends or distributions not to exceed an amount (net of repayments of any such loans or advances) equal to (</w:t>
      </w:r>
      <w:r>
        <w:rPr>
          <w:rFonts w:ascii="Times New Roman;sans-serif" w:hAnsi="Times New Roman;sans-serif"/>
          <w:b w:val="false"/>
          <w:color w:val="000000"/>
          <w:sz w:val="22"/>
          <w:u w:val="single"/>
        </w:rPr>
        <w:t>w</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1</w:t>
      </w:r>
      <w:r>
        <w:rPr>
          <w:rFonts w:ascii="Times New Roman;sans-serif" w:hAnsi="Times New Roman;sans-serif"/>
          <w:b w:val="false"/>
          <w:color w:val="000000"/>
          <w:sz w:val="22"/>
        </w:rPr>
        <w:t>) $50.0 million, plus (</w:t>
      </w:r>
      <w:r>
        <w:rPr>
          <w:rFonts w:ascii="Times New Roman;sans-serif" w:hAnsi="Times New Roman;sans-serif"/>
          <w:b w:val="false"/>
          <w:color w:val="000000"/>
          <w:sz w:val="22"/>
          <w:u w:val="single"/>
        </w:rPr>
        <w:t>2</w:t>
      </w:r>
      <w:r>
        <w:rPr>
          <w:rFonts w:ascii="Times New Roman;sans-serif" w:hAnsi="Times New Roman;sans-serif"/>
          <w:b w:val="false"/>
          <w:color w:val="000000"/>
          <w:sz w:val="22"/>
        </w:rPr>
        <w:t>) $25.0 million multiplied by the number of calendar years that have commenced since the Closing Date, plus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xml:space="preserve">) the Net Cash Proceeds received by the Company since the Closing Date from, or as a capital contribution from, the issuance or sale to Management Investors of Capital Stock (including any options, warrants or other rights in respect thereof), to the extent such Net Cash Proceeds are not included in any calculation under </w:t>
      </w:r>
      <w:r>
        <w:rPr>
          <w:rFonts w:ascii="Times New Roman;sans-serif" w:hAnsi="Times New Roman;sans-serif"/>
          <w:b w:val="false"/>
          <w:color w:val="000000"/>
          <w:sz w:val="22"/>
          <w:u w:val="single"/>
        </w:rPr>
        <w:t>Section 6.02(a)(3)(B)(x)</w:t>
      </w:r>
      <w:r>
        <w:rPr>
          <w:rFonts w:ascii="Times New Roman;sans-serif" w:hAnsi="Times New Roman;sans-serif"/>
          <w:b w:val="false"/>
          <w:color w:val="000000"/>
          <w:sz w:val="22"/>
        </w:rPr>
        <w:t>, plus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the cash proceeds of key man life insurance policies received by the Company or any Restricted Subsidiary since the Closing Date to the extent such cash proceeds are not included in any calculation under </w:t>
      </w:r>
      <w:r>
        <w:rPr>
          <w:rFonts w:ascii="Times New Roman;sans-serif" w:hAnsi="Times New Roman;sans-serif"/>
          <w:b w:val="false"/>
          <w:color w:val="000000"/>
          <w:sz w:val="22"/>
          <w:u w:val="single"/>
        </w:rPr>
        <w:t>Section 6.02(a)(3)(A)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cancellation of Indebtedness owing to the Company or any Restricted Subsidiary by any current or former Management Investor in connection with any repurchase or other acquisition of Capital Stock (including any options, warrants or other rights in respect thereof) from any Management </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62890"/>
                <wp:effectExtent l="0" t="0" r="0" b="0"/>
                <wp:wrapNone/>
                <wp:docPr id="154" name="Frame15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 shall not constitute a Restricted Payment for purposes of this covenant or any other provision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(6)any Restricted Payments in an amount not to exceed in any fiscal year of the Company the greater of (x) $280.0 million and (y) 6.0% of Market Capitalization;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(7)Restricted Payments (including loans or advances) in an aggregate amount outstanding at any time not to exceed an amount (net of repayments of any such loans or advances) equal to the greater of $120.0 million and 3.0% of Consolidated Tangible Assets;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(8)loans, advances, dividends or distributions to any Parent Entity or other payments by the Company or any Restricted Subsidiary (A) to satisfy or permit any Parent Entity to satisfy obligations under any management agreements, (B) pursuant to any tax sharing agreement or (C) to pay or permit any Parent Entity to pay (but without duplication) any Parent Entity Expenses or any related taxes;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(9)payments by the Company, or loans, advances, dividends or distributions by the Company to any Parent Entity to make payments, to holders of Capital Stock of the Company in lieu of issuance of fractional shares of such Capital Stock;</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(10)dividends or other distributions of, or Investments paid for or made with, Capital Stock, Indebtedness or other securities of Unrestricted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(11)(A) dividends on any Designated Preferred Stock of the Company issued after the Closing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such issuance and after giving effect thereto on a pro forma basis, the Consolidated Coverage Ratio would be equal to or greater than 2.00:1.00, (B) loans, advances, dividends or distributions to any Parent Entity to permit dividends on any Designated Preferred Stock of any Parent Entity issued on or after the Closing Date if the net proceeds of the issuance of such Designated Preferred Stock have been contributed to the Company or any of its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all loans, advances, dividends or distributions paid pursuant to this </w:t>
      </w:r>
      <w:r>
        <w:rPr>
          <w:rFonts w:ascii="Times New Roman;sans-serif" w:hAnsi="Times New Roman;sans-serif"/>
          <w:b w:val="false"/>
          <w:color w:val="000000"/>
          <w:sz w:val="22"/>
          <w:u w:val="single"/>
        </w:rPr>
        <w:t>subclause (B)</w:t>
      </w:r>
      <w:r>
        <w:rPr>
          <w:color w:val="000000"/>
        </w:rPr>
        <w:t> </w:t>
      </w:r>
      <w:r>
        <w:rPr>
          <w:rFonts w:ascii="Times New Roman;sans-serif" w:hAnsi="Times New Roman;sans-serif"/>
          <w:b w:val="false"/>
          <w:color w:val="000000"/>
          <w:sz w:val="22"/>
        </w:rPr>
        <w:t xml:space="preserve">shall not exceed the net proceeds of such issuance of Designated Preferred Stock received by or contributed to the Company or any of its Restricted Subsidiaries or (C) any dividend on Refunding Capital Stock that is Preferred Stock;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at the time of the declaration of such dividend and after giving effect thereto on a pro forma basis, the Consolidated Coverage Ratio would be at least 2.00:1.00;</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(12)Investments in Unrestricted Subsidiaries or joint ventures in an aggregate amount outstanding at any time not exceeding an amount equal to the greater of $100.0 million and 2.5% of Consolidated Tangible Assets;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(13)distributions or payments of Special Purpose Financing Fees;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(14)the declaration and payment of dividends to holders of any class or series of Disqualified Stock, or of any Preferred Stock of a Restricted Subsidiary, Incurred in accordance with the terms of Section 6.01;</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(15)Investments or other Restricted Payments in an aggregate amount outstanding at any time not to exceed an amount equal to Declined Proceeds, plus the amount of Excluded Proceeds;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(16)any Restricted Payment;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on a pro forma basis after giving effect to such Restricted Payment the Consolidated Total Leverage Ratio would be equal to or less than 4.00:1.00;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(17)[reserved];</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62890"/>
                <wp:effectExtent l="0" t="0" r="0" b="0"/>
                <wp:wrapNone/>
                <wp:docPr id="155" name="Frame15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(18)the Closing Date Payment, the Closing Date Distribution and any distribution, as a dividend, cash payment or otherwise, of all or any portion of the equity interests of the Spin Business (as defined in the Separation Agreement) or any of the assets thereof;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(19)the distribution, as a dividend or otherwise, of shares of Capital Stock of, or Indebtedness owed to the Company or a Restricted Subsidiary by, Unrestricted Subsidiaries;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(20)payments or distributions to dissenting stockholders pursuant to applicable law, pursuant to or in connection with a consolidation, amalgamation, merger or transfer of all or substantially all of the assets of the Company and the Restricted Subsidiaries, taken as a whole, that complies with the covenant described under </w:t>
      </w:r>
      <w:r>
        <w:rPr>
          <w:rFonts w:ascii="Times New Roman;sans-serif" w:hAnsi="Times New Roman;sans-serif"/>
          <w:b w:val="false"/>
          <w:color w:val="000000"/>
          <w:sz w:val="22"/>
          <w:u w:val="single"/>
        </w:rPr>
        <w:t>Section 6.08</w:t>
      </w:r>
      <w:r>
        <w:rPr>
          <w:rFonts w:ascii="Times New Roman;sans-serif" w:hAnsi="Times New Roman;sans-serif"/>
          <w:b w:val="false"/>
          <w:color w:val="000000"/>
          <w:sz w:val="22"/>
        </w:rPr>
        <w:t xml:space="preserve">; </w:t>
      </w:r>
    </w:p>
    <w:p>
      <w:pPr>
        <w:pStyle w:val="TextBody"/>
        <w:bidi w:val="0"/>
        <w:spacing w:lineRule="auto" w:line="240"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in the case of clause (iii) of this </w:t>
      </w:r>
      <w:r>
        <w:rPr>
          <w:rFonts w:ascii="Times New Roman;sans-serif" w:hAnsi="Times New Roman;sans-serif"/>
          <w:b w:val="false"/>
          <w:color w:val="000000"/>
          <w:sz w:val="22"/>
          <w:u w:val="single"/>
        </w:rPr>
        <w:t>Section 6.02(b)</w:t>
      </w:r>
      <w:r>
        <w:rPr>
          <w:rFonts w:ascii="Times New Roman;sans-serif" w:hAnsi="Times New Roman;sans-serif"/>
          <w:b w:val="false"/>
          <w:color w:val="000000"/>
          <w:sz w:val="22"/>
        </w:rPr>
        <w:t xml:space="preserve">, the net amount of any such Permitted Payment shall be included in subsequent calculations of the amount of Restricted Payments, (B) in all cases other than pursuant to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immediately above, the net amount of any such Permitted Payment shall be excluded in subsequent calculations of the amount of Restricted Payments, and (C) solely with respect to </w:t>
      </w:r>
      <w:r>
        <w:rPr>
          <w:rFonts w:ascii="Times New Roman;sans-serif" w:hAnsi="Times New Roman;sans-serif"/>
          <w:b w:val="false"/>
          <w:color w:val="000000"/>
          <w:sz w:val="22"/>
          <w:u w:val="single"/>
        </w:rPr>
        <w:t>clauses (vi)</w:t>
      </w:r>
      <w:r>
        <w:rPr>
          <w:color w:val="000000"/>
        </w:rPr>
        <w:t>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(xvi)</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6.02(b)</w:t>
      </w:r>
      <w:r>
        <w:rPr>
          <w:rFonts w:ascii="Times New Roman;sans-serif" w:hAnsi="Times New Roman;sans-serif"/>
          <w:b w:val="false"/>
          <w:color w:val="000000"/>
          <w:sz w:val="22"/>
        </w:rPr>
        <w:t xml:space="preserve">, no Default or Event of Default shall have occurred and be continuing at the time of any such Permitted Payment after giving effect thereto. The Company, in its sole discretion, may classify any Investment or other Restricted Payment as being made in part under one of the clauses or subclauses of this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 xml:space="preserve">, (or, in the case of any Investment, the clauses or subclauses of Permitted Investments) and in part under one or more other such clauses or subclauses (or, as applicable, clauses or subclauses).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 other provision of this Agreement, this Agreement does not restrict any redemption or other payment by the Company or any Restricted Subsidiary made as a mandatory principal redemption or other payment in respect of Subordinated Obligations pursuant to an “AHYDO saver” provision of any agreement or instrument in respect of Subordinated Obligations, and the Company’s determination in good faith of the amount of any such “AHYDO saver” mandatory principal redemption or other payment shall be conclusive and binding for all purposes under this Agreement.</w:t>
      </w:r>
    </w:p>
    <w:p>
      <w:pPr>
        <w:pStyle w:val="TextBody"/>
        <w:bidi w:val="0"/>
        <w:spacing w:lineRule="auto" w:line="240" w:before="0" w:after="240"/>
        <w:jc w:val="both"/>
        <w:rPr/>
      </w:pPr>
      <w:r>
        <w:rPr>
          <w:rFonts w:ascii="Times New Roman;sans-serif" w:hAnsi="Times New Roman;sans-serif"/>
          <w:b w:val="false"/>
          <w:color w:val="000000"/>
          <w:sz w:val="22"/>
        </w:rPr>
        <w:t>Section 1.0c.</w:t>
      </w:r>
      <w:r>
        <w:rPr>
          <w:rFonts w:ascii="Times New Roman;sans-serif" w:hAnsi="Times New Roman;sans-serif"/>
          <w:b w:val="false"/>
          <w:color w:val="000000"/>
          <w:sz w:val="22"/>
        </w:rPr>
        <w:t>Limitation on Restrictions on Distributions from Restricted Subsidiaries . The Company will not, and will not permit any Restricted Subsidiary to, create or otherwise cause to exist or become effective any consensual encumbrance or restriction on the ability of any Restricted Subsidiary to (a) pay dividends or make any other distributions on its Capital Stock or pay any Indebtedness or other obligations owed to the Company, (b) make any loans or advances to the Company or (c) transfer any of its property or assets to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dividend or liquidation priority between classes of Capital Stock, or subordination of any obligation (including the application of any remedy bars thereto) to any other obligation, will not be deemed to constitute such an encumbrance or restriction), except any encumbrance or restriction: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(1)pursuant to an agreement or instrument in effect at or entered into on the Closing Date, any Credit Facility, this Agreement, any Incremental Equivalent Debt,</w:t>
      </w:r>
      <w:r>
        <w:rPr>
          <w:color w:val="000000"/>
        </w:rPr>
        <w:t xml:space="preserve"> </w:t>
      </w:r>
      <w:r>
        <w:rPr>
          <w:rFonts w:ascii="Times New Roman;sans-serif" w:hAnsi="Times New Roman;sans-serif"/>
          <w:b w:val="false"/>
          <w:color w:val="000000"/>
          <w:sz w:val="22"/>
        </w:rPr>
        <w:t>any Additional Non-ABL Secured Debt Obligations, the Senior Notes or the indenture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(2)pursuant to any agreement or instrument of a Person, or relating to Indebtedness or Capital Stock of a Person, which Person is acquired by or merged or consolidated with or into the Company or any Restricted Subsidiary, or which agreement or instrument is assumed by the Company or any Restricted Subsidiary in connection with an acquisition of assets from such Person, or any other transaction entered into in connection with any such acquisition, merger or consolidation, as in effect at the time of such acquisition, merger, consolidation or transaction (except to the extent that such Indebtedness was incurred to finance, or otherwise in connection with, such acquisition, merger, consolidation or transaction);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purposes of this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if a Person other than the Company is the Successor Company with respect thereto, any Subsidiary thereof or agreement or instrument of such Person or any such Subsidiary shall be deemed acquired or assumed, as the case may be, by the Company or a Restricted Subsidiary, as the case may be, when such Person becomes such Successor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62890"/>
                <wp:effectExtent l="0" t="0" r="0" b="0"/>
                <wp:wrapNone/>
                <wp:docPr id="156" name="Frame15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(3)pursuant to an agreement or instrument (a “</w:t>
      </w:r>
      <w:r>
        <w:rPr>
          <w:rFonts w:ascii="Times New Roman;sans-serif" w:hAnsi="Times New Roman;sans-serif"/>
          <w:b/>
          <w:color w:val="000000"/>
          <w:sz w:val="22"/>
        </w:rPr>
        <w:t>Refinancing Agreement</w:t>
      </w:r>
      <w:r>
        <w:rPr>
          <w:color w:val="000000"/>
        </w:rPr>
        <w:t>”</w:t>
      </w:r>
      <w:r>
        <w:rPr>
          <w:rFonts w:ascii="Times New Roman;sans-serif" w:hAnsi="Times New Roman;sans-serif"/>
          <w:b w:val="false"/>
          <w:color w:val="000000"/>
          <w:sz w:val="22"/>
        </w:rPr>
        <w:t xml:space="preserve">) effecting a refinancing of Indebtedness Incurred or outstanding pursuant or relating to, or that otherwise extends, renews, refunds, refinances or replaces, any agreement or instrument referred to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6.03</w:t>
      </w:r>
      <w:r>
        <w:rPr>
          <w:color w:val="000000"/>
        </w:rPr>
        <w:t xml:space="preserve"> </w:t>
      </w:r>
      <w:r>
        <w:rPr>
          <w:rFonts w:ascii="Times New Roman;sans-serif" w:hAnsi="Times New Roman;sans-serif"/>
          <w:b w:val="false"/>
          <w:color w:val="000000"/>
          <w:sz w:val="22"/>
        </w:rPr>
        <w:t xml:space="preserve">or this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(an “</w:t>
      </w:r>
      <w:r>
        <w:rPr>
          <w:rFonts w:ascii="Times New Roman;sans-serif" w:hAnsi="Times New Roman;sans-serif"/>
          <w:b/>
          <w:color w:val="000000"/>
          <w:sz w:val="22"/>
        </w:rPr>
        <w:t>Initial Agreement</w:t>
      </w:r>
      <w:r>
        <w:rPr>
          <w:color w:val="000000"/>
        </w:rPr>
        <w:t>”</w:t>
      </w:r>
      <w:r>
        <w:rPr>
          <w:rFonts w:ascii="Times New Roman;sans-serif" w:hAnsi="Times New Roman;sans-serif"/>
          <w:b w:val="false"/>
          <w:color w:val="000000"/>
          <w:sz w:val="22"/>
        </w:rPr>
        <w:t>) or that is, or is contained in, any amendment, supplement or other modification to an Initial Agreement or Refinancing Agreement (an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the encumbrances and restrictions contained in any such Refinancing Agreement or Amendment taken as a whole are not materially less favorable to the Lenders than encumbrances and restrictions contained in the Initial Agreement or Initial Agreements to which such Refinancing Agreement or Amendment relates (as determined in good faith by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(4)pursuant to customary provisions in joint venture agreements and other similar agreements entered into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(5)(A) pursuant to any agreement or instrument that restricts in a customary manner the assignment or transfer thereof, or the subletting, assignment or transfer of any property or asset subject thereto, (B) by virtue of any transfer of, agreement to transfer, option or right with respect to, or Lien on, any property or assets of the Company or any Restricted Subsidiary (including IP Rights) not otherwise prohibited by this Agreement, (C) contained in mortgages, pledges or other security agreements securing Indebtedness or other obligations of the Company or a Restricted Subsidiary to the extent restricting the transfer of the property or assets subject thereto, (D) pursuant to customary provisions restricting dispositions of real property interests set forth in any reciprocal easement agreements of the Company or any Restricted Subsidiary, (E) pursuant to Purchase Money Obligations that impose encumbrances or restrictions on the property or assets so acquired, (F) on cash or other deposits, net worth or inventory imposed by customers or suppliers under agreements entered into in the ordinary course of business, (G) pursuant to customary provisions contained in agreements and instruments entered into in the ordinary course of business (including but not limited to leases, licenses and sublicenses) or in joint venture and other similar agreements or in shareholder, partnership, limited liability company and other similar agreements in respect of non-wholly owned Restricted Subsidiaries, (H) that arises or is agreed to in the ordinary course of business and does not detract from the value of property or assets of the Company or any Restricted Subsidiary in any manner material to the Company or such Restricted Subsidiary, or (I) pursuant to Hedging Obligations, Bank Products Obligations or Open Account Obligations;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(6)with respect to any agreement for the direct or indirect disposition of Capital Stock, property or assets of any Person, property or assets, imposing restrictions with respect to such Person, Capital Stock, property or assets pending the closing of such sale or disposition;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(7)by reason of any applicable law, rule, regulation or order, or required by any regulatory authority having jurisdiction over the Company or any Restricted Subsidiary or any of their businesses, including any such law, rule, regulation, order or requirement applicable in connection with such Restricted Subsidiary’s status (or the status of any Subsidiary of such Restricted Subsidiary) as a Captive Insurance Subsidiary;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(8)pursuant to an agreement or instrument (A) relating to any Indebtedness permitted to be Incurred subsequent to the Closing Date pursuant to Section 6.01 (1) if the encumbrances and restrictions contained in any such agreement or instrument taken as a whole are not materially less favorable to the Lenders than the encumbrances and restrictions contained in the Initial Agreements (as determined in good faith by the Company) or (2) if such encumbrance or restriction is not materially more disadvantageous to the Lenders than is customary in comparable financings (as determined in good faith by the Company) and either (x) the Company determines in good faith that such encumbrance or restriction will not materially affect the Company’s ability to make principal or interest payments on the Loans or (y) such encumbrance or restriction applies only if a default occurs in respect of a payment or financial covenant relating to such Indebtedness, (B) relating to any sale of receivables by or Indebtedness of a Foreign Subsidiary or (C) relating to Indebtedness of or a Financing Disposition by or to or in favor of any Receivables Subsidiary.</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62890"/>
                <wp:effectExtent l="0" t="0" r="0" b="0"/>
                <wp:wrapNone/>
                <wp:docPr id="157" name="Frame15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Section 1.0d.</w:t>
      </w:r>
      <w:r>
        <w:rPr>
          <w:rFonts w:ascii="Times New Roman;sans-serif" w:hAnsi="Times New Roman;sans-serif"/>
          <w:b w:val="false"/>
          <w:color w:val="000000"/>
          <w:sz w:val="22"/>
        </w:rPr>
        <w:t xml:space="preserve">Limitation on Sales of Assets and Subsidiary Stock .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will not, and will not permit any Restricted Subsidiary to, make any Asset Disposition unless: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(1)the Company or such Restricted Subsidiary receives consideration (including by way of relief from, or by any other Person assuming responsibility for, any liabilities, contingent or otherwise) at the time of such Asset Disposition at least equal to the Fair Market Value of the shares and assets subject to such Asset Disposition, as such Fair Market Value (on the date a legally binding commitment for such Asset Disposition was entered into) may be determined in good faith by the Company, whose determination shall be conclusive (including as to the value of all noncash consideration);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(2)in the case of any Asset Disposition (or series of related Asset Dispositions) having a Fair Market Value (on the date a legally binding commitment for such Asset Disposition was entered into) of $50.0 million or more, at least 75.0% of the consideration therefor (excluding, in the case of an Asset Disposition (or series of related Asset Dispositions), any consideration by way of relief from, or by any other Person assuming responsibility for, any liabilities, contingent or otherwise, that are not Indebtedness) for such Asset Disposition, together with all other Asset Dispositions since the Closing Date (on a cumulative basis) received by the Company or such Restricted Subsidiary is in the form of cash;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(3)if such Asset Disposition involves the Disposition of Collateral, the Company shall apply the Net Available Cash of such Asset Disposition (or the applicable portion thereof) in accordance with the provisions of </w:t>
      </w:r>
      <w:r>
        <w:rPr>
          <w:rFonts w:ascii="Times New Roman;sans-serif" w:hAnsi="Times New Roman;sans-serif"/>
          <w:b w:val="false"/>
          <w:color w:val="000000"/>
          <w:sz w:val="22"/>
          <w:u w:val="single"/>
        </w:rPr>
        <w:t>Section 2.11(b)(ii)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the foregoing provision in </w:t>
      </w:r>
      <w:r>
        <w:rPr>
          <w:rFonts w:ascii="Times New Roman;sans-serif" w:hAnsi="Times New Roman;sans-serif"/>
          <w:b/>
          <w:color w:val="000000"/>
          <w:sz w:val="22"/>
          <w:u w:val="single"/>
        </w:rPr>
        <w:t>Section 6.04(a)(iii)</w:t>
      </w:r>
      <w:r>
        <w:rPr>
          <w:rFonts w:ascii="Times New Roman;sans-serif" w:hAnsi="Times New Roman;sans-serif"/>
          <w:b w:val="false"/>
          <w:color w:val="000000"/>
          <w:sz w:val="22"/>
        </w:rPr>
        <w:t xml:space="preserve">, to the extent that repatriating any or all of the Net Available Cash from any Asset Disposition by a Foreign Subsidiary (x) would result in material adverse tax consequences to the Company or any of its Subsidiaries or (y) is prohibited or delayed by applicable local law from being repatriated to the United States (in the case of the foregoing </w:t>
      </w:r>
      <w:r>
        <w:rPr>
          <w:rFonts w:ascii="Times New Roman;sans-serif" w:hAnsi="Times New Roman;sans-serif"/>
          <w:b w:val="false"/>
          <w:color w:val="000000"/>
          <w:sz w:val="22"/>
          <w:u w:val="single"/>
        </w:rPr>
        <w:t>clauses (x)</w:t>
      </w:r>
      <w:r>
        <w:rPr>
          <w:color w:val="000000"/>
        </w:rPr>
        <w:t>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as reasonably determined by the Company in good faith which determination shall be conclusive), the portion of such Net Available Cash so affected will not be required to be applied in compliance with clause (iii) of the first paragraph of this covenant, and such amounts may be retained by the applicable Foreign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this </w:t>
      </w:r>
      <w:r>
        <w:rPr>
          <w:rFonts w:ascii="Times New Roman;sans-serif" w:hAnsi="Times New Roman;sans-serif"/>
          <w:b w:val="false"/>
          <w:color w:val="000000"/>
          <w:sz w:val="22"/>
          <w:u w:val="single"/>
        </w:rPr>
        <w:t>clause (y)</w:t>
      </w:r>
      <w:r>
        <w:rPr>
          <w:rFonts w:ascii="Times New Roman;sans-serif" w:hAnsi="Times New Roman;sans-serif"/>
          <w:b w:val="false"/>
          <w:color w:val="000000"/>
          <w:sz w:val="22"/>
        </w:rPr>
        <w:t xml:space="preserve">, the Company shall take commercially reasonable efforts to cause the applicable Foreign Subsidiary to take all actions reasonably required by the applicable local law, applicable organizational impediments or other impediment to permit such repatriation, and if such repatriation of any of such affected Net Available Cash can be achieved such repatriation will be promptly effected and such repatriated Net Available Cash will be applied (whether or not repatriation actually occurs) in compliance with </w:t>
      </w:r>
      <w:r>
        <w:rPr>
          <w:rFonts w:ascii="Times New Roman;sans-serif" w:hAnsi="Times New Roman;sans-serif"/>
          <w:b w:val="false"/>
          <w:color w:val="000000"/>
          <w:sz w:val="22"/>
          <w:u w:val="single"/>
        </w:rPr>
        <w:t xml:space="preserve">clause </w:t>
      </w:r>
      <w:r>
        <w:rPr>
          <w:rFonts w:ascii="Times New Roman;sans-serif" w:hAnsi="Times New Roman;sans-serif"/>
          <w:b/>
          <w:color w:val="000000"/>
          <w:sz w:val="22"/>
          <w:u w:val="single"/>
        </w:rPr>
        <w:t>(iii)</w:t>
      </w:r>
      <w:r>
        <w:rPr>
          <w:color w:val="000000"/>
        </w:rPr>
        <w:t> </w:t>
      </w:r>
      <w:r>
        <w:rPr>
          <w:rFonts w:ascii="Times New Roman;sans-serif" w:hAnsi="Times New Roman;sans-serif"/>
          <w:b w:val="false"/>
          <w:color w:val="000000"/>
          <w:sz w:val="22"/>
        </w:rPr>
        <w:t xml:space="preserve">of the first paragraph of this covenant. The time periods set forth in this covenant shall not start until such time as the Net Available Cash may be repatriated whether or not such repatriation actually occurs.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the foregoing provisions of this </w:t>
      </w:r>
      <w:r>
        <w:rPr>
          <w:rFonts w:ascii="Times New Roman;sans-serif" w:hAnsi="Times New Roman;sans-serif"/>
          <w:b w:val="false"/>
          <w:color w:val="000000"/>
          <w:sz w:val="22"/>
          <w:u w:val="single"/>
        </w:rPr>
        <w:t>Section 6.04</w:t>
      </w:r>
      <w:r>
        <w:rPr>
          <w:rFonts w:ascii="Times New Roman;sans-serif" w:hAnsi="Times New Roman;sans-serif"/>
          <w:b w:val="false"/>
          <w:color w:val="000000"/>
          <w:sz w:val="22"/>
        </w:rPr>
        <w:t xml:space="preserve">, the Company and the Restricted Subsidiaries shall not be required to apply any Net Available Cash or equivalent amount in accordance with this </w:t>
      </w:r>
      <w:r>
        <w:rPr>
          <w:rFonts w:ascii="Times New Roman;sans-serif" w:hAnsi="Times New Roman;sans-serif"/>
          <w:b w:val="false"/>
          <w:color w:val="000000"/>
          <w:sz w:val="22"/>
          <w:u w:val="single"/>
        </w:rPr>
        <w:t>Section 6.04</w:t>
      </w:r>
      <w:r>
        <w:rPr>
          <w:color w:val="000000"/>
        </w:rPr>
        <w:t xml:space="preserve"> </w:t>
      </w:r>
      <w:r>
        <w:rPr>
          <w:rFonts w:ascii="Times New Roman;sans-serif" w:hAnsi="Times New Roman;sans-serif"/>
          <w:b w:val="false"/>
          <w:color w:val="000000"/>
          <w:sz w:val="22"/>
        </w:rPr>
        <w:t xml:space="preserve">except to the extent that the aggregate Net Available Cash from all Asset Dispositions of Collateral or equivalent amount that is not applied in accordance with this </w:t>
      </w:r>
      <w:r>
        <w:rPr>
          <w:rFonts w:ascii="Times New Roman;sans-serif" w:hAnsi="Times New Roman;sans-serif"/>
          <w:b w:val="false"/>
          <w:color w:val="000000"/>
          <w:sz w:val="22"/>
          <w:u w:val="single"/>
        </w:rPr>
        <w:t>Section 6.04</w:t>
      </w:r>
      <w:r>
        <w:rPr>
          <w:color w:val="000000"/>
        </w:rPr>
        <w:t xml:space="preserve"> </w:t>
      </w:r>
      <w:r>
        <w:rPr>
          <w:rFonts w:ascii="Times New Roman;sans-serif" w:hAnsi="Times New Roman;sans-serif"/>
          <w:b w:val="false"/>
          <w:color w:val="000000"/>
          <w:sz w:val="22"/>
        </w:rPr>
        <w:t>exceeds $30.0 million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purposes of Section 6.04(a)(ii), the following are deemed to be cash: (1) Temporary Cash Investments and Cash Equivalents; (2) the assumption of Indebtedness of the Company (other than Disqualified Stock of the Company) or any Restricted Subsidiary and the release of the Company or such Restricted Subsidiary from all liability on payment of the principal amount of such Indebtedness in connection with such Asset Disposition; (3) Indebtedness of any Restricted Subsidiary that is no longer a Restricted Subsidiary as a result of such Asset Disposition, to the extent that the Company and each other Restricted Subsidiary are released from any Guarantee of payment of the principal amount of such Indebtedness in connection with such Asset Disposition; (4) securities received by the Company or any Restricted Subsidiary from the transferee that are converted by the Company or such Restricted Subsidiary into cash within 180 days; (5) consideration consisting of Indebtedness of the Company or any </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62890"/>
                <wp:effectExtent l="0" t="0" r="0" b="0"/>
                <wp:wrapNone/>
                <wp:docPr id="158" name="Frame15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Restricted Subsidiary; (6) Additional Assets; and (7) any Designated Noncash Consideration received by the Company or any of its Restricted Subsidiaries in an Asset Disposition having an aggregate Fair Market Value, taken together with all other Designated Noncash Consideration received pursuant to this clause, not to exceed an aggregate amount at any time outstanding equal to the greater of $50.0 million and 1.25% of Consolidated Tangible Assets (with the Fair Market Value of each item of Designated Noncash Consideration being measured on the date a legally binding commitment for such disposition (or, if later, for the payment of such item) was entered into and without giving effect to subsequent changes in value).</w:t>
      </w:r>
    </w:p>
    <w:p>
      <w:pPr>
        <w:pStyle w:val="TextBody"/>
        <w:bidi w:val="0"/>
        <w:spacing w:lineRule="auto" w:line="240" w:before="0" w:after="240"/>
        <w:jc w:val="both"/>
        <w:rPr/>
      </w:pPr>
      <w:r>
        <w:rPr>
          <w:rFonts w:ascii="Times New Roman;sans-serif" w:hAnsi="Times New Roman;sans-serif"/>
          <w:b w:val="false"/>
          <w:color w:val="000000"/>
          <w:sz w:val="22"/>
        </w:rPr>
        <w:t>Section 1.0e.</w:t>
      </w:r>
      <w:r>
        <w:rPr>
          <w:rFonts w:ascii="Times New Roman;sans-serif" w:hAnsi="Times New Roman;sans-serif"/>
          <w:b w:val="false"/>
          <w:color w:val="000000"/>
          <w:sz w:val="22"/>
        </w:rPr>
        <w:t xml:space="preserve">Limitation on Transaction with Affiliates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(i)The Company will not, and will not permit any Restricted Subsidiary to, directly or indirectly, enter into or conduct any transaction or series of related transactions (including the purchase, sale, lease or exchange of any property or the rendering of any service) with any Affiliate of the Company (an “</w:t>
      </w:r>
      <w:r>
        <w:rPr>
          <w:rFonts w:ascii="Times New Roman;sans-serif" w:hAnsi="Times New Roman;sans-serif"/>
          <w:b w:val="false"/>
          <w:color w:val="000000"/>
          <w:sz w:val="22"/>
          <w:u w:val="single"/>
        </w:rPr>
        <w:t>Affiliate Transaction</w:t>
      </w:r>
      <w:r>
        <w:rPr>
          <w:color w:val="000000"/>
        </w:rPr>
        <w:t>”</w:t>
      </w:r>
      <w:r>
        <w:rPr>
          <w:rFonts w:ascii="Times New Roman;sans-serif" w:hAnsi="Times New Roman;sans-serif"/>
          <w:b w:val="false"/>
          <w:color w:val="000000"/>
          <w:sz w:val="22"/>
        </w:rPr>
        <w:t xml:space="preserve">) involving aggregate consideration in excess of the greater of $20.0 million and 0.50% of Consolidated Tangible Assets unless (i) the terms of such Affiliate Transaction are not materially less favorable to the Company or such Restricted Subsidiary, as the case may be, than those that could be obtained at the time in a transaction with a Person who is not such an Affiliate and (ii) if such Affiliate Transaction involves aggregate consideration in excess of the greater of $50.0 million and 1.25% of Consolidated Tangible Assets, the terms of such Affiliate Transaction have been approved by a majority of the Board of Directors. For purposes of this </w:t>
      </w:r>
      <w:r>
        <w:rPr>
          <w:rFonts w:ascii="Times New Roman;sans-serif" w:hAnsi="Times New Roman;sans-serif"/>
          <w:b w:val="false"/>
          <w:color w:val="000000"/>
          <w:sz w:val="22"/>
          <w:u w:val="single"/>
        </w:rPr>
        <w:t>Section 6.05(a)</w:t>
      </w:r>
      <w:r>
        <w:rPr>
          <w:rFonts w:ascii="Times New Roman;sans-serif" w:hAnsi="Times New Roman;sans-serif"/>
          <w:b w:val="false"/>
          <w:color w:val="000000"/>
          <w:sz w:val="22"/>
        </w:rPr>
        <w:t xml:space="preserve">, any Affiliate Transaction shall be deemed to have satisfied the requirements set forth in this </w:t>
      </w:r>
      <w:r>
        <w:rPr>
          <w:rFonts w:ascii="Times New Roman;sans-serif" w:hAnsi="Times New Roman;sans-serif"/>
          <w:b w:val="false"/>
          <w:color w:val="000000"/>
          <w:sz w:val="22"/>
          <w:u w:val="single"/>
        </w:rPr>
        <w:t>Section 6.05(a)</w:t>
      </w:r>
      <w:r>
        <w:rPr>
          <w:color w:val="000000"/>
        </w:rPr>
        <w:t xml:space="preserve"> </w:t>
      </w:r>
      <w:r>
        <w:rPr>
          <w:rFonts w:ascii="Times New Roman;sans-serif" w:hAnsi="Times New Roman;sans-serif"/>
          <w:b w:val="false"/>
          <w:color w:val="000000"/>
          <w:sz w:val="22"/>
        </w:rPr>
        <w:t>if (x) such Affiliate Transaction is approved by a majority of the Disinterested Directors or (y) in the event there are no Disinterested Directors, a fairness opinion is provided by a nationally recognized appraisal or investment banking firm with respect to such Affiliate Transaction.</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(ii)The provisions of </w:t>
      </w:r>
      <w:r>
        <w:rPr>
          <w:rFonts w:ascii="Times New Roman;sans-serif" w:hAnsi="Times New Roman;sans-serif"/>
          <w:b w:val="false"/>
          <w:color w:val="000000"/>
          <w:sz w:val="22"/>
          <w:u w:val="single"/>
        </w:rPr>
        <w:t>Section 6.05(a)</w:t>
      </w:r>
      <w:r>
        <w:rPr>
          <w:color w:val="000000"/>
        </w:rPr>
        <w:t xml:space="preserve"> </w:t>
      </w:r>
      <w:r>
        <w:rPr>
          <w:rFonts w:ascii="Times New Roman;sans-serif" w:hAnsi="Times New Roman;sans-serif"/>
          <w:b w:val="false"/>
          <w:color w:val="000000"/>
          <w:sz w:val="22"/>
        </w:rPr>
        <w:t>will not apply 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(1)any Restricted Payment Transaction;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(2)(A) the entering into, maintaining or performance of any employment or consulting contract, collective bargaining agreement, benefit plan, program or arrangement, related trust agreement or any other similar arrangement for or with any current or former management member, employee, officer or director or consultant of or to the Company or any Restricted Subsidiary heretofore or hereafter entered into in the ordinary course of business, including vacation, health, insurance, deferred compensation, severance, retirement, savings or other similar plans, programs or arrangements, (B) payments, compensation, performance of indemnification or contribution obligations, the making or cancellation of loans in the ordinary course of business to any such management members, employees, officers, directors or consultants, (C) any issuance, grant or award of stock, options, other equity related interests or other securities, to any such management members, employees, officers, directors or consultants, (D) the payment of reasonable fees to directors of the Company or any of its Subsidiaries (as determined in good faith by the Company or such Subsidiary), or (E) any transaction with an officer or director of the Company or any of its Subsidiaries in the ordinary course of business, or (F) Management Advances and payments in respect thereof (or in reimbursement of any expenses referred to in the definition of such term);</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(3)any transaction between or among any of the Company, one or more Restricted Subsidiaries, or one or more Receivables Subsidiaries,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(4)any transaction arising out of agreements or instruments in existence on the Closing Date, and any payments made pursuant thereto;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(5)any transaction in the ordinary course of business on terms that are fair to the Company and its Restricted Subsidiaries in the reasonable determination of the Board of Directors or senior management of the Company, or are not materially less favorable to the Company or the relevant Restricted Subsidiary than those that could be obtained at the time in a transaction with a Person who is not an Affiliate of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62890"/>
                <wp:effectExtent l="0" t="0" r="0" b="0"/>
                <wp:wrapNone/>
                <wp:docPr id="159" name="Frame15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(6)any transaction in the ordinary course of business, or approved by a majority of the Board of Directors, between the Company or any Restricted Subsidiary and any Affiliate of the Company controlled by the Company that is a joint venture or similar entity;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(7)the Transactions, all transactions in connection therewith (including but not limited to the financing thereof), and all fees and expenses paid or payable in connection with the Transactions;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(8)any issuance or sale of Capital Stock (other than Disqualified Stock) of the Company or Junior Capital or any capital contribution to the Company;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(9)any investment by any Affiliate of the Company in securities or term loans of the Company or any of its Restricted Subsidiaries (and payment of out-of-pocket expenses incurred by any such Affiliate in connection therewith) so long as such securities or term loans are being offered generally to investors (other than Affiliates of the Company) on the same or more favorable terms;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(10)any transactions undertaken in connection with the VS Transaction, the Separation (as defined in the Registration Statement), the Closing Date Payment or the Closing Date Distribution.</w:t>
      </w:r>
    </w:p>
    <w:p>
      <w:pPr>
        <w:pStyle w:val="TextBody"/>
        <w:bidi w:val="0"/>
        <w:spacing w:lineRule="auto" w:line="240" w:before="0" w:after="240"/>
        <w:jc w:val="both"/>
        <w:rPr/>
      </w:pPr>
      <w:r>
        <w:rPr>
          <w:rFonts w:ascii="Times New Roman;sans-serif" w:hAnsi="Times New Roman;sans-serif"/>
          <w:b w:val="false"/>
          <w:color w:val="000000"/>
          <w:sz w:val="22"/>
        </w:rPr>
        <w:t>Section 1.0f.</w:t>
      </w:r>
      <w:r>
        <w:rPr>
          <w:rFonts w:ascii="Times New Roman;sans-serif" w:hAnsi="Times New Roman;sans-serif"/>
          <w:b w:val="false"/>
          <w:color w:val="000000"/>
          <w:sz w:val="22"/>
        </w:rPr>
        <w:t>Limitation on Liens. The Company shall not, and shall not permit any Restricted Subsidiary to, directly or indirectly, create or permit to exist any Lien (the “</w:t>
      </w:r>
      <w:r>
        <w:rPr>
          <w:rFonts w:ascii="Times New Roman;sans-serif" w:hAnsi="Times New Roman;sans-serif"/>
          <w:b/>
          <w:color w:val="000000"/>
          <w:sz w:val="22"/>
        </w:rPr>
        <w:t>Initial Lien</w:t>
      </w:r>
      <w:r>
        <w:rPr>
          <w:color w:val="000000"/>
        </w:rPr>
        <w:t>”</w:t>
      </w:r>
      <w:r>
        <w:rPr>
          <w:rFonts w:ascii="Times New Roman;sans-serif" w:hAnsi="Times New Roman;sans-serif"/>
          <w:b w:val="false"/>
          <w:color w:val="000000"/>
          <w:sz w:val="22"/>
        </w:rPr>
        <w:t>) on any of its property or assets (including Capital Stock of any other Person), whether owned on the date of this Agreement or thereafter acquired, securing any Indebtedness, other than: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(1)in the case of any Initial Lien on any Collateral, such Initial Lien if it is a Permitted Lien; and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(2)in the case of any Initial Lien on any asset or property not constituting Collateral, such Initial Lien if (A) the Initial Term Loans and the Subsidiary Guarantees are equally and ratably secured with (or on a senior basis to, in the case such Initial Lien secures any Subordinated Obligations) the Obligations secured by such Initial Lien, or (B) such Initial Lien is a Permitted Lien. </w:t>
      </w:r>
    </w:p>
    <w:p>
      <w:pPr>
        <w:pStyle w:val="TextBody"/>
        <w:bidi w:val="0"/>
        <w:spacing w:lineRule="auto" w:line="240" w:before="0" w:after="240"/>
        <w:ind w:left="0" w:right="0" w:firstLine="1530"/>
        <w:jc w:val="both"/>
        <w:rPr/>
      </w:pPr>
      <w:r>
        <w:rPr>
          <w:rFonts w:ascii="Times New Roman;sans-serif" w:hAnsi="Times New Roman;sans-serif"/>
          <w:b w:val="false"/>
          <w:color w:val="000000"/>
          <w:sz w:val="22"/>
        </w:rPr>
        <w:t xml:space="preserve">Any such Lien thereby created in favor of the Term Loans or any such Subsidiary Guarantee pursuant to clause (ii) of the immediately preceding paragraph will be automatically and unconditionally released and discharged upon (i) the release and discharge of the Initial Lien to which it relates, (ii) in the case of any such Lien in favor of any such Subsidiary Guarantee, upon the termination and discharge of such Subsidiary Guarantee in accordance with the terms of Section 9.22 or (iii) any sale, exchange or transfer (other than a transfer constituting a transfer of all or substantially all of the assets of the Company that is governed by </w:t>
      </w:r>
      <w:r>
        <w:rPr>
          <w:rFonts w:ascii="Times New Roman;sans-serif" w:hAnsi="Times New Roman;sans-serif"/>
          <w:b w:val="false"/>
          <w:color w:val="000000"/>
          <w:sz w:val="22"/>
          <w:u w:val="single"/>
        </w:rPr>
        <w:t>Section 6.08</w:t>
      </w:r>
      <w:r>
        <w:rPr>
          <w:rFonts w:ascii="Times New Roman;sans-serif" w:hAnsi="Times New Roman;sans-serif"/>
          <w:b w:val="false"/>
          <w:color w:val="000000"/>
          <w:sz w:val="22"/>
        </w:rPr>
        <w:t>) to any Person not an Affiliate of the Company of the property or assets secured by such Initial Lien, or of all of the Capital Stock held by the Company or any Restricted Subsidiary in, or all or substantially all the assets of, any Restricted Subsidiary creating such Initial Lien.</w:t>
      </w:r>
    </w:p>
    <w:p>
      <w:pPr>
        <w:pStyle w:val="TextBody"/>
        <w:bidi w:val="0"/>
        <w:spacing w:lineRule="auto" w:line="240" w:before="0" w:after="240"/>
        <w:ind w:left="0" w:right="0" w:firstLine="1530"/>
        <w:jc w:val="both"/>
        <w:rPr/>
      </w:pPr>
      <w:r>
        <w:rPr>
          <w:rFonts w:ascii="Times New Roman;sans-serif" w:hAnsi="Times New Roman;sans-serif"/>
          <w:b w:val="false"/>
          <w:color w:val="000000"/>
          <w:sz w:val="22"/>
        </w:rPr>
        <w:t>If, at any time after the Closing Date, the Company or any Subsidiary Guarantor creates any Lien upon any asset or property that is not at such time Collateral in order to secure any other Non-ABL Secured Debt Obligations (any such Lien, a “</w:t>
      </w:r>
      <w:r>
        <w:rPr>
          <w:rFonts w:ascii="Times New Roman;sans-serif" w:hAnsi="Times New Roman;sans-serif"/>
          <w:b/>
          <w:color w:val="000000"/>
          <w:sz w:val="22"/>
        </w:rPr>
        <w:t>New Lien</w:t>
      </w:r>
      <w:r>
        <w:rPr>
          <w:color w:val="000000"/>
        </w:rPr>
        <w:t>”</w:t>
      </w:r>
      <w:r>
        <w:rPr>
          <w:rFonts w:ascii="Times New Roman;sans-serif" w:hAnsi="Times New Roman;sans-serif"/>
          <w:b w:val="false"/>
          <w:color w:val="000000"/>
          <w:sz w:val="22"/>
        </w:rPr>
        <w:t>), it must within 30 days grant a Lien upon such property or assets as security for the Initial Term Loans or the applicable Subsidiary Guarantee, such that such asset or property subject to such New Lien also becomes subject to a Lien securing the Initial Term Loans or the applicable Subsidiary Guarantee under the Loan Documents with a priority that is equal to the priority of such New Lien (without regard to the exercise of remedies).</w:t>
      </w:r>
    </w:p>
    <w:p>
      <w:pPr>
        <w:pStyle w:val="TextBody"/>
        <w:bidi w:val="0"/>
        <w:spacing w:lineRule="auto" w:line="240" w:before="0" w:after="240"/>
        <w:jc w:val="both"/>
        <w:rPr/>
      </w:pPr>
      <w:r>
        <w:rPr>
          <w:rFonts w:ascii="Times New Roman;sans-serif" w:hAnsi="Times New Roman;sans-serif"/>
          <w:b w:val="false"/>
          <w:color w:val="000000"/>
          <w:sz w:val="22"/>
        </w:rPr>
        <w:t>Section 1.0g.</w:t>
      </w:r>
      <w:r>
        <w:rPr>
          <w:rFonts w:ascii="Times New Roman;sans-serif" w:hAnsi="Times New Roman;sans-serif"/>
          <w:b w:val="false"/>
          <w:color w:val="000000"/>
          <w:sz w:val="22"/>
        </w:rPr>
        <w:t>Additional Limitations on Intellectual Property Transfers . Neither the Company nor any Restricted Subsidiary will transfer the ownership of any IP Rights that the Company determines in good faith are material to the Company and its Restricted Subsidiaries taken as a whole (“</w:t>
      </w:r>
      <w:r>
        <w:rPr>
          <w:rFonts w:ascii="Times New Roman;sans-serif" w:hAnsi="Times New Roman;sans-serif"/>
          <w:b/>
          <w:color w:val="000000"/>
          <w:sz w:val="22"/>
        </w:rPr>
        <w:t>Material Intellectual Property</w:t>
      </w:r>
      <w:r>
        <w:rPr>
          <w:color w:val="000000"/>
        </w:rPr>
        <w:t>”</w:t>
      </w:r>
      <w:r>
        <w:rPr>
          <w:rFonts w:ascii="Times New Roman;sans-serif" w:hAnsi="Times New Roman;sans-serif"/>
          <w:b w:val="false"/>
          <w:color w:val="000000"/>
          <w:sz w:val="22"/>
        </w:rPr>
        <w:t xml:space="preserve">) to an Unrestricted Subsidiary, except to the extent such Material Intellectual Property is </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62890"/>
                <wp:effectExtent l="0" t="0" r="0" b="0"/>
                <wp:wrapNone/>
                <wp:docPr id="160" name="Frame16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related to the anticipated business activities to be conducted by such Unrestricted Subsidiary (as determined by the Company in good faith).</w:t>
      </w:r>
    </w:p>
    <w:p>
      <w:pPr>
        <w:pStyle w:val="TextBody"/>
        <w:bidi w:val="0"/>
        <w:spacing w:lineRule="auto" w:line="240" w:before="0" w:after="240"/>
        <w:jc w:val="both"/>
        <w:rPr/>
      </w:pPr>
      <w:r>
        <w:rPr>
          <w:rFonts w:ascii="Times New Roman;sans-serif" w:hAnsi="Times New Roman;sans-serif"/>
          <w:b w:val="false"/>
          <w:color w:val="000000"/>
          <w:sz w:val="22"/>
        </w:rPr>
        <w:t>Section 1.0h.</w:t>
      </w:r>
      <w:r>
        <w:rPr>
          <w:rFonts w:ascii="Times New Roman;sans-serif" w:hAnsi="Times New Roman;sans-serif"/>
          <w:b w:val="false"/>
          <w:color w:val="000000"/>
          <w:sz w:val="22"/>
        </w:rPr>
        <w:t>Mergers, Consolidations, Etc.. (a) The Company will not consolidate with or merge with or into, or convey, lease or otherwise transfer all or substantially all its assets to, any Person, unless: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the resulting, surviving or transferee Person (the “</w:t>
      </w:r>
      <w:r>
        <w:rPr>
          <w:rFonts w:ascii="Times New Roman;sans-serif" w:hAnsi="Times New Roman;sans-serif"/>
          <w:b/>
          <w:color w:val="000000"/>
          <w:sz w:val="22"/>
        </w:rPr>
        <w:t>Successor Company</w:t>
      </w:r>
      <w:r>
        <w:rPr>
          <w:color w:val="000000"/>
        </w:rPr>
        <w:t>”</w:t>
      </w:r>
      <w:r>
        <w:rPr>
          <w:rFonts w:ascii="Times New Roman;sans-serif" w:hAnsi="Times New Roman;sans-serif"/>
          <w:b w:val="false"/>
          <w:color w:val="000000"/>
          <w:sz w:val="22"/>
        </w:rPr>
        <w:t>) will be a Person organized and existing under the laws of the United States, any State thereof or the District of Columbia and the Successor Company (if not the Company) will expressly assume all the obligations of the Company under this Agreement and the Collateral Documents by executing and delivering to the Administrative Agent a joinder or one or more other documents or instruments in form reasonably satisfactory to the Administrative Agent and the Collateral Agent (and the Successor Company (if not the Company) shall cause such amendments, supplements and other instruments to be executed, filed and recorded in such jurisdictions as may be required by applicable law to preserve and protect the Liens on the Collateral owned by or transferred to such Successor Company, together with such financing statement or a similar document under the UCC or other similar statute or regulation of the relevant states or jurisdictions);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immediately after giving effect to such transaction (and treating any Indebtedness that becomes an obligation of the Successor Company or any Restricted Subsidiary as a result of such transaction as having been Incurred by the Successor Company or such Restricted Subsidiary at the time of such transaction), no Event of Default will have occurred and be continuing;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immediately after giving effect to such transaction, either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 xml:space="preserve">) the Company (or, if applicable, the Successor Company with respect thereto) could Incur at least $1.00 of additional Indebtedness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the Consolidated Coverage Ratio of the Company (or, if applicable, the Successor Company with respect thereto) would equal or exceed the Consolidated Coverage Ratio of the Company immediately prior to giving effect to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each Subsidiary Guarantor (other than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any Subsidiary Guarantor that will be released from its obligations under its Subsidiary Guarantee in connection with such transaction 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any party to any such consolidation or merger) shall have delivered a document or instrument in form reasonably satisfactory to the Administrative Agent, confirming its Subsidiary Guarantee (other than any Subsidiary Guarantee that will be discharged or terminated in connection with such transaction and the Liens on the Collateral);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rPr>
        <w:t xml:space="preserve">the Company will have delivered to the Administrative Agent an Officer’s Certificate to the effect that such consolidation, merger or transfer complies with the provisions described in this </w:t>
      </w:r>
      <w:r>
        <w:rPr>
          <w:rFonts w:ascii="Times New Roman;sans-serif" w:hAnsi="Times New Roman;sans-serif"/>
          <w:b w:val="false"/>
          <w:color w:val="000000"/>
          <w:sz w:val="22"/>
          <w:u w:val="single"/>
        </w:rPr>
        <w:t>Section 6.08(a)</w:t>
      </w:r>
      <w:r>
        <w:rPr>
          <w:rFonts w:ascii="Times New Roman;sans-serif" w:hAnsi="Times New Roman;sans-serif"/>
          <w:b w:val="false"/>
          <w:color w:val="000000"/>
          <w:sz w:val="22"/>
        </w:rPr>
        <w:t>;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rPr>
        <w:t>to the extent any assets of the Person which is merged or consolidated with or into the Successor Company are assets of the type which would constitute Collateral under the Collateral Documents, the Successor Company will take such action as may be reasonably necessary to cause such property and assets to be made subject to the Lien of the Collateral Documents in the manner and to the extent required in this Agreement or any of the Collateral Documents and shall take all reasonably necessary action so that such Lien is perfected to the extent required by the Collateral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Any Indebtedness that becomes an obligation of the Company (or, if applicable, the Successor Company with respect thereto) or any Restricted Subsidiary (or that is deemed to be Incurred by any Restricted Subsidiary that becomes a Restricted Subsidiary) as a result of any such transaction undertaken in compliance with this </w:t>
      </w:r>
      <w:r>
        <w:rPr>
          <w:rFonts w:ascii="Times New Roman;sans-serif" w:hAnsi="Times New Roman;sans-serif"/>
          <w:b w:val="false"/>
          <w:color w:val="000000"/>
          <w:sz w:val="22"/>
          <w:u w:val="single"/>
        </w:rPr>
        <w:t>Section 6.08</w:t>
      </w:r>
      <w:r>
        <w:rPr>
          <w:rFonts w:ascii="Times New Roman;sans-serif" w:hAnsi="Times New Roman;sans-serif"/>
          <w:b w:val="false"/>
          <w:color w:val="000000"/>
          <w:sz w:val="22"/>
        </w:rPr>
        <w:t xml:space="preserve">, and any Refinancing Indebtedness with respect thereto, shall be deemed to have been Incurred in compliance with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(iii)Clauses (ii) and (iii) of </w:t>
      </w:r>
      <w:r>
        <w:rPr>
          <w:rFonts w:ascii="Times New Roman;sans-serif" w:hAnsi="Times New Roman;sans-serif"/>
          <w:b w:val="false"/>
          <w:color w:val="000000"/>
          <w:sz w:val="22"/>
          <w:u w:val="single"/>
        </w:rPr>
        <w:t>Section 6.08(a)</w:t>
      </w:r>
      <w:r>
        <w:rPr>
          <w:color w:val="000000"/>
        </w:rPr>
        <w:t xml:space="preserve"> </w:t>
      </w:r>
      <w:r>
        <w:rPr>
          <w:rFonts w:ascii="Times New Roman;sans-serif" w:hAnsi="Times New Roman;sans-serif"/>
          <w:b w:val="false"/>
          <w:color w:val="000000"/>
          <w:sz w:val="22"/>
        </w:rPr>
        <w:t>will not apply to any transaction in which the Company consolidates or merges with or into or transfers all or substantially all its properties and assets to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an Affiliate incorporated or organized for the purpose of reincorporating or reorganizing the Company in another jurisdiction or changing its legal structure to a corporation, limited liability company or other entity or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a Restricted Subsidiary of the Company so long as all assets of the Company and the </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62890"/>
                <wp:effectExtent l="0" t="0" r="0" b="0"/>
                <wp:wrapNone/>
                <wp:docPr id="161" name="Frame16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Restricted Subsidiaries immediately prior to such transaction (other than Capital Stock of such Restricted Subsidiary) are owned by such Restricted Subsidiary and its Restricted Subsidiaries immediately after the consummation thereof. </w:t>
      </w:r>
      <w:r>
        <w:rPr>
          <w:rFonts w:ascii="Times New Roman;sans-serif" w:hAnsi="Times New Roman;sans-serif"/>
          <w:b w:val="false"/>
          <w:color w:val="000000"/>
          <w:sz w:val="22"/>
          <w:u w:val="single"/>
        </w:rPr>
        <w:t>Section 6.08(a)</w:t>
      </w:r>
      <w:r>
        <w:rPr>
          <w:color w:val="000000"/>
        </w:rPr>
        <w:t xml:space="preserve"> </w:t>
      </w:r>
      <w:r>
        <w:rPr>
          <w:rFonts w:ascii="Times New Roman;sans-serif" w:hAnsi="Times New Roman;sans-serif"/>
          <w:b w:val="false"/>
          <w:color w:val="000000"/>
          <w:sz w:val="22"/>
        </w:rPr>
        <w:t xml:space="preserve">will not apply to any transaction in which any Restricted Subsidiary consolidates with, merges into or transfers all or part of its assets to the Company. </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(iv)Upon any transaction involving the Company in accordance with this </w:t>
      </w:r>
      <w:r>
        <w:rPr>
          <w:rFonts w:ascii="Times New Roman;sans-serif" w:hAnsi="Times New Roman;sans-serif"/>
          <w:b w:val="false"/>
          <w:color w:val="000000"/>
          <w:sz w:val="22"/>
          <w:u w:val="single"/>
        </w:rPr>
        <w:t>Section 6.08</w:t>
      </w:r>
      <w:r>
        <w:rPr>
          <w:color w:val="000000"/>
        </w:rPr>
        <w:t xml:space="preserve"> </w:t>
      </w:r>
      <w:r>
        <w:rPr>
          <w:rFonts w:ascii="Times New Roman;sans-serif" w:hAnsi="Times New Roman;sans-serif"/>
          <w:b w:val="false"/>
          <w:color w:val="000000"/>
          <w:sz w:val="22"/>
        </w:rPr>
        <w:t>in which the Company is not the Successor Company, the Successor Company will succeed to, and be substituted for, and may exercise every right and power of, the Company under the Loan Documents, and thereafter the predecessor Company shall be relieved of all obligations and covenants under the Loan Documents, except that the predecessor Company in the case of a lease of all or substantially all its assets will not be released from the obligation to pay the principal of and interest on the Loans.</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 xml:space="preserve">(v)This </w:t>
      </w:r>
      <w:r>
        <w:rPr>
          <w:rFonts w:ascii="Times New Roman;sans-serif" w:hAnsi="Times New Roman;sans-serif"/>
          <w:b w:val="false"/>
          <w:color w:val="000000"/>
          <w:sz w:val="22"/>
          <w:u w:val="single"/>
        </w:rPr>
        <w:t>Section 6.08</w:t>
      </w:r>
      <w:r>
        <w:rPr>
          <w:color w:val="000000"/>
        </w:rPr>
        <w:t xml:space="preserve"> </w:t>
      </w:r>
      <w:r>
        <w:rPr>
          <w:rFonts w:ascii="Times New Roman;sans-serif" w:hAnsi="Times New Roman;sans-serif"/>
          <w:b w:val="false"/>
          <w:color w:val="000000"/>
          <w:sz w:val="22"/>
        </w:rPr>
        <w:t xml:space="preserve">shall not apply to any VS Transaction. </w:t>
      </w:r>
    </w:p>
    <w:p>
      <w:pPr>
        <w:pStyle w:val="TextBody"/>
        <w:bidi w:val="0"/>
        <w:spacing w:lineRule="auto" w:line="240" w:before="0" w:after="240"/>
        <w:jc w:val="center"/>
        <w:rPr/>
      </w:pPr>
      <w:r>
        <w:rPr>
          <w:rFonts w:ascii="Times New Roman;sans-serif" w:hAnsi="Times New Roman;sans-serif"/>
          <w:b w:val="false"/>
          <w:color w:val="000000"/>
          <w:sz w:val="22"/>
        </w:rPr>
        <w:t>Article 7</w:t>
      </w:r>
      <w:r>
        <w:rPr>
          <w:rFonts w:ascii="Times New Roman;sans-serif" w:hAnsi="Times New Roman;sans-serif"/>
          <w:b w:val="false"/>
          <w:color w:val="000000"/>
          <w:sz w:val="22"/>
        </w:rPr>
        <w:t>EVENTS OF DEFAULT</w:t>
      </w:r>
    </w:p>
    <w:p>
      <w:pPr>
        <w:pStyle w:val="TextBody"/>
        <w:bidi w:val="0"/>
        <w:spacing w:lineRule="auto" w:line="240" w:before="0" w:after="240"/>
        <w:jc w:val="both"/>
        <w:rPr/>
      </w:pPr>
      <w:r>
        <w:rPr>
          <w:rFonts w:ascii="Times New Roman;sans-serif" w:hAnsi="Times New Roman;sans-serif"/>
          <w:b w:val="false"/>
          <w:color w:val="000000"/>
          <w:sz w:val="22"/>
        </w:rPr>
        <w:t>Section 1.0a.</w:t>
      </w:r>
      <w:r>
        <w:rPr>
          <w:rFonts w:ascii="Times New Roman;sans-serif" w:hAnsi="Times New Roman;sans-serif"/>
          <w:b w:val="false"/>
          <w:color w:val="000000"/>
          <w:sz w:val="22"/>
        </w:rPr>
        <w:t>Events of Default. If any of the following events (each, an “</w:t>
      </w:r>
      <w:r>
        <w:rPr>
          <w:rFonts w:ascii="Times New Roman;sans-serif" w:hAnsi="Times New Roman;sans-serif"/>
          <w:b/>
          <w:color w:val="000000"/>
          <w:sz w:val="22"/>
        </w:rPr>
        <w:t>Event of Default</w:t>
      </w:r>
      <w:r>
        <w:rPr>
          <w:color w:val="000000"/>
        </w:rPr>
        <w:t>”</w:t>
      </w:r>
      <w:r>
        <w:rPr>
          <w:rFonts w:ascii="Times New Roman;sans-serif" w:hAnsi="Times New Roman;sans-serif"/>
          <w:b w:val="false"/>
          <w:color w:val="000000"/>
          <w:sz w:val="22"/>
        </w:rPr>
        <w:t>) shall occur:</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Failure To Make Payments When Due</w:t>
      </w:r>
      <w:r>
        <w:rPr>
          <w:rFonts w:ascii="Times New Roman;sans-serif" w:hAnsi="Times New Roman;sans-serif"/>
          <w:b w:val="false"/>
          <w:color w:val="000000"/>
          <w:sz w:val="22"/>
        </w:rPr>
        <w:t xml:space="preserve">. Failure by the Company to pay (i) any installment of principal of any Loan when due, whether at stated maturity, by acceleration, by notice of voluntary prepayment, by mandatory prepayment or otherwise, (ii) within five Business Days after the date due, any interest on any Loan or any fee due hereunder or (iii) any other amount due hereunder within ten Business Days after the applicable due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solely with respect to clauses (ii) and (iii), any such failure to pay caused by administrative or technical error shall not constitute an Event of Default if payment is made within two Business Days of the earlier of (x) the discovery of such error by the Company or the Administrative Agent notifying the Company or such error and (y) a Responsible Officer of the Company obtaining actual knowledge of any such failure to pay; or</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Default in Other Agreements</w:t>
      </w:r>
      <w:r>
        <w:rPr>
          <w:rFonts w:ascii="Times New Roman;sans-serif" w:hAnsi="Times New Roman;sans-serif"/>
          <w:b w:val="false"/>
          <w:color w:val="000000"/>
          <w:sz w:val="22"/>
        </w:rPr>
        <w:t xml:space="preserve">. (i) Failure by the Company or any other Loan Party to pay when due any principal of or interest on or any other amount payable in respect of one or more items of Indebtedness (other than Indebtedness referred to in clause (a) above and any ABL Facility unless, in the case of the ABL Facility, such failure to pay results in the acceleration of the obligations and the termination of the commitments thereunder) with an aggregate outstanding principal amount exceeding the Threshold Amount, in each case beyond the applicable notice period and grace period, if any, provided therefor; or (ii) breach or default by the Company or any of its Restricted Subsidiaries (other than any Receivables Subsidiary) with respect to any other term of (A) one or more items of Indebtedness with an aggregate outstanding principal amount exceeding the Threshold Amount or (B) any loan agreement, mortgage, indenture or other agreement relating to such item(s) of Indebtedness, in each case beyond the applicable notice period and grace period, if any, provided therefor, if the effect of such breach or default is to cause, or to permit the holder or holders of such Indebtedness (or a trustee or agent on behalf of such holder or holders) to cause, such Indebtedness to become or be declared due and payable (or redeemable) prior to its stated maturity or the stated maturity of any underlying obligation, as the case may be;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(x) clause (ii) of this paragraph (b) shall not apply to secured Indebtedness that becomes due as a result of the voluntary sale or transfer of the property securing such Indebtedness if such sale or transfer is permitted hereunder and (y) clause (ii) of this paragraph (b) shall not apply to termination events or equivalent events occurring under any Hedging Agreement in accordance with the terms thereof (it being understood that the failure to pay any amount due as a result of such termination event shall (to the extent greater than the Threshold Amount) constitute an Event of Default under this paragraph (b)); provided, further, that (x) with respect to (I) any breach or default referred to in clause (ii) above with respect to a financial covenant in any such Indebtedness or (II) any breach or default under any ABL Facility, such breach or default in each case shall only constitute an Event of Default hereunder if such breach or default has resulted in the acceleration of such Indebtedness and the termination of commitments thereunder, (y) any failure, breach or default described under clauses (i) or (ii) above shall only constitute an Event of Default hereunder if such failure, breach or default is unremedied and is not waived by the holders of such Indebtedness prior to any termination of the Commitments or acceleration of the Loans pursuant to this Article 7 and (z) for the avoidance of doubt, any failure, breach or default </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62890"/>
                <wp:effectExtent l="0" t="0" r="0" b="0"/>
                <wp:wrapNone/>
                <wp:docPr id="162" name="Frame16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described under clauses (i) or (ii) above shall not result in a Default or Event of Default while any notice period or grace period, if applicable to such failure, breach or default, remains in effect; or</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Breach of Certain Covenants</w:t>
      </w:r>
      <w:r>
        <w:rPr>
          <w:rFonts w:ascii="Times New Roman;sans-serif" w:hAnsi="Times New Roman;sans-serif"/>
          <w:b w:val="false"/>
          <w:color w:val="000000"/>
          <w:sz w:val="22"/>
        </w:rPr>
        <w:t xml:space="preserve">. Failure of any Loan Party, as required by the relevant provision, to perform or comply with any term or condition contained in </w:t>
      </w:r>
      <w:r>
        <w:rPr>
          <w:rFonts w:ascii="Times New Roman;sans-serif" w:hAnsi="Times New Roman;sans-serif"/>
          <w:b w:val="false"/>
          <w:color w:val="000000"/>
          <w:sz w:val="22"/>
          <w:u w:val="single"/>
        </w:rPr>
        <w:t>Section 5.01(a)(ix)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5.04</w:t>
      </w:r>
      <w:r>
        <w:rPr>
          <w:color w:val="000000"/>
        </w:rPr>
        <w:t xml:space="preserve"> </w:t>
      </w:r>
      <w:r>
        <w:rPr>
          <w:rFonts w:ascii="Times New Roman;sans-serif" w:hAnsi="Times New Roman;sans-serif"/>
          <w:b w:val="false"/>
          <w:color w:val="000000"/>
          <w:sz w:val="22"/>
        </w:rPr>
        <w:t xml:space="preserve">(as it applies to the preservation of the existence of the Company and each other Borrower), or </w:t>
      </w:r>
      <w:r>
        <w:rPr>
          <w:rFonts w:ascii="Times New Roman;sans-serif" w:hAnsi="Times New Roman;sans-serif"/>
          <w:b w:val="false"/>
          <w:color w:val="000000"/>
          <w:sz w:val="22"/>
          <w:u w:val="single"/>
        </w:rPr>
        <w:t>Article 6</w:t>
      </w:r>
      <w:r>
        <w:rPr>
          <w:rFonts w:ascii="Times New Roman;sans-serif" w:hAnsi="Times New Roman;sans-serif"/>
          <w:b w:val="false"/>
          <w:color w:val="000000"/>
          <w:sz w:val="22"/>
        </w:rPr>
        <w:t>; or</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Breach of Representations, Etc</w:t>
      </w:r>
      <w:r>
        <w:rPr>
          <w:rFonts w:ascii="Times New Roman;sans-serif" w:hAnsi="Times New Roman;sans-serif"/>
          <w:b w:val="false"/>
          <w:color w:val="000000"/>
          <w:sz w:val="22"/>
        </w:rPr>
        <w:t>. Any representation, warranty or certification made or deemed made by any Loan Party in any Loan Document or in any certificate required to be delivered in connection herewith or therewith (including, for the avoidance of doubt, any Perfection Certificate), shall be untrue in any material respect as of the date made or deemed made and such untrue representation, warranty or certification shall remain untrue for a period of 30 days after notice from the Administrative Agent to the Company (which notice shall only be given at the direction of the Required Lenders); it being understood and agreed that any breach of representation, warranty or certification resulting from the failure of the Administrative Agent to file any Uniform Commercial Code continuation statement (or other similar statement) shall not result in an Event of Default under this Section 7.01(d) or any other provision of any Loan Document; or</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Other Defaults Under Loan Documents</w:t>
      </w:r>
      <w:r>
        <w:rPr>
          <w:rFonts w:ascii="Times New Roman;sans-serif" w:hAnsi="Times New Roman;sans-serif"/>
          <w:b w:val="false"/>
          <w:color w:val="000000"/>
          <w:sz w:val="22"/>
        </w:rPr>
        <w:t xml:space="preserve">. Default by any Loan Party in the performance of or compliance with any term contained herein or in any of the other Loan Documents, other than any such term referred to in any other Section of this </w:t>
      </w:r>
      <w:r>
        <w:rPr>
          <w:rFonts w:ascii="Times New Roman;sans-serif" w:hAnsi="Times New Roman;sans-serif"/>
          <w:b w:val="false"/>
          <w:color w:val="000000"/>
          <w:sz w:val="22"/>
          <w:u w:val="single"/>
        </w:rPr>
        <w:t>Article 7</w:t>
      </w:r>
      <w:r>
        <w:rPr>
          <w:rFonts w:ascii="Times New Roman;sans-serif" w:hAnsi="Times New Roman;sans-serif"/>
          <w:b w:val="false"/>
          <w:color w:val="000000"/>
          <w:sz w:val="22"/>
        </w:rPr>
        <w:t>, which default has not been remedied or waived within 30 days after receipt by the Company of written notice thereof from the Administrative Agent; or</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Involuntary Bankruptcy; Appointment of Receiver, Etc</w:t>
      </w:r>
      <w:r>
        <w:rPr>
          <w:rFonts w:ascii="Times New Roman;sans-serif" w:hAnsi="Times New Roman;sans-serif"/>
          <w:b w:val="false"/>
          <w:color w:val="000000"/>
          <w:sz w:val="22"/>
        </w:rPr>
        <w:t>. (i) The entry by a court of competent jurisdiction of a decree or order for relief in respect of the Company or any of its Restricted Subsidiaries (other than any Immaterial Subsidiary) (any such Person, a “</w:t>
      </w:r>
      <w:r>
        <w:rPr>
          <w:rFonts w:ascii="Times New Roman;sans-serif" w:hAnsi="Times New Roman;sans-serif"/>
          <w:b/>
          <w:color w:val="000000"/>
          <w:sz w:val="22"/>
        </w:rPr>
        <w:t>Specified Person</w:t>
      </w:r>
      <w:r>
        <w:rPr>
          <w:color w:val="000000"/>
        </w:rPr>
        <w:t>”</w:t>
      </w:r>
      <w:r>
        <w:rPr>
          <w:rFonts w:ascii="Times New Roman;sans-serif" w:hAnsi="Times New Roman;sans-serif"/>
          <w:b w:val="false"/>
          <w:color w:val="000000"/>
          <w:sz w:val="22"/>
        </w:rPr>
        <w:t xml:space="preserve">) in an involuntary case under any Debtor Relief Law now or hereafter in effect, which decree or order is not stayed or dismissed; or any other similar relief shall be granted under any applicable federal, state or local law, which relief is not stayed or dismissed; or (ii) the commencement of an involuntary case against any Specified Person under any Debtor Relief Law; the entry by a court having jurisdiction in the premises of a decree or order for the appointment of a receiver, receiver and manager, (preliminary) insolvency receiver, liquidator, sequestrator, trustee, custodian or other officer having similar powers over any Specified Person, or over all or a substantial part of its property; or the involuntary appointment of an interim receiver, trustee or other custodian of any Specified Person for all or a substantial part of its property, which remains, in any case under this </w:t>
      </w:r>
      <w:r>
        <w:rPr>
          <w:rFonts w:ascii="Times New Roman;sans-serif" w:hAnsi="Times New Roman;sans-serif"/>
          <w:b w:val="false"/>
          <w:color w:val="000000"/>
          <w:sz w:val="22"/>
          <w:u w:val="single"/>
        </w:rPr>
        <w:t>clause (f)</w:t>
      </w:r>
      <w:r>
        <w:rPr>
          <w:rFonts w:ascii="Times New Roman;sans-serif" w:hAnsi="Times New Roman;sans-serif"/>
          <w:b w:val="false"/>
          <w:color w:val="000000"/>
          <w:sz w:val="22"/>
        </w:rPr>
        <w:t>, undismissed, unvacated, unbonded or unstayed pending appeal for 60 consecutive days; or</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Voluntary Bankruptcy; Appointment of Receiver, Etc</w:t>
      </w:r>
      <w:r>
        <w:rPr>
          <w:rFonts w:ascii="Times New Roman;sans-serif" w:hAnsi="Times New Roman;sans-serif"/>
          <w:b w:val="false"/>
          <w:color w:val="000000"/>
          <w:sz w:val="22"/>
        </w:rPr>
        <w:t>. (i) The entry against any Specified Person of an order for relief, the commencement by any Specified Person of a voluntary case under any Debtor Relief Law, or the consent by any Specified Person to the entry of an order for relief in an involuntary case or to the conversion of an involuntary case to a voluntary case, under any Debtor Relief Law, or the consent by any Specified Person to the appointment of or taking possession by a receiver, receiver and manager, trustee or other custodian for all or a substantial part of its property; (ii) the making by any Specified Person of a general assignment for the benefit of creditors; or (iii) the admission by any Specified Person in writing of their inability to pay their respective debts as such debts become due; or</w:t>
      </w:r>
    </w:p>
    <w:p>
      <w:pPr>
        <w:pStyle w:val="TextBody"/>
        <w:bidi w:val="0"/>
        <w:spacing w:lineRule="auto" w:line="240" w:before="0" w:after="240"/>
        <w:ind w:left="0" w:right="0" w:firstLine="1001"/>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Judgments and Attachments</w:t>
      </w:r>
      <w:r>
        <w:rPr>
          <w:rFonts w:ascii="Times New Roman;sans-serif" w:hAnsi="Times New Roman;sans-serif"/>
          <w:b w:val="false"/>
          <w:color w:val="000000"/>
          <w:sz w:val="22"/>
        </w:rPr>
        <w:t>. The entry of one or more final money judgments, writs or warrants of attachment or similar process against any Specified Person involving in the aggregate at any time an amount in excess of the Threshold Amount (in either case to the extent not adequately covered by indemnity from a third party as to which the indemnifying party has been notified and not denied its indemnification obligations, self-insurance (if applicable) or insurance as to which the relevant third party insurance company has been notified and not denied coverage), which judgment, writ, warrant or similar process remains unpaid, undischarged, unvacated, unbonded or unstayed pending appeal for a period of 60 consecutive days; or</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62890"/>
                <wp:effectExtent l="0" t="0" r="0" b="0"/>
                <wp:wrapNone/>
                <wp:docPr id="163" name="Frame16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Employee Benefit Plans</w:t>
      </w:r>
      <w:r>
        <w:rPr>
          <w:rFonts w:ascii="Times New Roman;sans-serif" w:hAnsi="Times New Roman;sans-serif"/>
          <w:b w:val="false"/>
          <w:color w:val="000000"/>
          <w:sz w:val="22"/>
        </w:rPr>
        <w:t>. The Company or any ERISA Affiliate shall fail to pay when due an amount or amounts aggregating in excess of $300,000,000 which it shall have become liable to pay to the PBGC or to a Plan under Title IV of ERISA; or notice of intent to terminate a Plan or Plans having aggregate Unfunded Liabilities in excess of $300,000,000 (collectively “</w:t>
      </w:r>
      <w:r>
        <w:rPr>
          <w:rFonts w:ascii="Times New Roman;sans-serif" w:hAnsi="Times New Roman;sans-serif"/>
          <w:b w:val="false"/>
          <w:color w:val="000000"/>
          <w:sz w:val="22"/>
          <w:u w:val="single"/>
        </w:rPr>
        <w:t>Material Plans</w:t>
      </w:r>
      <w:r>
        <w:rPr>
          <w:color w:val="000000"/>
        </w:rPr>
        <w:t>”</w:t>
      </w:r>
      <w:r>
        <w:rPr>
          <w:rFonts w:ascii="Times New Roman;sans-serif" w:hAnsi="Times New Roman;sans-serif"/>
          <w:b w:val="false"/>
          <w:color w:val="000000"/>
          <w:sz w:val="22"/>
        </w:rPr>
        <w:t>) shall be filed under Title IV of ERISA by the Company or any ERISA Affiliate,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Company or any ERISA Affiliate to enforce Section 515 of ERISA or 4219(c)(5) of ERISA and such proceeding shall not have been dismissed within 30 days thereafter; or a condition shall exist by reason of which the PBGC would be entitled to obtain a decree adjudicating that any Material Plan must be terminated; or</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Change of Control</w:t>
      </w:r>
      <w:r>
        <w:rPr>
          <w:rFonts w:ascii="Times New Roman;sans-serif" w:hAnsi="Times New Roman;sans-serif"/>
          <w:b w:val="false"/>
          <w:color w:val="000000"/>
          <w:sz w:val="22"/>
        </w:rPr>
        <w:t>. The occurrence of a Change of Control; or</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u w:val="single"/>
        </w:rPr>
        <w:t>Guaranties, Collateral Documents and Other Loan Documents</w:t>
      </w:r>
      <w:r>
        <w:rPr>
          <w:rFonts w:ascii="Times New Roman;sans-serif" w:hAnsi="Times New Roman;sans-serif"/>
          <w:b w:val="false"/>
          <w:color w:val="000000"/>
          <w:sz w:val="22"/>
        </w:rPr>
        <w:t xml:space="preserve">. At any time after the execution and delivery thereof (i) any material Guarantee of the Obligations hereunder by any Subsidiary Guarantor for any reason ceasing to be in full force and effect (other than in accordance with its terms or as a result of the occurrence of the Termination Date) or being declared by a court of competent jurisdiction to be null and void or the repudiation in writing by any Loan Party of its obligations thereunder (in each case other than as a result of the discharge of such Loan Party in accordance with the terms thereof), (ii) this Agreement or any material Collateral Document ceasing to be in full force and effect (other than by reason of a release of Collateral in accordance with the terms hereof or thereof, the occurrence of the Termination Date or any other termination of such Collateral Document in accordance with the terms thereof) or being declared by a court of competent jurisdiction to be null and void or (iii) other than in any bona fide, good faith dispute as to the scope of Collateral or whether any Lien has been, or is required to be released, the contesting by any Loan Party of the validity or enforceability of any material provision of any Loan Document in writing or denial by any Loan Party in writing that it has any further liability (other than by reason of the occurrence of the Termination Date or any other termination of any Loan Document in accordance with the terms thereof), including with respect to future advances by the Lenders, under any Loan Document to which it is a party; it being understood and agreed that the failure of the Administrative Agent to maintain possession of any Collateral actually delivered to it or file any UCC (or equivalent) continuation statement shall not result in an Event of Default under this </w:t>
      </w:r>
      <w:r>
        <w:rPr>
          <w:rFonts w:ascii="Times New Roman;sans-serif" w:hAnsi="Times New Roman;sans-serif"/>
          <w:b w:val="false"/>
          <w:color w:val="000000"/>
          <w:sz w:val="22"/>
          <w:u w:val="single"/>
        </w:rPr>
        <w:t>clause (k)</w:t>
      </w:r>
      <w:r>
        <w:rPr>
          <w:rFonts w:ascii="Times New Roman;sans-serif" w:hAnsi="Times New Roman;sans-serif"/>
          <w:b w:val="false"/>
          <w:color w:val="000000"/>
          <w:sz w:val="22"/>
        </w:rPr>
        <w:t>; or</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(xii)</w:t>
      </w:r>
      <w:r>
        <w:rPr>
          <w:rFonts w:ascii="Times New Roman;sans-serif" w:hAnsi="Times New Roman;sans-serif"/>
          <w:b w:val="false"/>
          <w:color w:val="000000"/>
          <w:sz w:val="22"/>
          <w:u w:val="single"/>
        </w:rPr>
        <w:t>Subordination</w:t>
      </w:r>
      <w:r>
        <w:rPr>
          <w:rFonts w:ascii="Times New Roman;sans-serif" w:hAnsi="Times New Roman;sans-serif"/>
          <w:b w:val="false"/>
          <w:color w:val="000000"/>
          <w:sz w:val="22"/>
        </w:rPr>
        <w:t>. The Obligations hereunder ceasing or the assertion in writing by any Loan Party that the Obligations hereunder cease to constitute senior indebtedness under the subordination provisions of any document or instrument evidencing any permitted Subordinated Obligations in excess of the Threshold Amount (in each case, to the extent required by such subordination provision) or any such subordination provision being invalidated by a court of competent jurisdiction in a final non-appealable order or otherwise ceasing, for any reason, to be valid, binding and enforceable obligations of the parties thereto;</w:t>
      </w:r>
    </w:p>
    <w:p>
      <w:pPr>
        <w:pStyle w:val="TextBody"/>
        <w:bidi w:val="0"/>
        <w:spacing w:lineRule="auto" w:line="240" w:before="0" w:after="240"/>
        <w:jc w:val="both"/>
        <w:rPr/>
      </w:pPr>
      <w:r>
        <w:rPr>
          <w:rFonts w:ascii="Times New Roman;sans-serif" w:hAnsi="Times New Roman;sans-serif"/>
          <w:b w:val="false"/>
          <w:color w:val="000000"/>
          <w:sz w:val="22"/>
        </w:rPr>
        <w:t xml:space="preserve">then, and in every such Event of Default (other than an Event of Default with respect to the Company described in </w:t>
      </w:r>
      <w:r>
        <w:rPr>
          <w:rFonts w:ascii="Times New Roman;sans-serif" w:hAnsi="Times New Roman;sans-serif"/>
          <w:b w:val="false"/>
          <w:color w:val="000000"/>
          <w:sz w:val="22"/>
          <w:u w:val="single"/>
        </w:rPr>
        <w:t>clause (f)(i)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of this Article), and at any time thereafter during the continuance of such Event of Default, the Administrative Agent may, and at the request of the Required Lenders shall, by notice to the Company, take any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Company accrued hereunder, shall become due and payable immediately, without presentment, demand, protest or other notice of any kind, all of which are hereby waived by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upon the occurrence of an Event of Default with respect to the Company described in </w:t>
      </w:r>
      <w:r>
        <w:rPr>
          <w:rFonts w:ascii="Times New Roman;sans-serif" w:hAnsi="Times New Roman;sans-serif"/>
          <w:b w:val="false"/>
          <w:color w:val="000000"/>
          <w:sz w:val="22"/>
          <w:u w:val="single"/>
        </w:rPr>
        <w:t>clause (f)(i)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of this Article, any such Commitments shall automatically terminate and the principal of the Loans then outstanding, together with accrued interest thereon and all fees and other obligations of the Company accrued hereunder, shall automatically become due and payable, without presentment, demand, protest or other notice of any kind, all of which are hereby waived by the Company. Upon the occurrence and during the continuance of an Event of Default, subject to the ABL </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62890"/>
                <wp:effectExtent l="0" t="0" r="0" b="0"/>
                <wp:wrapNone/>
                <wp:docPr id="164" name="Frame16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Intercreditor Agreement and any other applicable intercreditor agreement, the Administrative Agent may, and at the request of the Required Lenders shall, exercise any rights and remedies provided to the Administrative Agent under the Loan Documents or at law or equity, including all remedies provided under the UCC. Notwithstanding anything in this Article 7 to the contrary, no exercise of remedies under the Loan Documents or at law or equity may occur with respect to any action taken, and publicly reported or reported to the Administrative Agent or the Lenders, more than two years prior to such exercise of remedies.</w:t>
      </w:r>
    </w:p>
    <w:p>
      <w:pPr>
        <w:pStyle w:val="TextBody"/>
        <w:bidi w:val="0"/>
        <w:spacing w:lineRule="auto" w:line="240" w:before="0" w:after="240"/>
        <w:jc w:val="center"/>
        <w:rPr/>
      </w:pPr>
      <w:r>
        <w:rPr>
          <w:rFonts w:ascii="Times New Roman;sans-serif" w:hAnsi="Times New Roman;sans-serif"/>
          <w:b w:val="false"/>
          <w:color w:val="000000"/>
          <w:sz w:val="22"/>
        </w:rPr>
        <w:t>Article 8</w:t>
      </w:r>
      <w:r>
        <w:rPr>
          <w:rFonts w:ascii="Times New Roman;sans-serif" w:hAnsi="Times New Roman;sans-serif"/>
          <w:b w:val="false"/>
          <w:color w:val="000000"/>
          <w:sz w:val="22"/>
        </w:rPr>
        <w:t>THE ADMINISTRATIVE AGENT</w:t>
      </w:r>
    </w:p>
    <w:p>
      <w:pPr>
        <w:pStyle w:val="TextBody"/>
        <w:bidi w:val="0"/>
        <w:spacing w:lineRule="auto" w:line="240" w:before="0" w:after="240"/>
        <w:jc w:val="both"/>
        <w:rPr/>
      </w:pPr>
      <w:r>
        <w:rPr>
          <w:rFonts w:ascii="Times New Roman;sans-serif" w:hAnsi="Times New Roman;sans-serif"/>
          <w:b w:val="false"/>
          <w:color w:val="000000"/>
          <w:sz w:val="22"/>
        </w:rPr>
        <w:t>Section 1.0a.</w:t>
      </w:r>
      <w:r>
        <w:rPr>
          <w:rFonts w:ascii="Times New Roman;sans-serif" w:hAnsi="Times New Roman;sans-serif"/>
          <w:b w:val="false"/>
          <w:color w:val="000000"/>
          <w:sz w:val="22"/>
        </w:rPr>
        <w:t>The Agents. Each of the Lenders hereby irrevocably appoints each of the Administrative Agent and the Collateral Agent as its agent and authorizes such Agent to take such actions on its behalf and to exercise such powers as are delegated to such Agent by the terms of the Loan Documents, together with such actions and powers as are reasonably incidental thereto. In addition, to the extent required under the laws of any jurisdiction, each of the Lenders hereby grants to the Collateral Agent any required powers of attorney to execute and enforce any Collateral Document governed by the laws of such jurisdiction on such Lender’s behalf.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banks serving as an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Company or any Subsidiary or other Affiliate thereof as if it were not an Agent under the Loan Documents.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Agents shall not have any duties or obligations except those expressly set forth in the Loan Documents.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except discretionary rights and powers expressly contemplated by the Loan Documents that the applicable Agent is required to exercise in writing by the Required Lenders or, in the case of the Collateral Documents, the Required Secured Parties, and (c) except as expressly set forth in the Loan Documents, the Agents shall not have any duty to disclose, and shall not be liable for the failure to disclose, any information relating to the Company or any of its Subsidiaries that is communicated to or obtained by the banks serving as Agents or any of their respective Affiliates in any capacity. No Agent shall be liable for any action taken or not taken by it with the consent or at the request of the Required Lenders or, in the case of the Collateral Documents, the Required Secured Parties, or in the absence of its own gross negligence or willful misconduct. Each Agent shall be deemed not to have knowledge of any Default unless and until written notice thereof is given to such Agent by the Company or a Lender, and the Agents shall not be responsible for or have any duty to ascertain or inquire into (i) any statement, warranty or representation made in or in connection with this Agreement, (ii) the contents of any certificate, report or other document delivered hereunder or in connection with any Loan Document, (iii) qualification of (or lapse of any qualification of) any Account, Credit Card Receivable or Inventory under the eligibility criteria set forth herein, other than eligibility criteria expressly referring to the matters described therein being acceptable or satisfactory to, or being determined by, the Collateral Agent, (iv) the performance or observance of any of the covenants, agreements or other terms or conditions set forth in any Loan Document, (v) the validity, enforceability, effectiveness or genuineness of any Loan Document or any other agreement, instrument or document or (vi) the satisfaction of any condition set forth in Article 4 or elsewhere in any Loan Document, other than to confirm receipt of items expressly required to be delivered to the applicable Agent.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Agent shall be entitled to rely upon, and shall not incur any liability for relying upon, any notice, request, certificate, consent, statement, instrument, document or other writing believed by it to be genuine and to have been signed or sent by the proper Person. Each of the Agents also may rely upon any statement made to it orally or by telephone and believed by it to be made by the proper Person, and shall not incur any liability for relying thereon. Each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62890"/>
                <wp:effectExtent l="0" t="0" r="0" b="0"/>
                <wp:wrapNone/>
                <wp:docPr id="165" name="Frame16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Agents may perform any and all of its duties and exercise its rights and powers by or through any one or more sub-agents appointed by such Agent. Each of the Agents and any such sub-agent may perform any and all of its duties and exercise its rights and powers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an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Subject to the appointment and acceptance of a successor Agent as provided in this paragraph, either Agent may resign at any time by notifying the Lenders and the Company. Upon any such resignation, the Required Lenders shall have the right, with the consent of the Company, to appoint a successor. In addition, if either Agent is a Defaulting Lender due to it having had a receiver, conservator, trustee, administrator, assignee for the benefit of creditors or similar Person charged with the reorganization or liquidation of its business or custodian appointed for it, the Required Lenders shall have the right, by notice in writing to the Company and such Agent, to remove such Agent in its capacity as such and, with the consent of the Company (not to be unreasonably withheld and except during the continuance of a Specified Event of Default hereunder, when no consent shall be required), to appoint a successor. If no successor shall have been so appointed by the Required Lenders and shall have accepted such appointment within 30 days after the retiring Agent gives notice of its resignation, then the retiring Agent may, on behalf of the Lenders, appoint a successor Agent which shall be a bank with an office in New York, New York, or an Affiliate of any such bank. Upon the acceptance of its appointment as an Agent by a successor, such successor shall succeed to and become vested with all the rights, powers, privileges and duties of the retiring Agent, and the retiring Agent shall be discharged from its duties and obligations under the Loan Documents. The fees payable by the Company to a successor Agent shall be the same as those payable to its predecessor unless otherwise agreed between the Company and such successor. After such Agent’s resignation hereunder, the provisions of this Article and </w:t>
      </w:r>
      <w:r>
        <w:rPr>
          <w:rFonts w:ascii="Times New Roman;sans-serif" w:hAnsi="Times New Roman;sans-serif"/>
          <w:b w:val="false"/>
          <w:color w:val="000000"/>
          <w:sz w:val="22"/>
          <w:u w:val="single"/>
        </w:rPr>
        <w:t>Section 8.03</w:t>
      </w:r>
      <w:r>
        <w:rPr>
          <w:color w:val="000000"/>
        </w:rPr>
        <w:t xml:space="preserve"> </w:t>
      </w:r>
      <w:r>
        <w:rPr>
          <w:rFonts w:ascii="Times New Roman;sans-serif" w:hAnsi="Times New Roman;sans-serif"/>
          <w:b w:val="false"/>
          <w:color w:val="000000"/>
          <w:sz w:val="22"/>
        </w:rPr>
        <w:t>shall continue in effect for the benefit of such retiring Agent, its sub-agents and their respective Related Parties in respect of any actions taken or omitted to be taken by any of them while it was acting as an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Each Lender acknowledges that it has, independently and without reliance upon the Agents or any other Lender and any of their Related Parties and based on such documents and information as it has deemed appropriate, made its own credit analysis and decision to enter into this Agreement. Each Lender also acknowledges that it will, independently and without reliance upon the Agents or any other Lender and any of their Related Parties and based on such documents and information as it shall from time to time deem appropriate, continue to make its own decisions in taking or not taking action under or based upon any Loan Document, any related agreement or any document furnished hereunder or thereunder. The Joint Lead Arrangers and Joint Bookrunners, the Co-Syndication Agents and the Co-Documentation Agents (each as identified on the cover page of this Agreement) (each of the foregoing, in its capacity as such, a “</w:t>
      </w:r>
      <w:r>
        <w:rPr>
          <w:rFonts w:ascii="Times New Roman;sans-serif" w:hAnsi="Times New Roman;sans-serif"/>
          <w:b/>
          <w:color w:val="000000"/>
          <w:sz w:val="22"/>
        </w:rPr>
        <w:t>Titled Person</w:t>
      </w:r>
      <w:r>
        <w:rPr>
          <w:color w:val="000000"/>
        </w:rPr>
        <w:t>”</w:t>
      </w:r>
      <w:r>
        <w:rPr>
          <w:rFonts w:ascii="Times New Roman;sans-serif" w:hAnsi="Times New Roman;sans-serif"/>
          <w:b w:val="false"/>
          <w:color w:val="000000"/>
          <w:sz w:val="22"/>
        </w:rPr>
        <w:t>), in their capacities as such, shall have no rights, powers, duties, liabilities, fiduciary relationships or obligations under any Loan Document or any of the other documents related hereto.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Lenders hereby (a) agrees to be bound by the provisions of the Collateral Documents, including those terms thereof applicable to the Collateral Agent and the provisions thereof authorizing the Required Secured Parties to approve amendments or modifications thereto or waivers thereof, and to control remedies thereunder, and (b) irrevocably authorizes the Collateral Agent to (i) release any Liens on any Non-ABL Priority Collateral in accordance with an Intercreditor Agreement and (ii) release any Liens on any Collateral in accordance with the Collateral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Each of the Lenders hereby (a) authorizes and instructs the Collateral Agent to enter into the ABL Intercreditor Agreement and each other Acceptable Intercreditor Agreement, as applicable, pursuant to Sections 6.01 and </w:t>
      </w:r>
      <w:r>
        <w:rPr>
          <w:rFonts w:ascii="Times New Roman;sans-serif" w:hAnsi="Times New Roman;sans-serif"/>
          <w:b w:val="false"/>
          <w:color w:val="000000"/>
          <w:sz w:val="22"/>
          <w:u w:val="single"/>
        </w:rPr>
        <w:t>6.02</w:t>
      </w:r>
      <w:r>
        <w:rPr>
          <w:color w:val="000000"/>
        </w:rPr>
        <w:t xml:space="preserve"> </w:t>
      </w:r>
      <w:r>
        <w:rPr>
          <w:rFonts w:ascii="Times New Roman;sans-serif" w:hAnsi="Times New Roman;sans-serif"/>
          <w:b w:val="false"/>
          <w:color w:val="000000"/>
          <w:sz w:val="22"/>
        </w:rPr>
        <w:t>and (b) agrees that it will be bound by and will take no actions contrary to the provisions of such Acceptable Intercreditor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herein, the Arrangers shall not have any right, power, obligation, liability, responsibility or duty under this Agreement, except in their respective capacities, as applicable, as the Administrative Agent or a Lender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62890"/>
                <wp:effectExtent l="0" t="0" r="0" b="0"/>
                <wp:wrapNone/>
                <wp:docPr id="166" name="Frame16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Secured Party irrevocably authorizes and instructs the Administrative Agent to, and the Administrative Agent shall, upon request of the Company:</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(i)without limiting </w:t>
      </w:r>
      <w:r>
        <w:rPr>
          <w:rFonts w:ascii="Times New Roman;sans-serif" w:hAnsi="Times New Roman;sans-serif"/>
          <w:b w:val="false"/>
          <w:color w:val="000000"/>
          <w:sz w:val="22"/>
          <w:u w:val="single"/>
        </w:rPr>
        <w:t>Section 9.22</w:t>
      </w:r>
      <w:r>
        <w:rPr>
          <w:rFonts w:ascii="Times New Roman;sans-serif" w:hAnsi="Times New Roman;sans-serif"/>
          <w:b w:val="false"/>
          <w:color w:val="000000"/>
          <w:sz w:val="22"/>
        </w:rPr>
        <w:t xml:space="preserve">, release any Lien on any property granted to or held by the Administrative Agent under any Loan Document (i) upon the occurrence of the Termination Date, (ii) that is sold or to be sold or transferred as part of or in connection with any Disposition permitted under the Loan Documents to a Person that is not a Loan Party, (iii) that does not constitute (or ceases to constitute) Collateral, (iv) if the property subject to such Lien is owned by a Subsidiary Guarantor, upon the release of such Subsidiary Guarantor from its Guarantee of the Obligations otherwise in accordance with the Loan Documents, (v) as required under clause (d) below or (vi) if approved, authorized or ratified in writing by the Required Lenders (or such other number or percentage of Lenders as shall be necessary under the relevant circumstances as provided in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xml:space="preserve">) in accordance with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(ii)without limiting </w:t>
      </w:r>
      <w:r>
        <w:rPr>
          <w:rFonts w:ascii="Times New Roman;sans-serif" w:hAnsi="Times New Roman;sans-serif"/>
          <w:b w:val="false"/>
          <w:color w:val="000000"/>
          <w:sz w:val="22"/>
          <w:u w:val="single"/>
        </w:rPr>
        <w:t>Section 9.22</w:t>
      </w:r>
      <w:r>
        <w:rPr>
          <w:color w:val="000000"/>
        </w:rPr>
        <w:t xml:space="preserve"> </w:t>
      </w:r>
      <w:r>
        <w:rPr>
          <w:rFonts w:ascii="Times New Roman;sans-serif" w:hAnsi="Times New Roman;sans-serif"/>
          <w:b w:val="false"/>
          <w:color w:val="000000"/>
          <w:sz w:val="22"/>
        </w:rPr>
        <w:t xml:space="preserve">(but subject to the proviso to </w:t>
      </w:r>
      <w:r>
        <w:rPr>
          <w:rFonts w:ascii="Times New Roman;sans-serif" w:hAnsi="Times New Roman;sans-serif"/>
          <w:b w:val="false"/>
          <w:color w:val="000000"/>
          <w:sz w:val="22"/>
          <w:u w:val="single"/>
        </w:rPr>
        <w:t>Section 9.22(a)</w:t>
      </w:r>
      <w:r>
        <w:rPr>
          <w:rFonts w:ascii="Times New Roman;sans-serif" w:hAnsi="Times New Roman;sans-serif"/>
          <w:b w:val="false"/>
          <w:color w:val="000000"/>
          <w:sz w:val="22"/>
        </w:rPr>
        <w:t xml:space="preserve">), release any Subsidiary Guarantor from its obligations under the Collateral Agreement (i) if such Person ceases to be a Restricted Subsidiary (or becomes an Excluded Subsidiary as a result of a single transaction or series of related transactions or any event or other circumstance permitted hereunder) and/or (ii) upon the occurrence of the Termination Date; </w:t>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(iii)[reserved]; </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(iv)enter into subordination, intercreditor, collateral trust and/or similar agreements (and any amendments thereto) with respect to Indebtedness (including any Acceptable Intercreditor Agreement and any amendment thereto) that is (i) required or permitted to be subordinated hereunder or pari passu with the Liens securing the Obligations and/or (ii) secured by Liens, and with respect to which Indebtedness and/or Liens, this Agreement contemplates an intercreditor, subordination, collateral trust or similar agreement.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Upon the request of the Administrative Agent at any time, the Required Lenders will confirm in writing the Administrative Agent’s authority to release or subordinate its interest in particular types or items of property, or to release any Loan Party from its obligations under the Collateral Agreement or its Lien on any Collateral pursuant to this Article 8. In each case as specified in this Article 8, the Administrative Agent will (and each Lender hereby authorizes the Administrative Agent to), at the Company’s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Collateral Agreement, in each case in accordance with the terms of the Loan Documents and this Article 8.</w:t>
      </w:r>
    </w:p>
    <w:p>
      <w:pPr>
        <w:pStyle w:val="TextBody"/>
        <w:bidi w:val="0"/>
        <w:spacing w:lineRule="auto" w:line="240" w:before="0" w:after="240"/>
        <w:jc w:val="both"/>
        <w:rPr/>
      </w:pPr>
      <w:r>
        <w:rPr>
          <w:rFonts w:ascii="Times New Roman;sans-serif" w:hAnsi="Times New Roman;sans-serif"/>
          <w:b w:val="false"/>
          <w:color w:val="000000"/>
          <w:sz w:val="22"/>
        </w:rPr>
        <w:t>Section 1.0b.</w:t>
      </w:r>
      <w:r>
        <w:rPr>
          <w:rFonts w:ascii="Times New Roman;sans-serif" w:hAnsi="Times New Roman;sans-serif"/>
          <w:b w:val="false"/>
          <w:color w:val="000000"/>
          <w:sz w:val="22"/>
        </w:rPr>
        <w:t>Certain ERISA Matters. Each of the Lenders hereby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at least one of the following is and will be true:</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62890"/>
                <wp:effectExtent l="0" t="0" r="0" b="0"/>
                <wp:wrapNone/>
                <wp:docPr id="167" name="Frame16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(iii)(i)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Commitments and this Agreement, (iii) the entrance into, participation in, administration of and performance of the Loans, the Commitments and this 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unless either (1) clause (a) in the immediately preceding paragraph is true with respect to a Lender or (2) a Lender has provided another representation, warranty and covenant in accordance with clause (d)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40" w:before="0" w:after="240"/>
        <w:jc w:val="both"/>
        <w:rPr/>
      </w:pPr>
      <w:r>
        <w:rPr>
          <w:rFonts w:ascii="Times New Roman;sans-serif" w:hAnsi="Times New Roman;sans-serif"/>
          <w:b w:val="false"/>
          <w:color w:val="000000"/>
          <w:sz w:val="22"/>
        </w:rPr>
        <w:t>Section 1.0c.</w:t>
      </w:r>
      <w:r>
        <w:rPr>
          <w:rFonts w:ascii="Times New Roman;sans-serif" w:hAnsi="Times New Roman;sans-serif"/>
          <w:b w:val="false"/>
          <w:color w:val="000000"/>
          <w:sz w:val="22"/>
        </w:rPr>
        <w:t>Erroneous Payments. (a)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8.03 shall be conclusive, absent manifest error.</w:t>
      </w:r>
    </w:p>
    <w:p>
      <w:pPr>
        <w:pStyle w:val="TextBody"/>
        <w:bidi w:val="0"/>
        <w:spacing w:lineRule="auto" w:line="240" w:before="0" w:after="240"/>
        <w:ind w:left="0" w:right="0" w:firstLine="1184"/>
        <w:jc w:val="both"/>
        <w:rPr>
          <w:rFonts w:ascii="Times New Roman;sans-serif" w:hAnsi="Times New Roman;sans-serif"/>
          <w:b w:val="false"/>
          <w:color w:val="000000"/>
          <w:sz w:val="22"/>
        </w:rPr>
      </w:pPr>
      <w:r>
        <w:rPr>
          <w:rFonts w:ascii="Times New Roman;sans-serif" w:hAnsi="Times New Roman;sans-serif"/>
          <w:b w:val="false"/>
          <w:color w:val="000000"/>
          <w:sz w:val="22"/>
        </w:rPr>
        <w:t>(v)Each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62890"/>
                <wp:effectExtent l="0" t="0" r="0" b="0"/>
                <wp:wrapNone/>
                <wp:docPr id="168" name="Frame16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(vi)The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to the maximum extent permitted by law and (y) an erroneous Payment shall not pay, prepay, repay, discharge or otherwise satisfy any Obligations owed by the Borrower or any other Loan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this clause (c) shall not be interpreted to increase (or accelerate the due date for), or have the effect of increasing (or accelerating the due date for), any Obligations of the Loan Parties in respect of principal and interest hereunder relative to the amount (and/or timing for payment) of the Obligations of the Loan Parties in respect of principal and interest hereunder that would have been payable had such erroneous Payment not been made by the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for the avoidance of doubt, this clause (c) shall not apply to the extent any such Payment is, and solely with respect to the amount of such Payment that is, comprised of funds received by the Administrative Agent from the Borrower or any other Loan Party for the purpose of making such Payment, satisfying Obligations or from the proceeds of Collateral.</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 xml:space="preserve">(vii)Each party’s obligations under this </w:t>
      </w:r>
      <w:r>
        <w:rPr>
          <w:rFonts w:ascii="Times New Roman;sans-serif" w:hAnsi="Times New Roman;sans-serif"/>
          <w:b w:val="false"/>
          <w:color w:val="000000"/>
          <w:sz w:val="22"/>
          <w:u w:val="single"/>
        </w:rPr>
        <w:t>Section 8.03</w:t>
      </w:r>
      <w:r>
        <w:rPr>
          <w:color w:val="000000"/>
        </w:rPr>
        <w:t xml:space="preserve"> </w:t>
      </w:r>
      <w:r>
        <w:rPr>
          <w:rFonts w:ascii="Times New Roman;sans-serif" w:hAnsi="Times New Roman;sans-serif"/>
          <w:b w:val="false"/>
          <w:color w:val="000000"/>
          <w:sz w:val="22"/>
        </w:rPr>
        <w:t>shall survive the resignation or replacement of the Administrative Agent or any transfer of rights or obligations by, or the replacement of, a Lender, the repayment, satisfaction or discharge of all Obligations under any Loan Document.</w:t>
      </w:r>
    </w:p>
    <w:p>
      <w:pPr>
        <w:pStyle w:val="TextBody"/>
        <w:bidi w:val="0"/>
        <w:spacing w:lineRule="auto" w:line="240" w:before="0" w:after="240"/>
        <w:jc w:val="center"/>
        <w:rPr/>
      </w:pPr>
      <w:r>
        <w:rPr>
          <w:rFonts w:ascii="Times New Roman;sans-serif" w:hAnsi="Times New Roman;sans-serif"/>
          <w:b w:val="false"/>
          <w:color w:val="000000"/>
          <w:sz w:val="22"/>
        </w:rPr>
        <w:t>Article 9</w:t>
      </w:r>
      <w:r>
        <w:rPr>
          <w:rFonts w:ascii="Times New Roman;sans-serif" w:hAnsi="Times New Roman;sans-serif"/>
          <w:b w:val="false"/>
          <w:color w:val="000000"/>
          <w:sz w:val="22"/>
        </w:rPr>
        <w:t>MISCELLANEOUS</w:t>
      </w:r>
    </w:p>
    <w:p>
      <w:pPr>
        <w:pStyle w:val="TextBody"/>
        <w:bidi w:val="0"/>
        <w:spacing w:lineRule="auto" w:line="240" w:before="0" w:after="240"/>
        <w:jc w:val="both"/>
        <w:rPr/>
      </w:pPr>
      <w:r>
        <w:rPr>
          <w:rFonts w:ascii="Times New Roman;sans-serif" w:hAnsi="Times New Roman;sans-serif"/>
          <w:b w:val="false"/>
          <w:color w:val="000000"/>
          <w:sz w:val="22"/>
        </w:rPr>
        <w:t>Section 1.0a.</w:t>
      </w:r>
      <w:r>
        <w:rPr>
          <w:rFonts w:ascii="Times New Roman;sans-serif" w:hAnsi="Times New Roman;sans-serif"/>
          <w:b w:val="false"/>
          <w:color w:val="000000"/>
          <w:sz w:val="22"/>
        </w:rPr>
        <w:t xml:space="preserve">Notices.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(i)All notices and other communications provided for herein shall be in writing and shall be delivered by hand or overnight courier service, mailed by certified or registered mail or sent by facsimile or email, as follows: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(1)if to any Loan Party, to such Loan Party in the care of the Company at: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Victoria’s Secret &amp; Co</w:t>
        <w:br/>
        <w:t>4 Limited Parkway</w:t>
        <w:br/>
        <w:t>Reynoldsburg, OH 43068</w:t>
        <w:br/>
        <w:t>Attention: Treasury Department</w:t>
        <w:br/>
        <w:t>Email: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With copy to: </w:t>
        <w:br/>
        <w:t>Attention: Chief Legal Officer</w:t>
        <w:br/>
        <w:t>Email: [*****]</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(2)if to the Administrative Agent, at: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Loan and Agency Services Group</w:t>
        <w:br/>
        <w:t xml:space="preserve">500 Stanton Christiana Rd, NCCS, Floor 01, </w:t>
        <w:br/>
        <w:t>Newark, DE 19713</w:t>
        <w:br/>
        <w:t>Attention: [*****]</w:t>
        <w:br/>
        <w:t>Telecopy No: [*****]</w:t>
        <w:br/>
        <w:t>Email: [*****]</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(3)if to any Lender, to it at its address, facsimile number or email address set forth in its Administrative Questionnaire.</w:t>
      </w:r>
    </w:p>
    <w:p>
      <w:pPr>
        <w:pStyle w:val="TextBody"/>
        <w:bidi w:val="0"/>
        <w:spacing w:lineRule="auto" w:line="240" w:before="0" w:after="240"/>
        <w:jc w:val="both"/>
        <w:rPr/>
      </w:pPr>
      <w:r>
        <w:rPr>
          <w:rFonts w:ascii="Times New Roman;sans-serif" w:hAnsi="Times New Roman;sans-serif"/>
          <w:b w:val="false"/>
          <w:color w:val="000000"/>
          <w:sz w:val="22"/>
        </w:rPr>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Times New Roman;sans-serif" w:hAnsi="Times New Roman;sans-serif"/>
          <w:b w:val="false"/>
          <w:color w:val="000000"/>
          <w:sz w:val="22"/>
          <w:u w:val="single"/>
        </w:rPr>
        <w:t>Section 9.01</w:t>
      </w:r>
      <w:r>
        <w:rPr>
          <w:color w:val="000000"/>
        </w:rPr>
        <w:t xml:space="preserve"> </w:t>
      </w:r>
      <w:r>
        <w:rPr>
          <w:rFonts w:ascii="Times New Roman;sans-serif" w:hAnsi="Times New Roman;sans-serif"/>
          <w:b w:val="false"/>
          <w:color w:val="000000"/>
          <w:sz w:val="22"/>
        </w:rPr>
        <w:t xml:space="preserve">or in accordance with the latest unrevoked direction from such party given in accordance with this </w:t>
      </w:r>
      <w:r>
        <w:rPr>
          <w:rFonts w:ascii="Times New Roman;sans-serif" w:hAnsi="Times New Roman;sans-serif"/>
          <w:b w:val="false"/>
          <w:color w:val="000000"/>
          <w:sz w:val="22"/>
          <w:u w:val="single"/>
        </w:rPr>
        <w:t>Section 9.01</w:t>
      </w:r>
      <w:r>
        <w:rPr>
          <w:color w:val="000000"/>
        </w:rPr>
        <w:t xml:space="preserve"> </w:t>
      </w:r>
      <w:r>
        <w:rPr>
          <w:rFonts w:ascii="Times New Roman;sans-serif" w:hAnsi="Times New Roman;sans-serif"/>
          <w:b w:val="false"/>
          <w:color w:val="000000"/>
          <w:sz w:val="22"/>
        </w:rPr>
        <w:t xml:space="preserve">or (B) sent by facsimile shall be deemed to have been given when </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62890"/>
                <wp:effectExtent l="0" t="0" r="0" b="0"/>
                <wp:wrapNone/>
                <wp:docPr id="169" name="Frame16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sent and when receipt has been confirmed by telephone;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below shall be effective as provided in such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(ii)Notices and other communications to the Lenders hereunder may be delivered or furnished by electronic communications (including e-mail and Internet or Intranet websites, including Intralinks or another similar electronic system (the “</w:t>
      </w:r>
      <w:r>
        <w:rPr>
          <w:rFonts w:ascii="Times New Roman;sans-serif" w:hAnsi="Times New Roman;sans-serif"/>
          <w:b/>
          <w:color w:val="000000"/>
          <w:sz w:val="22"/>
        </w:rPr>
        <w:t>Platform</w:t>
      </w:r>
      <w:r>
        <w:rPr>
          <w:color w:val="000000"/>
        </w:rPr>
        <w:t>”</w:t>
      </w:r>
      <w:r>
        <w:rPr>
          <w:rFonts w:ascii="Times New Roman;sans-serif" w:hAnsi="Times New Roman;sans-serif"/>
          <w:b w:val="false"/>
          <w:color w:val="000000"/>
          <w:sz w:val="22"/>
        </w:rPr>
        <w:t xml:space="preserve">)) pursuant to procedures set forth herein or otherwise approved by the Administrative Agent. The Administrative Agent or the Company (on behalf of any Loan Party) may, in its discretion, agree to accept notices and other communications to it hereunder by electronic communications pursuant to procedures set forth herein or otherwise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approval of such procedures may be limited to particular notices or communications. All such notices and other communications (i) sent to an e-mail address shall be deemed received upon the sender’s receipt of an acknowledgment from the intended recipient (such as by the “return receipt requested” function, as available, return e-mail or other written acknowledgment);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sans-serif" w:hAnsi="Times New Roman;sans-serif"/>
          <w:b w:val="false"/>
          <w:color w:val="000000"/>
          <w:sz w:val="22"/>
          <w:u w:val="single"/>
        </w:rPr>
        <w:t>clause (b)(i)</w:t>
      </w:r>
      <w:r>
        <w:rPr>
          <w:color w:val="000000"/>
        </w:rPr>
        <w:t xml:space="preserve"> </w:t>
      </w:r>
      <w:r>
        <w:rPr>
          <w:rFonts w:ascii="Times New Roman;sans-serif" w:hAnsi="Times New Roman;sans-serif"/>
          <w:b w:val="false"/>
          <w:color w:val="000000"/>
          <w:sz w:val="22"/>
        </w:rPr>
        <w:t>of notification that such notice or communication is available and identifying the website address therefor.</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(iii)Certain of the Lenders may be “public-side” Lenders (i.e., Lenders that do not wish to receive material non-public information with respect to any Borrower or its securities) (each, a “</w:t>
      </w:r>
      <w:r>
        <w:rPr>
          <w:rFonts w:ascii="Times New Roman;sans-serif" w:hAnsi="Times New Roman;sans-serif"/>
          <w:b/>
          <w:color w:val="000000"/>
          <w:sz w:val="22"/>
        </w:rPr>
        <w:t>Public Lender</w:t>
      </w:r>
      <w:r>
        <w:rPr>
          <w:color w:val="000000"/>
        </w:rPr>
        <w:t>”</w:t>
      </w:r>
      <w:r>
        <w:rPr>
          <w:rFonts w:ascii="Times New Roman;sans-serif" w:hAnsi="Times New Roman;sans-serif"/>
          <w:b w:val="false"/>
          <w:color w:val="000000"/>
          <w:sz w:val="22"/>
        </w:rPr>
        <w:t>). The Company and each other Borrower hereby agree that, at the request of the Administrative Agent, (i) all materials that are to be made available to Public Lenders shall be clearly and conspicuously marked “PUBLIC” which, at a minimum, shall mean that the word “PUBLIC” shall appear prominently on the first page thereof; (ii) by marking such materials “PUBLIC,” the Company shall be deemed to have authorized the Administrative Agent and the Lenders to treat such materials as not containing any material non-public information with respect to the Company and any other Borrower or its securities for purposes of foreign, United States federal and state securities laws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to the extent such materials constitute Confidential Information, they shall be treated as set forth in Section 9.13); (iii) all materials marked “PUBLIC” are permitted to be made available through a portion of the Platform designated as “Public Investor;” and (iv) the Administrative Agent shall be entitled to treat any materials that are not marked “PUBLIC” as being suitable only for posting on a portion of the Platform not marked as “Public Investor.” Notwithstanding the foregoing, the following materials shall be marked “PUBLIC”, unless the Company or any other Borrower notifies the Administrative Agent promptly that any such document contains material non-public information: (A) the Loan Documents and (B) notification of changes in the terms of the Credit Facilities.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foreign, United States Federal and state securities laws, to make reference to communications that are not made available through the “Public Side Information” portion of the Platform and that may contain material non-public information with respect to the Company or any other Borrower or its securities for purposes of foreign, United States Federal or state securities laws.</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(iv)Any party hereto may change its address or facsimile number or other notice information hereunder by notice to the other parties hereto; it being understood and agreed that the Company may provide any such notice to the Administrative Agent as recipient on behalf of itself and each Lender.</w:t>
      </w:r>
    </w:p>
    <w:p>
      <w:pPr>
        <w:pStyle w:val="TextBody"/>
        <w:bidi w:val="0"/>
        <w:spacing w:lineRule="auto" w:line="240" w:before="0" w:after="240"/>
        <w:ind w:left="0" w:right="0" w:firstLine="118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(v)Any additional Borrower hereby irrevocably appoints the Company as its agent for all purposes relevant to this Agreement and each of the other Loan Documents (other than with respect to payment), including (i) the giving and receipt of notices and (ii) the execution and delivery of all documents, instruments and certificates contemplated herein and all modifications hereto. Any acknowledgment, consent, direction, certification or other action (other than with respect to payment) which might otherwise be valid or effective only if given or taken by all Borrowers, or by each Borrower </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62890"/>
                <wp:effectExtent l="0" t="0" r="0" b="0"/>
                <wp:wrapNone/>
                <wp:docPr id="170" name="Frame17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acting singly, shall be valid and effective if given or taken only by the Company, whether or not any such additional Borrower joins therein. Any notice, demand, consent, acknowledgment, direction, certification or other communication delivered to the Company in accordance with the terms of this Agreement shall be deemed to have been delivered to each additional Borrower.</w:t>
      </w:r>
    </w:p>
    <w:p>
      <w:pPr>
        <w:pStyle w:val="TextBody"/>
        <w:bidi w:val="0"/>
        <w:spacing w:lineRule="auto" w:line="240" w:before="0" w:after="240"/>
        <w:jc w:val="both"/>
        <w:rPr/>
      </w:pPr>
      <w:r>
        <w:rPr>
          <w:rFonts w:ascii="Times New Roman;sans-serif" w:hAnsi="Times New Roman;sans-serif"/>
          <w:b w:val="false"/>
          <w:color w:val="000000"/>
          <w:sz w:val="22"/>
        </w:rPr>
        <w:t>Section 1.0b.</w:t>
      </w:r>
      <w:r>
        <w:rPr>
          <w:rFonts w:ascii="Times New Roman;sans-serif" w:hAnsi="Times New Roman;sans-serif"/>
          <w:b w:val="false"/>
          <w:color w:val="000000"/>
          <w:sz w:val="22"/>
        </w:rPr>
        <w:t xml:space="preserve">Waivers; Amendments.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(i)No failure or delay by the Administrative Agent or any Lender in exercising any right or power hereunder or under any other Loan Document shall operate as a waiver thereof except as provided herein or in any other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any other Loan Document are cumulative and are not exclusive of any rights or remedies that they would otherwise have. No waiver of any provision of any Loan Document or consent to any departure by any party thereto therefrom shall in any event be effective unless the same is permitted by this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and then such waiver or consent shall be effective only in the specific instance and for the purpose for which it is given. Without limiting the generality of the foregoing, to the extent permitted by law, the making of a Loan shall not be construed as a waiver of any Default or Event of Default, regardless of whether the Administrative Agent or any Lender may have had notice or knowledge of such Default or Event of Default at the time.</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(ii)Subject to </w:t>
      </w:r>
      <w:r>
        <w:rPr>
          <w:rFonts w:ascii="Times New Roman;sans-serif" w:hAnsi="Times New Roman;sans-serif"/>
          <w:b w:val="false"/>
          <w:color w:val="000000"/>
          <w:sz w:val="22"/>
          <w:u w:val="single"/>
        </w:rPr>
        <w:t>clauses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color w:val="000000"/>
        </w:rPr>
        <w:t>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9.02(b)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9.02(c)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below, neither this Agreement nor any other Loan Document nor any provision hereof or thereof may be waived, amended or modified, except (i) in the case of this Agreement, pursuant to an agreement or agreements in writing entered into by the Company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the foregoing: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(a)except with the consent of each Lender directly and adversely affected thereby (but without requiring the consent of the Required Lenders), no such agreement shall;</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(i)increase the Commitment of such Lender (other than with respect to any Incremental Facility pursuant to </w:t>
      </w:r>
      <w:r>
        <w:rPr>
          <w:rFonts w:ascii="Times New Roman;sans-serif" w:hAnsi="Times New Roman;sans-serif"/>
          <w:b w:val="false"/>
          <w:color w:val="000000"/>
          <w:sz w:val="22"/>
          <w:u w:val="single"/>
        </w:rPr>
        <w:t>Section 2.21(a)</w:t>
      </w:r>
      <w:r>
        <w:rPr>
          <w:color w:val="000000"/>
        </w:rPr>
        <w:t xml:space="preserve"> </w:t>
      </w:r>
      <w:r>
        <w:rPr>
          <w:rFonts w:ascii="Times New Roman;sans-serif" w:hAnsi="Times New Roman;sans-serif"/>
          <w:b w:val="false"/>
          <w:color w:val="000000"/>
          <w:sz w:val="22"/>
        </w:rPr>
        <w:t>in respect of which such Lender has agreed to be an Additional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(ii)reduce or forgive the principal amount of any Loan owed to such Lender or any amount due to such Lender on any Loan Installment Date (other than, in each case, any waiver of, or consent to or departure from, any Default or Event of Default or any mandatory prepayment; it being understood that no change in (i) the definition of “Consolidated First Lien Leverage Ratio” or any other ratio used in the calculation of any mandatory prepayment (including any component definition thereof) or (ii) the MFN Provision shall constitute a reduction or forgiveness of any principal amount due hereunder);</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(iii)(x) extend the scheduled final maturity of any Loan or (y) postpone any Loan Installment Date, any Interest Payment Date or the date of any scheduled payment of any fee, in each case payable to such Lender hereunder (in each case, other than any extension for administrative reasons agreed by the Administrative Agent) (other than, in each case, any waiver of, or consent or departure from, any Default or Event of Default or any mandatory prepayment; it being understood </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62890"/>
                <wp:effectExtent l="0" t="0" r="0" b="0"/>
                <wp:wrapNone/>
                <wp:docPr id="171" name="Frame17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that no change in the definition of “Consolidated First Lien Leverage Ratio” or any other ratio used in the calculation of any mandatory prepayment (including any component definition thereof) shall constitute such an extension or postponement);</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(iv)reduce the rate of interest (other than to waive any Default or Event of Default or obligation of the Company to pay interest at the default rate of interest under </w:t>
      </w:r>
      <w:r>
        <w:rPr>
          <w:rFonts w:ascii="Times New Roman;sans-serif" w:hAnsi="Times New Roman;sans-serif"/>
          <w:b w:val="false"/>
          <w:color w:val="000000"/>
          <w:sz w:val="22"/>
          <w:u w:val="single"/>
        </w:rPr>
        <w:t>Section 2.13(d)</w:t>
      </w:r>
      <w:r>
        <w:rPr>
          <w:rFonts w:ascii="Times New Roman;sans-serif" w:hAnsi="Times New Roman;sans-serif"/>
          <w:b w:val="false"/>
          <w:color w:val="000000"/>
          <w:sz w:val="22"/>
        </w:rPr>
        <w:t xml:space="preserve">, which shall only require the consent of the Required Lenders) or the amount of any fee owed to such Lender; it being understood that no change in (i) the definition of “Consolidated First Lien Leverage Ratio” or in the calculation of any other interest or fee due hereunder (including any component definition thereof) or (ii) the MFN Provision shall constitute a reduction in any rate of interest or fee hereunder; </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(v)extend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(vi)waive, amend or modify the provisions of </w:t>
      </w:r>
      <w:r>
        <w:rPr>
          <w:rFonts w:ascii="Times New Roman;sans-serif" w:hAnsi="Times New Roman;sans-serif"/>
          <w:b w:val="false"/>
          <w:color w:val="000000"/>
          <w:sz w:val="22"/>
          <w:u w:val="single"/>
        </w:rPr>
        <w:t>Sections 2.18(b)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2.18(c)</w:t>
      </w:r>
      <w:r>
        <w:rPr>
          <w:color w:val="000000"/>
        </w:rPr>
        <w:t> </w:t>
      </w:r>
      <w:r>
        <w:rPr>
          <w:rFonts w:ascii="Times New Roman;sans-serif" w:hAnsi="Times New Roman;sans-serif"/>
          <w:b w:val="false"/>
          <w:color w:val="000000"/>
          <w:sz w:val="22"/>
        </w:rPr>
        <w:t xml:space="preserve">in a manner that would by its terms alter the pro rata sharing of payments required thereby or any requirement to make payments to Lenders in accordance with their respective Applicable Percentages (except in connection with any transaction permitted under </w:t>
      </w:r>
      <w:r>
        <w:rPr>
          <w:rFonts w:ascii="Times New Roman;sans-serif" w:hAnsi="Times New Roman;sans-serif"/>
          <w:b w:val="false"/>
          <w:color w:val="000000"/>
          <w:sz w:val="22"/>
          <w:u w:val="single"/>
        </w:rPr>
        <w:t>Sections 2.22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9.02(c)</w:t>
      </w:r>
      <w:r>
        <w:rPr>
          <w:color w:val="000000"/>
        </w:rPr>
        <w:t>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9.05(g)</w:t>
      </w:r>
      <w:r>
        <w:rPr>
          <w:color w:val="000000"/>
        </w:rPr>
        <w:t xml:space="preserve"> </w:t>
      </w:r>
      <w:r>
        <w:rPr>
          <w:rFonts w:ascii="Times New Roman;sans-serif" w:hAnsi="Times New Roman;sans-serif"/>
          <w:b w:val="false"/>
          <w:color w:val="000000"/>
          <w:sz w:val="22"/>
        </w:rPr>
        <w:t xml:space="preserve">or as otherwise provided in this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(b)no such agreement shall:</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(i)change any of the provisions of </w:t>
      </w:r>
      <w:r>
        <w:rPr>
          <w:rFonts w:ascii="Times New Roman;sans-serif" w:hAnsi="Times New Roman;sans-serif"/>
          <w:b w:val="false"/>
          <w:color w:val="000000"/>
          <w:sz w:val="22"/>
          <w:u w:val="single"/>
        </w:rPr>
        <w:t>Section 9.02(a)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9.02(b)</w:t>
      </w:r>
      <w:r>
        <w:rPr>
          <w:color w:val="000000"/>
        </w:rPr>
        <w:t xml:space="preserve"> </w:t>
      </w:r>
      <w:r>
        <w:rPr>
          <w:rFonts w:ascii="Times New Roman;sans-serif" w:hAnsi="Times New Roman;sans-serif"/>
          <w:b w:val="false"/>
          <w:color w:val="000000"/>
          <w:sz w:val="22"/>
        </w:rPr>
        <w:t>or the definition of “Required Lenders”, in each case, to reduce any voting percentage required to waive, amend or modify any right thereunder or make any determination or grant any consent thereunder, without the prior written consent of each Lender;</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(ii)release all or substantially all of the Collateral from the Lien granted pursuant to the Loan Documents (except as otherwise permitted herein or in the other Loan Documents, including pursuant to </w:t>
      </w:r>
      <w:r>
        <w:rPr>
          <w:rFonts w:ascii="Times New Roman;sans-serif" w:hAnsi="Times New Roman;sans-serif"/>
          <w:b w:val="false"/>
          <w:color w:val="000000"/>
          <w:sz w:val="22"/>
          <w:u w:val="single"/>
        </w:rPr>
        <w:t>Article 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9.22</w:t>
      </w:r>
      <w:r>
        <w:rPr>
          <w:color w:val="000000"/>
        </w:rPr>
        <w:t xml:space="preserve"> </w:t>
      </w:r>
      <w:r>
        <w:rPr>
          <w:rFonts w:ascii="Times New Roman;sans-serif" w:hAnsi="Times New Roman;sans-serif"/>
          <w:b w:val="false"/>
          <w:color w:val="000000"/>
          <w:sz w:val="22"/>
        </w:rPr>
        <w:t>hereof or pursuant to any Acceptable Intercreditor Agreement), without the prior written consent of each Lender; or</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 xml:space="preserve">(iii)release all or substantially all of the value of the Guarantees under the Collateral Agreement (except as otherwise permitted herein or in the other Loan Documents, including pursuant to </w:t>
      </w:r>
      <w:r>
        <w:rPr>
          <w:rFonts w:ascii="Times New Roman;sans-serif" w:hAnsi="Times New Roman;sans-serif"/>
          <w:b w:val="false"/>
          <w:color w:val="000000"/>
          <w:sz w:val="22"/>
          <w:u w:val="single"/>
        </w:rPr>
        <w:t xml:space="preserve">Article 8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9.22</w:t>
      </w:r>
      <w:r>
        <w:rPr>
          <w:color w:val="000000"/>
        </w:rPr>
        <w:t xml:space="preserve"> </w:t>
      </w:r>
      <w:r>
        <w:rPr>
          <w:rFonts w:ascii="Times New Roman;sans-serif" w:hAnsi="Times New Roman;sans-serif"/>
          <w:b w:val="false"/>
          <w:color w:val="000000"/>
          <w:sz w:val="22"/>
        </w:rPr>
        <w:t xml:space="preserve">hereof), without the prior written consent of each Lender;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such agreement shall adversely amend, modify or otherwise affect the rights or duties of the Administrative Agent hereunder without the prior written consent of the Administrative Agent. The Administrative Agent may also amend the Commitment Schedule to reflect assignments entered into pursuant to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xml:space="preserve">, Commitment reductions or terminations pursuant to </w:t>
      </w:r>
      <w:r>
        <w:rPr>
          <w:rFonts w:ascii="Times New Roman;sans-serif" w:hAnsi="Times New Roman;sans-serif"/>
          <w:b w:val="false"/>
          <w:color w:val="000000"/>
          <w:sz w:val="22"/>
          <w:u w:val="single"/>
        </w:rPr>
        <w:t>Section 2.09</w:t>
      </w:r>
      <w:r>
        <w:rPr>
          <w:rFonts w:ascii="Times New Roman;sans-serif" w:hAnsi="Times New Roman;sans-serif"/>
          <w:b w:val="false"/>
          <w:color w:val="000000"/>
          <w:sz w:val="22"/>
        </w:rPr>
        <w:t xml:space="preserve">, incurrences of Additional Commitments or Additional Loans pursuant to </w:t>
      </w:r>
      <w:r>
        <w:rPr>
          <w:rFonts w:ascii="Times New Roman;sans-serif" w:hAnsi="Times New Roman;sans-serif"/>
          <w:b w:val="false"/>
          <w:color w:val="000000"/>
          <w:sz w:val="22"/>
          <w:u w:val="single"/>
        </w:rPr>
        <w:t>Sections 2.22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9.02(c)</w:t>
      </w:r>
      <w:r>
        <w:rPr>
          <w:color w:val="000000"/>
        </w:rPr>
        <w:t> </w:t>
      </w:r>
      <w:r>
        <w:rPr>
          <w:rFonts w:ascii="Times New Roman;sans-serif" w:hAnsi="Times New Roman;sans-serif"/>
          <w:b w:val="false"/>
          <w:color w:val="000000"/>
          <w:sz w:val="22"/>
        </w:rPr>
        <w:t xml:space="preserve">and reductions or terminations of any such Additional Commitments or Additional Loans. Notwithstanding anything to the contrary herein, (i) no Defaulting Lender shall have any right to approve or disapprove any amendment, waiver or consent hereunder, except that the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62890"/>
                <wp:effectExtent l="0" t="0" r="0" b="0"/>
                <wp:wrapNone/>
                <wp:docPr id="172" name="Frame17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provided in </w:t>
      </w:r>
      <w:r>
        <w:rPr>
          <w:rFonts w:ascii="Times New Roman;sans-serif" w:hAnsi="Times New Roman;sans-serif"/>
          <w:b w:val="false"/>
          <w:color w:val="000000"/>
          <w:sz w:val="22"/>
          <w:u w:val="single"/>
        </w:rPr>
        <w:t>Section 2.21(b)</w:t>
      </w:r>
      <w:r>
        <w:rPr>
          <w:rFonts w:ascii="Times New Roman;sans-serif" w:hAnsi="Times New Roman;sans-serif"/>
          <w:b w:val="false"/>
          <w:color w:val="000000"/>
          <w:sz w:val="22"/>
        </w:rPr>
        <w:t xml:space="preserve">) and (ii) no Net Short Lender shall have any right to approve or disapprove any amendment, waiver or consent hereunder or under any of the Loan Documents and instead shall be deemed to have voted its interest as a Lender as provided in the immediately succeeding paragraph below. Notwithstanding the foregoing, but without limiting the provisions of </w:t>
      </w:r>
      <w:r>
        <w:rPr>
          <w:rFonts w:ascii="Times New Roman;sans-serif" w:hAnsi="Times New Roman;sans-serif"/>
          <w:b w:val="false"/>
          <w:color w:val="000000"/>
          <w:sz w:val="22"/>
          <w:u w:val="single"/>
        </w:rPr>
        <w:t>Section 2.22(g)</w:t>
      </w:r>
      <w:r>
        <w:rPr>
          <w:rFonts w:ascii="Times New Roman;sans-serif" w:hAnsi="Times New Roman;sans-serif"/>
          <w:b w:val="false"/>
          <w:color w:val="000000"/>
          <w:sz w:val="22"/>
        </w:rPr>
        <w:t>, this Agreement may be amended (or amended and restated) with the written consent of the Required Lenders, the Administrative Agent and the Company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Notwithstanding anything to the contrary herein, in connection with any determination as to whether the requisite Lenders have (A) consented (or not consented) to any amendment, modification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(y) the Administrative Agent and (z) any Arranger)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and/or Commitments (each, a “</w:t>
      </w:r>
      <w:r>
        <w:rPr>
          <w:rFonts w:ascii="Times New Roman;sans-serif" w:hAnsi="Times New Roman;sans-serif"/>
          <w:b/>
          <w:color w:val="000000"/>
          <w:sz w:val="22"/>
        </w:rPr>
        <w:t>Net Short Lender</w:t>
      </w:r>
      <w:r>
        <w:rPr>
          <w:color w:val="000000"/>
        </w:rPr>
        <w:t>”</w:t>
      </w:r>
      <w:r>
        <w:rPr>
          <w:rFonts w:ascii="Times New Roman;sans-serif" w:hAnsi="Times New Roman;sans-serif"/>
          <w:b w:val="false"/>
          <w:color w:val="000000"/>
          <w:sz w:val="22"/>
        </w:rPr>
        <w:t>) shall have no right to vote any of its Loans and Commitments with respect to any of the matters set forth in the preceding clauses (A), (B) or (C)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Company or other Loan Parties or any instrument issued or guaranteed by any of the Company or other Loan Parties shall not be deemed to create a short position with respect to the Loans and/or Commitments, so long as (x) such index is not created, designed, administered or requested by such Lender and (y) the Company and other Loan Parties and any instrument issued or guaranteed by any of the Company or other Loan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sans-serif" w:hAnsi="Times New Roman;sans-serif"/>
          <w:b/>
          <w:color w:val="000000"/>
          <w:sz w:val="22"/>
        </w:rPr>
        <w:t>ISDA CDS Definitions</w:t>
      </w:r>
      <w:r>
        <w:rPr>
          <w:color w:val="000000"/>
        </w:rPr>
        <w:t>”</w:t>
      </w:r>
      <w:r>
        <w:rPr>
          <w:rFonts w:ascii="Times New Roman;sans-serif" w:hAnsi="Times New Roman;sans-serif"/>
          <w:b w:val="false"/>
          <w:color w:val="000000"/>
          <w:sz w:val="22"/>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Company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offer the Lender protection against a decline in the value of the Loans or the Commitments, or in the credit quality of any of the Company or other Loan Parties other than, in each case, as part of an index so long as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such index is not created, designed, administered or requested by such Lender 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the Company and other Loan Parties and any instrument issued or guaranteed by any of the Company or other Loan Parties, collectively, shall represent less than 5% of the components of such index. In connection with any such determination, each Lender shall promptly notify the Administrative Agent in writing that it is a Net Short Lender, or shall otherwise be deemed to have represented and warranted to the Company and the Administrative Agent that it is not a Net Short Lender (it being understood and agreed that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62890"/>
                <wp:effectExtent l="0" t="0" r="0" b="0"/>
                <wp:wrapNone/>
                <wp:docPr id="173" name="Frame17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 Administrative Agent shall be entitled to rely on each such notification and deemed representation). In no event shall the Administrative Agent (a) be obligated to ascertain, monitor or inquire as to whether any Lender or Participant or prospective Lender or Participant is a Net Short Lender or have any liability in connection therewith (including with respect to or arising out of the voting in any amendment, modification or waiver of any provisions of this Agreement or any other Loan Document by any Net Short Lender), (b) have any duty to enforce compliance with the provisions of this Agreement relating to Net Short Lenders or (c) have any responsibility or liability for enforcing any Lender’s compliance with the terms of any of the provisions set forth herein with respect to Net Short Lenders.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this Agreement may be amended: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(1)with the written consent of the Company and the Lenders providing the relevant Replacement Term Loans to permit the refinancing or replacement of all or any portion of the outstanding Term Loans under any applicable Class (any such loans being refinanced or replaced, the “</w:t>
      </w:r>
      <w:r>
        <w:rPr>
          <w:rFonts w:ascii="Times New Roman;sans-serif" w:hAnsi="Times New Roman;sans-serif"/>
          <w:b/>
          <w:color w:val="000000"/>
          <w:sz w:val="22"/>
        </w:rPr>
        <w:t>Replaced Term Loans</w:t>
      </w:r>
      <w:r>
        <w:rPr>
          <w:color w:val="000000"/>
        </w:rPr>
        <w:t>”</w:t>
      </w:r>
      <w:r>
        <w:rPr>
          <w:rFonts w:ascii="Times New Roman;sans-serif" w:hAnsi="Times New Roman;sans-serif"/>
          <w:b w:val="false"/>
          <w:color w:val="000000"/>
          <w:sz w:val="22"/>
        </w:rPr>
        <w:t>) with one or more replacement term loans hereunder (“</w:t>
      </w:r>
      <w:r>
        <w:rPr>
          <w:rFonts w:ascii="Times New Roman;sans-serif" w:hAnsi="Times New Roman;sans-serif"/>
          <w:b/>
          <w:color w:val="000000"/>
          <w:sz w:val="22"/>
        </w:rPr>
        <w:t>Replacement Term Loans</w:t>
      </w:r>
      <w:r>
        <w:rPr>
          <w:color w:val="000000"/>
        </w:rPr>
        <w:t>”</w:t>
      </w:r>
      <w:r>
        <w:rPr>
          <w:rFonts w:ascii="Times New Roman;sans-serif" w:hAnsi="Times New Roman;sans-serif"/>
          <w:b w:val="false"/>
          <w:color w:val="000000"/>
          <w:sz w:val="22"/>
        </w:rPr>
        <w:t xml:space="preserve">) pursuant to a Refinancing Amendment;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(a)the aggregate principal amount of any Replacement Term Loans shall not exceed the aggregate principal amount of the Replaced Term Loans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(1) any additional amounts permitted to be incurred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and, to the extent any such additional amounts are secured, the related Liens are permitted under </w:t>
      </w:r>
      <w:r>
        <w:rPr>
          <w:rFonts w:ascii="Times New Roman;sans-serif" w:hAnsi="Times New Roman;sans-serif"/>
          <w:b w:val="false"/>
          <w:color w:val="000000"/>
          <w:sz w:val="22"/>
          <w:u w:val="single"/>
        </w:rPr>
        <w:t>Section 6.06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(2) the amount of accrued interest, penalties and premium (including any tender premium) thereon, any committed but undrawn amount and underwriting discounts, fees (including upfront fees, original issue discount or initial yield payments), commissions and expenses associated therewith),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(b)any Replacement Term Loans (other than (x) customary bridge loans with a maturity date of not longer than one year;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loans, notes, securities or other Indebtedness which are exchanged for or otherwise replace such bridge loans shall be subject to the requirements of this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(y) [reserved] and (z) Refinancing Indebtedness having an aggregate principal amount outstanding not exceeding the greater of $500.0 million and 50% of Consolidated EBITDA as of the last day of the most recently ended Test Period) must have a final maturity date that is equal to or later than the final maturity date of, and have a Weighted Average Life to Maturity equal to or greater than the Weighted Average Life to Maturity of, the Replaced Term Loans at the time of the relevant refinancing,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(c)any Replacement Term Loans may be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or junior in right of payment and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(without regard to the control of remedies) or junior with respect to the Collateral with the remaining portion of the Initial Term Loans or Additional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or junior as to Collateral, such Replacement Term Loans shall be subject to an Acceptable Intercreditor Agreement and may, at the option of the Company, be documented in a separate agreement or agreements), or be unsecured,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(d)if any Replacement Term Loans are secured, such Replacement Term Loans may not be secured by any assets other than the Collateral,</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(e)if any Replacement Term Loans are guaranteed, such Replacement Term Loans may not be guaranteed by any Person other than one or more Loan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(f)any Replacement Term Loans that are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with the Initial Term Loans in right of payment and security may participate (1) in any voluntary prepayment of Term Loans as set forth in </w:t>
      </w:r>
      <w:r>
        <w:rPr>
          <w:rFonts w:ascii="Times New Roman;sans-serif" w:hAnsi="Times New Roman;sans-serif"/>
          <w:b w:val="false"/>
          <w:color w:val="000000"/>
          <w:sz w:val="22"/>
          <w:u w:val="single"/>
        </w:rPr>
        <w:t>Section 2.11(a)(i)</w:t>
      </w:r>
      <w:r>
        <w:rPr>
          <w:color w:val="000000"/>
        </w:rPr>
        <w:t xml:space="preserve"> </w:t>
      </w:r>
      <w:r>
        <w:rPr>
          <w:rFonts w:ascii="Times New Roman;sans-serif" w:hAnsi="Times New Roman;sans-serif"/>
          <w:b w:val="false"/>
          <w:color w:val="000000"/>
          <w:sz w:val="22"/>
        </w:rPr>
        <w:t xml:space="preserve">and (2) in any mandatory prepayment of Term Loans as set forth in </w:t>
      </w:r>
      <w:r>
        <w:rPr>
          <w:rFonts w:ascii="Times New Roman;sans-serif" w:hAnsi="Times New Roman;sans-serif"/>
          <w:b w:val="false"/>
          <w:color w:val="000000"/>
          <w:sz w:val="22"/>
          <w:u w:val="single"/>
        </w:rPr>
        <w:t>Section 2.11(b)(vi)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(g)any Replacement Term Loans shall have pricing (including interest, fees and premiums) and, subject to preceding </w:t>
      </w:r>
      <w:r>
        <w:rPr>
          <w:rFonts w:ascii="Times New Roman;sans-serif" w:hAnsi="Times New Roman;sans-serif"/>
          <w:b w:val="false"/>
          <w:color w:val="000000"/>
          <w:sz w:val="22"/>
          <w:u w:val="single"/>
        </w:rPr>
        <w:t>clause (F)</w:t>
      </w:r>
      <w:r>
        <w:rPr>
          <w:rFonts w:ascii="Times New Roman;sans-serif" w:hAnsi="Times New Roman;sans-serif"/>
          <w:b w:val="false"/>
          <w:color w:val="000000"/>
          <w:sz w:val="22"/>
        </w:rPr>
        <w:t xml:space="preserve">, optional prepayment and redemption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62890"/>
                <wp:effectExtent l="0" t="0" r="0" b="0"/>
                <wp:wrapNone/>
                <wp:docPr id="174" name="Frame17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terms and, subject to preceding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an amortization schedule, as the Company and the lenders providing such Replacement Term Loans may agree,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(h)the covenants and events of default of any Replacement Term Loans (excluding pricing, interest, fees, rate floors, premiums, optional prepayment or redemption terms, security and maturity, subject to preceding </w:t>
      </w:r>
      <w:r>
        <w:rPr>
          <w:rFonts w:ascii="Times New Roman;sans-serif" w:hAnsi="Times New Roman;sans-serif"/>
          <w:b w:val="false"/>
          <w:color w:val="000000"/>
          <w:sz w:val="22"/>
          <w:u w:val="single"/>
        </w:rPr>
        <w:t>clauses (B)</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 shall be (i) substantially identical to, or (taken as a whole) no more favorable (as determined by the Company in good faith) to the lenders providing such Replacement Term Loans than, those applicable to the Replaced Term Loans (other than covenants or other provisions applicable only to periods after the latest Maturity Date of such Replaced Term Loans (in each case, as of the date of incurrence of such Replacement Term Loans)), (ii) then-current market terms (as determined by the Company in good faith at the time of incurrence or issuance (or the obtaining of a commitment with respect thereto)) for the applicable type of Indebtedness or (iii) reasonably acceptable to the Administrative Agent (it being agreed that covenants and events of default of any Replacement Term Loans that are more favorable to the lenders or the agent of such Replacement Term Loans than those contained in the Loan Documents and are then conformed (or added) to the Loan Documents pursuant to the applicable Refinancing Amendment shall thereafter be deemed acceptable to the Administrative Agent).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party hereto hereby agrees that, upon the effectiveness of any Refinancing Amendment, this Agreement shall be amended by the Company, each other Borrower, the Administrative Agent and the lenders providing the relevant Replacement Term Loans, as applicable, to the extent (but only to the extent) necessary to reflect the existence and terms of such Replacement Term Loans incurred or implemented pursuant thereto (including any amendment necessary to treat the loans and commitments subject thereto as a separate “tranche” and “Class” of Loans and/or commitments hereunder). It is understood that any Lender approached to provide all or a portion of any Replacement Term Loans may elect or decline, in its sole discretion, to provide such Replacement Term Loans.</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(iii)Notwithstanding anything to the contrary contained in this </w:t>
      </w:r>
      <w:r>
        <w:rPr>
          <w:rFonts w:ascii="Times New Roman;sans-serif" w:hAnsi="Times New Roman;sans-serif"/>
          <w:b w:val="false"/>
          <w:color w:val="000000"/>
          <w:sz w:val="22"/>
          <w:u w:val="single"/>
        </w:rPr>
        <w:t>Section 9.02</w:t>
      </w:r>
      <w:r>
        <w:rPr>
          <w:color w:val="000000"/>
        </w:rPr>
        <w:t xml:space="preserve"> </w:t>
      </w:r>
      <w:r>
        <w:rPr>
          <w:rFonts w:ascii="Times New Roman;sans-serif" w:hAnsi="Times New Roman;sans-serif"/>
          <w:b w:val="false"/>
          <w:color w:val="000000"/>
          <w:sz w:val="22"/>
        </w:rPr>
        <w:t xml:space="preserve">or any other provision of this Agreement or any provision of any other Loan Document, (i) the Company and the Administrative Agent may, without the input or consent of any Lender, amend, supplement and/or waive any guaranty, collateral security agreement, pledge agreement and/or related document (if any) executed in connection with this Agreement to (x) comply with any Requirements of Law or the advice of counsel or (y) cause any such guaranty, collateral security agreement, pledge agreement or other document to be consistent with this Agreement, any Acceptable Intercreditor Agreement and/or the relevant other Loan Documents, (ii) the Company and the Administrative Agent may, without the input or consent of any other Lender (other than the relevant Lenders (including Additional Lenders) providing Loans under such Sections), effect amendments to this Agreement and the other Loan Documents as may be necessary in the reasonable opinion of the Company and the Administrative Agent to (A) effect the provisions of </w:t>
      </w:r>
      <w:r>
        <w:rPr>
          <w:rFonts w:ascii="Times New Roman;sans-serif" w:hAnsi="Times New Roman;sans-serif"/>
          <w:b w:val="false"/>
          <w:color w:val="000000"/>
          <w:sz w:val="22"/>
          <w:u w:val="single"/>
        </w:rPr>
        <w:t>Sections 2.14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9.02(b)</w:t>
      </w:r>
      <w:r>
        <w:rPr>
          <w:rFonts w:ascii="Times New Roman;sans-serif" w:hAnsi="Times New Roman;sans-serif"/>
          <w:b w:val="false"/>
          <w:color w:val="000000"/>
          <w:sz w:val="22"/>
        </w:rPr>
        <w:t xml:space="preserve">, or any other provision specifying that any waiver, amendment or modification may be made with the consent or approval of the Administrative Agent and/or (B) add terms (including representations and warranties, conditions, prepayments, covenants or events of default), in connection with the addition of any Loan or Commitment hereunder or the incurrence of any Incremental Equivalent Debt, any Replacement Term Loans, any Replacement Debt and/or any Refinancing Indebtedness with respect to Indebtedness originally incurred in reliance on </w:t>
      </w:r>
      <w:r>
        <w:rPr>
          <w:rFonts w:ascii="Times New Roman;sans-serif" w:hAnsi="Times New Roman;sans-serif"/>
          <w:b w:val="false"/>
          <w:color w:val="000000"/>
          <w:sz w:val="22"/>
          <w:u w:val="single"/>
        </w:rPr>
        <w:t>Section 6.01(b)(i)(A)(II)</w:t>
      </w:r>
      <w:r>
        <w:rPr>
          <w:rFonts w:ascii="Times New Roman;sans-serif" w:hAnsi="Times New Roman;sans-serif"/>
          <w:b w:val="false"/>
          <w:color w:val="000000"/>
          <w:sz w:val="22"/>
        </w:rPr>
        <w:t xml:space="preserve">, that are favorable to the then-existing Lenders, as reasonably determined by the Administrative Agent (it being understood that, where applicable, any such amendment may be effectuated as part of an Incremental Facility Amendment and/or a Refinancing Amendment), (iii) if the Administrative Agent and the Company have jointly identified any ambiguity, mistake, defect, inconsistency, obvious error or any error or omission of a technical or administrative nature or any necessary or desirable technical change, in each case, in any provision of any Loan Document, then the Administrative Agent and the Company shall be permitted to amend such provision solely to address such matter as reasonably determined by them acting jointly without the consent of any Lender so long as, upon the written request of the Administrative Agent, such proposed amendment has been posted to the Lenders and the Administrative Agent shall not have received, within five Business Days of the date of such posting, a written notice from the Required Lenders stating that such Lenders object to such amendment, (iv) the Administrative Agent and the Company may amend, restate, amend and restate or </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62890"/>
                <wp:effectExtent l="0" t="0" r="0" b="0"/>
                <wp:wrapNone/>
                <wp:docPr id="175" name="Frame17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otherwise modify any Acceptable Intercreditor Agreement as provided therein or to give effect thereto or to carry out the purpose thereof without the input or consent of any Lender and (v) any amendment, waiver or modification of any term or provision that directly affects Lenders under one or more Classes and does not directly affect Lenders under one or more other Classes may be effected with the consent of Lenders owning 50% of the aggregate commitments or Loans of such directly affected Class in lieu of the consent of the Required Lenders.</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(iv)(i) Notwithstanding anything to the contrary contained in this </w:t>
      </w:r>
      <w:r>
        <w:rPr>
          <w:rFonts w:ascii="Times New Roman;sans-serif" w:hAnsi="Times New Roman;sans-serif"/>
          <w:b w:val="false"/>
          <w:color w:val="000000"/>
          <w:sz w:val="22"/>
          <w:u w:val="single"/>
        </w:rPr>
        <w:t>Section 9.02</w:t>
      </w:r>
      <w:r>
        <w:rPr>
          <w:color w:val="000000"/>
        </w:rPr>
        <w:t xml:space="preserve"> </w:t>
      </w:r>
      <w:r>
        <w:rPr>
          <w:rFonts w:ascii="Times New Roman;sans-serif" w:hAnsi="Times New Roman;sans-serif"/>
          <w:b w:val="false"/>
          <w:color w:val="000000"/>
          <w:sz w:val="22"/>
        </w:rPr>
        <w:t>or any Loan Document, the Company may at any time, upon not less than ten (10) Business Days’ notice from the Company to the Administrative Agent (or such shorter period as may be agreed by the Administrative Agent in its sole discretion), designate any Subsidiary of the Company as an additional Term Loan Borrower hereunder (each such entity, a “</w:t>
      </w:r>
      <w:r>
        <w:rPr>
          <w:rFonts w:ascii="Times New Roman;sans-serif" w:hAnsi="Times New Roman;sans-serif"/>
          <w:b/>
          <w:color w:val="000000"/>
          <w:sz w:val="22"/>
        </w:rPr>
        <w:t>Discretionary Borrower</w:t>
      </w:r>
      <w:r>
        <w:rPr>
          <w:color w:val="000000"/>
        </w:rPr>
        <w:t>”</w:t>
      </w:r>
      <w:r>
        <w:rPr>
          <w:rFonts w:ascii="Times New Roman;sans-serif" w:hAnsi="Times New Roman;sans-serif"/>
          <w:b w:val="false"/>
          <w:color w:val="000000"/>
          <w:sz w:val="22"/>
        </w:rPr>
        <w:t>) pursuant to joinder or other documentation to be reasonably agreed solely between the Administrative Agent and the Company (the “</w:t>
      </w:r>
      <w:r>
        <w:rPr>
          <w:rFonts w:ascii="Times New Roman;sans-serif" w:hAnsi="Times New Roman;sans-serif"/>
          <w:b/>
          <w:color w:val="000000"/>
          <w:sz w:val="22"/>
        </w:rPr>
        <w:t>Borrower Joinder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solely in the case of any such designation of a non-Domestic Subsidiary of the Company as a co-Borrower, consent of the Administrative Agent shall be required prior to the addition of any such co-Borrower, in each case, such consent not to be unreasonably withheld, delayed or conditioned. The Company and the Administrative Agent shall be permitted to make such amendments to the Loan Documents as necessary to incorporate such additional entity as a co-Borrower. The parties hereto acknowledge and agree that prior to any such entity becoming a Borrower hereunder, the Administrative Agent shall have received (w) such corporate authorizations, opinions, and customary certificates (including with respect to representations) reasonably requested by the Administrative Agent, (x) the receipt of customary “Know Your Customer” information requested by the Administrative Agent, (y) the receipt of, in relation to itself as a “legal entity customer”, a Beneficial Ownership Certification and (z) joinders or amendments to security or guaranty documents to evidence the Borrower Joinder, reasonably satisfactory to the Administrative Agent. The new Borrower shall be a party to the Credit Agreement and shall constitute a “Borrower” for all purposes thereof, and the new Borrower shall agree to be bound by all provisions of the Credit Agreement.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(2)Each such Discretionary Borrower hereby irrevocably appoints the Company as its agent for all purposes relevant to this Agreement and each of the other Loan Documents (other than with respect to payment), including (A) the giving and receipt of notices and (B) the execution and delivery of all documents, instruments and certificates contemplated herein and all modifications hereto. Any acknowledgment, consent, direction, certification or other action (other than with respect to payment) which might otherwise be valid or effective only if given or taken by all Borrowers, or by each Borrower acting singly, shall be valid and effective if given or taken only by the Company, whether or not any such other Borrower joins therein. Any notice, demand, consent, acknowledgment, direction, certification or other communication delivered to the Company in accordance with the terms of this Agreement shall be deemed to have been delivered to each such additional Borrower.</w:t>
      </w:r>
    </w:p>
    <w:p>
      <w:pPr>
        <w:pStyle w:val="TextBody"/>
        <w:bidi w:val="0"/>
        <w:spacing w:lineRule="auto" w:line="240" w:before="0" w:after="240"/>
        <w:jc w:val="both"/>
        <w:rPr/>
      </w:pPr>
      <w:r>
        <w:rPr>
          <w:rFonts w:ascii="Times New Roman;sans-serif" w:hAnsi="Times New Roman;sans-serif"/>
          <w:b w:val="false"/>
          <w:color w:val="000000"/>
          <w:sz w:val="22"/>
        </w:rPr>
        <w:t>Section 1.0c.</w:t>
      </w:r>
      <w:r>
        <w:rPr>
          <w:rFonts w:ascii="Times New Roman;sans-serif" w:hAnsi="Times New Roman;sans-serif"/>
          <w:b w:val="false"/>
          <w:color w:val="000000"/>
          <w:sz w:val="22"/>
        </w:rPr>
        <w:t xml:space="preserve">Expenses; Indemnity; Indemnity; Damage Waiver.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shall pay (i) all reasonable out-of-pocket expenses incurred by the Agents and their respective Affiliates, including the reasonable fees, charges and disbursements of a single counsel for the Agents, as applicable, in connection with the syndication of the credit facilities provided for herein, the preparation and administration of the Loan Documents or any amendments, modifications or waivers of the provisions thereof (whether or not the transactions contemplated hereby or thereby shall be consummated), (ii) [reserved] and (iii) if an Event of Default occurs, all reasonable out-of-pocket expenses incurred by either Agent or any Lender, including the fees, charges and disbursements of any counsel for either Agent or any Lender, in connection with the enforcement or protection of its rights in connection with the Loan Documents.</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(ii)The Company shall indemnify each Agent and each Lender, and each Related Party of any of the foregoing Persons (each such Person being called an “</w:t>
      </w:r>
      <w:r>
        <w:rPr>
          <w:rFonts w:ascii="Times New Roman;sans-serif" w:hAnsi="Times New Roman;sans-serif"/>
          <w:b/>
          <w:color w:val="000000"/>
          <w:sz w:val="22"/>
        </w:rPr>
        <w:t>Indemnitee</w:t>
      </w:r>
      <w:r>
        <w:rPr>
          <w:color w:val="000000"/>
        </w:rPr>
        <w:t>”</w:t>
      </w:r>
      <w:r>
        <w:rPr>
          <w:rFonts w:ascii="Times New Roman;sans-serif" w:hAnsi="Times New Roman;sans-serif"/>
          <w:b w:val="false"/>
          <w:color w:val="000000"/>
          <w:sz w:val="22"/>
        </w:rPr>
        <w:t xml:space="preserve">) against, and hold each Indemnitee harmless from, any Liabilities and related expenses (but limited, in the case of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an actual or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62890"/>
                <wp:effectExtent l="0" t="0" r="0" b="0"/>
                <wp:wrapNone/>
                <wp:docPr id="176" name="Frame17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perceived conflict of interest after the affected Person notifies the Company of such conflict, (x) one additional counsel to all similarly situated affected Indemnitees taken as a whole and (y) one additional local counsel in any relevant material jurisdiction to all similarly situated affected Indemnitees taken as a whole), in each case, incurred in connection with any investigative, administrative or judicial proceeding, whether or not such Indemnitee shall be designated a party thereto, which may be incurred by any Indemnitee, relating to or arising out of any actual or proposed use of proceeds of Loans hereunder for the purpose of acquiring equity securities of any Person or any exercise of remedies under the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Indemnitee shall have the right to be indemnified hereunder (i) with respect to the acquisition of equity securities of a wholly-owned Subsidiary, or of a Person who prior to such acquisition did not conduct any business or (ii) for its own gross negligence or willful misconduct determined by a final nonappealable decision of a court of competent jurisdiction. This Section 9.03(b) shall not apply with respect to Taxes other than any Taxes that represent losses, claims, damages, etc. arising from any non-Tax claim.</w:t>
      </w:r>
    </w:p>
    <w:p>
      <w:pPr>
        <w:pStyle w:val="TextBody"/>
        <w:bidi w:val="0"/>
        <w:spacing w:lineRule="auto" w:line="240" w:before="0" w:after="240"/>
        <w:ind w:left="0" w:right="0" w:firstLine="1111"/>
        <w:jc w:val="both"/>
        <w:rPr>
          <w:rFonts w:ascii="Times New Roman;sans-serif" w:hAnsi="Times New Roman;sans-serif"/>
          <w:b w:val="false"/>
          <w:color w:val="000000"/>
          <w:sz w:val="22"/>
        </w:rPr>
      </w:pPr>
      <w:r>
        <w:rPr>
          <w:rFonts w:ascii="Times New Roman;sans-serif" w:hAnsi="Times New Roman;sans-serif"/>
          <w:b w:val="false"/>
          <w:color w:val="000000"/>
          <w:sz w:val="22"/>
        </w:rPr>
        <w:t>(iii)The Company shall not be liable for any settlement or compromise of, or the consent to the entry of any judgment with respect to, any proceeding effected without its consent (which consent shall not be unreasonably withheld, delayed or conditioned), but if any proceeding is so settled, compromised or consented to with the Company’s written consent, or if there is a final judgment entered against any Indemnitee in any such proceeding, the Company agrees to indemnify and hold harmless each Indemnitee to the extent and in the manner set forth above. The Company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(iv)To the extent that the Company fails to pay any amount required to be paid by it to the Agent under </w:t>
      </w:r>
      <w:r>
        <w:rPr>
          <w:rFonts w:ascii="Times New Roman;sans-serif" w:hAnsi="Times New Roman;sans-serif"/>
          <w:b w:val="false"/>
          <w:color w:val="000000"/>
          <w:sz w:val="22"/>
          <w:u w:val="single"/>
        </w:rPr>
        <w:t>paragraph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this Section, (i) each Lender severally agrees to pay to the Administrative Agent and each of its Related Parties such Lender’s ratable share (determined in accordance with such Lender’s share of the Loans outstanding hereunder as of the time that the applicable unreimbursed expense or indemnity payment is sought) of such unpaid amount and (ii) each Secured Party, in the case of the Collateral Agreement, severally agrees to pay to the Collateral Agent and each of its Related Parties such Secured Party’s ratable share (determined in accordance with such Secured Party’s share of the Obligations) of such unpaid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unreimbursed expense or indemnified loss, claim, damage, liability or related expense, as the case may be, was incurred by or asserted against such Agent in its capacity as such. The agreements in this Section shall survive the termination of this Agreement and the payment of the Loans and all other amounts payable hereunder.</w:t>
      </w:r>
    </w:p>
    <w:p>
      <w:pPr>
        <w:pStyle w:val="TextBody"/>
        <w:bidi w:val="0"/>
        <w:spacing w:lineRule="auto" w:line="240" w:before="0" w:after="240"/>
        <w:ind w:left="0" w:right="0" w:firstLine="1184"/>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(v)[Reserved]. </w:t>
      </w:r>
    </w:p>
    <w:p>
      <w:pPr>
        <w:pStyle w:val="TextBody"/>
        <w:bidi w:val="0"/>
        <w:spacing w:lineRule="auto" w:line="240" w:before="0" w:after="240"/>
        <w:ind w:left="0" w:right="0" w:firstLine="1123"/>
        <w:jc w:val="both"/>
        <w:rPr>
          <w:rFonts w:ascii="Times New Roman;sans-serif" w:hAnsi="Times New Roman;sans-serif"/>
          <w:b w:val="false"/>
          <w:color w:val="000000"/>
          <w:sz w:val="22"/>
        </w:rPr>
      </w:pPr>
      <w:r>
        <w:rPr>
          <w:rFonts w:ascii="Times New Roman;sans-serif" w:hAnsi="Times New Roman;sans-serif"/>
          <w:b w:val="false"/>
          <w:color w:val="000000"/>
          <w:sz w:val="22"/>
        </w:rPr>
        <w:t>(vi)All amounts due under this Section shall be payable promptly after written demand therefor.</w:t>
      </w:r>
    </w:p>
    <w:p>
      <w:pPr>
        <w:pStyle w:val="TextBody"/>
        <w:bidi w:val="0"/>
        <w:spacing w:lineRule="auto" w:line="240" w:before="0" w:after="240"/>
        <w:jc w:val="both"/>
        <w:rPr/>
      </w:pPr>
      <w:r>
        <w:rPr>
          <w:rFonts w:ascii="Times New Roman;sans-serif" w:hAnsi="Times New Roman;sans-serif"/>
          <w:b w:val="false"/>
          <w:color w:val="000000"/>
          <w:sz w:val="22"/>
        </w:rPr>
        <w:t>Section 1.0d.</w:t>
      </w:r>
      <w:r>
        <w:rPr>
          <w:rFonts w:ascii="Times New Roman;sans-serif" w:hAnsi="Times New Roman;sans-serif"/>
          <w:b w:val="false"/>
          <w:color w:val="000000"/>
          <w:sz w:val="22"/>
        </w:rPr>
        <w:t>Waiver of Claim. To the extent permitted by applicable law, (i) no Loan Party shall assert, and each Loan Party hereby waives, any claim against the Administrative Agent, any Arranger, and any Lender, and any Related Party of any of the foregoing Persons (each such Person being called a “</w:t>
      </w:r>
      <w:r>
        <w:rPr>
          <w:rFonts w:ascii="Times New Roman;sans-serif" w:hAnsi="Times New Roman;sans-serif"/>
          <w:b/>
          <w:color w:val="000000"/>
          <w:sz w:val="22"/>
        </w:rPr>
        <w:t>Lender-Related Person</w:t>
      </w:r>
      <w:r>
        <w:rPr>
          <w:color w:val="000000"/>
        </w:rPr>
        <w:t>”</w:t>
      </w:r>
      <w:r>
        <w:rPr>
          <w:rFonts w:ascii="Times New Roman;sans-serif" w:hAnsi="Times New Roman;sans-serif"/>
          <w:b w:val="false"/>
          <w:color w:val="000000"/>
          <w:sz w:val="22"/>
        </w:rPr>
        <w:t xml:space="preserve">) for any Liabilities arising from the use by others of information or other materials (including, without limitation, any personal data) obtained through telecommunications, electronic or other information transmission systems (including the Internet);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such waiver shall not apply to any claims against a Lender-Related Person attributable to the gross negligence or willful misconduct of such Lender-Related Person and (ii) no party to this Agreement nor any Secured Party shall assert, and each hereby waives, any claim against any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in this </w:t>
      </w:r>
      <w:r>
        <w:rPr>
          <w:rFonts w:ascii="Times New Roman;sans-serif" w:hAnsi="Times New Roman;sans-serif"/>
          <w:b w:val="false"/>
          <w:color w:val="000000"/>
          <w:sz w:val="22"/>
          <w:u w:val="single"/>
        </w:rPr>
        <w:t>Section 9.04</w:t>
      </w:r>
      <w:r>
        <w:rPr>
          <w:color w:val="000000"/>
        </w:rPr>
        <w:t xml:space="preserve"> </w:t>
      </w:r>
      <w:r>
        <w:rPr>
          <w:rFonts w:ascii="Times New Roman;sans-serif" w:hAnsi="Times New Roman;sans-serif"/>
          <w:b w:val="false"/>
          <w:color w:val="000000"/>
          <w:sz w:val="22"/>
        </w:rPr>
        <w:t xml:space="preserve">shall relieve any Loan Party of any </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62890"/>
                <wp:effectExtent l="0" t="0" r="0" b="0"/>
                <wp:wrapNone/>
                <wp:docPr id="177" name="Frame17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obligation it may have to indemnify an Indemnitee, as provided in </w:t>
      </w:r>
      <w:r>
        <w:rPr>
          <w:rFonts w:ascii="Times New Roman;sans-serif" w:hAnsi="Times New Roman;sans-serif"/>
          <w:b w:val="false"/>
          <w:color w:val="000000"/>
          <w:sz w:val="22"/>
          <w:u w:val="single"/>
        </w:rPr>
        <w:t>Section 9.03(b)</w:t>
      </w:r>
      <w:r>
        <w:rPr>
          <w:rFonts w:ascii="Times New Roman;sans-serif" w:hAnsi="Times New Roman;sans-serif"/>
          <w:b w:val="false"/>
          <w:color w:val="000000"/>
          <w:sz w:val="22"/>
        </w:rPr>
        <w:t>, against any special, indirect, consequential or punitive damages asserted against such Indemnitee by a third party.</w:t>
      </w:r>
      <w:r>
        <w:rPr>
          <w:color w:val="000000"/>
        </w:rPr>
        <w:t xml:space="preserve"> </w:t>
      </w:r>
    </w:p>
    <w:p>
      <w:pPr>
        <w:pStyle w:val="TextBody"/>
        <w:bidi w:val="0"/>
        <w:spacing w:lineRule="auto" w:line="240" w:before="0" w:after="240"/>
        <w:jc w:val="both"/>
        <w:rPr/>
      </w:pPr>
      <w:r>
        <w:rPr>
          <w:rFonts w:ascii="Times New Roman;sans-serif" w:hAnsi="Times New Roman;sans-serif"/>
          <w:b w:val="false"/>
          <w:color w:val="000000"/>
          <w:sz w:val="22"/>
        </w:rPr>
        <w:t>Section 1.0e.</w:t>
      </w:r>
      <w:r>
        <w:rPr>
          <w:rFonts w:ascii="Times New Roman;sans-serif" w:hAnsi="Times New Roman;sans-serif"/>
          <w:b w:val="false"/>
          <w:color w:val="000000"/>
          <w:sz w:val="22"/>
        </w:rPr>
        <w:t xml:space="preserve">Successors and Assigns. </w:t>
      </w:r>
    </w:p>
    <w:p>
      <w:pPr>
        <w:pStyle w:val="TextBody"/>
        <w:bidi w:val="0"/>
        <w:spacing w:lineRule="auto" w:line="240" w:before="0" w:after="240"/>
        <w:ind w:left="0" w:right="0" w:firstLine="1233"/>
        <w:jc w:val="both"/>
        <w:rPr/>
      </w:pPr>
      <w:r>
        <w:rPr>
          <w:rFonts w:ascii="Times New Roman;sans-serif" w:hAnsi="Times New Roman;sans-serif"/>
          <w:b w:val="false"/>
          <w:color w:val="000000"/>
          <w:sz w:val="22"/>
        </w:rPr>
        <w:t xml:space="preserve">(i)The provisions of this Agreement shall be binding upon and inure to the benefit of the parties hereto and their respective successors and permitted assigns;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except as provided under </w:t>
      </w:r>
      <w:r>
        <w:rPr>
          <w:rFonts w:ascii="Times New Roman;sans-serif" w:hAnsi="Times New Roman;sans-serif"/>
          <w:b w:val="false"/>
          <w:color w:val="000000"/>
          <w:sz w:val="22"/>
          <w:u w:val="single"/>
        </w:rPr>
        <w:t>Section 6.08</w:t>
      </w:r>
      <w:r>
        <w:rPr>
          <w:rFonts w:ascii="Times New Roman;sans-serif" w:hAnsi="Times New Roman;sans-serif"/>
          <w:b w:val="false"/>
          <w:color w:val="000000"/>
          <w:sz w:val="22"/>
        </w:rPr>
        <w:t xml:space="preserve">, the Company may not assign or otherwise transfer any of its rights or obligations hereunder without the prior written consent of each Lender (and any attempted assignment or transfer by the Company without such consent shall be null and void) and (ii) no Lender may assign or otherwise transfer its rights or obligations hereunder except in accordance with the terms of this Section (any attempted assignment or transfer not complying with the terms of this Section shall be null and void and, with respect to any attempted assignment or transfer to any Disqualified Institution, subject to </w:t>
      </w:r>
      <w:r>
        <w:rPr>
          <w:rFonts w:ascii="Times New Roman;sans-serif" w:hAnsi="Times New Roman;sans-serif"/>
          <w:b w:val="false"/>
          <w:color w:val="000000"/>
          <w:sz w:val="22"/>
          <w:u w:val="single"/>
        </w:rPr>
        <w:t>Section 9.05(f)</w:t>
      </w:r>
      <w:r>
        <w:rPr>
          <w:rFonts w:ascii="Times New Roman;sans-serif" w:hAnsi="Times New Roman;sans-serif"/>
          <w:b w:val="false"/>
          <w:color w:val="000000"/>
          <w:sz w:val="22"/>
        </w:rPr>
        <w:t xml:space="preserve">). Nothing in this Agreement, expressed or implied, shall be construed to confer upon any Person (other than the parties hereto, their respective successors and permitted assigns, Participants (to the extent provided in </w:t>
      </w:r>
      <w:r>
        <w:rPr>
          <w:rFonts w:ascii="Times New Roman;sans-serif" w:hAnsi="Times New Roman;sans-serif"/>
          <w:b w:val="false"/>
          <w:color w:val="000000"/>
          <w:sz w:val="22"/>
          <w:u w:val="single"/>
        </w:rPr>
        <w:t>paragraph (c)</w:t>
      </w:r>
      <w:r>
        <w:rPr>
          <w:color w:val="000000"/>
        </w:rPr>
        <w:t xml:space="preserve"> </w:t>
      </w:r>
      <w:r>
        <w:rPr>
          <w:rFonts w:ascii="Times New Roman;sans-serif" w:hAnsi="Times New Roman;sans-serif"/>
          <w:b w:val="false"/>
          <w:color w:val="000000"/>
          <w:sz w:val="22"/>
        </w:rPr>
        <w:t>of this Section) and, to the extent expressly contemplated hereby, the Related Parties of each of the Arrangers, the Administrative Agent and the Lenders) any legal or equitable right, remedy or claim under or by reason of this Agreement. Any Successor Company permitted pursuant to a transaction referred to in clause (i) of the proviso above, shall thereafter be deemed to be and become the “Company” and a “Borrower” for all purposes hereunder, and the Company or such initial Borrower shall be released from its Obligations in respect of this Agreement and the other Loan Documents.</w:t>
      </w:r>
    </w:p>
    <w:p>
      <w:pPr>
        <w:pStyle w:val="TextBody"/>
        <w:bidi w:val="0"/>
        <w:spacing w:lineRule="auto" w:line="240" w:before="0" w:after="240"/>
        <w:ind w:left="0" w:right="0" w:firstLine="1172"/>
        <w:jc w:val="both"/>
        <w:rPr/>
      </w:pPr>
      <w:r>
        <w:rPr>
          <w:rFonts w:ascii="Times New Roman;sans-serif" w:hAnsi="Times New Roman;sans-serif"/>
          <w:b w:val="false"/>
          <w:color w:val="000000"/>
          <w:sz w:val="22"/>
        </w:rPr>
        <w:t xml:space="preserve">(ii)(i) Subject to the conditions set forth in </w:t>
      </w:r>
      <w:r>
        <w:rPr>
          <w:rFonts w:ascii="Times New Roman;sans-serif" w:hAnsi="Times New Roman;sans-serif"/>
          <w:b w:val="false"/>
          <w:color w:val="000000"/>
          <w:sz w:val="22"/>
          <w:u w:val="single"/>
        </w:rPr>
        <w:t>paragraph (b)(ii)</w:t>
      </w:r>
      <w:r>
        <w:rPr>
          <w:color w:val="000000"/>
        </w:rPr>
        <w:t xml:space="preserve"> </w:t>
      </w:r>
      <w:r>
        <w:rPr>
          <w:rFonts w:ascii="Times New Roman;sans-serif" w:hAnsi="Times New Roman;sans-serif"/>
          <w:b w:val="false"/>
          <w:color w:val="000000"/>
          <w:sz w:val="22"/>
        </w:rPr>
        <w:t xml:space="preserve">below, any Lender may assign to one or more Eligible Assignees all or a portion of its rights and obligations under this Agreement (including all or a portion of any Additional Loan or Additional Commitment added pursuant to </w:t>
      </w:r>
      <w:r>
        <w:rPr>
          <w:rFonts w:ascii="Times New Roman;sans-serif" w:hAnsi="Times New Roman;sans-serif"/>
          <w:b w:val="false"/>
          <w:color w:val="000000"/>
          <w:sz w:val="22"/>
          <w:u w:val="single"/>
        </w:rPr>
        <w:t>Sections 2.22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w:t>
      </w:r>
      <w:r>
        <w:rPr>
          <w:color w:val="000000"/>
        </w:rPr>
        <w:t xml:space="preserve"> </w:t>
      </w:r>
      <w:r>
        <w:rPr>
          <w:rFonts w:ascii="Times New Roman;sans-serif" w:hAnsi="Times New Roman;sans-serif"/>
          <w:b w:val="false"/>
          <w:color w:val="000000"/>
          <w:sz w:val="22"/>
        </w:rPr>
        <w:t>at the time owing to it) with the prior written consent (not to be unreasonably withheld or delayed) 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be deemed to have consented to any assignment of Loans (other than any such assignment to a Disqualified Institution or an affiliate thereof referred to in the last proviso of this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xml:space="preserve">) if it has not responded to a written request for its consent from the Administrative Agent within 15 Business Days after receiving such written request;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consent of the Company shall be required (x) for any assignment of Term Loans or Commitments to another Lender, an Affiliate of any Lender or an Approved Fund, or (y)  during the continuance of a Specified Event of Default; and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(b)the Administrative Agent; provided that no consent of the Administrative Agent shall be required for any assignment to another Lender, any Affiliate of a Lender or any Approved Fund, or for any assignment to the Company and/or its Affiliates, which otherwise complies with the terms of this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xml:space="preserve">; </w:t>
      </w:r>
    </w:p>
    <w:p>
      <w:pPr>
        <w:pStyle w:val="TextBody"/>
        <w:bidi w:val="0"/>
        <w:spacing w:lineRule="auto" w:line="240"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notwithstanding the foregoing, the Company may, in its sole discretion, withhold its consent to any assignment to any Person that is not expressly a Disqualified Institution but is known by the Company to be an Affiliate of a Disqualified Institution without regard as to whether such Person is identifiable as an Affiliate of a Disqualified Institution on the basis of such Affiliate’s name.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(1)Assignments shall be subject to the following additional conditions: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by Related Funds) shall </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62890"/>
                <wp:effectExtent l="0" t="0" r="0" b="0"/>
                <wp:wrapNone/>
                <wp:docPr id="178" name="Frame17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 be less than $1,000,000, unless the Company and the Administrative Agent otherwise consent to a lesser amount, and in each case any assigned amount may exceed such minimum amount in an integral multiple of $1,000,000 in excess thereof;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(b)any partial assignment shall be made as an assignment of a proportionate part of all the relevant assigning Lender’s rights and obligations under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 which fee shall not apply for any assignment to an Affiliated Lender);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(d)the relevant Eligible Assignee, if it is not a Lender, shall deliver on or prior to the effective date of such assignment, to the Administrative Agent and the Company (irrespective of whether an Event of Default exists) (1) an Administrative Questionnaire and (2) any form required under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(e)the assigning Lender shall, concurrently with its delivery of the same to the Administrative Agent, provide the Company with a copy of its request for such assignment, which shall include the name of the prospective assignee (irrespective of whether an Event of Default exists).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(2)Except as otherwise provided in </w:t>
      </w:r>
      <w:r>
        <w:rPr>
          <w:rFonts w:ascii="Times New Roman;sans-serif" w:hAnsi="Times New Roman;sans-serif"/>
          <w:b w:val="false"/>
          <w:color w:val="000000"/>
          <w:sz w:val="22"/>
          <w:u w:val="single"/>
        </w:rPr>
        <w:t>Section 9.05(g)</w:t>
      </w:r>
      <w:r>
        <w:rPr>
          <w:rFonts w:ascii="Times New Roman;sans-serif" w:hAnsi="Times New Roman;sans-serif"/>
          <w:b w:val="false"/>
          <w:color w:val="000000"/>
          <w:sz w:val="22"/>
        </w:rPr>
        <w:t xml:space="preserve">, subject to the acceptance and recording thereof pursuant to </w:t>
      </w:r>
      <w:r>
        <w:rPr>
          <w:rFonts w:ascii="Times New Roman;sans-serif" w:hAnsi="Times New Roman;sans-serif"/>
          <w:b w:val="false"/>
          <w:color w:val="000000"/>
          <w:sz w:val="22"/>
          <w:u w:val="single"/>
        </w:rPr>
        <w:t>paragraph (b)(iv)</w:t>
      </w:r>
      <w:r>
        <w:rPr>
          <w:color w:val="000000"/>
        </w:rPr>
        <w:t xml:space="preserve"> </w:t>
      </w:r>
      <w:r>
        <w:rPr>
          <w:rFonts w:ascii="Times New Roman;sans-serif" w:hAnsi="Times New Roman;sans-serif"/>
          <w:b w:val="false"/>
          <w:color w:val="000000"/>
          <w:sz w:val="22"/>
        </w:rPr>
        <w:t xml:space="preserve">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Times New Roman;sans-serif" w:hAnsi="Times New Roman;sans-serif"/>
          <w:b w:val="false"/>
          <w:color w:val="000000"/>
          <w:sz w:val="22"/>
          <w:u w:val="single"/>
        </w:rPr>
        <w:t>Sections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9.03</w:t>
      </w:r>
      <w:r>
        <w:rPr>
          <w:color w:val="000000"/>
        </w:rPr>
        <w:t xml:space="preserve"> </w:t>
      </w:r>
      <w:r>
        <w:rPr>
          <w:rFonts w:ascii="Times New Roman;sans-serif" w:hAnsi="Times New Roman;sans-serif"/>
          <w:b w:val="false"/>
          <w:color w:val="000000"/>
          <w:sz w:val="22"/>
        </w:rPr>
        <w:t xml:space="preserve">with respect to facts and circumstances occurring on or prior to the effective date of such assignment and (B) subject to its obligations thereunder and under </w:t>
      </w:r>
      <w:r>
        <w:rPr>
          <w:rFonts w:ascii="Times New Roman;sans-serif" w:hAnsi="Times New Roman;sans-serif"/>
          <w:b w:val="false"/>
          <w:color w:val="000000"/>
          <w:sz w:val="22"/>
          <w:u w:val="single"/>
        </w:rPr>
        <w:t>Section 9.13</w:t>
      </w:r>
      <w:r>
        <w:rPr>
          <w:rFonts w:ascii="Times New Roman;sans-serif" w:hAnsi="Times New Roman;sans-serif"/>
          <w:b w:val="false"/>
          <w:color w:val="000000"/>
          <w:sz w:val="22"/>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Company shall issue and deliver a new Promissory Note to such assignee and/or to such assigning Lender, with appropriate insertions, to reflect the new commitments and/or outstanding Loans of the assignee and/or the assigning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(3)The Administrative Agent, acting for this purpose as an agent of the Company, shall maintain at one of its offices in the United States a copy of each Assignment Agreement delivered to it and a register for the recordation of the names and addresses of the Lenders and their respective successors and assigns, and the commitment of, and principal amount of and stated interest on the Loans owing to, each Lender pursuant to the terms hereof from time to time (the “</w:t>
      </w:r>
      <w:r>
        <w:rPr>
          <w:rFonts w:ascii="Times New Roman;sans-serif" w:hAnsi="Times New Roman;sans-serif"/>
          <w:b/>
          <w:color w:val="000000"/>
          <w:sz w:val="22"/>
        </w:rPr>
        <w:t>Register</w:t>
      </w:r>
      <w:r>
        <w:rPr>
          <w:color w:val="000000"/>
        </w:rPr>
        <w:t>”</w:t>
      </w:r>
      <w:r>
        <w:rPr>
          <w:rFonts w:ascii="Times New Roman;sans-serif" w:hAnsi="Times New Roman;sans-serif"/>
          <w:b w:val="false"/>
          <w:color w:val="000000"/>
          <w:sz w:val="22"/>
        </w:rPr>
        <w:t>). Failure to make any such recordation, or any error in such recordation, shall not affect the Company’s obligations in respect of such Loans. The entries in the Register shall be conclusive, absent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and each Lender (but only as to its own holdings), at any reasonable time and from time to time upon reasonable prior notice.</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62890"/>
                <wp:effectExtent l="0" t="0" r="0" b="0"/>
                <wp:wrapNone/>
                <wp:docPr id="179" name="Frame17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(4)Upon its receipt of a duly completed Assignment Agreement executed by an assigning Lender and an Eligible Assignee, the Eligible Assignee’s completed Administrative Questionnaire and any tax certification required by </w:t>
      </w:r>
      <w:r>
        <w:rPr>
          <w:rFonts w:ascii="Times New Roman;sans-serif" w:hAnsi="Times New Roman;sans-serif"/>
          <w:b w:val="false"/>
          <w:color w:val="000000"/>
          <w:sz w:val="22"/>
          <w:u w:val="single"/>
        </w:rPr>
        <w:t>Section 9.05(b)(ii)(D)(2)</w:t>
      </w:r>
      <w:r>
        <w:rPr>
          <w:color w:val="000000"/>
        </w:rPr>
        <w:t xml:space="preserve"> </w:t>
      </w:r>
      <w:r>
        <w:rPr>
          <w:rFonts w:ascii="Times New Roman;sans-serif" w:hAnsi="Times New Roman;sans-serif"/>
          <w:b w:val="false"/>
          <w:color w:val="000000"/>
          <w:sz w:val="22"/>
        </w:rPr>
        <w:t xml:space="preserve">(unless the assignee is already a Lender hereunder), the processing and recordation fee referred to in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 xml:space="preserve">of this Section, if applicable, and any written consent to the relevant assignment required by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(5)By executing and delivering an Assignment Agreement, the assigning Lender and the Eligible Assignee thereunder shall be deemed to confirm and agree with each other and the other parties hereto as follows: (A) such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such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Company or any Restricted Subsidiary or the performance or observance by the Company or any Restricted Subsidiary of any of its obligations under this Agreement, any other Loan Document or any other instrument or document furnished pursuant hereto; (C) such assignee represents and warrants that it is an Eligible Assignee (and not a Disqualified Institution), legally authorized to enter into such Assignment Agreement; (D) such assignee confirms that it has received a copy of this Agreement, the ABL Intercreditor Agreement and each other then-applicable Acceptable Intercreditor Agreement, together with copies of the most recent financial statements delivered pursuant to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and such other documents and information as it has deemed appropriate to make its own credit analysis and decision to enter into such Assignment Agreement; (E) such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such assignee agrees that it will perform in accordance with their terms all the obligations which by the terms of this Agreement are required to be performed by it as a Lender.</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(iii)(i) Any Lender may, without the consent of the Company, the Administrative Agent or any other Lender, sell participations to any bank or other entity (other than to any Disqualified Institution or an Affiliate thereof referred to in the last proviso of </w:t>
      </w:r>
      <w:r>
        <w:rPr>
          <w:rFonts w:ascii="Times New Roman;sans-serif" w:hAnsi="Times New Roman;sans-serif"/>
          <w:b w:val="false"/>
          <w:color w:val="000000"/>
          <w:sz w:val="22"/>
          <w:u w:val="single"/>
        </w:rPr>
        <w:t>clause (b)(i)</w:t>
      </w:r>
      <w:r>
        <w:rPr>
          <w:color w:val="000000"/>
        </w:rPr>
        <w:t xml:space="preserve"> </w:t>
      </w:r>
      <w:r>
        <w:rPr>
          <w:rFonts w:ascii="Times New Roman;sans-serif" w:hAnsi="Times New Roman;sans-serif"/>
          <w:b w:val="false"/>
          <w:color w:val="000000"/>
          <w:sz w:val="22"/>
        </w:rPr>
        <w:t>of this Section, any Defaulting Lender or any natural Person) (a “</w:t>
      </w:r>
      <w:r>
        <w:rPr>
          <w:rFonts w:ascii="Times New Roman;sans-serif" w:hAnsi="Times New Roman;sans-serif"/>
          <w:b/>
          <w:color w:val="000000"/>
          <w:sz w:val="22"/>
        </w:rPr>
        <w:t>Participant</w:t>
      </w:r>
      <w:r>
        <w:rPr>
          <w:color w:val="000000"/>
        </w:rPr>
        <w:t>”</w:t>
      </w:r>
      <w:r>
        <w:rPr>
          <w:rFonts w:ascii="Times New Roman;sans-serif" w:hAnsi="Times New Roman;sans-serif"/>
          <w:b w:val="false"/>
          <w:color w:val="000000"/>
          <w:sz w:val="22"/>
        </w:rPr>
        <w:t xml:space="preserve">) in all or a portion of such Lender’s rights and obligations under this Agreement (including all or a portion of its commitments and the Loans owing to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 such Lender’s obligations under this Agreement shall remain unchanged, (B) such Lender shall remain solely responsible to the other parties hereto for the performance of such obligations and (C) the Company, the Administrative Agent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agreement or instrument may provide that such Lender will not, without the consent of the relevant Participant, agree to any amendment, modification or waiver described in (x)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the first proviso to </w:t>
      </w:r>
      <w:r>
        <w:rPr>
          <w:rFonts w:ascii="Times New Roman;sans-serif" w:hAnsi="Times New Roman;sans-serif"/>
          <w:b w:val="false"/>
          <w:color w:val="000000"/>
          <w:sz w:val="22"/>
          <w:u w:val="single"/>
        </w:rPr>
        <w:t>Section 9.02(b)</w:t>
      </w:r>
      <w:r>
        <w:rPr>
          <w:color w:val="000000"/>
        </w:rPr>
        <w:t xml:space="preserve"> </w:t>
      </w:r>
      <w:r>
        <w:rPr>
          <w:rFonts w:ascii="Times New Roman;sans-serif" w:hAnsi="Times New Roman;sans-serif"/>
          <w:b w:val="false"/>
          <w:color w:val="000000"/>
          <w:sz w:val="22"/>
        </w:rPr>
        <w:t>that directly and adversely affects the Loans or commitments in which such Participant has an interest and (y) </w:t>
      </w:r>
      <w:r>
        <w:rPr>
          <w:rFonts w:ascii="Times New Roman;sans-serif" w:hAnsi="Times New Roman;sans-serif"/>
          <w:b w:val="false"/>
          <w:color w:val="000000"/>
          <w:sz w:val="22"/>
          <w:u w:val="single"/>
        </w:rPr>
        <w:t>clauses (B)(1)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w:t>
      </w:r>
      <w:r>
        <w:rPr>
          <w:color w:val="000000"/>
        </w:rPr>
        <w:t xml:space="preserve"> </w:t>
      </w:r>
      <w:r>
        <w:rPr>
          <w:rFonts w:ascii="Times New Roman;sans-serif" w:hAnsi="Times New Roman;sans-serif"/>
          <w:b w:val="false"/>
          <w:color w:val="000000"/>
          <w:sz w:val="22"/>
        </w:rPr>
        <w:t xml:space="preserve">of the first proviso to </w:t>
      </w:r>
      <w:r>
        <w:rPr>
          <w:rFonts w:ascii="Times New Roman;sans-serif" w:hAnsi="Times New Roman;sans-serif"/>
          <w:b w:val="false"/>
          <w:color w:val="000000"/>
          <w:sz w:val="22"/>
          <w:u w:val="single"/>
        </w:rPr>
        <w:t>Section 9.02(b)</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paragraph (c)(ii)</w:t>
      </w:r>
      <w:r>
        <w:rPr>
          <w:color w:val="000000"/>
        </w:rPr>
        <w:t xml:space="preserve"> </w:t>
      </w:r>
      <w:r>
        <w:rPr>
          <w:rFonts w:ascii="Times New Roman;sans-serif" w:hAnsi="Times New Roman;sans-serif"/>
          <w:b w:val="false"/>
          <w:color w:val="000000"/>
          <w:sz w:val="22"/>
        </w:rPr>
        <w:t xml:space="preserve">of this Section, the Company agrees that each Participant shall be entitled to the benefits of </w:t>
      </w:r>
      <w:r>
        <w:rPr>
          <w:rFonts w:ascii="Times New Roman;sans-serif" w:hAnsi="Times New Roman;sans-serif"/>
          <w:b w:val="false"/>
          <w:color w:val="000000"/>
          <w:sz w:val="22"/>
          <w:u w:val="single"/>
        </w:rPr>
        <w:t>Sections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(subject to the limitations and requirements of such Sections and </w:t>
      </w:r>
      <w:r>
        <w:rPr>
          <w:rFonts w:ascii="Times New Roman;sans-serif" w:hAnsi="Times New Roman;sans-serif"/>
          <w:b w:val="false"/>
          <w:color w:val="000000"/>
          <w:sz w:val="22"/>
          <w:u w:val="single"/>
        </w:rPr>
        <w:t>Section 2.19</w:t>
      </w:r>
      <w:r>
        <w:rPr>
          <w:rFonts w:ascii="Times New Roman;sans-serif" w:hAnsi="Times New Roman;sans-serif"/>
          <w:b w:val="false"/>
          <w:color w:val="000000"/>
          <w:sz w:val="22"/>
        </w:rPr>
        <w:t xml:space="preserve">) to the same </w:t>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62890"/>
                <wp:effectExtent l="0" t="0" r="0" b="0"/>
                <wp:wrapNone/>
                <wp:docPr id="180" name="Frame18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extent as if it were a Lender and had acquired its interest by assignment pursuant to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 xml:space="preserve">of this Section (it being understood that the documentation required under </w:t>
      </w:r>
      <w:r>
        <w:rPr>
          <w:rFonts w:ascii="Times New Roman;sans-serif" w:hAnsi="Times New Roman;sans-serif"/>
          <w:b w:val="false"/>
          <w:color w:val="000000"/>
          <w:sz w:val="22"/>
          <w:u w:val="single"/>
        </w:rPr>
        <w:t>Section 2.17(f)</w:t>
      </w:r>
      <w:r>
        <w:rPr>
          <w:color w:val="000000"/>
        </w:rPr>
        <w:t xml:space="preserve"> </w:t>
      </w:r>
      <w:r>
        <w:rPr>
          <w:rFonts w:ascii="Times New Roman;sans-serif" w:hAnsi="Times New Roman;sans-serif"/>
          <w:b w:val="false"/>
          <w:color w:val="000000"/>
          <w:sz w:val="22"/>
        </w:rPr>
        <w:t xml:space="preserve">shall be delivered to the participating Lender, and if additional amounts are required to be paid pursuant to </w:t>
      </w:r>
      <w:r>
        <w:rPr>
          <w:rFonts w:ascii="Times New Roman;sans-serif" w:hAnsi="Times New Roman;sans-serif"/>
          <w:b w:val="false"/>
          <w:color w:val="000000"/>
          <w:sz w:val="22"/>
          <w:u w:val="single"/>
        </w:rPr>
        <w:t>Section 2.17(a)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2.17(c)</w:t>
      </w:r>
      <w:r>
        <w:rPr>
          <w:rFonts w:ascii="Times New Roman;sans-serif" w:hAnsi="Times New Roman;sans-serif"/>
          <w:b w:val="false"/>
          <w:color w:val="000000"/>
          <w:sz w:val="22"/>
        </w:rPr>
        <w:t xml:space="preserve">, to the Company). To the extent permitted by applicable Requirements of Law, each Participant also shall be entitled to the benefits of </w:t>
      </w:r>
      <w:r>
        <w:rPr>
          <w:rFonts w:ascii="Times New Roman;sans-serif" w:hAnsi="Times New Roman;sans-serif"/>
          <w:b w:val="false"/>
          <w:color w:val="000000"/>
          <w:sz w:val="22"/>
          <w:u w:val="single"/>
        </w:rPr>
        <w:t>Section 9.09</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agrees to be subject to </w:t>
      </w:r>
      <w:r>
        <w:rPr>
          <w:rFonts w:ascii="Times New Roman;sans-serif" w:hAnsi="Times New Roman;sans-serif"/>
          <w:b w:val="false"/>
          <w:color w:val="000000"/>
          <w:sz w:val="22"/>
          <w:u w:val="single"/>
        </w:rPr>
        <w:t>Section 2.18(c)</w:t>
      </w:r>
      <w:r>
        <w:rPr>
          <w:color w:val="000000"/>
        </w:rPr>
        <w:t xml:space="preserve"> </w:t>
      </w:r>
      <w:r>
        <w:rPr>
          <w:rFonts w:ascii="Times New Roman;sans-serif" w:hAnsi="Times New Roman;sans-serif"/>
          <w:b w:val="false"/>
          <w:color w:val="000000"/>
          <w:sz w:val="22"/>
        </w:rPr>
        <w:t>as though it were a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(6)No Participant shall be entitled to receive any greater payment under </w:t>
      </w:r>
      <w:r>
        <w:rPr>
          <w:rFonts w:ascii="Times New Roman;sans-serif" w:hAnsi="Times New Roman;sans-serif"/>
          <w:b w:val="false"/>
          <w:color w:val="000000"/>
          <w:sz w:val="22"/>
          <w:u w:val="single"/>
        </w:rPr>
        <w:t>Sections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than the participating Lender would have been entitled to receive with respect to the participation sold to such Participant, unless the sale of the participation to such Participant is made with the Company’s prior written consent (in its sole discretion) expressly acknowledging such Participant may receive a greater benefit. Any Participant that would be a Foreign Lender if it were a Lender shall not be entitled to the benefits of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 xml:space="preserve">unless the Company is notified of the participation sold to such Participant and such Participant agrees, for the benefit of the Company, to comply with </w:t>
      </w:r>
      <w:r>
        <w:rPr>
          <w:rFonts w:ascii="Times New Roman;sans-serif" w:hAnsi="Times New Roman;sans-serif"/>
          <w:b w:val="false"/>
          <w:color w:val="000000"/>
          <w:sz w:val="22"/>
          <w:u w:val="single"/>
        </w:rPr>
        <w:t>Section 2.17(f)</w:t>
      </w:r>
      <w:r>
        <w:rPr>
          <w:color w:val="000000"/>
        </w:rPr>
        <w:t xml:space="preserve"> </w:t>
      </w:r>
      <w:r>
        <w:rPr>
          <w:rFonts w:ascii="Times New Roman;sans-serif" w:hAnsi="Times New Roman;sans-serif"/>
          <w:b w:val="false"/>
          <w:color w:val="000000"/>
          <w:sz w:val="22"/>
        </w:rPr>
        <w:t xml:space="preserve">as though it were a Lender and to deliver the tax forms required to claim an exemption from or reduction of withholding Tax with respect to payments made under any Loan Document and then only to the extent of any amount to which such Lender would be entitled in the absence of any such participation (it being understood that the documentation required under </w:t>
      </w:r>
      <w:r>
        <w:rPr>
          <w:rFonts w:ascii="Times New Roman;sans-serif" w:hAnsi="Times New Roman;sans-serif"/>
          <w:b w:val="false"/>
          <w:color w:val="000000"/>
          <w:sz w:val="22"/>
          <w:u w:val="single"/>
        </w:rPr>
        <w:t>Section 2.17(f)</w:t>
      </w:r>
      <w:r>
        <w:rPr>
          <w:color w:val="000000"/>
        </w:rPr>
        <w:t xml:space="preserve"> </w:t>
      </w:r>
      <w:r>
        <w:rPr>
          <w:rFonts w:ascii="Times New Roman;sans-serif" w:hAnsi="Times New Roman;sans-serif"/>
          <w:b w:val="false"/>
          <w:color w:val="000000"/>
          <w:sz w:val="22"/>
        </w:rPr>
        <w:t xml:space="preserve">shall be delivered to the participating Lender, and if additional amounts are required to be paid pursuant to </w:t>
      </w:r>
      <w:r>
        <w:rPr>
          <w:rFonts w:ascii="Times New Roman;sans-serif" w:hAnsi="Times New Roman;sans-serif"/>
          <w:b w:val="false"/>
          <w:color w:val="000000"/>
          <w:sz w:val="22"/>
          <w:u w:val="single"/>
        </w:rPr>
        <w:t>Section 2.17(a)</w:t>
      </w:r>
      <w:r>
        <w:rPr>
          <w:color w:val="000000"/>
        </w:rPr>
        <w:t xml:space="preserve"> </w:t>
      </w:r>
      <w:r>
        <w:rPr>
          <w:rFonts w:ascii="Times New Roman;sans-serif" w:hAnsi="Times New Roman;sans-serif"/>
          <w:b w:val="false"/>
          <w:color w:val="000000"/>
          <w:sz w:val="22"/>
        </w:rPr>
        <w:t>or Section 2.17(c),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Each Lender that sells a participation shall, acting solely for this purpose as a non-fiduciary agent of the Company, maintain a register on which it enters the name and address of each Participant and their respective successors and assigns, and the principal amounts and stated interest of each Participant’s interest in the Loans or other obligations under the Loan Documents (the “</w:t>
      </w:r>
      <w:r>
        <w:rPr>
          <w:rFonts w:ascii="Times New Roman;sans-serif" w:hAnsi="Times New Roman;sans-serif"/>
          <w:b/>
          <w:color w:val="000000"/>
          <w:sz w:val="22"/>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(including the identity of any Participant or any information relating to any Participant’s interest in any Commitment, Loan or any other obligation under any Loan Document) to any Person except to the extent that such disclosure is necessary to establish that such Commitment, Loan or other obligation is in registered form under Section 5f.103-1(c) of the Treasury Regulations.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(iv)(i) Any Lender may at any time pledge or assign a security interest in all or any portion of its rights under this Agreement (other than to any Disqualified Institution, Defaulting Lender or any natural person) to secure obligations of such Lender, including without limitation any pledge or assignment to secure obligations to any Federal Reserve Bank or other central bank having jurisdiction over such Lender, and this </w:t>
      </w:r>
      <w:r>
        <w:rPr>
          <w:rFonts w:ascii="Times New Roman;sans-serif" w:hAnsi="Times New Roman;sans-serif"/>
          <w:b w:val="false"/>
          <w:color w:val="000000"/>
          <w:sz w:val="22"/>
          <w:u w:val="single"/>
        </w:rPr>
        <w:t>Section 9.05</w:t>
      </w:r>
      <w:r>
        <w:rPr>
          <w:color w:val="000000"/>
        </w:rPr>
        <w:t xml:space="preserve"> </w:t>
      </w:r>
      <w:r>
        <w:rPr>
          <w:rFonts w:ascii="Times New Roman;sans-serif" w:hAnsi="Times New Roman;sans-serif"/>
          <w:b w:val="false"/>
          <w:color w:val="000000"/>
          <w:sz w:val="22"/>
        </w:rPr>
        <w:t xml:space="preserve">shall not apply to any such pledge or assignment of a security interest;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of a security interest shall release any Lender from any of its obligations hereunder or substitute any such pledgee or assignee for such Lender as a party hereto.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(7)No Lender may at any time enter into a total return swap, total rate of return swap, credit default swap or other derivative instrument under which any Loan or other Obligation hereunder is a reference obligation with any counterparty that is a Disqualified Institution.</w:t>
      </w:r>
    </w:p>
    <w:p>
      <w:pPr>
        <w:pStyle w:val="TextBody"/>
        <w:bidi w:val="0"/>
        <w:spacing w:lineRule="auto" w:line="240" w:before="0" w:after="240"/>
        <w:ind w:left="0" w:right="0" w:firstLine="1184"/>
        <w:jc w:val="both"/>
        <w:rPr/>
      </w:pPr>
      <w:r>
        <w:rPr>
          <w:rFonts w:ascii="Times New Roman;sans-serif" w:hAnsi="Times New Roman;sans-serif"/>
          <w:b w:val="false"/>
          <w:color w:val="000000"/>
          <w:sz w:val="22"/>
        </w:rPr>
        <w:t>(v)Notwithstanding anything to the contrary contained herein, any Lender (a “</w:t>
      </w:r>
      <w:r>
        <w:rPr>
          <w:rFonts w:ascii="Times New Roman;sans-serif" w:hAnsi="Times New Roman;sans-serif"/>
          <w:b/>
          <w:color w:val="000000"/>
          <w:sz w:val="22"/>
        </w:rPr>
        <w:t>Granting Lender</w:t>
      </w:r>
      <w:r>
        <w:rPr>
          <w:color w:val="000000"/>
        </w:rPr>
        <w:t>”</w:t>
      </w:r>
      <w:r>
        <w:rPr>
          <w:rFonts w:ascii="Times New Roman;sans-serif" w:hAnsi="Times New Roman;sans-serif"/>
          <w:b w:val="false"/>
          <w:color w:val="000000"/>
          <w:sz w:val="22"/>
        </w:rPr>
        <w:t>) may grant to a special purpose funding vehicle (an “</w:t>
      </w:r>
      <w:r>
        <w:rPr>
          <w:rFonts w:ascii="Times New Roman;sans-serif" w:hAnsi="Times New Roman;sans-serif"/>
          <w:b/>
          <w:color w:val="000000"/>
          <w:sz w:val="22"/>
        </w:rPr>
        <w:t>SPC</w:t>
      </w:r>
      <w:r>
        <w:rPr>
          <w:color w:val="000000"/>
        </w:rPr>
        <w:t>”</w:t>
      </w:r>
      <w:r>
        <w:rPr>
          <w:rFonts w:ascii="Times New Roman;sans-serif" w:hAnsi="Times New Roman;sans-serif"/>
          <w:b w:val="false"/>
          <w:color w:val="000000"/>
          <w:sz w:val="22"/>
        </w:rPr>
        <w:t xml:space="preserve">), identified as such in writing from time to time by the Granting Lender to the Administrative Agent and the Company, the option to provide to the Company all or any part of any Loan that such Granting Lender would otherwise be obligated to make to the Company pursuant to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nothing herein shall constitute a commitment by any SPC to make any Loan, (ii) if an SPC elects not to exercise such option or otherwise fails to provide all or any part of such Loan, the Granting Lender shall be obligated to make such Loan pursuant to the terms hereof and (iii) in no event may any Lender grant any option to provide to the </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62890"/>
                <wp:effectExtent l="0" t="0" r="0" b="0"/>
                <wp:wrapNone/>
                <wp:docPr id="181" name="Frame18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135</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135</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Company all or any part of any Loan that such Granting Lender would have otherwise been obligated to make to the Company pursuant to this Agreement to any Disqualified Institution or Defaulting Lender. The making of any Loan by an SPC hereunder shall utilize the Commitment of the Granting Lender to the same extent, and as if, such Loan were made by such Granting Lender. Each party hereto hereby agrees that (A) neither the grant to any SPC nor the exercise by any SPC of such option shall increase the costs or expenses or otherwise increase or change the obligations of the Company under this Agreement (including its obligations under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rFonts w:ascii="Times New Roman;sans-serif" w:hAnsi="Times New Roman;sans-serif"/>
          <w:b w:val="false"/>
          <w:color w:val="000000"/>
          <w:sz w:val="22"/>
        </w:rPr>
        <w:t xml:space="preserve">) and no SPC shall be entitled to any greater amount under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or any other provision of this Agreement or any other Loan Document that the Granting Lender would have been entitled to receive, unless the grant to such SPC is made with the prior written consent of the Company (in its sole discretion), expressly acknowledging that such SPC’s entitlement to benefits under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is not limited to what the Granting Lender would have been entitled to receive absent the grant to the SPC, (B) no SPC shall be liable for any indemnity or similar payment obligation under this Agreement (all liability for which shall remain with the Granting Lender) and (C)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SPC’s Granting Lender is in compliance in all material respects with its obligations to the Company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any SPC may (i) with notice to, but without the prior written consent of, the Company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(vi)(i) If any assignment or participation under this </w:t>
      </w:r>
      <w:r>
        <w:rPr>
          <w:rFonts w:ascii="Times New Roman;sans-serif" w:hAnsi="Times New Roman;sans-serif"/>
          <w:b w:val="false"/>
          <w:color w:val="000000"/>
          <w:sz w:val="22"/>
          <w:u w:val="single"/>
        </w:rPr>
        <w:t>Section 9.05</w:t>
      </w:r>
      <w:r>
        <w:rPr>
          <w:color w:val="000000"/>
        </w:rPr>
        <w:t xml:space="preserve"> </w:t>
      </w:r>
      <w:r>
        <w:rPr>
          <w:rFonts w:ascii="Times New Roman;sans-serif" w:hAnsi="Times New Roman;sans-serif"/>
          <w:b w:val="false"/>
          <w:color w:val="000000"/>
          <w:sz w:val="22"/>
        </w:rPr>
        <w:t xml:space="preserve">is made (1) to any Affiliate of any Disqualified Institution (other than any Bona Fide Debt Fund that is not itself a Disqualified Institution) or (2) to the extent the Company’s consent is required under this </w:t>
      </w:r>
      <w:r>
        <w:rPr>
          <w:rFonts w:ascii="Times New Roman;sans-serif" w:hAnsi="Times New Roman;sans-serif"/>
          <w:b w:val="false"/>
          <w:color w:val="000000"/>
          <w:sz w:val="22"/>
          <w:u w:val="single"/>
        </w:rPr>
        <w:t>Section 9.05</w:t>
      </w:r>
      <w:r>
        <w:rPr>
          <w:color w:val="000000"/>
        </w:rPr>
        <w:t xml:space="preserve"> </w:t>
      </w:r>
      <w:r>
        <w:rPr>
          <w:rFonts w:ascii="Times New Roman;sans-serif" w:hAnsi="Times New Roman;sans-serif"/>
          <w:b w:val="false"/>
          <w:color w:val="000000"/>
          <w:sz w:val="22"/>
        </w:rPr>
        <w:t xml:space="preserve">(and not deemed to have been given pursuant to </w:t>
      </w:r>
      <w:r>
        <w:rPr>
          <w:rFonts w:ascii="Times New Roman;sans-serif" w:hAnsi="Times New Roman;sans-serif"/>
          <w:b w:val="false"/>
          <w:color w:val="000000"/>
          <w:sz w:val="22"/>
          <w:u w:val="single"/>
        </w:rPr>
        <w:t>Section 9.05(b)(i)(A)</w:t>
      </w:r>
      <w:r>
        <w:rPr>
          <w:rFonts w:ascii="Times New Roman;sans-serif" w:hAnsi="Times New Roman;sans-serif"/>
          <w:b w:val="false"/>
          <w:color w:val="000000"/>
          <w:sz w:val="22"/>
        </w:rPr>
        <w:t xml:space="preserve">), to any other Person, in each case of </w:t>
      </w:r>
      <w:r>
        <w:rPr>
          <w:rFonts w:ascii="Times New Roman;sans-serif" w:hAnsi="Times New Roman;sans-serif"/>
          <w:b w:val="false"/>
          <w:color w:val="000000"/>
          <w:sz w:val="22"/>
          <w:u w:val="single"/>
        </w:rPr>
        <w:t>clauses (1)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w:t>
      </w:r>
      <w:r>
        <w:rPr>
          <w:color w:val="000000"/>
        </w:rPr>
        <w:t> </w:t>
      </w:r>
      <w:r>
        <w:rPr>
          <w:rFonts w:ascii="Times New Roman;sans-serif" w:hAnsi="Times New Roman;sans-serif"/>
          <w:b w:val="false"/>
          <w:color w:val="000000"/>
          <w:sz w:val="22"/>
        </w:rPr>
        <w:t>without the Company’s prior written consent (any such person, a “</w:t>
      </w:r>
      <w:r>
        <w:rPr>
          <w:rFonts w:ascii="Times New Roman;sans-serif" w:hAnsi="Times New Roman;sans-serif"/>
          <w:b/>
          <w:color w:val="000000"/>
          <w:sz w:val="22"/>
        </w:rPr>
        <w:t>Disqualified Person</w:t>
      </w:r>
      <w:r>
        <w:rPr>
          <w:color w:val="000000"/>
        </w:rPr>
        <w:t>”</w:t>
      </w:r>
      <w:r>
        <w:rPr>
          <w:rFonts w:ascii="Times New Roman;sans-serif" w:hAnsi="Times New Roman;sans-serif"/>
          <w:b w:val="false"/>
          <w:color w:val="000000"/>
          <w:sz w:val="22"/>
        </w:rPr>
        <w:t xml:space="preserve">), then the Company may, at its sole expense and effort, upon notice to the applicable Disqualified Person and the Administrative Agent, (A) terminate any Commitment of such Disqualified Person and repay all obligations of the Company owing to such Disqualified Person, (B) in the case of any outstanding Term Loans held by such Disqualified Person, purchase such Term Loans by paying the lesser of (x) par and (y) the amount that such Disqualified Person paid to acquire such Term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accrued interest thereon, accrued fees and all other amounts payable to it hereunder and/or (C) require such Disqualified Person to assign, without recourse (in accordance with and subject to the restrictions contained in this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xml:space="preserve">), all of its interests, rights and obligations under this Agreement to one or more Eligible Assignees and if such person does not execute and deliver to the Administrative Agent a duly executed Assignment Agreement reflecting such assignment within five Business Days of the date on which the Eligible Assignee executes and delivers such Assignment Agreement to such person, then such person shall be deemed to have executed and delivered such Assignment Agreement without any action on its part;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in the case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the Company shall not be liable to the relevant Disqualified Person under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if any </w:t>
      </w:r>
      <w:r>
        <w:rPr>
          <w:rFonts w:ascii="Times New Roman;sans-serif" w:hAnsi="Times New Roman;sans-serif"/>
          <w:b w:val="false"/>
          <w:strike/>
          <w:color w:val="FF0000"/>
          <w:sz w:val="22"/>
        </w:rPr>
        <w:t>LIBO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Loan owing to such Disqualified Person is repaid or purchased other than on the last day of the Interest Period relating thereto, (II) in the case of </w:t>
      </w:r>
      <w:r>
        <w:rPr>
          <w:rFonts w:ascii="Times New Roman;sans-serif" w:hAnsi="Times New Roman;sans-serif"/>
          <w:b w:val="false"/>
          <w:color w:val="000000"/>
          <w:sz w:val="22"/>
          <w:u w:val="single"/>
        </w:rPr>
        <w:t>clause (C)</w:t>
      </w:r>
      <w:r>
        <w:rPr>
          <w:rFonts w:ascii="Times New Roman;sans-serif" w:hAnsi="Times New Roman;sans-serif"/>
          <w:b w:val="false"/>
          <w:color w:val="000000"/>
          <w:sz w:val="22"/>
        </w:rPr>
        <w:t xml:space="preserve">, the relevant assignment shall otherwise comply with this </w:t>
      </w:r>
      <w:r>
        <w:rPr>
          <w:rFonts w:ascii="Times New Roman;sans-serif" w:hAnsi="Times New Roman;sans-serif"/>
          <w:b w:val="false"/>
          <w:color w:val="000000"/>
          <w:sz w:val="22"/>
          <w:u w:val="single"/>
        </w:rPr>
        <w:t>Section 9.05</w:t>
      </w:r>
      <w:r>
        <w:rPr>
          <w:color w:val="000000"/>
        </w:rPr>
        <w:t xml:space="preserve"> </w:t>
      </w:r>
      <w:r>
        <w:rPr>
          <w:rFonts w:ascii="Times New Roman;sans-serif" w:hAnsi="Times New Roman;sans-serif"/>
          <w:b w:val="false"/>
          <w:color w:val="000000"/>
          <w:sz w:val="22"/>
        </w:rPr>
        <w:t xml:space="preserve">(except that no registration and processing fee required under this </w:t>
      </w:r>
      <w:r>
        <w:rPr>
          <w:rFonts w:ascii="Times New Roman;sans-serif" w:hAnsi="Times New Roman;sans-serif"/>
          <w:b w:val="false"/>
          <w:color w:val="000000"/>
          <w:sz w:val="22"/>
          <w:u w:val="single"/>
        </w:rPr>
        <w:t>Section 9.05</w:t>
      </w:r>
      <w:r>
        <w:rPr>
          <w:color w:val="000000"/>
        </w:rPr>
        <w:t xml:space="preserve"> </w:t>
      </w:r>
      <w:r>
        <w:rPr>
          <w:rFonts w:ascii="Times New Roman;sans-serif" w:hAnsi="Times New Roman;sans-serif"/>
          <w:b w:val="false"/>
          <w:color w:val="000000"/>
          <w:sz w:val="22"/>
        </w:rPr>
        <w:t xml:space="preserve">shall be required with any assignment pursuant to this paragraph) and (III) in no event shall such Disqualified Person be entitled to receive amounts set forth in </w:t>
      </w:r>
      <w:r>
        <w:rPr>
          <w:rFonts w:ascii="Times New Roman;sans-serif" w:hAnsi="Times New Roman;sans-serif"/>
          <w:b w:val="false"/>
          <w:color w:val="000000"/>
          <w:sz w:val="22"/>
          <w:u w:val="single"/>
        </w:rPr>
        <w:t>Section 2.13(d)</w:t>
      </w:r>
      <w:r>
        <w:rPr>
          <w:rFonts w:ascii="Times New Roman;sans-serif" w:hAnsi="Times New Roman;sans-serif"/>
          <w:b w:val="false"/>
          <w:color w:val="000000"/>
          <w:sz w:val="22"/>
        </w:rPr>
        <w:t xml:space="preserve">. Further, any Disqualified Person identified by the Company to the Administrative Agent (A) shall not be permitted to (x) receive information or reporting provided by any Loan Party, the Administrative Agent or any Lender and/or (y) attend and/or participate in conference calls or meetings attended solely by the Lenders and the Administrative Agent, (B) (x) shall not for </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62890"/>
                <wp:effectExtent l="0" t="0" r="0" b="0"/>
                <wp:wrapNone/>
                <wp:docPr id="182" name="Frame182"/>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136</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136</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have a right to consent (or not consent), otherwise act or direct or require the Administrative Agent or any Lender to take (or refrain from taking) any such action; it being understood that all Loans held by any Disqualified Person shall be deemed to be not outstanding for all purposes of calculating whether the Required Lenders, majority Lenders under any Class or all Lenders have taken any action and (y) shall be deemed to vote in the same proportion as Lenders that are not Disqualified Persons in any proceeding under any Debtor Relief Law commenced by or against the Company or any other Loan Party and (C) shall not be entitled to receive the benefits of </w:t>
      </w:r>
      <w:r>
        <w:rPr>
          <w:rFonts w:ascii="Times New Roman;sans-serif" w:hAnsi="Times New Roman;sans-serif"/>
          <w:b w:val="false"/>
          <w:color w:val="000000"/>
          <w:sz w:val="22"/>
          <w:u w:val="single"/>
        </w:rPr>
        <w:t>Section 9.03</w:t>
      </w:r>
      <w:r>
        <w:rPr>
          <w:rFonts w:ascii="Times New Roman;sans-serif" w:hAnsi="Times New Roman;sans-serif"/>
          <w:b w:val="false"/>
          <w:color w:val="000000"/>
          <w:sz w:val="22"/>
        </w:rPr>
        <w:t xml:space="preserve">. For the sake of clarity, the provisions in this </w:t>
      </w:r>
      <w:r>
        <w:rPr>
          <w:rFonts w:ascii="Times New Roman;sans-serif" w:hAnsi="Times New Roman;sans-serif"/>
          <w:b w:val="false"/>
          <w:color w:val="000000"/>
          <w:sz w:val="22"/>
          <w:u w:val="single"/>
        </w:rPr>
        <w:t>Section 9.05(f)</w:t>
      </w:r>
      <w:r>
        <w:rPr>
          <w:color w:val="000000"/>
        </w:rPr>
        <w:t xml:space="preserve"> </w:t>
      </w:r>
      <w:r>
        <w:rPr>
          <w:rFonts w:ascii="Times New Roman;sans-serif" w:hAnsi="Times New Roman;sans-serif"/>
          <w:b w:val="false"/>
          <w:color w:val="000000"/>
          <w:sz w:val="22"/>
        </w:rPr>
        <w:t>shall not apply to any Person that is an assignee of any Disqualified Person, if such assignee is not a Disqualified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(8)Upon the request of any Lender, the Administrative Agent may and the Company will make the list of Disqualified Institutions (other than any Disqualified Institution that is a reasonably identifiable Affiliate of another Disqualified Institution on the basis of such Person’s name as described in </w:t>
      </w:r>
      <w:r>
        <w:rPr>
          <w:rFonts w:ascii="Times New Roman;sans-serif" w:hAnsi="Times New Roman;sans-serif"/>
          <w:b w:val="false"/>
          <w:color w:val="000000"/>
          <w:sz w:val="22"/>
          <w:u w:val="single"/>
        </w:rPr>
        <w:t>clause (a)(i)</w:t>
      </w:r>
      <w:r>
        <w:rPr>
          <w:color w:val="000000"/>
        </w:rPr>
        <w:t xml:space="preserve"> </w:t>
      </w:r>
      <w:r>
        <w:rPr>
          <w:rFonts w:ascii="Times New Roman;sans-serif" w:hAnsi="Times New Roman;sans-serif"/>
          <w:b w:val="false"/>
          <w:color w:val="000000"/>
          <w:sz w:val="22"/>
        </w:rPr>
        <w:t>of the definition of “Disqualified Institution”) at the relevant time and such Lender may provide the list to any potential assignee for the purpose of verifying whether such Person is a Disqualified Institution, in each case so long as such Lender and such potential assignee agree to keep the list of Disqualified Institutions confidential in accordance with the terms hereof;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(9)Notwithstanding anything herein to the contrary, the Administrative Agent shall not be responsible or have any liability for, or have any duty to ascertain, inquire into, monitor or enforce, compliance with the provisions hereof relating to Disqualified Institutions.</w:t>
      </w:r>
    </w:p>
    <w:p>
      <w:pPr>
        <w:pStyle w:val="TextBody"/>
        <w:bidi w:val="0"/>
        <w:spacing w:lineRule="auto" w:line="240" w:before="0" w:after="240"/>
        <w:ind w:left="0" w:right="0" w:firstLine="1062"/>
        <w:jc w:val="both"/>
        <w:rPr/>
      </w:pPr>
      <w:r>
        <w:rPr>
          <w:rFonts w:ascii="Times New Roman;sans-serif" w:hAnsi="Times New Roman;sans-serif"/>
          <w:b w:val="false"/>
          <w:color w:val="000000"/>
          <w:sz w:val="22"/>
        </w:rPr>
        <w:t xml:space="preserve">(vii)Notwithstanding anything to the contrary contained herein, any Lender may, at any time, assign all or a portion of its rights and obligations under this Agreement in respect of its Term Loans to an Affiliated Lender on a non-pro rata basis (A) through Dutch Auctions, or similar transactions pursuant to procedures to be established by the applicable “auction agent” that are consistent with this </w:t>
      </w:r>
      <w:r>
        <w:rPr>
          <w:rFonts w:ascii="Times New Roman;sans-serif" w:hAnsi="Times New Roman;sans-serif"/>
          <w:b w:val="false"/>
          <w:color w:val="000000"/>
          <w:sz w:val="22"/>
          <w:u w:val="single"/>
        </w:rPr>
        <w:t>Section 9.05(g)</w:t>
      </w:r>
      <w:r>
        <w:rPr>
          <w:rFonts w:ascii="Times New Roman;sans-serif" w:hAnsi="Times New Roman;sans-serif"/>
          <w:b w:val="false"/>
          <w:color w:val="000000"/>
          <w:sz w:val="22"/>
        </w:rPr>
        <w:t xml:space="preserve">, in each case open to all Lenders holding the relevant Term Loans on a pro rata basis or (B) through open market purchases (which purchases may be effected at any price as agreed between such Lender and such Affiliated Lender in their respective sole discretion), in each case with respect to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without the consent of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(1)any Term Loans acquired by the Company or any Restricted Subsidiary shall, to the extent permitted by applicable Requirements of Law, be retired and cancelled immediately upon the acquisition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any such retirement and cancellation, the aggregate outstanding principal amount of the Term Loans shall be deemed reduced by the full par value of the aggregate principal amount of the Term Loans so retired and cancelled, with no reduction to the scheduled installments of principal due in respect of the Initial Term Loans prior to the Initial Term Loan Maturity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(3)the relevant Affiliated Lender and assigning Lender shall have executed an Affiliated Lender Assignment and Assumption;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(5)in connection with any assignment effected pursuant to a Dutch Auction and/or open market purchase conducted by the Company or any of its Subsidiaries,  no Event of Default exists at the time of acceptance of bids for the Dutch Auction or the confirmation of such open market purchase, as applicable;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(6)[reserved]:</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62890"/>
                <wp:effectExtent l="0" t="0" r="0" b="0"/>
                <wp:wrapNone/>
                <wp:docPr id="183" name="Frame183"/>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137</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137</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(7)neither the Company nor any Affiliated Lender shall be required to represent or warrant that it is not in possession of material non-public information with respect to the Company and/or any subsidiary thereof and/or their respective securities in connection with any assignment permitted by this </w:t>
      </w:r>
      <w:r>
        <w:rPr>
          <w:rFonts w:ascii="Times New Roman;sans-serif" w:hAnsi="Times New Roman;sans-serif"/>
          <w:b w:val="false"/>
          <w:color w:val="000000"/>
          <w:sz w:val="22"/>
          <w:u w:val="single"/>
        </w:rPr>
        <w:t>Section 9.05(g)</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val="false"/>
          <w:color w:val="000000"/>
          <w:sz w:val="22"/>
        </w:rPr>
        <w:t>Section 1.0f.</w:t>
      </w:r>
      <w:r>
        <w:rPr>
          <w:rFonts w:ascii="Times New Roman;sans-serif" w:hAnsi="Times New Roman;sans-serif"/>
          <w:b w:val="false"/>
          <w:color w:val="000000"/>
          <w:sz w:val="22"/>
        </w:rPr>
        <w:t xml:space="preserve">Survival.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Times New Roman;sans-serif" w:hAnsi="Times New Roman;sans-serif"/>
          <w:b w:val="false"/>
          <w:color w:val="000000"/>
          <w:sz w:val="22"/>
          <w:u w:val="single"/>
        </w:rPr>
        <w:t>Sections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9.03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9.13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8</w:t>
      </w:r>
      <w:r>
        <w:rPr>
          <w:color w:val="000000"/>
        </w:rPr>
        <w:t xml:space="preserve"> </w:t>
      </w:r>
      <w:r>
        <w:rPr>
          <w:rFonts w:ascii="Times New Roman;sans-serif" w:hAnsi="Times New Roman;sans-serif"/>
          <w:b w:val="false"/>
          <w:color w:val="000000"/>
          <w:sz w:val="22"/>
        </w:rPr>
        <w:t>shall survive and remain in full force and effect regardless of the consummation of the transactions contemplated hereby, the repayment of the Loans, the occurrence of the Termination Date or the termination of this Agreement or any provision hereof but in each case, subject to the limitations set forth in this Agreement.</w:t>
      </w:r>
    </w:p>
    <w:p>
      <w:pPr>
        <w:pStyle w:val="TextBody"/>
        <w:bidi w:val="0"/>
        <w:spacing w:lineRule="auto" w:line="240" w:before="0" w:after="240"/>
        <w:jc w:val="both"/>
        <w:rPr/>
      </w:pPr>
      <w:r>
        <w:rPr>
          <w:rFonts w:ascii="Times New Roman;sans-serif" w:hAnsi="Times New Roman;sans-serif"/>
          <w:b w:val="false"/>
          <w:color w:val="000000"/>
          <w:sz w:val="22"/>
        </w:rPr>
        <w:t>Section 1.0g.</w:t>
      </w:r>
      <w:r>
        <w:rPr>
          <w:rFonts w:ascii="Times New Roman;sans-serif" w:hAnsi="Times New Roman;sans-serif"/>
          <w:b w:val="false"/>
          <w:color w:val="000000"/>
          <w:sz w:val="22"/>
        </w:rPr>
        <w:t xml:space="preserve">Counterparts; Integration; Effectiveness. This Agreement may be executed in counterparts, each of which when so executed shall be deemed to be an original and all of which when taken together shall constitute one and the same instrument. Any signature to this Agreement, any other Loan Document and/or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Each of the parties represents and warrants to the other parties that it has the corporate capacity and authority to execute this Agreement and such other documents described in the foregoing sentence through electronic means and there are no restrictions for doing so in that party’s constitutive documents. This Agreement, the other Loan Documents and the Fee Letter constitute the entire agreement among the parties relating to the subject matter hereof and supersede any and all previous agreements and understandings, oral or written, relating to the subject matter hereof. This Agreement shall become effective when it has been executed by the Company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w:t>
      </w:r>
    </w:p>
    <w:p>
      <w:pPr>
        <w:pStyle w:val="TextBody"/>
        <w:bidi w:val="0"/>
        <w:spacing w:lineRule="auto" w:line="240" w:before="0" w:after="240"/>
        <w:jc w:val="both"/>
        <w:rPr/>
      </w:pPr>
      <w:r>
        <w:rPr>
          <w:rFonts w:ascii="Times New Roman;sans-serif" w:hAnsi="Times New Roman;sans-serif"/>
          <w:b w:val="false"/>
          <w:color w:val="000000"/>
          <w:sz w:val="22"/>
        </w:rPr>
        <w:t>Section 1.0h.</w:t>
      </w:r>
      <w:r>
        <w:rPr>
          <w:rFonts w:ascii="Times New Roman;sans-serif" w:hAnsi="Times New Roman;sans-serif"/>
          <w:b w:val="false"/>
          <w:color w:val="000000"/>
          <w:sz w:val="22"/>
        </w:rPr>
        <w:t>Severability.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40" w:before="0" w:after="240"/>
        <w:jc w:val="both"/>
        <w:rPr/>
      </w:pPr>
      <w:r>
        <w:rPr>
          <w:rFonts w:ascii="Times New Roman;sans-serif" w:hAnsi="Times New Roman;sans-serif"/>
          <w:b w:val="false"/>
          <w:color w:val="000000"/>
          <w:sz w:val="22"/>
        </w:rPr>
        <w:t>Section 1.0i.</w:t>
      </w:r>
      <w:r>
        <w:rPr>
          <w:rFonts w:ascii="Times New Roman;sans-serif" w:hAnsi="Times New Roman;sans-serif"/>
          <w:b w:val="false"/>
          <w:color w:val="000000"/>
          <w:sz w:val="22"/>
        </w:rPr>
        <w:t xml:space="preserve">Right of Setoff. At any time when an Event of Default exists and the Administrative Agent has commenced an exercise of secured creditor remedies pursuant to Section 7.01 or otherwise with the consent of the Administrative Agent, upon the written consent of the Administrative Agent, the Administrative Agent, each Lender and each of their respective Affiliates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Lender or any of their respective Affiliates to or for the credit or the account of the Company or any other Loan Party against any of and all the Secured Obligations then due and owing held by such Lender, irrespective of whether or not the Administrative Agent or such Lender shall have made any demand under the Loan Documents and although such obligations may be owing to a branch or office of such Lender different than the branch or office holding such deposit or obligation on such Indebtedness. Any applicable Lender shall promptly notify the Company and the Administrative Agent of such set-off or application; </w:t>
      </w:r>
      <w:r>
        <w:rPr>
          <w:rFonts w:ascii="Times New Roman;sans-serif" w:hAnsi="Times New Roman;sans-serif"/>
          <w:b w:val="false"/>
          <w:color w:val="000000"/>
          <w:sz w:val="22"/>
          <w:u w:val="single"/>
        </w:rPr>
        <w:t>provided</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62890"/>
                <wp:effectExtent l="0" t="0" r="0" b="0"/>
                <wp:wrapNone/>
                <wp:docPr id="184" name="Frame184"/>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138</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138</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that any failure to give or any delay in giving such notice shall not affect the validity of any such set-off or application under this Section. The rights of each Lender and the Administrative Agent under this Section are in addition to other rights and remedies (including other rights of setoff) which such Lender or the Administrative Agent may have.</w:t>
      </w:r>
    </w:p>
    <w:p>
      <w:pPr>
        <w:pStyle w:val="TextBody"/>
        <w:bidi w:val="0"/>
        <w:spacing w:lineRule="auto" w:line="240" w:before="0" w:after="2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Governing Law; Jurisdiction; Consent to Service of Process. </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 GOVERNED BY, AND CONSTRUED AND INTERPRETED IN ACCORDANCE WITH, THE LAWS OF THE STATE OF NEW YORK.</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ANY RIGHTS UNDER ANY COLLATERAL DOCUMENT.</w:t>
      </w:r>
    </w:p>
    <w:p>
      <w:pPr>
        <w:pStyle w:val="TextBody"/>
        <w:bidi w:val="0"/>
        <w:spacing w:lineRule="auto" w:line="240" w:before="0" w:after="240"/>
        <w:ind w:left="0" w:right="0" w:firstLine="1111"/>
        <w:jc w:val="both"/>
        <w:rPr/>
      </w:pPr>
      <w:r>
        <w:rPr>
          <w:rFonts w:ascii="Times New Roman;sans-serif" w:hAnsi="Times New Roman;sans-serif"/>
          <w:b w:val="false"/>
          <w:color w:val="000000"/>
          <w:sz w:val="22"/>
        </w:rPr>
        <w:t xml:space="preserve">(iii)EACH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OF THIS SECTION. EACH PARTY HERETO HEREBY IRREVOCABLY WAIVES, TO THE FULLEST EXTENT PERMITTED BY APPLICABLE REQUIREMENTS OF LAW, ANY CLAIM OR DEFENSE OF AN INCONVENIENT FORUM TO THE MAINTENANCE OF SUCH ACTION, SUIT OR PROCEEDING IN ANY SUCH COURT.</w:t>
      </w:r>
    </w:p>
    <w:p>
      <w:pPr>
        <w:pStyle w:val="TextBody"/>
        <w:bidi w:val="0"/>
        <w:spacing w:lineRule="auto" w:line="240" w:before="0" w:after="240"/>
        <w:ind w:left="0" w:right="0" w:firstLine="1123"/>
        <w:jc w:val="both"/>
        <w:rPr/>
      </w:pPr>
      <w:r>
        <w:rPr>
          <w:rFonts w:ascii="Times New Roman;sans-serif" w:hAnsi="Times New Roman;sans-serif"/>
          <w:b w:val="false"/>
          <w:color w:val="000000"/>
          <w:sz w:val="22"/>
        </w:rPr>
        <w:t xml:space="preserve">(iv)TO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sans-serif" w:hAnsi="Times New Roman;sans-serif"/>
          <w:b w:val="false"/>
          <w:color w:val="000000"/>
          <w:sz w:val="22"/>
          <w:u w:val="single"/>
        </w:rPr>
        <w:t>SECTION 9.01</w:t>
      </w:r>
      <w:r>
        <w:rPr>
          <w:rFonts w:ascii="Times New Roman;sans-serif" w:hAnsi="Times New Roman;sans-serif"/>
          <w:b w:val="false"/>
          <w:color w:val="000000"/>
          <w:sz w:val="22"/>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62890"/>
                <wp:effectExtent l="0" t="0" r="0" b="0"/>
                <wp:wrapNone/>
                <wp:docPr id="185" name="Frame185"/>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139</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139</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Waiver of Jury Trial.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40" w:before="0" w:after="2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Headings.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40" w:before="0" w:after="2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Confidentiality. Each of the Administrative Agent, each Lender and each Arranger agrees (and each Lender agrees to cause its SPC, if any) to maintain the confidentiality of the Confidential Information (as defined below), except that Confidential Information may be disclosed (a) to its and its Affiliates’ directors, officers, managers, employees, independent auditors, or other experts and advisors, including accountants, legal counsel and other advisors (collectively, the “</w:t>
      </w:r>
      <w:r>
        <w:rPr>
          <w:rFonts w:ascii="Times New Roman;sans-serif" w:hAnsi="Times New Roman;sans-serif"/>
          <w:b/>
          <w:color w:val="000000"/>
          <w:sz w:val="22"/>
        </w:rPr>
        <w:t>Representatives</w:t>
      </w:r>
      <w:r>
        <w:rPr>
          <w:color w:val="000000"/>
        </w:rPr>
        <w:t>”</w:t>
      </w:r>
      <w:r>
        <w:rPr>
          <w:rFonts w:ascii="Times New Roman;sans-serif" w:hAnsi="Times New Roman;sans-serif"/>
          <w:b w:val="false"/>
          <w:color w:val="000000"/>
          <w:sz w:val="22"/>
        </w:rPr>
        <w:t xml:space="preserve">) on a confidential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Person shall be responsible for its Affiliates’ and their Representatives’ compliance with this paragraph;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unless the Company otherwise consents, no such disclosure shall be made by the Administrative Agent, any Arranger, any Lender or any Affiliate or Representative thereof to any Affiliate or Representative of the Administrative Agent, any Arranger or any Lender that is a Disqualified Institution, (b) upon the demand or request of any regulatory, self-regulatory or governmental authority having jurisdiction over such Person or its Affiliates (in which case such Person shall, except with respect to any audit or examination conducted by bank accountants or any Governmental Authority or regulatory authority exercising examination or regulatory authority, to the extent practicable and permitted by applicable Requirements of Law, (i)  inform the Company promptly in advance thereof and (ii) ensure that any information so disclosed is accorded confidential treatment), (c) to the extent compelled by legal process in, or reasonably necessary to, the defense of such legal, judicial or administrative proceeding, in any legal, judicial or administrative proceeding or otherwise as required by applicable Requirements of Law (in which case such Person shall, to the extent practicable and permitted by law, (i) inform the Company promptly in advance thereof, (ii) ensure that any such information so disclosed is accorded confidential treatment and (iii) allow the Company a reasonable opportunity to object to such disclosure in such proceeding), (d) to any other party to this Agreement, (e) subject to an acknowledgment and agreement by the relevant recipient that the Confidential Information is being disseminated on a confidential basis (on substantially the terms set forth in this paragraph or as otherwise reasonably acceptable to the Company and the Administrative Agent, including as set forth in the Lender Presentation)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(ii) any pledgee referred to in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xml:space="preserve">, (iii) any actual or prospective direct or indirect contractual counterparty (or its advisors, but not any Disqualified Institution) to any Derivative Transaction (including any credit default swap) or similar derivative product under which payments are to be made by reference to the Company and its Obligations and (iv) subject to the Company’s prior approval of the information to be disclosed (not to be unreasonably withheld or delayed), to (A) Moody’s or S&amp;P on a confidential basis in connection with obtaining or maintaining ratings as required under </w:t>
      </w:r>
      <w:r>
        <w:rPr>
          <w:rFonts w:ascii="Times New Roman;sans-serif" w:hAnsi="Times New Roman;sans-serif"/>
          <w:b/>
          <w:color w:val="000000"/>
          <w:sz w:val="22"/>
          <w:u w:val="single"/>
        </w:rPr>
        <w:t>Section 5.11</w:t>
      </w:r>
      <w:r>
        <w:rPr>
          <w:color w:val="000000"/>
        </w:rPr>
        <w:t xml:space="preserve"> </w:t>
      </w:r>
      <w:r>
        <w:rPr>
          <w:rFonts w:ascii="Times New Roman;sans-serif" w:hAnsi="Times New Roman;sans-serif"/>
          <w:b w:val="false"/>
          <w:color w:val="000000"/>
          <w:sz w:val="22"/>
        </w:rPr>
        <w:t xml:space="preserve">and (B) the CUSIP Service Bureau or any similar agency in connection with the issuance and monitoring of CUSIP numbers with respect to the credit facilities provided for herein,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with the prior written consent </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62890"/>
                <wp:effectExtent l="0" t="0" r="0" b="0"/>
                <wp:wrapNone/>
                <wp:docPr id="186" name="Frame186"/>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140</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140</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of the Company, (g) in the case of information with respect to this Agreement that is of the type routinely provided by arrangers to such providers, to data service providers, including league table providers, that serve the lending industry and (h) to the extent the Confidential Information becomes publicly available other than as a result of a breach of this Section by such Person, its Affiliates or their respective Representatives. For purposes of this Section, “</w:t>
      </w:r>
      <w:r>
        <w:rPr>
          <w:rFonts w:ascii="Times New Roman;sans-serif" w:hAnsi="Times New Roman;sans-serif"/>
          <w:b/>
          <w:color w:val="000000"/>
          <w:sz w:val="22"/>
        </w:rPr>
        <w:t>Confidential Information</w:t>
      </w:r>
      <w:r>
        <w:rPr>
          <w:color w:val="000000"/>
        </w:rPr>
        <w:t xml:space="preserve">” </w:t>
      </w:r>
      <w:r>
        <w:rPr>
          <w:rFonts w:ascii="Times New Roman;sans-serif" w:hAnsi="Times New Roman;sans-serif"/>
          <w:b w:val="false"/>
          <w:color w:val="000000"/>
          <w:sz w:val="22"/>
        </w:rPr>
        <w:t>means all information relating to the Company and/or any of its Subsidiaries and their respective businesses or the Transactions (including any information obtained by the Administrative Agent, any Lender or any Arranger, or any of their respective Affiliates or Representatives, based on a review of any books and records relating to the Company and/or any of its subsidiaries and their respective Affiliates from time to time, including prior to the date hereof) other than any such information that is publicly available to the Administrative Agent or any Arranger or Lender on a non-confidential basis prior to disclosure by the Company or any of its subsidiaries. For the avoidance of doubt, in no event shall any disclosure of any Confidential Information be made to Person that is a Disqualified Institution at the time of disclosure. Any Person required to maintain the confidentiality of Confidential Information as provided in this Section shall be considered to have complied with its obligation to do so if such Person has exercised the same degree of care to maintain the confidentiality of such Confidential Information as such Person would accord to its own confidential information.</w:t>
      </w:r>
    </w:p>
    <w:p>
      <w:pPr>
        <w:pStyle w:val="TextBody"/>
        <w:bidi w:val="0"/>
        <w:spacing w:lineRule="auto" w:line="240" w:before="0" w:after="2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No Fiduciary Duty. Each of the Administrative Agent, the Arrangers, each Lender and their respective Affiliates (collectively, solely for purposes of this paragraph, the “</w:t>
      </w:r>
      <w:r>
        <w:rPr>
          <w:rFonts w:ascii="Times New Roman;sans-serif" w:hAnsi="Times New Roman;sans-serif"/>
          <w:b/>
          <w:color w:val="000000"/>
          <w:sz w:val="22"/>
        </w:rPr>
        <w:t>Lenders</w:t>
      </w:r>
      <w:r>
        <w:rPr>
          <w:color w:val="000000"/>
        </w:rPr>
        <w:t>”</w:t>
      </w:r>
      <w:r>
        <w:rPr>
          <w:rFonts w:ascii="Times New Roman;sans-serif" w:hAnsi="Times New Roman;sans-serif"/>
          <w:b w:val="false"/>
          <w:color w:val="000000"/>
          <w:sz w:val="22"/>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on the one hand, and such Loan Party, its respective stockholders or its respective affiliates, on the other. Each Loan Party acknowledges and agrees that: (a) the transactions contemplated by the Loan Documents (including the exercise of rights and remedies hereunder and thereunder) are arm’s-length commercial transactions between the Lenders, on the one hand, and the Loan Parties, on the other, and (b) in connection therewith and with the process leading thereto, (x) no Lender,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 (y) 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pStyle w:val="TextBody"/>
        <w:bidi w:val="0"/>
        <w:spacing w:lineRule="auto" w:line="240" w:before="0" w:after="2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Several Obligations. The respective obligations of the Lenders hereunder are several and not joint and the failure of any Lender to make any Loan or perform any of its obligations hereunder shall not relieve any other Lender from any of its obligations hereunder.</w:t>
      </w:r>
    </w:p>
    <w:p>
      <w:pPr>
        <w:pStyle w:val="TextBody"/>
        <w:bidi w:val="0"/>
        <w:spacing w:lineRule="auto" w:line="240" w:before="0" w:after="2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USA PATRIOT Act. Each Lender that is subject to the requirements of the USA PATRIOT Act hereby notifies the Loan Parties that, pursuant to the requirements of the USA PATRIOT Act and the Beneficial Ownership Regulation, it is required to obtain, verify and record information that identifies each Loan Party, which information includes the name and address of such Loan Party and other information that will allow such Lender to identify such Loan Party in accordance with the USA PATRIOT Act.</w:t>
      </w:r>
    </w:p>
    <w:p>
      <w:pPr>
        <w:pStyle w:val="TextBody"/>
        <w:bidi w:val="0"/>
        <w:spacing w:lineRule="auto" w:line="240" w:before="0" w:after="24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Disclosure.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pStyle w:val="TextBody"/>
        <w:bidi w:val="0"/>
        <w:spacing w:lineRule="auto" w:line="240" w:before="0" w:after="24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rPr>
        <w:t xml:space="preserve">Appointment for Perfection. Each Lender hereby appoints each other Lender as its agent for the purpose of perfecting Liens for the benefit of the Administrative Agent and the Lenders, in assets which, in accordance with </w:t>
      </w:r>
      <w:r>
        <w:rPr>
          <w:rFonts w:ascii="Times New Roman;sans-serif" w:hAnsi="Times New Roman;sans-serif"/>
          <w:b w:val="false"/>
          <w:color w:val="000000"/>
          <w:sz w:val="22"/>
          <w:u w:val="single"/>
        </w:rPr>
        <w:t>Article 9</w:t>
      </w:r>
      <w:r>
        <w:rPr>
          <w:color w:val="000000"/>
        </w:rPr>
        <w:t xml:space="preserve"> </w:t>
      </w:r>
      <w:r>
        <w:rPr>
          <w:rFonts w:ascii="Times New Roman;sans-serif" w:hAnsi="Times New Roman;sans-serif"/>
          <w:b w:val="false"/>
          <w:color w:val="000000"/>
          <w:sz w:val="22"/>
        </w:rPr>
        <w:t xml:space="preserve">of the UCC or any other applicable Requirements of Law can be perfected only by possession. If any Lender (other than the Administrative Agent) obtains possession of any </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62890"/>
                <wp:effectExtent l="0" t="0" r="0" b="0"/>
                <wp:wrapNone/>
                <wp:docPr id="187" name="Frame187"/>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141</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141</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lineRule="auto" w:line="240" w:before="0" w:after="240"/>
        <w:jc w:val="both"/>
        <w:rPr/>
      </w:pPr>
      <w:r>
        <w:rPr>
          <w:rFonts w:ascii="Times New Roman;sans-serif" w:hAnsi="Times New Roman;sans-serif"/>
          <w:b w:val="false"/>
          <w:color w:val="000000"/>
          <w:sz w:val="22"/>
        </w:rPr>
        <w:t>s.</w:t>
      </w:r>
      <w:r>
        <w:rPr>
          <w:rFonts w:ascii="Times New Roman;sans-serif" w:hAnsi="Times New Roman;sans-serif"/>
          <w:b w:val="false"/>
          <w:color w:val="000000"/>
          <w:sz w:val="22"/>
        </w:rPr>
        <w:t>Interest Rate Limitation.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color w:val="000000"/>
          <w:sz w:val="22"/>
        </w:rPr>
        <w:t>Applicable</w:t>
      </w:r>
      <w:r>
        <w:rPr>
          <w:color w:val="000000"/>
        </w:rPr>
        <w:t xml:space="preserve"> </w:t>
      </w:r>
      <w:r>
        <w:rPr>
          <w:rFonts w:ascii="Times New Roman;sans-serif" w:hAnsi="Times New Roman;sans-serif"/>
          <w:b/>
          <w:color w:val="000000"/>
          <w:sz w:val="22"/>
        </w:rPr>
        <w:t>Charges</w:t>
      </w:r>
      <w:r>
        <w:rPr>
          <w:color w:val="000000"/>
        </w:rPr>
        <w:t>”</w:t>
      </w:r>
      <w:r>
        <w:rPr>
          <w:rFonts w:ascii="Times New Roman;sans-serif" w:hAnsi="Times New Roman;sans-serif"/>
          <w:b w:val="false"/>
          <w:color w:val="000000"/>
          <w:sz w:val="22"/>
        </w:rPr>
        <w:t>), shall exceed the maximum lawful rate (the “</w:t>
      </w:r>
      <w:r>
        <w:rPr>
          <w:rFonts w:ascii="Times New Roman;sans-serif" w:hAnsi="Times New Roman;sans-serif"/>
          <w:b/>
          <w:color w:val="000000"/>
          <w:sz w:val="22"/>
        </w:rPr>
        <w:t>Maximum Rate</w:t>
      </w:r>
      <w:r>
        <w:rPr>
          <w:color w:val="000000"/>
        </w:rPr>
        <w:t>”</w:t>
      </w:r>
      <w:r>
        <w:rPr>
          <w:rFonts w:ascii="Times New Roman;sans-serif" w:hAnsi="Times New Roman;sans-serif"/>
          <w:b w:val="false"/>
          <w:color w:val="000000"/>
          <w:sz w:val="22"/>
        </w:rPr>
        <w:t>) which may be contracted for, charged, taken, received or reserved by the Lender holding such Loan in accordance with applicable Requirements of Law, the rate of interest payable in respect of such Loan hereunder, together with all Applicable Charges payable in respect thereof, shall be limited to the Maximum Rate and, to the extent lawful, the interest and Applicable Charges that would have been payable in respect of such Loan but were not payable as a result of the operation of this Section shall be cumulated and the interest and Applicable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lineRule="auto" w:line="240" w:before="0" w:after="240"/>
        <w:jc w:val="both"/>
        <w:rPr/>
      </w:pPr>
      <w:r>
        <w:rPr>
          <w:rFonts w:ascii="Times New Roman;sans-serif" w:hAnsi="Times New Roman;sans-serif"/>
          <w:b w:val="false"/>
          <w:color w:val="000000"/>
          <w:sz w:val="22"/>
        </w:rPr>
        <w:t>t.</w:t>
      </w:r>
      <w:r>
        <w:rPr>
          <w:rFonts w:ascii="Times New Roman;sans-serif" w:hAnsi="Times New Roman;sans-serif"/>
          <w:b w:val="false"/>
          <w:color w:val="000000"/>
          <w:sz w:val="22"/>
        </w:rPr>
        <w:t>[Reserved].</w:t>
      </w:r>
    </w:p>
    <w:p>
      <w:pPr>
        <w:pStyle w:val="TextBody"/>
        <w:bidi w:val="0"/>
        <w:spacing w:lineRule="auto" w:line="240" w:before="0" w:after="240"/>
        <w:jc w:val="both"/>
        <w:rPr/>
      </w:pPr>
      <w:r>
        <w:rPr>
          <w:rFonts w:ascii="Times New Roman;sans-serif" w:hAnsi="Times New Roman;sans-serif"/>
          <w:b w:val="false"/>
          <w:color w:val="000000"/>
          <w:sz w:val="22"/>
        </w:rPr>
        <w:t>u.</w:t>
      </w:r>
      <w:r>
        <w:rPr>
          <w:rFonts w:ascii="Times New Roman;sans-serif" w:hAnsi="Times New Roman;sans-serif"/>
          <w:b w:val="false"/>
          <w:color w:val="000000"/>
          <w:sz w:val="22"/>
        </w:rPr>
        <w:t>Conflicts. Notwithstanding anything to the contrary contained herein or in any other Loan Document (but excluding the ABL Intercreditor Agreement or any other Acceptable Intercreditor Agreement), in the event of any conflict or inconsistency between this Agreement and any other Loan Document (but excluding the ABL Intercreditor Agreement or any other Acceptable Intercreditor Agreement), the terms of this Agreement shall govern and control; provided that in the case of any conflict or inconsistency between the ABL Intercreditor Agreement or any other Acceptable Intercreditor Agreement, on the one hand, and any other Loan Document, on the other hand, the terms of the ABL Intercreditor Agreement or such Acceptable Intercreditor Agreement shall govern and control.</w:t>
      </w:r>
    </w:p>
    <w:p>
      <w:pPr>
        <w:pStyle w:val="TextBody"/>
        <w:bidi w:val="0"/>
        <w:spacing w:lineRule="auto" w:line="240" w:before="0" w:after="24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rPr>
        <w:t xml:space="preserve">Release of Guarantors and Discretionary Borrowers. (a) Notwithstanding anything in </w:t>
      </w:r>
      <w:r>
        <w:rPr>
          <w:rFonts w:ascii="Times New Roman;sans-serif" w:hAnsi="Times New Roman;sans-serif"/>
          <w:b w:val="false"/>
          <w:color w:val="000000"/>
          <w:sz w:val="22"/>
          <w:u w:val="single"/>
        </w:rPr>
        <w:t>Section 9.02(b)</w:t>
      </w:r>
      <w:r>
        <w:rPr>
          <w:color w:val="000000"/>
        </w:rPr>
        <w:t xml:space="preserve"> </w:t>
      </w:r>
      <w:r>
        <w:rPr>
          <w:rFonts w:ascii="Times New Roman;sans-serif" w:hAnsi="Times New Roman;sans-serif"/>
          <w:b w:val="false"/>
          <w:color w:val="000000"/>
          <w:sz w:val="22"/>
        </w:rPr>
        <w:t xml:space="preserve">to the contrary, (a) any Subsidiary Guarantor or Discretionary Borrower shall automatically be released from its obligations hereunder (and the Collateral Agreement and any Liens on its property constituting Collateral shall be automatically released) (i) upon the consummation of any permitted transaction or series of related transactions or the occurrence of any other permitted event or circumstance if as a result thereof such Subsidiary Guarantor ceases to be a Restricted Subsidiary or Discretionary Borrower (included by merger or dissolution) or becomes an Excluded Subsidiary as a result of a single transaction or series of related transactions or other event or circumstance permitted hereunder, or (ii) upon the occurrence of the Termination Date and/or (b) any Subsidiary Guarantor or Discretionary Borrower that qualifies as an “Excluded Subsidiary” shall be released from its obligations hereunder (and the Collateral Agreement and any Liens on its property constituting Collateral shall be automatically released) by the Administrative Agent promptly following the request therefor by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each case of clauses (a)(i) and (b), if any Restricted Subsidiary becomes an Excluded Subsidiary solely as a result of becoming a non-Wholly-Owned Subsidiary, such release shall only be permitted if the transaction or event resulting in such Restricted Subsidiary becoming a non-Wholly-Owned Subsidiary is with an unaffiliated third party (other than a bona fide joint venture) and was not entered into with the primary purpose of evading the Collateral and Guarantee Requirement (as determined by the Company in good faith).</w:t>
      </w:r>
    </w:p>
    <w:p>
      <w:pPr>
        <w:pStyle w:val="TextBody"/>
        <w:bidi w:val="0"/>
        <w:spacing w:lineRule="auto" w:line="240" w:before="0" w:after="240"/>
        <w:ind w:left="0" w:right="0" w:firstLine="1530"/>
        <w:jc w:val="both"/>
        <w:rPr/>
      </w:pPr>
      <w:r>
        <w:rPr>
          <w:rFonts w:ascii="Times New Roman;sans-serif" w:hAnsi="Times New Roman;sans-serif"/>
          <w:b w:val="false"/>
          <w:color w:val="000000"/>
          <w:sz w:val="22"/>
        </w:rPr>
        <w:t xml:space="preserve">(b) Notwithstanding anything in </w:t>
      </w:r>
      <w:r>
        <w:rPr>
          <w:rFonts w:ascii="Times New Roman;sans-serif" w:hAnsi="Times New Roman;sans-serif"/>
          <w:b w:val="false"/>
          <w:color w:val="000000"/>
          <w:sz w:val="22"/>
          <w:u w:val="single"/>
        </w:rPr>
        <w:t>Section 9.02(b)</w:t>
      </w:r>
      <w:r>
        <w:rPr>
          <w:color w:val="000000"/>
        </w:rPr>
        <w:t xml:space="preserve"> </w:t>
      </w:r>
      <w:r>
        <w:rPr>
          <w:rFonts w:ascii="Times New Roman;sans-serif" w:hAnsi="Times New Roman;sans-serif"/>
          <w:b w:val="false"/>
          <w:color w:val="000000"/>
          <w:sz w:val="22"/>
        </w:rPr>
        <w:t xml:space="preserve">to the contrary, any Lien on any asset or property granted to or held by the Administrative Agent under any Loan Document shall be automatically released without the need for further action by any Person (i) upon the occurrence of the Termination Date, (ii) upon the sale or other transfer of such asset or property as part of or in connection with any Disposition or Investment permitted under the Loan Documents to a Person that is not a Loan Party, (iii) upon such asset or property becoming an Excluded Asset or if such asset or property does not constitute (or ceases to constitute) Collateral, (iv) if the property subject to such Lien is owned by a Subsidiary Guarantor, upon the release of such Subsidiary Guarantor from the Collateral Agreement otherwise in accordance with the Loan Documents, (v) as provided for under Article 8 or as provided for in any other Loan Document or </w:t>
      </w:r>
      <w:r>
        <w:rPr>
          <w:rFonts w:ascii="Times New Roman;sans-serif" w:hAnsi="Times New Roman;sans-serif"/>
          <w:b w:val="false"/>
          <w:color w:val="000000"/>
          <w:sz w:val="22"/>
          <w:u w:val="single"/>
        </w:rPr>
        <w:t>(vi)</w:t>
      </w:r>
      <w:r>
        <w:rPr>
          <w:color w:val="000000"/>
        </w:rPr>
        <w:t xml:space="preserve"> </w:t>
      </w:r>
      <w:r>
        <w:rPr>
          <w:rFonts w:ascii="Times New Roman;sans-serif" w:hAnsi="Times New Roman;sans-serif"/>
          <w:b w:val="false"/>
          <w:color w:val="000000"/>
          <w:sz w:val="22"/>
        </w:rPr>
        <w:t xml:space="preserve">if approved, authorized or ratified in writing by the Required Lenders (or such other number or percentage of Lenders as shall be necessary under the relevant </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62890"/>
                <wp:effectExtent l="0" t="0" r="0" b="0"/>
                <wp:wrapNone/>
                <wp:docPr id="188" name="Frame188"/>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142</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142</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circumstances as provided in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xml:space="preserve">) in accordance with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xml:space="preserve">. Without limiting the foregoing, in the event that Receivables Facility Assets become subject to a Specified Receivables Facility, whether by transfer or conveyance or by placing a security interest, trust or other encumbrance required by a Specified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Each Secured Party hereby consents to any release or re-assignment contemplated by this </w:t>
      </w:r>
      <w:r>
        <w:rPr>
          <w:rFonts w:ascii="Times New Roman;sans-serif" w:hAnsi="Times New Roman;sans-serif"/>
          <w:b w:val="false"/>
          <w:color w:val="000000"/>
          <w:sz w:val="22"/>
          <w:u w:val="single"/>
        </w:rPr>
        <w:t>Section 9.22</w:t>
      </w:r>
      <w:r>
        <w:rPr>
          <w:color w:val="000000"/>
        </w:rPr>
        <w:t xml:space="preserve"> </w:t>
      </w:r>
      <w:r>
        <w:rPr>
          <w:rFonts w:ascii="Times New Roman;sans-serif" w:hAnsi="Times New Roman;sans-serif"/>
          <w:b w:val="false"/>
          <w:color w:val="000000"/>
          <w:sz w:val="22"/>
        </w:rPr>
        <w:t>and any steps any Agent may take or request to give effect to such release or re-assignment under the governing law of such Lien.</w:t>
      </w:r>
    </w:p>
    <w:p>
      <w:pPr>
        <w:pStyle w:val="TextBody"/>
        <w:bidi w:val="0"/>
        <w:spacing w:lineRule="auto" w:line="240" w:before="0" w:after="240"/>
        <w:ind w:left="0" w:right="0" w:firstLine="1530"/>
        <w:jc w:val="both"/>
        <w:rPr/>
      </w:pPr>
      <w:r>
        <w:rPr>
          <w:rFonts w:ascii="Times New Roman;sans-serif" w:hAnsi="Times New Roman;sans-serif"/>
          <w:b w:val="false"/>
          <w:color w:val="000000"/>
          <w:sz w:val="22"/>
        </w:rPr>
        <w:t xml:space="preserve">(c) In connection with any such release described in this Section, the Administrative Agent shall promptly execute and deliver to the relevant Loan Party, at such Loan Party’s expense, all documents that such Loan Party shall reasonably request to evidence termination or release. Any execution and delivery of any document pursuant to the preceding sentence of this </w:t>
      </w:r>
      <w:r>
        <w:rPr>
          <w:rFonts w:ascii="Times New Roman;sans-serif" w:hAnsi="Times New Roman;sans-serif"/>
          <w:b w:val="false"/>
          <w:color w:val="000000"/>
          <w:sz w:val="22"/>
          <w:u w:val="single"/>
        </w:rPr>
        <w:t>Section 9.22</w:t>
      </w:r>
      <w:r>
        <w:rPr>
          <w:color w:val="000000"/>
        </w:rPr>
        <w:t xml:space="preserve"> </w:t>
      </w:r>
      <w:r>
        <w:rPr>
          <w:rFonts w:ascii="Times New Roman;sans-serif" w:hAnsi="Times New Roman;sans-serif"/>
          <w:b w:val="false"/>
          <w:color w:val="000000"/>
          <w:sz w:val="22"/>
        </w:rPr>
        <w:t>shall be without recourse to or warranty by the Administrative Agent (other than as to the Administrative Agent’s authority to execute and deliver such documents).</w:t>
      </w:r>
    </w:p>
    <w:p>
      <w:pPr>
        <w:pStyle w:val="TextBody"/>
        <w:bidi w:val="0"/>
        <w:spacing w:lineRule="auto" w:line="240" w:before="0" w:after="240"/>
        <w:jc w:val="both"/>
        <w:rPr/>
      </w:pPr>
      <w:r>
        <w:rPr>
          <w:rFonts w:ascii="Times New Roman;sans-serif" w:hAnsi="Times New Roman;sans-serif"/>
          <w:b w:val="false"/>
          <w:color w:val="000000"/>
          <w:sz w:val="22"/>
        </w:rPr>
        <w:t>w.</w:t>
      </w:r>
      <w:r>
        <w:rPr>
          <w:rFonts w:ascii="Times New Roman;sans-serif" w:hAnsi="Times New Roman;sans-serif"/>
          <w:b w:val="false"/>
          <w:color w:val="000000"/>
          <w:sz w:val="22"/>
        </w:rPr>
        <w:t>Acknowledgment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1233"/>
        <w:jc w:val="both"/>
        <w:rPr>
          <w:rFonts w:ascii="Times New Roman;sans-serif" w:hAnsi="Times New Roman;sans-serif"/>
          <w:b w:val="false"/>
          <w:color w:val="000000"/>
          <w:sz w:val="22"/>
        </w:rPr>
      </w:pPr>
      <w:r>
        <w:rPr>
          <w:rFonts w:ascii="Times New Roman;sans-serif" w:hAnsi="Times New Roman;sans-serif"/>
          <w:b w:val="false"/>
          <w:color w:val="000000"/>
          <w:sz w:val="22"/>
        </w:rPr>
        <w:t>(i)the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1172"/>
        <w:jc w:val="both"/>
        <w:rPr>
          <w:rFonts w:ascii="Times New Roman;sans-serif" w:hAnsi="Times New Roman;sans-serif"/>
          <w:b w:val="false"/>
          <w:color w:val="000000"/>
          <w:sz w:val="22"/>
        </w:rPr>
      </w:pPr>
      <w:r>
        <w:rPr>
          <w:rFonts w:ascii="Times New Roman;sans-serif" w:hAnsi="Times New Roman;sans-serif"/>
          <w:b w:val="false"/>
          <w:color w:val="000000"/>
          <w:sz w:val="22"/>
        </w:rPr>
        <w:t>(ii)the effects of any Bail-In Action on any such liability, including, if applicable: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(1)a reduction in full or in part or cancellation of any such liability;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(3)the variation of the terms of such liability in connection with the exercise of the write-down and conversion powers of the applicable Resolution Authority.</w:t>
      </w:r>
    </w:p>
    <w:p>
      <w:pPr>
        <w:pStyle w:val="TextBody"/>
        <w:bidi w:val="0"/>
        <w:spacing w:before="0" w:after="0"/>
        <w:jc w:val="both"/>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62890"/>
                <wp:effectExtent l="0" t="0" r="0" b="0"/>
                <wp:wrapNone/>
                <wp:docPr id="189" name="Frame189"/>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143</w:t>
                            </w:r>
                            <w:r>
                              <w:br w:type="page"/>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143</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duly executed by their respective authorized officers as of the day and year first above written.</w:t>
      </w:r>
    </w:p>
    <w:tbl>
      <w:tblPr>
        <w:tblW w:w="4634" w:type="dxa"/>
        <w:jc w:val="left"/>
        <w:tblInd w:w="0" w:type="dxa"/>
        <w:tblLayout w:type="fixed"/>
        <w:tblCellMar>
          <w:top w:w="28" w:type="dxa"/>
          <w:left w:w="28" w:type="dxa"/>
          <w:bottom w:w="28" w:type="dxa"/>
          <w:right w:w="28" w:type="dxa"/>
        </w:tblCellMar>
      </w:tblPr>
      <w:tblGrid>
        <w:gridCol w:w="803"/>
        <w:gridCol w:w="706"/>
        <w:gridCol w:w="706"/>
        <w:gridCol w:w="706"/>
        <w:gridCol w:w="706"/>
        <w:gridCol w:w="1007"/>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463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VICTORIA’S SECRET &amp; CO., as the Company</w:t>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1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463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lineRule="auto" w:line="240" w:before="0" w:after="240"/>
        <w:ind w:left="0" w:right="0" w:firstLine="720"/>
        <w:jc w:val="both"/>
        <w:rPr>
          <w:color w:val="000000"/>
        </w:rPr>
      </w:pPr>
      <w:r>
        <w:rPr>
          <w:color w:val="000000"/>
        </w:rPr>
        <w:t>                    </w:t>
      </w:r>
    </w:p>
    <w:p>
      <w:pPr>
        <w:pStyle w:val="TextBody"/>
        <w:bidi w:val="0"/>
        <w:spacing w:lineRule="auto" w:line="240" w:before="0" w:after="240"/>
        <w:ind w:left="0" w:right="0" w:firstLine="720"/>
        <w:jc w:val="left"/>
        <w:rPr>
          <w:color w:val="000000"/>
        </w:rPr>
      </w:pPr>
      <w:r>
        <w:rPr>
          <w:color w:val="000000"/>
        </w:rPr>
        <w:t>                    </w:t>
      </w:r>
    </w:p>
    <w:p>
      <w:pPr>
        <w:pStyle w:val="TextBody"/>
        <w:bidi w:val="0"/>
        <w:spacing w:before="0" w:after="240"/>
        <w:ind w:left="0" w:right="0" w:firstLine="720"/>
        <w:jc w:val="both"/>
        <w:rPr/>
      </w:pPr>
      <w:r>
        <w:rPr/>
      </w:r>
    </w:p>
    <w:tbl>
      <w:tblPr>
        <w:tblW w:w="5831" w:type="dxa"/>
        <w:jc w:val="left"/>
        <w:tblInd w:w="0" w:type="dxa"/>
        <w:tblLayout w:type="fixed"/>
        <w:tblCellMar>
          <w:top w:w="28" w:type="dxa"/>
          <w:left w:w="28" w:type="dxa"/>
          <w:bottom w:w="28" w:type="dxa"/>
          <w:right w:w="28" w:type="dxa"/>
        </w:tblCellMar>
      </w:tblPr>
      <w:tblGrid>
        <w:gridCol w:w="1011"/>
        <w:gridCol w:w="890"/>
        <w:gridCol w:w="890"/>
        <w:gridCol w:w="890"/>
        <w:gridCol w:w="890"/>
        <w:gridCol w:w="1260"/>
      </w:tblGrid>
      <w:tr>
        <w:trPr/>
        <w:tc>
          <w:tcPr>
            <w:tcW w:w="10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Administrative Agent</w:t>
            </w:r>
          </w:p>
        </w:tc>
      </w:tr>
      <w:tr>
        <w:trPr/>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58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62890"/>
                <wp:effectExtent l="0" t="0" r="0" b="0"/>
                <wp:wrapNone/>
                <wp:docPr id="190" name="Frame190"/>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Credit Agreement</w:t>
                      </w:r>
                    </w:p>
                    <w:p>
                      <w:pPr>
                        <w:pStyle w:val="TextBody"/>
                        <w:bidi w:val="0"/>
                        <w:spacing w:lineRule="auto" w:line="240" w:before="0" w:after="0"/>
                        <w:jc w:val="left"/>
                        <w:rPr/>
                      </w:pPr>
                      <w:r>
                        <w:rPr>
                          <w:rFonts w:ascii="Times New Roman;sans-serif" w:hAnsi="Times New Roman;sans-serif"/>
                          <w:b w:val="false"/>
                          <w:color w:val="000000"/>
                          <w:sz w:val="14"/>
                        </w:rPr>
                        <w:t>[[</w:t>
                      </w:r>
                      <w:r>
                        <w:rPr>
                          <w:rFonts w:ascii="Times New Roman;sans-serif" w:hAnsi="Times New Roman;sans-serif"/>
                          <w:b w:val="false"/>
                          <w:strike/>
                          <w:color w:val="FF0000"/>
                          <w:sz w:val="14"/>
                        </w:rPr>
                        <w:t>5662209</w:t>
                      </w:r>
                      <w:r>
                        <w:rPr>
                          <w:rFonts w:ascii="Times New Roman;sans-serif" w:hAnsi="Times New Roman;sans-serif"/>
                          <w:b/>
                          <w:color w:val="0000FF"/>
                          <w:sz w:val="14"/>
                          <w:u w:val="single"/>
                        </w:rPr>
                        <w:t>6068574</w:t>
                      </w:r>
                      <w:r>
                        <w:rPr>
                          <w:rFonts w:ascii="Times New Roman;sans-serif" w:hAnsi="Times New Roman;sans-serif"/>
                          <w:b w:val="false"/>
                          <w:color w:val="000000"/>
                          <w:sz w:val="14"/>
                        </w:rPr>
                        <w:t>]]</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AMENDMENT NO. 1 dated as of May 8, 2023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among VICTORIA’S SECRET &amp; CO.,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the LENDERS party hereto and JPMORGAN CHASE BANK, N.A., as administrative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to the Revolving Credit Agreement dated as of August 2, 2021 (as amended, supplemented or otherwise modified from time to time prior to the date hereof,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the Credit Agreement, as amended by this Amendment, the “</w:t>
      </w:r>
      <w:r>
        <w:rPr>
          <w:rFonts w:ascii="Times New Roman;sans-serif" w:hAnsi="Times New Roman;sans-serif"/>
          <w:b w:val="false"/>
          <w:color w:val="000000"/>
          <w:sz w:val="24"/>
          <w:u w:val="single"/>
        </w:rPr>
        <w:t>Amended Credit Agreement</w:t>
      </w:r>
      <w:r>
        <w:rPr>
          <w:color w:val="000000"/>
        </w:rPr>
        <w:t>”</w:t>
      </w:r>
      <w:r>
        <w:rPr>
          <w:rFonts w:ascii="Times New Roman;sans-serif" w:hAnsi="Times New Roman;sans-serif"/>
          <w:b w:val="false"/>
          <w:color w:val="000000"/>
          <w:sz w:val="24"/>
        </w:rPr>
        <w:t>), by and among the Company, the Borrowing Subsidiaries (as defined therein) from time to time party thereto, the Lenders (as defined therein) from time to time party thereto, the Issuing Banks (as defined therein) and the Administrative Agent. Capitalized terms used but not defined herein shall have the meanings assigned to such terms in the Credit Agreement, except as otherwise expressly set forth herein.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Loans and/or other extensions of credit under the Credit Agreement incur or are permitted to incur interest, fees, commissions or other amounts based on the LIBO Rate (as defined in the Credit Agreement as in effect immediately prior to the Amendment Effective Date) in accordance with the terms of the Credit Agreement; and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Company has requested, and the undersigned Lenders, constituting each Lender party to the Credit Agreement, together with the Administrative Agent, have agreed, upon the terms and subject to the conditions set forth herein and in the Amended Credit Agreement, that the Credit Agreement will be amended as provided herein, including to replace the Adjusted LIBO Rate (as defined in the Credit Agreement as in effect immediately prior to the Amendment Effective Date) with the Adjusted Term SOFR as the relevant Benchmark for all purposes under the Amended Credit Agreement.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SECTION a. </w:t>
      </w:r>
      <w:r>
        <w:rPr>
          <w:rFonts w:ascii="Times New Roman;sans-serif" w:hAnsi="Times New Roman;sans-serif"/>
          <w:b w:val="false"/>
          <w:color w:val="000000"/>
          <w:sz w:val="24"/>
          <w:u w:val="single"/>
        </w:rPr>
        <w:t>Rules of Interpretation</w:t>
      </w:r>
      <w:r>
        <w:rPr>
          <w:rFonts w:ascii="Times New Roman;sans-serif" w:hAnsi="Times New Roman;sans-serif"/>
          <w:b w:val="false"/>
          <w:color w:val="000000"/>
          <w:sz w:val="24"/>
        </w:rPr>
        <w:t xml:space="preserve">. The rules of interpretation set forth in Section 1.03 of the Credit Agreement are hereby incorporated by reference herein, </w:t>
      </w:r>
      <w:r>
        <w:rPr>
          <w:rFonts w:ascii="Times New Roman;sans-serif" w:hAnsi="Times New Roman;sans-serif"/>
          <w:b w:val="false"/>
          <w:color w:val="000000"/>
          <w:sz w:val="24"/>
          <w:u w:val="single"/>
        </w:rPr>
        <w:t>mutatis</w:t>
      </w:r>
      <w:r>
        <w:rPr>
          <w:color w:val="000000"/>
        </w:rPr>
        <w:t xml:space="preserve"> </w:t>
      </w:r>
      <w:r>
        <w:rPr>
          <w:rFonts w:ascii="Times New Roman;sans-serif" w:hAnsi="Times New Roman;sans-serif"/>
          <w:b w:val="false"/>
          <w:color w:val="000000"/>
          <w:sz w:val="24"/>
          <w:u w:val="single"/>
        </w:rPr>
        <w:t>mutandis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SECTION b.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 xml:space="preserve">(i) Effective as of the Amendment Effective Date, the Credit Agreement is hereby amended to delete the stricken text (indicated textually in the same manner as the following example: </w:t>
      </w:r>
      <w:r>
        <w:rPr>
          <w:rFonts w:ascii="Times New Roman;sans-serif" w:hAnsi="Times New Roman;sans-serif"/>
          <w:b w:val="false"/>
          <w:strike/>
          <w:color w:val="FF0000"/>
          <w:sz w:val="24"/>
        </w:rPr>
        <w:t>stricken text</w:t>
      </w:r>
      <w:r>
        <w:rPr>
          <w:rFonts w:ascii="Times New Roman;sans-serif" w:hAnsi="Times New Roman;sans-serif"/>
          <w:b w:val="false"/>
          <w:color w:val="000000"/>
          <w:sz w:val="24"/>
        </w:rPr>
        <w:t xml:space="preserve">) and to add the bold-underlined text (indicated textually in the same manner as the following example: </w:t>
      </w:r>
      <w:r>
        <w:rPr>
          <w:rFonts w:ascii="Times New Roman;sans-serif" w:hAnsi="Times New Roman;sans-serif"/>
          <w:b/>
          <w:color w:val="4472C4"/>
          <w:sz w:val="24"/>
          <w:u w:val="single"/>
        </w:rPr>
        <w:t>bold underline</w:t>
      </w:r>
      <w:r>
        <w:rPr>
          <w:rFonts w:ascii="Times New Roman;sans-serif" w:hAnsi="Times New Roman;sans-serif"/>
          <w:b w:val="false"/>
          <w:color w:val="000000"/>
          <w:sz w:val="24"/>
        </w:rPr>
        <w:t>) as set forth in the pages attached as Exhibit A hereto.</w:t>
      </w:r>
    </w:p>
    <w:p>
      <w:pPr>
        <w:pStyle w:val="TextBody"/>
        <w:bidi w:val="0"/>
        <w:spacing w:lineRule="auto" w:line="240" w:before="0" w:after="240"/>
        <w:ind w:left="0" w:right="0" w:firstLine="1027"/>
        <w:jc w:val="left"/>
        <w:rPr/>
      </w:pPr>
      <w:r>
        <w:rPr>
          <w:rFonts w:ascii="Times New Roman;sans-serif" w:hAnsi="Times New Roman;sans-serif"/>
          <w:b w:val="false"/>
          <w:color w:val="000000"/>
          <w:sz w:val="24"/>
        </w:rPr>
        <w:t>(ii) Notwithstanding anything to the contrary contained in the Credit Agreement as amended hereby, (i) each Eurodollar Loan (as defined in the Credit Agreement as in effect immediately prior to the Amendment Effective Date) outstanding on the Amendment Effective Date (each, an “</w:t>
      </w:r>
      <w:r>
        <w:rPr>
          <w:rFonts w:ascii="Times New Roman;sans-serif" w:hAnsi="Times New Roman;sans-serif"/>
          <w:b w:val="false"/>
          <w:color w:val="000000"/>
          <w:sz w:val="24"/>
          <w:u w:val="single"/>
        </w:rPr>
        <w:t>Existing Eurodollar Loan</w:t>
      </w:r>
      <w:r>
        <w:rPr>
          <w:color w:val="000000"/>
        </w:rPr>
        <w:t>”</w:t>
      </w:r>
      <w:r>
        <w:rPr>
          <w:rFonts w:ascii="Times New Roman;sans-serif" w:hAnsi="Times New Roman;sans-serif"/>
          <w:b w:val="false"/>
          <w:color w:val="000000"/>
          <w:sz w:val="24"/>
        </w:rPr>
        <w:t xml:space="preserve">) shall remain outstanding as such until the expiration of the Interest Period (as defined in the Credit Agreement as in effect immediately prior to the Amendment Effective Date) applicable to such Existing Eurodollar Loan, in accordance with, and subject to all of the terms and </w:t>
      </w: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02235"/>
                <wp:effectExtent l="0" t="0" r="0" b="0"/>
                <wp:wrapNone/>
                <wp:docPr id="191" name="Frame19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conditions of, the Credit Agreement as in effect immediately prior to the Amendment Effective Date and (ii) interest on each such Existing Eurodollar Loan shall continue to accrue to, and shall be payable on, each Interest Payment Date applicable thereto until the Interest Period for such Existing Eurodollar Loan ends, in each case in accordance with Section 2.12 of the Credit Agreement as in effect immediately prior to the Amendment Effective Date. From and after the Amendment Effective Date, (x) the Company shall not be permitted to request that any Lender fund, and no Lender shall fund, any Eurodollar Loan, (y) no Existing Eurodollar Loan may be continued as a Eurodollar Loan and (z) each Existing Eurodollar Loan may be converted to a Term SOFR Loan or an ABR Loan in accordance with the Credit Agreement as amended 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SECTION c.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The Company hereby represents and warrants to the Administrative Agent that:</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This Amendment has been duly authorized, executed and delivered by it and constitutes a legal, valid and binding obligation of the Company, enforceable against the Company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 at the time of and immediately after giving effect to this Agreement, (i) the representations and warranties of the Company set forth in the Credit Agreement are true and correct (A) in the case of representations and warranties that are qualified by materiality, in all respects and (B) otherwise, in all material respects, and (ii) at such times as the Collateral and Guarantee Requirement is required to be satisfied, the representations and warranties of the Loan Parties as set forth in the Collateral Agreements shall be true and correct (A) in the case of representations and warranties that are qualified by materiality, in all respects and (B) otherwise, in all material respects (except to the extent that any such representation or warranty expressly relates to a specified date or dates, in which case such representation or warranty shall be true and correct in all material respects as of such specified date or dates); and </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(iii) At the time of and immediately after giving effect to this Amendment, no Default has occurred and is continuing.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SECTION d. </w:t>
      </w:r>
      <w:r>
        <w:rPr>
          <w:rFonts w:ascii="Times New Roman;sans-serif" w:hAnsi="Times New Roman;sans-serif"/>
          <w:b w:val="false"/>
          <w:color w:val="000000"/>
          <w:sz w:val="24"/>
          <w:u w:val="single"/>
        </w:rPr>
        <w:t>Effectiveness</w:t>
      </w:r>
      <w:r>
        <w:rPr>
          <w:rFonts w:ascii="Times New Roman;sans-serif" w:hAnsi="Times New Roman;sans-serif"/>
          <w:b w:val="false"/>
          <w:color w:val="000000"/>
          <w:sz w:val="24"/>
        </w:rPr>
        <w:t>. The effectiveness of this Amendment is subject to satisfaction of each of the following conditions (the date of satisfaction of all such conditions, the “</w:t>
      </w:r>
      <w:r>
        <w:rPr>
          <w:rFonts w:ascii="Times New Roman;sans-serif" w:hAnsi="Times New Roman;sans-serif"/>
          <w:b w:val="false"/>
          <w:color w:val="000000"/>
          <w:sz w:val="24"/>
          <w:u w:val="single"/>
        </w:rPr>
        <w:t>Amendment Effective Date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094"/>
        <w:jc w:val="both"/>
        <w:rPr>
          <w:rFonts w:ascii="Times New Roman;sans-serif" w:hAnsi="Times New Roman;sans-serif"/>
          <w:b w:val="false"/>
          <w:color w:val="000000"/>
          <w:sz w:val="24"/>
        </w:rPr>
      </w:pPr>
      <w:r>
        <w:rPr>
          <w:rFonts w:ascii="Times New Roman;sans-serif" w:hAnsi="Times New Roman;sans-serif"/>
          <w:b w:val="false"/>
          <w:color w:val="000000"/>
          <w:sz w:val="24"/>
        </w:rPr>
        <w:t>(i) The Administrative Agent (or its counsel) shall have received from (i) the Company and (ii) each Lender party to the Credit Agreement either (A) a counterpart of this Amendment signed on behalf of the Company or (B) written evidence reasonably satisfactory to the Administrative Agent (which may include delivery of a signed signature page of this Amendment by facsimile or other means of electronic transmission (e.g., “pdf”)) that the Company has signed a counterpart of this Amendment.</w:t>
      </w:r>
    </w:p>
    <w:p>
      <w:pPr>
        <w:pStyle w:val="TextBody"/>
        <w:bidi w:val="0"/>
        <w:spacing w:lineRule="auto" w:line="240" w:before="0" w:after="240"/>
        <w:ind w:left="0" w:right="0" w:firstLine="1027"/>
        <w:jc w:val="both"/>
        <w:rPr/>
      </w:pPr>
      <w:r>
        <w:rPr>
          <w:rFonts w:ascii="Times New Roman;sans-serif" w:hAnsi="Times New Roman;sans-serif"/>
          <w:b w:val="false"/>
          <w:color w:val="000000"/>
          <w:sz w:val="24"/>
        </w:rPr>
        <w:t xml:space="preserve">(ii) The Administrative Agent shall have received payment of all expenses required to be paid or reimbursed by the Company under or in connection with this Amendment, including those fees and expenses set forth in Section 8 hereof; </w:t>
      </w:r>
      <w:r>
        <w:rPr>
          <w:rFonts w:ascii="Times New Roman;sans-serif" w:hAnsi="Times New Roman;sans-serif"/>
          <w:b w:val="false"/>
          <w:color w:val="000000"/>
          <w:sz w:val="24"/>
          <w:u w:val="single"/>
        </w:rPr>
        <w:t>provided that</w:t>
      </w:r>
      <w:r>
        <w:rPr>
          <w:rFonts w:ascii="Times New Roman;sans-serif" w:hAnsi="Times New Roman;sans-serif"/>
          <w:b w:val="false"/>
          <w:color w:val="000000"/>
          <w:sz w:val="24"/>
        </w:rPr>
        <w:t>, the Company shall have received invoices for all expenses described herein no later than three (3) Business Days prior to the Amendment Effective Date.</w:t>
      </w:r>
    </w:p>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452755"/>
                <wp:effectExtent l="0" t="0" r="0" b="0"/>
                <wp:wrapNone/>
                <wp:docPr id="192" name="Frame192"/>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SECTION e. </w:t>
      </w:r>
      <w:r>
        <w:rPr>
          <w:rFonts w:ascii="Times New Roman;sans-serif" w:hAnsi="Times New Roman;sans-serif"/>
          <w:b w:val="false"/>
          <w:color w:val="000000"/>
          <w:sz w:val="24"/>
          <w:u w:val="single"/>
        </w:rPr>
        <w:t>Credit Agreement</w:t>
      </w:r>
      <w:r>
        <w:rPr>
          <w:rFonts w:ascii="Times New Roman;sans-serif" w:hAnsi="Times New Roman;sans-serif"/>
          <w:b w:val="false"/>
          <w:color w:val="000000"/>
          <w:sz w:val="24"/>
        </w:rPr>
        <w:t>. Except as expressly set forth herein, this Amendment (a) shall not by implication or otherwise limit, impair, constitute a waiver of or otherwise affect the rights and remedies of the Lenders, the Issuing Banks, the Administrative Agent, the Company or any other Loan Party under the Credit Agreement or any other Loan Document and (b)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the Company or any other Loan Party to any future consent to, or waiver, amendment, modification or other change of, any of the terms, conditions, obligations, covenants or agreements contained in the Amended Credit Agreement or any other Loan Document in similar or different circumstances. After the date hereof, any reference in the Loan Documents to the Credit Agreement shall mean the Amended Credit Agreement. This Amendment shall constitute a “Loan Document” for all purposes of the Amended Credit Agreement and the other Loan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SECTION f. </w:t>
      </w:r>
      <w:r>
        <w:rPr>
          <w:rFonts w:ascii="Times New Roman;sans-serif" w:hAnsi="Times New Roman;sans-serif"/>
          <w:b w:val="false"/>
          <w:color w:val="000000"/>
          <w:sz w:val="24"/>
          <w:u w:val="single"/>
        </w:rPr>
        <w:t>Applicable Law; Waiver of Jury Trial</w:t>
      </w:r>
      <w:r>
        <w:rPr>
          <w:rFonts w:ascii="Times New Roman;sans-serif" w:hAnsi="Times New Roman;sans-serif"/>
          <w:b w:val="false"/>
          <w:color w:val="000000"/>
          <w:sz w:val="24"/>
        </w:rPr>
        <w:t xml:space="preserve">. </w:t>
      </w:r>
      <w:r>
        <w:rPr>
          <w:rFonts w:ascii="Arial;sans-serif" w:hAnsi="Arial;sans-serif"/>
          <w:b w:val="false"/>
          <w:color w:val="000000"/>
          <w:sz w:val="24"/>
        </w:rPr>
        <w:t xml:space="preserve">(a) </w:t>
      </w:r>
      <w:r>
        <w:rPr>
          <w:rFonts w:ascii="Times New Roman;sans-serif" w:hAnsi="Times New Roman;sans-serif"/>
          <w:b/>
          <w:color w:val="000000"/>
          <w:sz w:val="24"/>
        </w:rPr>
        <w:t>THIS AMENDMENT AND THE TRANSACTIONS CONTEMPLATED HEREBY SHALL BE CONSTRUED IN ACCORDANCE WITH AND GOVERNED BY THE LAW OF THE STATE OF NEW YORK.</w:t>
      </w:r>
    </w:p>
    <w:p>
      <w:pPr>
        <w:pStyle w:val="TextBody"/>
        <w:bidi w:val="0"/>
        <w:spacing w:lineRule="auto" w:line="240" w:before="0" w:after="240"/>
        <w:ind w:left="0" w:right="0" w:firstLine="1094"/>
        <w:jc w:val="both"/>
        <w:rPr/>
      </w:pPr>
      <w:r>
        <w:rPr>
          <w:rFonts w:ascii="Times New Roman;sans-serif" w:hAnsi="Times New Roman;sans-serif"/>
          <w:b w:val="false"/>
          <w:color w:val="000000"/>
          <w:sz w:val="24"/>
        </w:rPr>
        <w:t xml:space="preserve">(i) </w:t>
      </w:r>
      <w:r>
        <w:rPr>
          <w:rFonts w:ascii="Times New Roman;sans-serif" w:hAnsi="Times New Roman;sans-serif"/>
          <w:b/>
          <w:color w:val="000000"/>
          <w:sz w:val="24"/>
        </w:rPr>
        <w:t xml:space="preserve">EACH PARTY HERETO HEREBY AGREES AS SET FORTH IN SECTIONS 8.09(b), 8.09(c), 8.09(d) AND 8.10 OF THE CREDIT AGREEMENT AS IF SUCH SECTIONS WERE SET FORTH IN FULL HEREIN </w:t>
      </w:r>
      <w:r>
        <w:rPr>
          <w:rFonts w:ascii="Times New Roman;sans-serif" w:hAnsi="Times New Roman;sans-serif"/>
          <w:b/>
          <w:color w:val="000000"/>
          <w:sz w:val="24"/>
          <w:u w:val="single"/>
        </w:rPr>
        <w:t>MUTATIS MUTANDIS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SECTION g. </w:t>
      </w:r>
      <w:r>
        <w:rPr>
          <w:rFonts w:ascii="Times New Roman;sans-serif" w:hAnsi="Times New Roman;sans-serif"/>
          <w:b w:val="false"/>
          <w:color w:val="000000"/>
          <w:sz w:val="24"/>
          <w:u w:val="single"/>
        </w:rPr>
        <w:t>Counterparts; Amendment</w:t>
      </w:r>
      <w:r>
        <w:rPr>
          <w:rFonts w:ascii="Times New Roman;sans-serif" w:hAnsi="Times New Roman;sans-serif"/>
          <w:b w:val="false"/>
          <w:color w:val="000000"/>
          <w:sz w:val="24"/>
        </w:rPr>
        <w:t>. This Amendment may be executed in counterparts (and by different parties hereto on different counterparts), each of which shall constitute an original, but all of which when taken together shall constitute a single contract. The words “execution,” “signed,” “signature,” “delivery,” and words of like import in or relating to any document to be signed in connection with this Amendment or any other Loan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ans-serif" w:hAnsi="Times New Roman;sans-serif"/>
          <w:b w:val="false"/>
          <w:color w:val="000000"/>
          <w:sz w:val="24"/>
          <w:u w:val="single"/>
        </w:rPr>
        <w:t>Electronic Signatures</w:t>
      </w:r>
      <w:r>
        <w:rPr>
          <w:color w:val="000000"/>
        </w:rPr>
        <w:t xml:space="preserve">” </w:t>
      </w:r>
      <w:r>
        <w:rPr>
          <w:rFonts w:ascii="Times New Roman;sans-serif" w:hAnsi="Times New Roman;sans-serif"/>
          <w:b w:val="false"/>
          <w:color w:val="000000"/>
          <w:sz w:val="24"/>
        </w:rPr>
        <w:t>means an electronic sound, symbol, or process attached to, or associated with, a contract or other record and adopted by a Person with the intent to sign, authenticate or accept such contract or record. This Amendment may not be amended nor may any provision hereof be waived except pursuant to a writing signed by the Company and the Administrative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SECTION h. </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The Company agrees to reimburse the Administrative Agent for its reasonable out-of-pocket expenses in connection with this Amendment to the extent required under Section 8.03(a) of the Credit Agreement.</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SECTION i.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Section headings used herein are for convenience of reference only, are not part of this Amendment and are not to affect the construction of, or to be taken into consideration in interpreting, this Amendment.</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452755"/>
                <wp:effectExtent l="0" t="0" r="0" b="0"/>
                <wp:wrapNone/>
                <wp:docPr id="193" name="Frame193"/>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Amendment to be duly executed by their respective authorized officers as of the day and year first written above.</w:t>
      </w:r>
    </w:p>
    <w:p>
      <w:pPr>
        <w:pStyle w:val="TextBody"/>
        <w:bidi w:val="0"/>
        <w:spacing w:before="0" w:after="0"/>
        <w:jc w:val="both"/>
        <w:rPr/>
      </w:pPr>
      <w:r>
        <w:rPr/>
      </w:r>
    </w:p>
    <w:tbl>
      <w:tblPr>
        <w:tblW w:w="5443" w:type="dxa"/>
        <w:jc w:val="left"/>
        <w:tblInd w:w="0" w:type="dxa"/>
        <w:tblLayout w:type="fixed"/>
        <w:tblCellMar>
          <w:top w:w="28" w:type="dxa"/>
          <w:left w:w="28" w:type="dxa"/>
          <w:bottom w:w="28" w:type="dxa"/>
          <w:right w:w="28" w:type="dxa"/>
        </w:tblCellMar>
      </w:tblPr>
      <w:tblGrid>
        <w:gridCol w:w="559"/>
        <w:gridCol w:w="492"/>
        <w:gridCol w:w="492"/>
        <w:gridCol w:w="1142"/>
        <w:gridCol w:w="1142"/>
        <w:gridCol w:w="1616"/>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54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tc>
      </w:tr>
      <w:tr>
        <w:trPr/>
        <w:tc>
          <w:tcPr>
            <w:tcW w:w="5443"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1543"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 Todd S. Helvie</w:t>
            </w:r>
          </w:p>
        </w:tc>
      </w:tr>
      <w:tr>
        <w:trPr/>
        <w:tc>
          <w:tcPr>
            <w:tcW w:w="1543"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Todd S. Helvie</w:t>
            </w:r>
          </w:p>
        </w:tc>
      </w:tr>
      <w:tr>
        <w:trPr/>
        <w:tc>
          <w:tcPr>
            <w:tcW w:w="1543"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Treasury    </w:t>
            </w:r>
          </w:p>
        </w:tc>
      </w:tr>
    </w:tbl>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452755"/>
                <wp:effectExtent l="0" t="0" r="0" b="0"/>
                <wp:wrapNone/>
                <wp:docPr id="194" name="Frame194"/>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tbl>
      <w:tblPr>
        <w:tblW w:w="6133" w:type="dxa"/>
        <w:jc w:val="left"/>
        <w:tblInd w:w="0" w:type="dxa"/>
        <w:tblLayout w:type="fixed"/>
        <w:tblCellMar>
          <w:top w:w="28" w:type="dxa"/>
          <w:left w:w="28" w:type="dxa"/>
          <w:bottom w:w="28" w:type="dxa"/>
          <w:right w:w="28" w:type="dxa"/>
        </w:tblCellMar>
      </w:tblPr>
      <w:tblGrid>
        <w:gridCol w:w="1065"/>
        <w:gridCol w:w="935"/>
        <w:gridCol w:w="935"/>
        <w:gridCol w:w="935"/>
        <w:gridCol w:w="935"/>
        <w:gridCol w:w="132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6133" w:type="dxa"/>
            <w:gridSpan w:val="6"/>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JPMORGAN CHASE BANK, N.A., as Administrative Agent</w:t>
            </w:r>
          </w:p>
        </w:tc>
      </w:tr>
      <w:tr>
        <w:trPr/>
        <w:tc>
          <w:tcPr>
            <w:tcW w:w="6133"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293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19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 Sean Bodkin</w:t>
            </w:r>
          </w:p>
        </w:tc>
      </w:tr>
      <w:tr>
        <w:trPr/>
        <w:tc>
          <w:tcPr>
            <w:tcW w:w="293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1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 Sean Bodkin</w:t>
            </w:r>
          </w:p>
        </w:tc>
      </w:tr>
      <w:tr>
        <w:trPr/>
        <w:tc>
          <w:tcPr>
            <w:tcW w:w="293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198"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Title: Executive Director</w:t>
            </w:r>
          </w:p>
        </w:tc>
      </w:tr>
      <w:tr>
        <w:trPr/>
        <w:tc>
          <w:tcPr>
            <w:tcW w:w="293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198" w:type="dxa"/>
            <w:gridSpan w:val="3"/>
            <w:tcBorders/>
            <w:tcMar>
              <w:top w:w="0" w:type="dxa"/>
              <w:left w:w="0" w:type="dxa"/>
              <w:bottom w:w="0" w:type="dxa"/>
              <w:right w:w="0" w:type="dxa"/>
            </w:tcMar>
            <w:vAlign w:val="center"/>
          </w:tcPr>
          <w:p>
            <w:pPr>
              <w:pStyle w:val="TableContents"/>
              <w:bidi w:val="0"/>
              <w:spacing w:before="0" w:after="0"/>
              <w:ind w:left="0" w:right="0" w:hanging="720"/>
              <w:jc w:val="both"/>
              <w:rPr/>
            </w:pPr>
            <w:r>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452755"/>
                <wp:effectExtent l="0" t="0" r="0" b="0"/>
                <wp:wrapNone/>
                <wp:docPr id="195" name="Frame195"/>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3810" w:type="dxa"/>
        <w:jc w:val="left"/>
        <w:tblInd w:w="0" w:type="dxa"/>
        <w:tblLayout w:type="fixed"/>
        <w:tblCellMar>
          <w:top w:w="28" w:type="dxa"/>
          <w:left w:w="28" w:type="dxa"/>
          <w:bottom w:w="28" w:type="dxa"/>
          <w:right w:w="28" w:type="dxa"/>
        </w:tblCellMar>
      </w:tblPr>
      <w:tblGrid>
        <w:gridCol w:w="495"/>
        <w:gridCol w:w="435"/>
        <w:gridCol w:w="435"/>
        <w:gridCol w:w="711"/>
        <w:gridCol w:w="711"/>
        <w:gridCol w:w="1023"/>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8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r>
      <w:tr>
        <w:trPr/>
        <w:tc>
          <w:tcPr>
            <w:tcW w:w="38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Sean Bodkin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Sean Bodkin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452755"/>
                <wp:effectExtent l="0" t="0" r="0" b="0"/>
                <wp:wrapNone/>
                <wp:docPr id="196" name="Frame196"/>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3695" w:type="dxa"/>
        <w:jc w:val="left"/>
        <w:tblInd w:w="0" w:type="dxa"/>
        <w:tblLayout w:type="fixed"/>
        <w:tblCellMar>
          <w:top w:w="28" w:type="dxa"/>
          <w:left w:w="28" w:type="dxa"/>
          <w:bottom w:w="28" w:type="dxa"/>
          <w:right w:w="28" w:type="dxa"/>
        </w:tblCellMar>
      </w:tblPr>
      <w:tblGrid>
        <w:gridCol w:w="405"/>
        <w:gridCol w:w="355"/>
        <w:gridCol w:w="355"/>
        <w:gridCol w:w="749"/>
        <w:gridCol w:w="749"/>
        <w:gridCol w:w="1082"/>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6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tc>
      </w:tr>
      <w:tr>
        <w:trPr/>
        <w:tc>
          <w:tcPr>
            <w:tcW w:w="36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Geoffrey Reisbeck</w:t>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Geoffrey Reisbeck</w:t>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452755"/>
                <wp:effectExtent l="0" t="0" r="0" b="0"/>
                <wp:wrapNone/>
                <wp:docPr id="197" name="Frame197"/>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3363" w:type="dxa"/>
        <w:jc w:val="left"/>
        <w:tblInd w:w="0" w:type="dxa"/>
        <w:tblLayout w:type="fixed"/>
        <w:tblCellMar>
          <w:top w:w="28" w:type="dxa"/>
          <w:left w:w="28" w:type="dxa"/>
          <w:bottom w:w="28" w:type="dxa"/>
          <w:right w:w="28" w:type="dxa"/>
        </w:tblCellMar>
      </w:tblPr>
      <w:tblGrid>
        <w:gridCol w:w="345"/>
        <w:gridCol w:w="302"/>
        <w:gridCol w:w="302"/>
        <w:gridCol w:w="699"/>
        <w:gridCol w:w="699"/>
        <w:gridCol w:w="1016"/>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3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tc>
      </w:tr>
      <w:tr>
        <w:trPr/>
        <w:tc>
          <w:tcPr>
            <w:tcW w:w="33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Koruthu Mathew</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Koruthu Mathew</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VP</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452755"/>
                <wp:effectExtent l="0" t="0" r="0" b="0"/>
                <wp:wrapNone/>
                <wp:docPr id="198" name="Frame198"/>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3999" w:type="dxa"/>
        <w:jc w:val="left"/>
        <w:tblInd w:w="0" w:type="dxa"/>
        <w:tblLayout w:type="fixed"/>
        <w:tblCellMar>
          <w:top w:w="28" w:type="dxa"/>
          <w:left w:w="28" w:type="dxa"/>
          <w:bottom w:w="28" w:type="dxa"/>
          <w:right w:w="28" w:type="dxa"/>
        </w:tblCellMar>
      </w:tblPr>
      <w:tblGrid>
        <w:gridCol w:w="265"/>
        <w:gridCol w:w="232"/>
        <w:gridCol w:w="232"/>
        <w:gridCol w:w="949"/>
        <w:gridCol w:w="949"/>
        <w:gridCol w:w="1372"/>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39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r>
      <w:tr>
        <w:trPr/>
        <w:tc>
          <w:tcPr>
            <w:tcW w:w="39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Smith</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David Smith</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 and Director</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452755"/>
                <wp:effectExtent l="0" t="0" r="0" b="0"/>
                <wp:wrapNone/>
                <wp:docPr id="199" name="Frame199"/>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3987" w:type="dxa"/>
        <w:jc w:val="left"/>
        <w:tblInd w:w="0" w:type="dxa"/>
        <w:tblLayout w:type="fixed"/>
        <w:tblCellMar>
          <w:top w:w="28" w:type="dxa"/>
          <w:left w:w="28" w:type="dxa"/>
          <w:bottom w:w="28" w:type="dxa"/>
          <w:right w:w="28" w:type="dxa"/>
        </w:tblCellMar>
      </w:tblPr>
      <w:tblGrid>
        <w:gridCol w:w="466"/>
        <w:gridCol w:w="411"/>
        <w:gridCol w:w="411"/>
        <w:gridCol w:w="787"/>
        <w:gridCol w:w="787"/>
        <w:gridCol w:w="1125"/>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39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r>
      <w:tr>
        <w:trPr/>
        <w:tc>
          <w:tcPr>
            <w:tcW w:w="39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Keshia Leday</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Keshia Leday</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452755"/>
                <wp:effectExtent l="0" t="0" r="0" b="0"/>
                <wp:wrapNone/>
                <wp:docPr id="200" name="Frame200"/>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3147" w:type="dxa"/>
        <w:jc w:val="left"/>
        <w:tblInd w:w="0" w:type="dxa"/>
        <w:tblLayout w:type="fixed"/>
        <w:tblCellMar>
          <w:top w:w="28" w:type="dxa"/>
          <w:left w:w="28" w:type="dxa"/>
          <w:bottom w:w="28" w:type="dxa"/>
          <w:right w:w="28" w:type="dxa"/>
        </w:tblCellMar>
      </w:tblPr>
      <w:tblGrid>
        <w:gridCol w:w="392"/>
        <w:gridCol w:w="343"/>
        <w:gridCol w:w="343"/>
        <w:gridCol w:w="600"/>
        <w:gridCol w:w="600"/>
        <w:gridCol w:w="869"/>
      </w:tblGrid>
      <w:tr>
        <w:trPr/>
        <w:tc>
          <w:tcPr>
            <w:tcW w:w="3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31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HSBC Bank USA, NA</w:t>
            </w:r>
          </w:p>
        </w:tc>
      </w:tr>
      <w:tr>
        <w:trPr/>
        <w:tc>
          <w:tcPr>
            <w:tcW w:w="31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Sandra Centa</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Sandra Centa</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SVP</w:t>
            </w:r>
          </w:p>
        </w:tc>
      </w:tr>
    </w:tbl>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452755"/>
                <wp:effectExtent l="0" t="0" r="0" b="0"/>
                <wp:wrapNone/>
                <wp:docPr id="201" name="Frame201"/>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4103" w:type="dxa"/>
        <w:jc w:val="left"/>
        <w:tblInd w:w="0" w:type="dxa"/>
        <w:tblLayout w:type="fixed"/>
        <w:tblCellMar>
          <w:top w:w="28" w:type="dxa"/>
          <w:left w:w="28" w:type="dxa"/>
          <w:bottom w:w="28" w:type="dxa"/>
          <w:right w:w="28" w:type="dxa"/>
        </w:tblCellMar>
      </w:tblPr>
      <w:tblGrid>
        <w:gridCol w:w="676"/>
        <w:gridCol w:w="596"/>
        <w:gridCol w:w="596"/>
        <w:gridCol w:w="651"/>
        <w:gridCol w:w="651"/>
        <w:gridCol w:w="933"/>
      </w:tblGrid>
      <w:tr>
        <w:trPr/>
        <w:tc>
          <w:tcPr>
            <w:tcW w:w="6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41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w:t>
            </w:r>
          </w:p>
        </w:tc>
      </w:tr>
      <w:tr>
        <w:trPr/>
        <w:tc>
          <w:tcPr>
            <w:tcW w:w="41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Tamar Scoville</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Tamar Scoville</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452755"/>
                <wp:effectExtent l="0" t="0" r="0" b="0"/>
                <wp:wrapNone/>
                <wp:docPr id="202" name="Frame202"/>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4974" w:type="dxa"/>
        <w:jc w:val="left"/>
        <w:tblInd w:w="0" w:type="dxa"/>
        <w:tblLayout w:type="fixed"/>
        <w:tblCellMar>
          <w:top w:w="28" w:type="dxa"/>
          <w:left w:w="28" w:type="dxa"/>
          <w:bottom w:w="28" w:type="dxa"/>
          <w:right w:w="28" w:type="dxa"/>
        </w:tblCellMar>
      </w:tblPr>
      <w:tblGrid>
        <w:gridCol w:w="825"/>
        <w:gridCol w:w="725"/>
        <w:gridCol w:w="725"/>
        <w:gridCol w:w="790"/>
        <w:gridCol w:w="790"/>
        <w:gridCol w:w="1119"/>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9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Capital Finance Corporation Canada</w:t>
            </w:r>
          </w:p>
        </w:tc>
      </w:tr>
      <w:tr>
        <w:trPr/>
        <w:tc>
          <w:tcPr>
            <w:tcW w:w="49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Carmela Massari</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Carmela Massari</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452755"/>
                <wp:effectExtent l="0" t="0" r="0" b="0"/>
                <wp:wrapNone/>
                <wp:docPr id="203" name="Frame203"/>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3634" w:type="dxa"/>
        <w:jc w:val="left"/>
        <w:tblInd w:w="0" w:type="dxa"/>
        <w:tblLayout w:type="fixed"/>
        <w:tblCellMar>
          <w:top w:w="28" w:type="dxa"/>
          <w:left w:w="28" w:type="dxa"/>
          <w:bottom w:w="28" w:type="dxa"/>
          <w:right w:w="28" w:type="dxa"/>
        </w:tblCellMar>
      </w:tblPr>
      <w:tblGrid>
        <w:gridCol w:w="539"/>
        <w:gridCol w:w="475"/>
        <w:gridCol w:w="475"/>
        <w:gridCol w:w="625"/>
        <w:gridCol w:w="625"/>
        <w:gridCol w:w="895"/>
      </w:tblGrid>
      <w:tr>
        <w:trPr/>
        <w:tc>
          <w:tcPr>
            <w:tcW w:w="5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3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KeyBank National Association:</w:t>
            </w:r>
          </w:p>
        </w:tc>
      </w:tr>
      <w:tr>
        <w:trPr/>
        <w:tc>
          <w:tcPr>
            <w:tcW w:w="3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Linda Skinner</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Linda Skinner</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452755"/>
                <wp:effectExtent l="0" t="0" r="0" b="0"/>
                <wp:wrapNone/>
                <wp:docPr id="204" name="Frame204"/>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3610" w:type="dxa"/>
        <w:jc w:val="left"/>
        <w:tblInd w:w="0" w:type="dxa"/>
        <w:tblLayout w:type="fixed"/>
        <w:tblCellMar>
          <w:top w:w="28" w:type="dxa"/>
          <w:left w:w="28" w:type="dxa"/>
          <w:bottom w:w="28" w:type="dxa"/>
          <w:right w:w="28" w:type="dxa"/>
        </w:tblCellMar>
      </w:tblPr>
      <w:tblGrid>
        <w:gridCol w:w="424"/>
        <w:gridCol w:w="371"/>
        <w:gridCol w:w="371"/>
        <w:gridCol w:w="710"/>
        <w:gridCol w:w="710"/>
        <w:gridCol w:w="1024"/>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36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MIZUHO BANK, LTD.:</w:t>
            </w:r>
          </w:p>
        </w:tc>
      </w:tr>
      <w:tr>
        <w:trPr/>
        <w:tc>
          <w:tcPr>
            <w:tcW w:w="36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Tracy Rahn</w:t>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Tracy Rahn</w:t>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452755"/>
                <wp:effectExtent l="0" t="0" r="0" b="0"/>
                <wp:wrapNone/>
                <wp:docPr id="205" name="Frame205"/>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5294" w:type="dxa"/>
        <w:jc w:val="left"/>
        <w:tblInd w:w="0" w:type="dxa"/>
        <w:tblLayout w:type="fixed"/>
        <w:tblCellMar>
          <w:top w:w="28" w:type="dxa"/>
          <w:left w:w="28" w:type="dxa"/>
          <w:bottom w:w="28" w:type="dxa"/>
          <w:right w:w="28" w:type="dxa"/>
        </w:tblCellMar>
      </w:tblPr>
      <w:tblGrid>
        <w:gridCol w:w="917"/>
        <w:gridCol w:w="806"/>
        <w:gridCol w:w="806"/>
        <w:gridCol w:w="806"/>
        <w:gridCol w:w="806"/>
        <w:gridCol w:w="1153"/>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52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MUFG Bank Ltd. (formerly MUFG Union Bank, N.A.)</w:t>
            </w:r>
          </w:p>
        </w:tc>
      </w:tr>
      <w:tr>
        <w:trPr/>
        <w:tc>
          <w:tcPr>
            <w:tcW w:w="52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Peter Otoki</w:t>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Peter Otoki</w:t>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452755"/>
                <wp:effectExtent l="0" t="0" r="0" b="0"/>
                <wp:wrapNone/>
                <wp:docPr id="206" name="Frame206"/>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4711" w:type="dxa"/>
        <w:jc w:val="left"/>
        <w:tblInd w:w="0" w:type="dxa"/>
        <w:tblLayout w:type="fixed"/>
        <w:tblCellMar>
          <w:top w:w="28" w:type="dxa"/>
          <w:left w:w="28" w:type="dxa"/>
          <w:bottom w:w="28" w:type="dxa"/>
          <w:right w:w="28" w:type="dxa"/>
        </w:tblCellMar>
      </w:tblPr>
      <w:tblGrid>
        <w:gridCol w:w="529"/>
        <w:gridCol w:w="464"/>
        <w:gridCol w:w="464"/>
        <w:gridCol w:w="944"/>
        <w:gridCol w:w="944"/>
        <w:gridCol w:w="1366"/>
      </w:tblGrid>
      <w:tr>
        <w:trPr/>
        <w:tc>
          <w:tcPr>
            <w:tcW w:w="52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47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Huntington National Bank</w:t>
            </w:r>
          </w:p>
        </w:tc>
      </w:tr>
      <w:tr>
        <w:trPr/>
        <w:tc>
          <w:tcPr>
            <w:tcW w:w="47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Patricia Scudder</w:t>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Patricia Scudder</w:t>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ABL Relationship Manager</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452755"/>
                <wp:effectExtent l="0" t="0" r="0" b="0"/>
                <wp:wrapNone/>
                <wp:docPr id="207" name="Frame207"/>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LENDER SIGNATURE PAGE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AMENDMENT NO. 1 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THE REVOLVING CREDIT AGREEMENT 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4432" w:type="dxa"/>
        <w:jc w:val="left"/>
        <w:tblInd w:w="0" w:type="dxa"/>
        <w:tblLayout w:type="fixed"/>
        <w:tblCellMar>
          <w:top w:w="28" w:type="dxa"/>
          <w:left w:w="28" w:type="dxa"/>
          <w:bottom w:w="28" w:type="dxa"/>
          <w:right w:w="28" w:type="dxa"/>
        </w:tblCellMar>
      </w:tblPr>
      <w:tblGrid>
        <w:gridCol w:w="705"/>
        <w:gridCol w:w="619"/>
        <w:gridCol w:w="619"/>
        <w:gridCol w:w="727"/>
        <w:gridCol w:w="727"/>
        <w:gridCol w:w="1035"/>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44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w:t>
            </w:r>
          </w:p>
        </w:tc>
      </w:tr>
      <w:tr>
        <w:trPr/>
        <w:tc>
          <w:tcPr>
            <w:tcW w:w="44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Caitlin Bodzenski</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Caitlin Bodzenski</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rFonts w:ascii="Times New Roman;sans-serif" w:hAnsi="Times New Roman;sans-serif"/>
          <w:b w:val="false"/>
          <w:strike/>
          <w:color w:val="FF0000"/>
          <w:sz w:val="24"/>
        </w:rPr>
        <w:t>EXECUTION VERSION</w:t>
      </w:r>
      <w:r>
        <w:rPr>
          <w:rFonts w:ascii="Times New Roman;sans-serif" w:hAnsi="Times New Roman;sans-serif"/>
          <w:b/>
          <w:color w:val="0000FF"/>
          <w:sz w:val="24"/>
          <w:u w:val="single"/>
        </w:rPr>
        <w:t>EXHIBIT A</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452755"/>
                <wp:effectExtent l="0" t="0" r="0" b="0"/>
                <wp:wrapNone/>
                <wp:docPr id="208" name="Frame208"/>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r>
                              <w:br w:type="page"/>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295.3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1 to the Revolving Credit Agreement]</w:t>
                      </w:r>
                    </w:p>
                    <w:p>
                      <w:pPr>
                        <w:pStyle w:val="TextBody"/>
                        <w:bidi w:val="0"/>
                        <w:spacing w:before="0" w:after="0"/>
                        <w:jc w:val="left"/>
                        <w:rPr/>
                      </w:pPr>
                      <w:r>
                        <w:rPr/>
                      </w:r>
                    </w:p>
                    <w:p>
                      <w:pPr>
                        <w:pStyle w:val="TextBody"/>
                        <w:bidi w:val="0"/>
                        <w:spacing w:lineRule="auto" w:line="34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[[6066950]]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5"/>
        <w:gridCol w:w="2869"/>
        <w:gridCol w:w="4071"/>
      </w:tblGrid>
      <w:tr>
        <w:trPr/>
        <w:tc>
          <w:tcPr>
            <w:tcW w:w="326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REVOLVING CREDIT AGREEMENT</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August 2, 2021,</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br/>
              <w:t>among</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VICTORIA’S SECRET &amp; CO.,</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Borrowing Subsidiaries Party Hereto,</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Lenders Party Hereto</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JPMORGAN CHASE BANK, N.A.,</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Administrative Agent and Collateral Agent</w:t>
            </w:r>
          </w:p>
          <w:p>
            <w:pPr>
              <w:pStyle w:val="TableContents"/>
              <w:bidi w:val="0"/>
              <w:spacing w:lineRule="auto" w:line="240" w:before="0" w:after="36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JPMORGAN CHASE BANK, N.A., GOLDMAN SACHS BANK USA, BANK OF AMERICA, N.A., CITIBANK, N.A., HSBC SECURITIES (USA) INC., WELLS FARGO BANK, NATIONAL ASSOCIATION and BARCLAYS BANK PLC,</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Joint Lead Arrangers and Joint Bookrunners</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GOLDMAN SACHS BANK USA, BANK OF AMERICA, N.A., CITIBANK, N.A., HSBC BANK USA, N.A., WELLS FARGO BANK, NATIONAL ASSOCIATION and BARCLAYS BANK PLC,</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4"/>
              </w:rPr>
              <w:t>as Co-Syndication Agents</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and </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KEYBANK NATIONAL ASSOCIATION, MIZUHO BANK, LTD., THE HUNTINGTON NATIONAL BANK, U.S. BANK NATIONAL ASSOCIATION and MUFG UNION BANK, N.A.,</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Co-Documentation Agents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02235"/>
                <wp:effectExtent l="0" t="0" r="0" b="0"/>
                <wp:wrapNone/>
                <wp:docPr id="209" name="Frame20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br/>
        <w:br/>
        <w:t>DEFINITIONS</w:t>
      </w:r>
    </w:p>
    <w:p>
      <w:pPr>
        <w:pStyle w:val="TextBody"/>
        <w:bidi w:val="0"/>
        <w:spacing w:lineRule="auto" w:line="240"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SECTION 1.01.    Defined Terms    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1.02.    Classification of Loans and Borrowings    </w:t>
      </w:r>
      <w:r>
        <w:rPr>
          <w:rFonts w:ascii="Times New Roman;sans-serif" w:hAnsi="Times New Roman;sans-serif"/>
          <w:b w:val="false"/>
          <w:strike/>
          <w:color w:val="FF0000"/>
          <w:sz w:val="24"/>
        </w:rPr>
        <w:t>55</w:t>
      </w:r>
      <w:r>
        <w:rPr>
          <w:rFonts w:ascii="Times New Roman;sans-serif" w:hAnsi="Times New Roman;sans-serif"/>
          <w:b/>
          <w:color w:val="0000FF"/>
          <w:sz w:val="24"/>
          <w:u w:val="single"/>
        </w:rPr>
        <w:t>54</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1.03.    Terms Generally    </w:t>
      </w:r>
      <w:r>
        <w:rPr>
          <w:rFonts w:ascii="Times New Roman;sans-serif" w:hAnsi="Times New Roman;sans-serif"/>
          <w:b w:val="false"/>
          <w:strike/>
          <w:color w:val="FF0000"/>
          <w:sz w:val="24"/>
        </w:rPr>
        <w:t>56</w:t>
      </w:r>
      <w:r>
        <w:rPr>
          <w:rFonts w:ascii="Times New Roman;sans-serif" w:hAnsi="Times New Roman;sans-serif"/>
          <w:b/>
          <w:color w:val="0000FF"/>
          <w:sz w:val="24"/>
          <w:u w:val="single"/>
        </w:rPr>
        <w:t>54</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1.04.    Accounting Terms; GAAP    </w:t>
      </w:r>
      <w:r>
        <w:rPr>
          <w:rFonts w:ascii="Times New Roman;sans-serif" w:hAnsi="Times New Roman;sans-serif"/>
          <w:b w:val="false"/>
          <w:strike/>
          <w:color w:val="FF0000"/>
          <w:sz w:val="24"/>
        </w:rPr>
        <w:t>57</w:t>
      </w:r>
      <w:r>
        <w:rPr>
          <w:rFonts w:ascii="Times New Roman;sans-serif" w:hAnsi="Times New Roman;sans-serif"/>
          <w:b/>
          <w:color w:val="0000FF"/>
          <w:sz w:val="24"/>
          <w:u w:val="single"/>
        </w:rPr>
        <w:t>56</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1.05.    Exchange Rates    </w:t>
      </w:r>
      <w:r>
        <w:rPr>
          <w:rFonts w:ascii="Times New Roman;sans-serif" w:hAnsi="Times New Roman;sans-serif"/>
          <w:b w:val="false"/>
          <w:strike/>
          <w:color w:val="FF0000"/>
          <w:sz w:val="24"/>
        </w:rPr>
        <w:t>58</w:t>
      </w:r>
      <w:r>
        <w:rPr>
          <w:rFonts w:ascii="Times New Roman;sans-serif" w:hAnsi="Times New Roman;sans-serif"/>
          <w:b/>
          <w:color w:val="0000FF"/>
          <w:sz w:val="24"/>
          <w:u w:val="single"/>
        </w:rPr>
        <w:t>56</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1.06.    Letter of Credit Amounts    </w:t>
      </w:r>
      <w:r>
        <w:rPr>
          <w:rFonts w:ascii="Times New Roman;sans-serif" w:hAnsi="Times New Roman;sans-serif"/>
          <w:b w:val="false"/>
          <w:strike/>
          <w:color w:val="FF0000"/>
          <w:sz w:val="24"/>
        </w:rPr>
        <w:t>58</w:t>
      </w:r>
      <w:r>
        <w:rPr>
          <w:rFonts w:ascii="Times New Roman;sans-serif" w:hAnsi="Times New Roman;sans-serif"/>
          <w:b/>
          <w:color w:val="0000FF"/>
          <w:sz w:val="24"/>
          <w:u w:val="single"/>
        </w:rPr>
        <w:t>57</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1.07.    Divisions    </w:t>
      </w:r>
      <w:r>
        <w:rPr>
          <w:rFonts w:ascii="Times New Roman;sans-serif" w:hAnsi="Times New Roman;sans-serif"/>
          <w:b w:val="false"/>
          <w:strike/>
          <w:color w:val="FF0000"/>
          <w:sz w:val="24"/>
        </w:rPr>
        <w:t>58</w:t>
      </w:r>
      <w:r>
        <w:rPr>
          <w:rFonts w:ascii="Times New Roman;sans-serif" w:hAnsi="Times New Roman;sans-serif"/>
          <w:b/>
          <w:color w:val="0000FF"/>
          <w:sz w:val="24"/>
          <w:u w:val="single"/>
        </w:rPr>
        <w:t>57</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 xml:space="preserve">SECTION 1.08.    Interest Rates; </w:t>
      </w:r>
      <w:r>
        <w:rPr>
          <w:rFonts w:ascii="Times New Roman;sans-serif" w:hAnsi="Times New Roman;sans-serif"/>
          <w:b w:val="false"/>
          <w:strike/>
          <w:color w:val="FF0000"/>
          <w:sz w:val="24"/>
        </w:rPr>
        <w:t>LIBOR</w:t>
      </w:r>
      <w:r>
        <w:rPr>
          <w:rFonts w:ascii="Times New Roman;sans-serif" w:hAnsi="Times New Roman;sans-serif"/>
          <w:b/>
          <w:color w:val="0000FF"/>
          <w:sz w:val="24"/>
          <w:u w:val="single"/>
        </w:rPr>
        <w:t>Benchmark</w:t>
      </w:r>
      <w:r>
        <w:rPr>
          <w:color w:val="000000"/>
        </w:rPr>
        <w:t xml:space="preserve"> </w:t>
      </w:r>
      <w:r>
        <w:rPr>
          <w:rFonts w:ascii="Times New Roman;sans-serif" w:hAnsi="Times New Roman;sans-serif"/>
          <w:b w:val="false"/>
          <w:color w:val="000000"/>
          <w:sz w:val="24"/>
        </w:rPr>
        <w:t>Notification    </w:t>
      </w:r>
      <w:r>
        <w:rPr>
          <w:rFonts w:ascii="Times New Roman;sans-serif" w:hAnsi="Times New Roman;sans-serif"/>
          <w:b w:val="false"/>
          <w:strike/>
          <w:color w:val="FF0000"/>
          <w:sz w:val="24"/>
        </w:rPr>
        <w:t>59</w:t>
      </w:r>
      <w:r>
        <w:rPr>
          <w:rFonts w:ascii="Times New Roman;sans-serif" w:hAnsi="Times New Roman;sans-serif"/>
          <w:b/>
          <w:color w:val="0000FF"/>
          <w:sz w:val="24"/>
          <w:u w:val="single"/>
        </w:rPr>
        <w:t>57</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w:t>
        <w:br/>
        <w:br/>
        <w:t>THE CREDITS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2.01.    Commitments    </w:t>
      </w:r>
      <w:r>
        <w:rPr>
          <w:rFonts w:ascii="Times New Roman;sans-serif" w:hAnsi="Times New Roman;sans-serif"/>
          <w:b w:val="false"/>
          <w:strike/>
          <w:color w:val="FF0000"/>
          <w:sz w:val="24"/>
        </w:rPr>
        <w:t>60</w:t>
      </w:r>
      <w:r>
        <w:rPr>
          <w:rFonts w:ascii="Times New Roman;sans-serif" w:hAnsi="Times New Roman;sans-serif"/>
          <w:b/>
          <w:color w:val="0000FF"/>
          <w:sz w:val="24"/>
          <w:u w:val="single"/>
        </w:rPr>
        <w:t>58</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2.02.    Loans and Borrowings    </w:t>
      </w:r>
      <w:r>
        <w:rPr>
          <w:rFonts w:ascii="Times New Roman;sans-serif" w:hAnsi="Times New Roman;sans-serif"/>
          <w:b w:val="false"/>
          <w:strike/>
          <w:color w:val="FF0000"/>
          <w:sz w:val="24"/>
        </w:rPr>
        <w:t>60</w:t>
      </w:r>
      <w:r>
        <w:rPr>
          <w:rFonts w:ascii="Times New Roman;sans-serif" w:hAnsi="Times New Roman;sans-serif"/>
          <w:b/>
          <w:color w:val="0000FF"/>
          <w:sz w:val="24"/>
          <w:u w:val="single"/>
        </w:rPr>
        <w:t>58</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2.03.    Requests for Borrowings    </w:t>
      </w:r>
      <w:r>
        <w:rPr>
          <w:rFonts w:ascii="Times New Roman;sans-serif" w:hAnsi="Times New Roman;sans-serif"/>
          <w:b w:val="false"/>
          <w:strike/>
          <w:color w:val="FF0000"/>
          <w:sz w:val="24"/>
        </w:rPr>
        <w:t>61</w:t>
      </w:r>
      <w:r>
        <w:rPr>
          <w:rFonts w:ascii="Times New Roman;sans-serif" w:hAnsi="Times New Roman;sans-serif"/>
          <w:b/>
          <w:color w:val="0000FF"/>
          <w:sz w:val="24"/>
          <w:u w:val="single"/>
        </w:rPr>
        <w:t>59</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2.04.    Protective Advances    </w:t>
      </w:r>
      <w:r>
        <w:rPr>
          <w:rFonts w:ascii="Times New Roman;sans-serif" w:hAnsi="Times New Roman;sans-serif"/>
          <w:b w:val="false"/>
          <w:strike/>
          <w:color w:val="FF0000"/>
          <w:sz w:val="24"/>
        </w:rPr>
        <w:t>62</w:t>
      </w:r>
      <w:r>
        <w:rPr>
          <w:rFonts w:ascii="Times New Roman;sans-serif" w:hAnsi="Times New Roman;sans-serif"/>
          <w:b/>
          <w:color w:val="0000FF"/>
          <w:sz w:val="24"/>
          <w:u w:val="single"/>
        </w:rPr>
        <w:t>60</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2.05.    Letters of Credit    </w:t>
      </w:r>
      <w:r>
        <w:rPr>
          <w:rFonts w:ascii="Times New Roman;sans-serif" w:hAnsi="Times New Roman;sans-serif"/>
          <w:b w:val="false"/>
          <w:strike/>
          <w:color w:val="FF0000"/>
          <w:sz w:val="24"/>
        </w:rPr>
        <w:t>63</w:t>
      </w:r>
      <w:r>
        <w:rPr>
          <w:rFonts w:ascii="Times New Roman;sans-serif" w:hAnsi="Times New Roman;sans-serif"/>
          <w:b/>
          <w:color w:val="0000FF"/>
          <w:sz w:val="24"/>
          <w:u w:val="single"/>
        </w:rPr>
        <w:t>61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2.06.    Funding of Borrowings    </w:t>
      </w:r>
      <w:r>
        <w:rPr>
          <w:rFonts w:ascii="Times New Roman;sans-serif" w:hAnsi="Times New Roman;sans-serif"/>
          <w:b w:val="false"/>
          <w:strike/>
          <w:color w:val="FF0000"/>
          <w:sz w:val="24"/>
        </w:rPr>
        <w:t>69</w:t>
      </w:r>
      <w:r>
        <w:rPr>
          <w:rFonts w:ascii="Times New Roman;sans-serif" w:hAnsi="Times New Roman;sans-serif"/>
          <w:b/>
          <w:color w:val="0000FF"/>
          <w:sz w:val="24"/>
          <w:u w:val="single"/>
        </w:rPr>
        <w:t>67</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2.07.    Interest Elections    </w:t>
      </w:r>
      <w:r>
        <w:rPr>
          <w:rFonts w:ascii="Times New Roman;sans-serif" w:hAnsi="Times New Roman;sans-serif"/>
          <w:b w:val="false"/>
          <w:strike/>
          <w:color w:val="FF0000"/>
          <w:sz w:val="24"/>
        </w:rPr>
        <w:t>70</w:t>
      </w:r>
      <w:r>
        <w:rPr>
          <w:rFonts w:ascii="Times New Roman;sans-serif" w:hAnsi="Times New Roman;sans-serif"/>
          <w:b/>
          <w:color w:val="0000FF"/>
          <w:sz w:val="24"/>
          <w:u w:val="single"/>
        </w:rPr>
        <w:t>68</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2.08.    Termination, Reduction and Increase of Commitments; Incremental Revolving Commitments    </w:t>
      </w:r>
      <w:r>
        <w:rPr>
          <w:rFonts w:ascii="Times New Roman;sans-serif" w:hAnsi="Times New Roman;sans-serif"/>
          <w:b w:val="false"/>
          <w:strike/>
          <w:color w:val="FF0000"/>
          <w:sz w:val="24"/>
        </w:rPr>
        <w:t>72</w:t>
      </w:r>
      <w:r>
        <w:rPr>
          <w:rFonts w:ascii="Times New Roman;sans-serif" w:hAnsi="Times New Roman;sans-serif"/>
          <w:b/>
          <w:color w:val="0000FF"/>
          <w:sz w:val="24"/>
          <w:u w:val="single"/>
        </w:rPr>
        <w:t>70</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2.09.    Repayment of Loans; Evidence of Indebtedness    </w:t>
      </w:r>
      <w:r>
        <w:rPr>
          <w:rFonts w:ascii="Times New Roman;sans-serif" w:hAnsi="Times New Roman;sans-serif"/>
          <w:b w:val="false"/>
          <w:strike/>
          <w:color w:val="FF0000"/>
          <w:sz w:val="24"/>
        </w:rPr>
        <w:t>74</w:t>
      </w:r>
      <w:r>
        <w:rPr>
          <w:rFonts w:ascii="Times New Roman;sans-serif" w:hAnsi="Times New Roman;sans-serif"/>
          <w:b/>
          <w:color w:val="0000FF"/>
          <w:sz w:val="24"/>
          <w:u w:val="single"/>
        </w:rPr>
        <w:t>72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2.10.    Prepayment of Loans    </w:t>
      </w:r>
      <w:r>
        <w:rPr>
          <w:rFonts w:ascii="Times New Roman;sans-serif" w:hAnsi="Times New Roman;sans-serif"/>
          <w:b w:val="false"/>
          <w:strike/>
          <w:color w:val="FF0000"/>
          <w:sz w:val="24"/>
        </w:rPr>
        <w:t>75</w:t>
      </w:r>
      <w:r>
        <w:rPr>
          <w:rFonts w:ascii="Times New Roman;sans-serif" w:hAnsi="Times New Roman;sans-serif"/>
          <w:b/>
          <w:color w:val="0000FF"/>
          <w:sz w:val="24"/>
          <w:u w:val="single"/>
        </w:rPr>
        <w:t>73</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2.11.    Fees    </w:t>
      </w:r>
      <w:r>
        <w:rPr>
          <w:rFonts w:ascii="Times New Roman;sans-serif" w:hAnsi="Times New Roman;sans-serif"/>
          <w:b w:val="false"/>
          <w:strike/>
          <w:color w:val="FF0000"/>
          <w:sz w:val="24"/>
        </w:rPr>
        <w:t>76</w:t>
      </w:r>
      <w:r>
        <w:rPr>
          <w:rFonts w:ascii="Times New Roman;sans-serif" w:hAnsi="Times New Roman;sans-serif"/>
          <w:b/>
          <w:color w:val="0000FF"/>
          <w:sz w:val="24"/>
          <w:u w:val="single"/>
        </w:rPr>
        <w:t>74</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2.12.    Interest    </w:t>
      </w:r>
      <w:r>
        <w:rPr>
          <w:rFonts w:ascii="Times New Roman;sans-serif" w:hAnsi="Times New Roman;sans-serif"/>
          <w:b w:val="false"/>
          <w:strike/>
          <w:color w:val="FF0000"/>
          <w:sz w:val="24"/>
        </w:rPr>
        <w:t>78</w:t>
      </w:r>
      <w:r>
        <w:rPr>
          <w:rFonts w:ascii="Times New Roman;sans-serif" w:hAnsi="Times New Roman;sans-serif"/>
          <w:b/>
          <w:color w:val="0000FF"/>
          <w:sz w:val="24"/>
          <w:u w:val="single"/>
        </w:rPr>
        <w:t>76</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2.13.    Alternate Rate of Interest    </w:t>
      </w:r>
      <w:r>
        <w:rPr>
          <w:rFonts w:ascii="Times New Roman;sans-serif" w:hAnsi="Times New Roman;sans-serif"/>
          <w:b w:val="false"/>
          <w:strike/>
          <w:color w:val="FF0000"/>
          <w:sz w:val="24"/>
        </w:rPr>
        <w:t>80</w:t>
      </w:r>
      <w:r>
        <w:rPr>
          <w:rFonts w:ascii="Times New Roman;sans-serif" w:hAnsi="Times New Roman;sans-serif"/>
          <w:b/>
          <w:color w:val="0000FF"/>
          <w:sz w:val="24"/>
          <w:u w:val="single"/>
        </w:rPr>
        <w:t>77</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2.14.    Increased Costs    </w:t>
      </w:r>
      <w:r>
        <w:rPr>
          <w:rFonts w:ascii="Times New Roman;sans-serif" w:hAnsi="Times New Roman;sans-serif"/>
          <w:b w:val="false"/>
          <w:strike/>
          <w:color w:val="FF0000"/>
          <w:sz w:val="24"/>
        </w:rPr>
        <w:t>83</w:t>
      </w:r>
      <w:r>
        <w:rPr>
          <w:rFonts w:ascii="Times New Roman;sans-serif" w:hAnsi="Times New Roman;sans-serif"/>
          <w:b/>
          <w:color w:val="0000FF"/>
          <w:sz w:val="24"/>
          <w:u w:val="single"/>
        </w:rPr>
        <w:t>80</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2.15.    Break Funding Payments    </w:t>
      </w:r>
      <w:r>
        <w:rPr>
          <w:rFonts w:ascii="Times New Roman;sans-serif" w:hAnsi="Times New Roman;sans-serif"/>
          <w:b w:val="false"/>
          <w:strike/>
          <w:color w:val="FF0000"/>
          <w:sz w:val="24"/>
        </w:rPr>
        <w:t>84</w:t>
      </w:r>
      <w:r>
        <w:rPr>
          <w:rFonts w:ascii="Times New Roman;sans-serif" w:hAnsi="Times New Roman;sans-serif"/>
          <w:b/>
          <w:color w:val="0000FF"/>
          <w:sz w:val="24"/>
          <w:u w:val="single"/>
        </w:rPr>
        <w:t>81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2.16.    Taxes    </w:t>
      </w:r>
      <w:r>
        <w:rPr>
          <w:rFonts w:ascii="Times New Roman;sans-serif" w:hAnsi="Times New Roman;sans-serif"/>
          <w:b w:val="false"/>
          <w:strike/>
          <w:color w:val="FF0000"/>
          <w:sz w:val="24"/>
        </w:rPr>
        <w:t>85</w:t>
      </w:r>
      <w:r>
        <w:rPr>
          <w:rFonts w:ascii="Times New Roman;sans-serif" w:hAnsi="Times New Roman;sans-serif"/>
          <w:b/>
          <w:color w:val="0000FF"/>
          <w:sz w:val="24"/>
          <w:u w:val="single"/>
        </w:rPr>
        <w:t>82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2.17.    Payments Generally; Pro Rata Treatment; Sharing of Set-offs    </w:t>
      </w:r>
      <w:r>
        <w:rPr>
          <w:rFonts w:ascii="Times New Roman;sans-serif" w:hAnsi="Times New Roman;sans-serif"/>
          <w:b w:val="false"/>
          <w:strike/>
          <w:color w:val="FF0000"/>
          <w:sz w:val="24"/>
        </w:rPr>
        <w:t>88</w:t>
      </w:r>
      <w:r>
        <w:rPr>
          <w:rFonts w:ascii="Times New Roman;sans-serif" w:hAnsi="Times New Roman;sans-serif"/>
          <w:b/>
          <w:color w:val="0000FF"/>
          <w:sz w:val="24"/>
          <w:u w:val="single"/>
        </w:rPr>
        <w:t>85</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2.18.    Mitigation Obligations; Replacement of Lenders    </w:t>
      </w:r>
      <w:r>
        <w:rPr>
          <w:rFonts w:ascii="Times New Roman;sans-serif" w:hAnsi="Times New Roman;sans-serif"/>
          <w:b w:val="false"/>
          <w:strike/>
          <w:color w:val="FF0000"/>
          <w:sz w:val="24"/>
        </w:rPr>
        <w:t>90</w:t>
      </w:r>
      <w:r>
        <w:rPr>
          <w:rFonts w:ascii="Times New Roman;sans-serif" w:hAnsi="Times New Roman;sans-serif"/>
          <w:b/>
          <w:color w:val="0000FF"/>
          <w:sz w:val="24"/>
          <w:u w:val="single"/>
        </w:rPr>
        <w:t>87</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2.19.    Defaulting Lenders    </w:t>
      </w:r>
      <w:r>
        <w:rPr>
          <w:rFonts w:ascii="Times New Roman;sans-serif" w:hAnsi="Times New Roman;sans-serif"/>
          <w:b w:val="false"/>
          <w:strike/>
          <w:color w:val="FF0000"/>
          <w:sz w:val="24"/>
        </w:rPr>
        <w:t>92</w:t>
      </w:r>
      <w:r>
        <w:rPr>
          <w:rFonts w:ascii="Times New Roman;sans-serif" w:hAnsi="Times New Roman;sans-serif"/>
          <w:b/>
          <w:color w:val="0000FF"/>
          <w:sz w:val="24"/>
          <w:u w:val="single"/>
        </w:rPr>
        <w:t>89</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2.20.    Additional Borrowers; Borrowing Subsidiary Terminations    </w:t>
      </w:r>
      <w:r>
        <w:rPr>
          <w:rFonts w:ascii="Times New Roman;sans-serif" w:hAnsi="Times New Roman;sans-serif"/>
          <w:b w:val="false"/>
          <w:strike/>
          <w:color w:val="FF0000"/>
          <w:sz w:val="24"/>
        </w:rPr>
        <w:t>93</w:t>
      </w:r>
      <w:r>
        <w:rPr>
          <w:rFonts w:ascii="Times New Roman;sans-serif" w:hAnsi="Times New Roman;sans-serif"/>
          <w:b/>
          <w:color w:val="0000FF"/>
          <w:sz w:val="24"/>
          <w:u w:val="single"/>
        </w:rPr>
        <w:t>90</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2.21.    Canadian Borrower Costs    </w:t>
      </w:r>
      <w:r>
        <w:rPr>
          <w:rFonts w:ascii="Times New Roman;sans-serif" w:hAnsi="Times New Roman;sans-serif"/>
          <w:b w:val="false"/>
          <w:strike/>
          <w:color w:val="FF0000"/>
          <w:sz w:val="24"/>
        </w:rPr>
        <w:t>94</w:t>
      </w:r>
      <w:r>
        <w:rPr>
          <w:rFonts w:ascii="Times New Roman;sans-serif" w:hAnsi="Times New Roman;sans-serif"/>
          <w:b/>
          <w:color w:val="0000FF"/>
          <w:sz w:val="24"/>
          <w:u w:val="single"/>
        </w:rPr>
        <w:t>91</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w:t>
        <w:br/>
        <w:br/>
        <w:t>REPRESENTATIONS AND WARRANTIES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3.01.    Corporate Existence and Power    </w:t>
      </w:r>
      <w:r>
        <w:rPr>
          <w:rFonts w:ascii="Times New Roman;sans-serif" w:hAnsi="Times New Roman;sans-serif"/>
          <w:b w:val="false"/>
          <w:strike/>
          <w:color w:val="FF0000"/>
          <w:sz w:val="24"/>
        </w:rPr>
        <w:t>94</w:t>
      </w:r>
      <w:r>
        <w:rPr>
          <w:rFonts w:ascii="Times New Roman;sans-serif" w:hAnsi="Times New Roman;sans-serif"/>
          <w:b/>
          <w:color w:val="0000FF"/>
          <w:sz w:val="24"/>
          <w:u w:val="single"/>
        </w:rPr>
        <w:t>91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3.02.    Corporate and Governmental Authorization; No Contravention    </w:t>
      </w:r>
      <w:r>
        <w:rPr>
          <w:rFonts w:ascii="Times New Roman;sans-serif" w:hAnsi="Times New Roman;sans-serif"/>
          <w:b w:val="false"/>
          <w:strike/>
          <w:color w:val="FF0000"/>
          <w:sz w:val="24"/>
        </w:rPr>
        <w:t>95</w:t>
      </w:r>
      <w:r>
        <w:rPr>
          <w:rFonts w:ascii="Times New Roman;sans-serif" w:hAnsi="Times New Roman;sans-serif"/>
          <w:b/>
          <w:color w:val="0000FF"/>
          <w:sz w:val="24"/>
          <w:u w:val="single"/>
        </w:rPr>
        <w:t>92</w:t>
      </w:r>
    </w:p>
    <w:p>
      <w:pPr>
        <w:pStyle w:val="TextBody"/>
        <w:bidi w:val="0"/>
        <w:spacing w:lineRule="auto" w:line="240"/>
        <w:ind w:left="0" w:right="0" w:hanging="2160"/>
        <w:jc w:val="left"/>
        <w:rPr/>
      </w:pPr>
      <w:r>
        <w:rPr>
          <w:rFonts w:ascii="Times New Roman;sans-serif" w:hAnsi="Times New Roman;sans-serif"/>
          <w:b w:val="false"/>
          <w:color w:val="000000"/>
          <w:sz w:val="24"/>
        </w:rPr>
        <w:t>SECTION 3.03.    Binding Effect    </w:t>
      </w:r>
      <w:r>
        <w:rPr>
          <w:rFonts w:ascii="Times New Roman;sans-serif" w:hAnsi="Times New Roman;sans-serif"/>
          <w:b w:val="false"/>
          <w:strike/>
          <w:color w:val="FF0000"/>
          <w:sz w:val="24"/>
        </w:rPr>
        <w:t>95</w:t>
      </w:r>
      <w:r>
        <w:rPr>
          <w:rFonts w:ascii="Times New Roman;sans-serif" w:hAnsi="Times New Roman;sans-serif"/>
          <w:b/>
          <w:color w:val="0000FF"/>
          <w:sz w:val="24"/>
          <w:u w:val="single"/>
        </w:rPr>
        <w:t>92</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77495"/>
                <wp:effectExtent l="0" t="0" r="0" b="0"/>
                <wp:wrapNone/>
                <wp:docPr id="210" name="Frame21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3.04.    Financial Information    </w:t>
      </w:r>
      <w:r>
        <w:rPr>
          <w:rFonts w:ascii="Times New Roman;sans-serif" w:hAnsi="Times New Roman;sans-serif"/>
          <w:b w:val="false"/>
          <w:strike/>
          <w:color w:val="FF0000"/>
          <w:sz w:val="24"/>
        </w:rPr>
        <w:t>95</w:t>
      </w:r>
      <w:r>
        <w:rPr>
          <w:rFonts w:ascii="Times New Roman;sans-serif" w:hAnsi="Times New Roman;sans-serif"/>
          <w:b/>
          <w:color w:val="0000FF"/>
          <w:sz w:val="24"/>
          <w:u w:val="single"/>
        </w:rPr>
        <w:t>92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3.05.    Litigation and Environmental Matters    </w:t>
      </w:r>
      <w:r>
        <w:rPr>
          <w:rFonts w:ascii="Times New Roman;sans-serif" w:hAnsi="Times New Roman;sans-serif"/>
          <w:b w:val="false"/>
          <w:strike/>
          <w:color w:val="FF0000"/>
          <w:sz w:val="24"/>
        </w:rPr>
        <w:t>95</w:t>
      </w:r>
      <w:r>
        <w:rPr>
          <w:rFonts w:ascii="Times New Roman;sans-serif" w:hAnsi="Times New Roman;sans-serif"/>
          <w:b/>
          <w:color w:val="0000FF"/>
          <w:sz w:val="24"/>
          <w:u w:val="single"/>
        </w:rPr>
        <w:t>92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3.06.    Anti-Corruption Laws and Sanctions    </w:t>
      </w:r>
      <w:r>
        <w:rPr>
          <w:rFonts w:ascii="Times New Roman;sans-serif" w:hAnsi="Times New Roman;sans-serif"/>
          <w:b w:val="false"/>
          <w:strike/>
          <w:color w:val="FF0000"/>
          <w:sz w:val="24"/>
        </w:rPr>
        <w:t>96</w:t>
      </w:r>
      <w:r>
        <w:rPr>
          <w:rFonts w:ascii="Times New Roman;sans-serif" w:hAnsi="Times New Roman;sans-serif"/>
          <w:b/>
          <w:color w:val="0000FF"/>
          <w:sz w:val="24"/>
          <w:u w:val="single"/>
        </w:rPr>
        <w:t>93</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3.07.    Subsidiaries    </w:t>
      </w:r>
      <w:r>
        <w:rPr>
          <w:rFonts w:ascii="Times New Roman;sans-serif" w:hAnsi="Times New Roman;sans-serif"/>
          <w:b w:val="false"/>
          <w:strike/>
          <w:color w:val="FF0000"/>
          <w:sz w:val="24"/>
        </w:rPr>
        <w:t>96</w:t>
      </w:r>
      <w:r>
        <w:rPr>
          <w:rFonts w:ascii="Times New Roman;sans-serif" w:hAnsi="Times New Roman;sans-serif"/>
          <w:b/>
          <w:color w:val="0000FF"/>
          <w:sz w:val="24"/>
          <w:u w:val="single"/>
        </w:rPr>
        <w:t>93</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3.08.    Not an Investment Company    </w:t>
      </w:r>
      <w:r>
        <w:rPr>
          <w:rFonts w:ascii="Times New Roman;sans-serif" w:hAnsi="Times New Roman;sans-serif"/>
          <w:b w:val="false"/>
          <w:strike/>
          <w:color w:val="FF0000"/>
          <w:sz w:val="24"/>
        </w:rPr>
        <w:t>97</w:t>
      </w:r>
      <w:r>
        <w:rPr>
          <w:rFonts w:ascii="Times New Roman;sans-serif" w:hAnsi="Times New Roman;sans-serif"/>
          <w:b/>
          <w:color w:val="0000FF"/>
          <w:sz w:val="24"/>
          <w:u w:val="single"/>
        </w:rPr>
        <w:t>94</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3.09.    ERISA    </w:t>
      </w:r>
      <w:r>
        <w:rPr>
          <w:rFonts w:ascii="Times New Roman;sans-serif" w:hAnsi="Times New Roman;sans-serif"/>
          <w:b w:val="false"/>
          <w:strike/>
          <w:color w:val="FF0000"/>
          <w:sz w:val="24"/>
        </w:rPr>
        <w:t>97</w:t>
      </w:r>
      <w:r>
        <w:rPr>
          <w:rFonts w:ascii="Times New Roman;sans-serif" w:hAnsi="Times New Roman;sans-serif"/>
          <w:b/>
          <w:color w:val="0000FF"/>
          <w:sz w:val="24"/>
          <w:u w:val="single"/>
        </w:rPr>
        <w:t>94</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3.10.    Taxes    </w:t>
      </w:r>
      <w:r>
        <w:rPr>
          <w:rFonts w:ascii="Times New Roman;sans-serif" w:hAnsi="Times New Roman;sans-serif"/>
          <w:b w:val="false"/>
          <w:strike/>
          <w:color w:val="FF0000"/>
          <w:sz w:val="24"/>
        </w:rPr>
        <w:t>98</w:t>
      </w:r>
      <w:r>
        <w:rPr>
          <w:rFonts w:ascii="Times New Roman;sans-serif" w:hAnsi="Times New Roman;sans-serif"/>
          <w:b/>
          <w:color w:val="0000FF"/>
          <w:sz w:val="24"/>
          <w:u w:val="single"/>
        </w:rPr>
        <w:t>95</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3.11.    Disclosure    </w:t>
      </w:r>
      <w:r>
        <w:rPr>
          <w:rFonts w:ascii="Times New Roman;sans-serif" w:hAnsi="Times New Roman;sans-serif"/>
          <w:b w:val="false"/>
          <w:strike/>
          <w:color w:val="FF0000"/>
          <w:sz w:val="24"/>
        </w:rPr>
        <w:t>98</w:t>
      </w:r>
      <w:r>
        <w:rPr>
          <w:rFonts w:ascii="Times New Roman;sans-serif" w:hAnsi="Times New Roman;sans-serif"/>
          <w:b/>
          <w:color w:val="0000FF"/>
          <w:sz w:val="24"/>
          <w:u w:val="single"/>
        </w:rPr>
        <w:t>95</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3.12.    Credit Card Agreements    </w:t>
      </w:r>
      <w:r>
        <w:rPr>
          <w:rFonts w:ascii="Times New Roman;sans-serif" w:hAnsi="Times New Roman;sans-serif"/>
          <w:b w:val="false"/>
          <w:strike/>
          <w:color w:val="FF0000"/>
          <w:sz w:val="24"/>
        </w:rPr>
        <w:t>98</w:t>
      </w:r>
      <w:r>
        <w:rPr>
          <w:rFonts w:ascii="Times New Roman;sans-serif" w:hAnsi="Times New Roman;sans-serif"/>
          <w:b/>
          <w:color w:val="0000FF"/>
          <w:sz w:val="24"/>
          <w:u w:val="single"/>
        </w:rPr>
        <w:t>95</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IV</w:t>
        <w:br/>
        <w:br/>
        <w:t>CONDITIONS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4.01.    Conditions Precedent to Effectiveness    </w:t>
      </w:r>
      <w:r>
        <w:rPr>
          <w:rFonts w:ascii="Times New Roman;sans-serif" w:hAnsi="Times New Roman;sans-serif"/>
          <w:b w:val="false"/>
          <w:strike/>
          <w:color w:val="FF0000"/>
          <w:sz w:val="24"/>
        </w:rPr>
        <w:t>98</w:t>
      </w:r>
      <w:r>
        <w:rPr>
          <w:rFonts w:ascii="Times New Roman;sans-serif" w:hAnsi="Times New Roman;sans-serif"/>
          <w:b/>
          <w:color w:val="0000FF"/>
          <w:sz w:val="24"/>
          <w:u w:val="single"/>
        </w:rPr>
        <w:t>95</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4.02.    Each Credit Event    </w:t>
      </w:r>
      <w:r>
        <w:rPr>
          <w:rFonts w:ascii="Times New Roman;sans-serif" w:hAnsi="Times New Roman;sans-serif"/>
          <w:b w:val="false"/>
          <w:strike/>
          <w:color w:val="FF0000"/>
          <w:sz w:val="24"/>
        </w:rPr>
        <w:t>100</w:t>
      </w:r>
      <w:r>
        <w:rPr>
          <w:rFonts w:ascii="Times New Roman;sans-serif" w:hAnsi="Times New Roman;sans-serif"/>
          <w:b/>
          <w:color w:val="0000FF"/>
          <w:sz w:val="24"/>
          <w:u w:val="single"/>
        </w:rPr>
        <w:t>97</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w:t>
        <w:br/>
        <w:br/>
        <w:t>COVENANTS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5.01.    Information    </w:t>
      </w:r>
      <w:r>
        <w:rPr>
          <w:rFonts w:ascii="Times New Roman;sans-serif" w:hAnsi="Times New Roman;sans-serif"/>
          <w:b w:val="false"/>
          <w:strike/>
          <w:color w:val="FF0000"/>
          <w:sz w:val="24"/>
        </w:rPr>
        <w:t>101</w:t>
      </w:r>
      <w:r>
        <w:rPr>
          <w:rFonts w:ascii="Times New Roman;sans-serif" w:hAnsi="Times New Roman;sans-serif"/>
          <w:b/>
          <w:color w:val="0000FF"/>
          <w:sz w:val="24"/>
          <w:u w:val="single"/>
        </w:rPr>
        <w:t>98</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5.02.    Maintenance of Properties    </w:t>
      </w:r>
      <w:r>
        <w:rPr>
          <w:rFonts w:ascii="Times New Roman;sans-serif" w:hAnsi="Times New Roman;sans-serif"/>
          <w:b w:val="false"/>
          <w:strike/>
          <w:color w:val="FF0000"/>
          <w:sz w:val="24"/>
        </w:rPr>
        <w:t>104</w:t>
      </w:r>
      <w:r>
        <w:rPr>
          <w:rFonts w:ascii="Times New Roman;sans-serif" w:hAnsi="Times New Roman;sans-serif"/>
          <w:b/>
          <w:color w:val="0000FF"/>
          <w:sz w:val="24"/>
          <w:u w:val="single"/>
        </w:rPr>
        <w:t>101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5.03.    Maintenance of Insurance    </w:t>
      </w:r>
      <w:r>
        <w:rPr>
          <w:rFonts w:ascii="Times New Roman;sans-serif" w:hAnsi="Times New Roman;sans-serif"/>
          <w:b w:val="false"/>
          <w:strike/>
          <w:color w:val="FF0000"/>
          <w:sz w:val="24"/>
        </w:rPr>
        <w:t>104</w:t>
      </w:r>
      <w:r>
        <w:rPr>
          <w:rFonts w:ascii="Times New Roman;sans-serif" w:hAnsi="Times New Roman;sans-serif"/>
          <w:b/>
          <w:color w:val="0000FF"/>
          <w:sz w:val="24"/>
          <w:u w:val="single"/>
        </w:rPr>
        <w:t>101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5.04.    Preservation of Corporate Existence    </w:t>
      </w:r>
      <w:r>
        <w:rPr>
          <w:rFonts w:ascii="Times New Roman;sans-serif" w:hAnsi="Times New Roman;sans-serif"/>
          <w:b w:val="false"/>
          <w:strike/>
          <w:color w:val="FF0000"/>
          <w:sz w:val="24"/>
        </w:rPr>
        <w:t>104</w:t>
      </w:r>
      <w:r>
        <w:rPr>
          <w:rFonts w:ascii="Times New Roman;sans-serif" w:hAnsi="Times New Roman;sans-serif"/>
          <w:b/>
          <w:color w:val="0000FF"/>
          <w:sz w:val="24"/>
          <w:u w:val="single"/>
        </w:rPr>
        <w:t>101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5.05.    Inspection of Property, Books and Records    </w:t>
      </w:r>
      <w:r>
        <w:rPr>
          <w:rFonts w:ascii="Times New Roman;sans-serif" w:hAnsi="Times New Roman;sans-serif"/>
          <w:b w:val="false"/>
          <w:strike/>
          <w:color w:val="FF0000"/>
          <w:sz w:val="24"/>
        </w:rPr>
        <w:t>105</w:t>
      </w:r>
      <w:r>
        <w:rPr>
          <w:rFonts w:ascii="Times New Roman;sans-serif" w:hAnsi="Times New Roman;sans-serif"/>
          <w:b/>
          <w:color w:val="0000FF"/>
          <w:sz w:val="24"/>
          <w:u w:val="single"/>
        </w:rPr>
        <w:t>102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5.06.    Fixed Charge Coverage Ratio    </w:t>
      </w:r>
      <w:r>
        <w:rPr>
          <w:rFonts w:ascii="Times New Roman;sans-serif" w:hAnsi="Times New Roman;sans-serif"/>
          <w:b w:val="false"/>
          <w:strike/>
          <w:color w:val="FF0000"/>
          <w:sz w:val="24"/>
        </w:rPr>
        <w:t>105</w:t>
      </w:r>
      <w:r>
        <w:rPr>
          <w:rFonts w:ascii="Times New Roman;sans-serif" w:hAnsi="Times New Roman;sans-serif"/>
          <w:b/>
          <w:color w:val="0000FF"/>
          <w:sz w:val="24"/>
          <w:u w:val="single"/>
        </w:rPr>
        <w:t>102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5.07.    [Reserved.]    </w:t>
      </w:r>
      <w:r>
        <w:rPr>
          <w:rFonts w:ascii="Times New Roman;sans-serif" w:hAnsi="Times New Roman;sans-serif"/>
          <w:b w:val="false"/>
          <w:strike/>
          <w:color w:val="FF0000"/>
          <w:sz w:val="24"/>
        </w:rPr>
        <w:t>105</w:t>
      </w:r>
      <w:r>
        <w:rPr>
          <w:rFonts w:ascii="Times New Roman;sans-serif" w:hAnsi="Times New Roman;sans-serif"/>
          <w:b/>
          <w:color w:val="0000FF"/>
          <w:sz w:val="24"/>
          <w:u w:val="single"/>
        </w:rPr>
        <w:t>102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5.08.    Limitation on Liens    </w:t>
      </w:r>
      <w:r>
        <w:rPr>
          <w:rFonts w:ascii="Times New Roman;sans-serif" w:hAnsi="Times New Roman;sans-serif"/>
          <w:b w:val="false"/>
          <w:strike/>
          <w:color w:val="FF0000"/>
          <w:sz w:val="24"/>
        </w:rPr>
        <w:t>105</w:t>
      </w:r>
      <w:r>
        <w:rPr>
          <w:rFonts w:ascii="Times New Roman;sans-serif" w:hAnsi="Times New Roman;sans-serif"/>
          <w:b/>
          <w:color w:val="0000FF"/>
          <w:sz w:val="24"/>
          <w:u w:val="single"/>
        </w:rPr>
        <w:t>102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5.09.    Compliance with Laws    </w:t>
      </w:r>
      <w:r>
        <w:rPr>
          <w:rFonts w:ascii="Times New Roman;sans-serif" w:hAnsi="Times New Roman;sans-serif"/>
          <w:b w:val="false"/>
          <w:strike/>
          <w:color w:val="FF0000"/>
          <w:sz w:val="24"/>
        </w:rPr>
        <w:t>106</w:t>
      </w:r>
      <w:r>
        <w:rPr>
          <w:rFonts w:ascii="Times New Roman;sans-serif" w:hAnsi="Times New Roman;sans-serif"/>
          <w:b/>
          <w:color w:val="0000FF"/>
          <w:sz w:val="24"/>
          <w:u w:val="single"/>
        </w:rPr>
        <w:t>103</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5.10.    Limitations on Indebtedness    </w:t>
      </w:r>
      <w:r>
        <w:rPr>
          <w:rFonts w:ascii="Times New Roman;sans-serif" w:hAnsi="Times New Roman;sans-serif"/>
          <w:b w:val="false"/>
          <w:strike/>
          <w:color w:val="FF0000"/>
          <w:sz w:val="24"/>
        </w:rPr>
        <w:t>107</w:t>
      </w:r>
      <w:r>
        <w:rPr>
          <w:rFonts w:ascii="Times New Roman;sans-serif" w:hAnsi="Times New Roman;sans-serif"/>
          <w:b/>
          <w:color w:val="0000FF"/>
          <w:sz w:val="24"/>
          <w:u w:val="single"/>
        </w:rPr>
        <w:t>104</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5.11.    Transactions with Affiliates    </w:t>
      </w:r>
      <w:r>
        <w:rPr>
          <w:rFonts w:ascii="Times New Roman;sans-serif" w:hAnsi="Times New Roman;sans-serif"/>
          <w:b w:val="false"/>
          <w:strike/>
          <w:color w:val="FF0000"/>
          <w:sz w:val="24"/>
        </w:rPr>
        <w:t>108</w:t>
      </w:r>
      <w:r>
        <w:rPr>
          <w:rFonts w:ascii="Times New Roman;sans-serif" w:hAnsi="Times New Roman;sans-serif"/>
          <w:b/>
          <w:color w:val="0000FF"/>
          <w:sz w:val="24"/>
          <w:u w:val="single"/>
        </w:rPr>
        <w:t>105</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5.12.    Consolidations, Mergers    </w:t>
      </w:r>
      <w:r>
        <w:rPr>
          <w:rFonts w:ascii="Times New Roman;sans-serif" w:hAnsi="Times New Roman;sans-serif"/>
          <w:b w:val="false"/>
          <w:strike/>
          <w:color w:val="FF0000"/>
          <w:sz w:val="24"/>
        </w:rPr>
        <w:t>109</w:t>
      </w:r>
      <w:r>
        <w:rPr>
          <w:rFonts w:ascii="Times New Roman;sans-serif" w:hAnsi="Times New Roman;sans-serif"/>
          <w:b/>
          <w:color w:val="0000FF"/>
          <w:sz w:val="24"/>
          <w:u w:val="single"/>
        </w:rPr>
        <w:t>106</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5.13.    Sales of Assets    </w:t>
      </w:r>
      <w:r>
        <w:rPr>
          <w:rFonts w:ascii="Times New Roman;sans-serif" w:hAnsi="Times New Roman;sans-serif"/>
          <w:b w:val="false"/>
          <w:strike/>
          <w:color w:val="FF0000"/>
          <w:sz w:val="24"/>
        </w:rPr>
        <w:t>109</w:t>
      </w:r>
      <w:r>
        <w:rPr>
          <w:rFonts w:ascii="Times New Roman;sans-serif" w:hAnsi="Times New Roman;sans-serif"/>
          <w:b/>
          <w:color w:val="0000FF"/>
          <w:sz w:val="24"/>
          <w:u w:val="single"/>
        </w:rPr>
        <w:t>106</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5.14.    Use of Proceeds    </w:t>
      </w:r>
      <w:r>
        <w:rPr>
          <w:rFonts w:ascii="Times New Roman;sans-serif" w:hAnsi="Times New Roman;sans-serif"/>
          <w:b w:val="false"/>
          <w:strike/>
          <w:color w:val="FF0000"/>
          <w:sz w:val="24"/>
        </w:rPr>
        <w:t>111</w:t>
      </w:r>
      <w:r>
        <w:rPr>
          <w:rFonts w:ascii="Times New Roman;sans-serif" w:hAnsi="Times New Roman;sans-serif"/>
          <w:b/>
          <w:color w:val="0000FF"/>
          <w:sz w:val="24"/>
          <w:u w:val="single"/>
        </w:rPr>
        <w:t>108</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5.15.    Information Regarding Collateral; Deposit and Securities Accounts    </w:t>
      </w:r>
      <w:r>
        <w:rPr>
          <w:rFonts w:ascii="Times New Roman;sans-serif" w:hAnsi="Times New Roman;sans-serif"/>
          <w:b w:val="false"/>
          <w:strike/>
          <w:color w:val="FF0000"/>
          <w:sz w:val="24"/>
        </w:rPr>
        <w:t>111</w:t>
      </w:r>
      <w:r>
        <w:rPr>
          <w:rFonts w:ascii="Times New Roman;sans-serif" w:hAnsi="Times New Roman;sans-serif"/>
          <w:b/>
          <w:color w:val="0000FF"/>
          <w:sz w:val="24"/>
          <w:u w:val="single"/>
        </w:rPr>
        <w:t>108</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5.16.    Collateral and Guarantee Requirement    </w:t>
      </w:r>
      <w:r>
        <w:rPr>
          <w:rFonts w:ascii="Times New Roman;sans-serif" w:hAnsi="Times New Roman;sans-serif"/>
          <w:b w:val="false"/>
          <w:strike/>
          <w:color w:val="FF0000"/>
          <w:sz w:val="24"/>
        </w:rPr>
        <w:t>112</w:t>
      </w:r>
      <w:r>
        <w:rPr>
          <w:rFonts w:ascii="Times New Roman;sans-serif" w:hAnsi="Times New Roman;sans-serif"/>
          <w:b/>
          <w:color w:val="0000FF"/>
          <w:sz w:val="24"/>
          <w:u w:val="single"/>
        </w:rPr>
        <w:t>109</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5.17.    Investments    </w:t>
      </w:r>
      <w:r>
        <w:rPr>
          <w:rFonts w:ascii="Times New Roman;sans-serif" w:hAnsi="Times New Roman;sans-serif"/>
          <w:b w:val="false"/>
          <w:strike/>
          <w:color w:val="FF0000"/>
          <w:sz w:val="24"/>
        </w:rPr>
        <w:t>112</w:t>
      </w:r>
      <w:r>
        <w:rPr>
          <w:rFonts w:ascii="Times New Roman;sans-serif" w:hAnsi="Times New Roman;sans-serif"/>
          <w:b/>
          <w:color w:val="0000FF"/>
          <w:sz w:val="24"/>
          <w:u w:val="single"/>
        </w:rPr>
        <w:t>109</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5.18.    Restricted Payments    </w:t>
      </w:r>
      <w:r>
        <w:rPr>
          <w:rFonts w:ascii="Times New Roman;sans-serif" w:hAnsi="Times New Roman;sans-serif"/>
          <w:b w:val="false"/>
          <w:strike/>
          <w:color w:val="FF0000"/>
          <w:sz w:val="24"/>
        </w:rPr>
        <w:t>113</w:t>
      </w:r>
      <w:r>
        <w:rPr>
          <w:rFonts w:ascii="Times New Roman;sans-serif" w:hAnsi="Times New Roman;sans-serif"/>
          <w:b/>
          <w:color w:val="0000FF"/>
          <w:sz w:val="24"/>
          <w:u w:val="single"/>
        </w:rPr>
        <w:t>110</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5.19.    Restrictive Agreements    </w:t>
      </w:r>
      <w:r>
        <w:rPr>
          <w:rFonts w:ascii="Times New Roman;sans-serif" w:hAnsi="Times New Roman;sans-serif"/>
          <w:b w:val="false"/>
          <w:strike/>
          <w:color w:val="FF0000"/>
          <w:sz w:val="24"/>
        </w:rPr>
        <w:t>114</w:t>
      </w:r>
      <w:r>
        <w:rPr>
          <w:rFonts w:ascii="Times New Roman;sans-serif" w:hAnsi="Times New Roman;sans-serif"/>
          <w:b/>
          <w:color w:val="0000FF"/>
          <w:sz w:val="24"/>
          <w:u w:val="single"/>
        </w:rPr>
        <w:t>111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5.20.    Credit Ratings    </w:t>
      </w:r>
      <w:r>
        <w:rPr>
          <w:rFonts w:ascii="Times New Roman;sans-serif" w:hAnsi="Times New Roman;sans-serif"/>
          <w:b w:val="false"/>
          <w:strike/>
          <w:color w:val="FF0000"/>
          <w:sz w:val="24"/>
        </w:rPr>
        <w:t>114</w:t>
      </w:r>
      <w:r>
        <w:rPr>
          <w:rFonts w:ascii="Times New Roman;sans-serif" w:hAnsi="Times New Roman;sans-serif"/>
          <w:b/>
          <w:color w:val="0000FF"/>
          <w:sz w:val="24"/>
          <w:u w:val="single"/>
        </w:rPr>
        <w:t>111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5.21.    Prepayment Avoidance    </w:t>
      </w:r>
      <w:r>
        <w:rPr>
          <w:rFonts w:ascii="Times New Roman;sans-serif" w:hAnsi="Times New Roman;sans-serif"/>
          <w:b w:val="false"/>
          <w:strike/>
          <w:color w:val="FF0000"/>
          <w:sz w:val="24"/>
        </w:rPr>
        <w:t>114</w:t>
      </w:r>
      <w:r>
        <w:rPr>
          <w:rFonts w:ascii="Times New Roman;sans-serif" w:hAnsi="Times New Roman;sans-serif"/>
          <w:b/>
          <w:color w:val="0000FF"/>
          <w:sz w:val="24"/>
          <w:u w:val="single"/>
        </w:rPr>
        <w:t>111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5.22.    Control Agreements    </w:t>
      </w:r>
      <w:r>
        <w:rPr>
          <w:rFonts w:ascii="Times New Roman;sans-serif" w:hAnsi="Times New Roman;sans-serif"/>
          <w:b w:val="false"/>
          <w:strike/>
          <w:color w:val="FF0000"/>
          <w:sz w:val="24"/>
        </w:rPr>
        <w:t>115</w:t>
      </w:r>
      <w:r>
        <w:rPr>
          <w:rFonts w:ascii="Times New Roman;sans-serif" w:hAnsi="Times New Roman;sans-serif"/>
          <w:b/>
          <w:color w:val="0000FF"/>
          <w:sz w:val="24"/>
          <w:u w:val="single"/>
        </w:rPr>
        <w:t>112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5.23.    Field Examinations and Appraisals    </w:t>
      </w:r>
      <w:r>
        <w:rPr>
          <w:rFonts w:ascii="Times New Roman;sans-serif" w:hAnsi="Times New Roman;sans-serif"/>
          <w:b w:val="false"/>
          <w:strike/>
          <w:color w:val="FF0000"/>
          <w:sz w:val="24"/>
        </w:rPr>
        <w:t>115</w:t>
      </w:r>
      <w:r>
        <w:rPr>
          <w:rFonts w:ascii="Times New Roman;sans-serif" w:hAnsi="Times New Roman;sans-serif"/>
          <w:b/>
          <w:color w:val="0000FF"/>
          <w:sz w:val="24"/>
          <w:u w:val="single"/>
        </w:rPr>
        <w:t>112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5.24.    Credit Card Agreements and Notifications    </w:t>
      </w:r>
      <w:r>
        <w:rPr>
          <w:rFonts w:ascii="Times New Roman;sans-serif" w:hAnsi="Times New Roman;sans-serif"/>
          <w:b w:val="false"/>
          <w:strike/>
          <w:color w:val="FF0000"/>
          <w:sz w:val="24"/>
        </w:rPr>
        <w:t>115</w:t>
      </w:r>
      <w:r>
        <w:rPr>
          <w:rFonts w:ascii="Times New Roman;sans-serif" w:hAnsi="Times New Roman;sans-serif"/>
          <w:b/>
          <w:color w:val="0000FF"/>
          <w:sz w:val="24"/>
          <w:u w:val="single"/>
        </w:rPr>
        <w:t>112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5.25.    Canadian Defined Benefit Pension Plan    </w:t>
      </w:r>
      <w:r>
        <w:rPr>
          <w:rFonts w:ascii="Times New Roman;sans-serif" w:hAnsi="Times New Roman;sans-serif"/>
          <w:b w:val="false"/>
          <w:strike/>
          <w:color w:val="FF0000"/>
          <w:sz w:val="24"/>
        </w:rPr>
        <w:t>116</w:t>
      </w:r>
      <w:r>
        <w:rPr>
          <w:rFonts w:ascii="Times New Roman;sans-serif" w:hAnsi="Times New Roman;sans-serif"/>
          <w:b/>
          <w:color w:val="0000FF"/>
          <w:sz w:val="24"/>
          <w:u w:val="single"/>
        </w:rPr>
        <w:t>113</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w:t>
        <w:br/>
        <w:br/>
        <w:t>EVENTS OF DEFAULT AND REMEDIES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6.01.    Events of Default    </w:t>
      </w:r>
      <w:r>
        <w:rPr>
          <w:rFonts w:ascii="Times New Roman;sans-serif" w:hAnsi="Times New Roman;sans-serif"/>
          <w:b w:val="false"/>
          <w:strike/>
          <w:color w:val="FF0000"/>
          <w:sz w:val="24"/>
        </w:rPr>
        <w:t>116</w:t>
      </w:r>
      <w:r>
        <w:rPr>
          <w:rFonts w:ascii="Times New Roman;sans-serif" w:hAnsi="Times New Roman;sans-serif"/>
          <w:b/>
          <w:color w:val="0000FF"/>
          <w:sz w:val="24"/>
          <w:u w:val="single"/>
        </w:rPr>
        <w:t>113</w:t>
      </w:r>
    </w:p>
    <w:p>
      <w:pPr>
        <w:pStyle w:val="TextBody"/>
        <w:bidi w:val="0"/>
        <w:spacing w:lineRule="auto" w:line="240"/>
        <w:ind w:left="0" w:right="0" w:hanging="2160"/>
        <w:jc w:val="left"/>
        <w:rPr/>
      </w:pPr>
      <w:r>
        <w:rPr>
          <w:rFonts w:ascii="Times New Roman;sans-serif" w:hAnsi="Times New Roman;sans-serif"/>
          <w:b w:val="false"/>
          <w:color w:val="000000"/>
          <w:sz w:val="24"/>
        </w:rPr>
        <w:t>SECTION 6.02.    Remedies    </w:t>
      </w:r>
      <w:r>
        <w:rPr>
          <w:rFonts w:ascii="Times New Roman;sans-serif" w:hAnsi="Times New Roman;sans-serif"/>
          <w:b w:val="false"/>
          <w:strike/>
          <w:color w:val="FF0000"/>
          <w:sz w:val="24"/>
        </w:rPr>
        <w:t>118</w:t>
      </w:r>
      <w:r>
        <w:rPr>
          <w:rFonts w:ascii="Times New Roman;sans-serif" w:hAnsi="Times New Roman;sans-serif"/>
          <w:b/>
          <w:color w:val="0000FF"/>
          <w:sz w:val="24"/>
          <w:u w:val="single"/>
        </w:rPr>
        <w:t>115</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77495"/>
                <wp:effectExtent l="0" t="0" r="0" b="0"/>
                <wp:wrapNone/>
                <wp:docPr id="211" name="Frame211"/>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6.03.    Notice of Default    </w:t>
      </w:r>
      <w:r>
        <w:rPr>
          <w:rFonts w:ascii="Times New Roman;sans-serif" w:hAnsi="Times New Roman;sans-serif"/>
          <w:b w:val="false"/>
          <w:strike/>
          <w:color w:val="FF0000"/>
          <w:sz w:val="24"/>
        </w:rPr>
        <w:t>119</w:t>
      </w:r>
      <w:r>
        <w:rPr>
          <w:rFonts w:ascii="Times New Roman;sans-serif" w:hAnsi="Times New Roman;sans-serif"/>
          <w:b/>
          <w:color w:val="0000FF"/>
          <w:sz w:val="24"/>
          <w:u w:val="single"/>
        </w:rPr>
        <w:t>116</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w:t>
        <w:br/>
        <w:br/>
        <w:t>THE AGENTS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7.01.    The Agents    </w:t>
      </w:r>
      <w:r>
        <w:rPr>
          <w:rFonts w:ascii="Times New Roman;sans-serif" w:hAnsi="Times New Roman;sans-serif"/>
          <w:b w:val="false"/>
          <w:strike/>
          <w:color w:val="FF0000"/>
          <w:sz w:val="24"/>
        </w:rPr>
        <w:t>119</w:t>
      </w:r>
      <w:r>
        <w:rPr>
          <w:rFonts w:ascii="Times New Roman;sans-serif" w:hAnsi="Times New Roman;sans-serif"/>
          <w:b/>
          <w:color w:val="0000FF"/>
          <w:sz w:val="24"/>
          <w:u w:val="single"/>
        </w:rPr>
        <w:t>116</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7.02.    Certain ERISA Matters    </w:t>
      </w:r>
      <w:r>
        <w:rPr>
          <w:rFonts w:ascii="Times New Roman;sans-serif" w:hAnsi="Times New Roman;sans-serif"/>
          <w:b w:val="false"/>
          <w:strike/>
          <w:color w:val="FF0000"/>
          <w:sz w:val="24"/>
        </w:rPr>
        <w:t>123</w:t>
      </w:r>
      <w:r>
        <w:rPr>
          <w:rFonts w:ascii="Times New Roman;sans-serif" w:hAnsi="Times New Roman;sans-serif"/>
          <w:b/>
          <w:color w:val="0000FF"/>
          <w:sz w:val="24"/>
          <w:u w:val="single"/>
        </w:rPr>
        <w:t>120</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7.03.    Erroneous Payments    </w:t>
      </w:r>
      <w:r>
        <w:rPr>
          <w:rFonts w:ascii="Times New Roman;sans-serif" w:hAnsi="Times New Roman;sans-serif"/>
          <w:b w:val="false"/>
          <w:strike/>
          <w:color w:val="FF0000"/>
          <w:sz w:val="24"/>
        </w:rPr>
        <w:t>124</w:t>
      </w:r>
      <w:r>
        <w:rPr>
          <w:rFonts w:ascii="Times New Roman;sans-serif" w:hAnsi="Times New Roman;sans-serif"/>
          <w:b/>
          <w:color w:val="0000FF"/>
          <w:sz w:val="24"/>
          <w:u w:val="single"/>
        </w:rPr>
        <w:t>121</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VIII</w:t>
        <w:br/>
        <w:br/>
        <w:t>MISCELLANEOUS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8.01.    Notices    </w:t>
      </w:r>
      <w:r>
        <w:rPr>
          <w:rFonts w:ascii="Times New Roman;sans-serif" w:hAnsi="Times New Roman;sans-serif"/>
          <w:b w:val="false"/>
          <w:strike/>
          <w:color w:val="FF0000"/>
          <w:sz w:val="24"/>
        </w:rPr>
        <w:t>125</w:t>
      </w:r>
      <w:r>
        <w:rPr>
          <w:rFonts w:ascii="Times New Roman;sans-serif" w:hAnsi="Times New Roman;sans-serif"/>
          <w:b/>
          <w:color w:val="0000FF"/>
          <w:sz w:val="24"/>
          <w:u w:val="single"/>
        </w:rPr>
        <w:t>122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8.02.    Waivers; Amendments    </w:t>
      </w:r>
      <w:r>
        <w:rPr>
          <w:rFonts w:ascii="Times New Roman;sans-serif" w:hAnsi="Times New Roman;sans-serif"/>
          <w:b w:val="false"/>
          <w:strike/>
          <w:color w:val="FF0000"/>
          <w:sz w:val="24"/>
        </w:rPr>
        <w:t>127</w:t>
      </w:r>
      <w:r>
        <w:rPr>
          <w:rFonts w:ascii="Times New Roman;sans-serif" w:hAnsi="Times New Roman;sans-serif"/>
          <w:b/>
          <w:color w:val="0000FF"/>
          <w:sz w:val="24"/>
          <w:u w:val="single"/>
        </w:rPr>
        <w:t>124</w:t>
      </w:r>
    </w:p>
    <w:p>
      <w:pPr>
        <w:pStyle w:val="TextBody"/>
        <w:bidi w:val="0"/>
        <w:spacing w:lineRule="auto" w:line="240" w:before="0" w:after="0"/>
        <w:ind w:left="0" w:right="0" w:hanging="720"/>
        <w:jc w:val="left"/>
        <w:rPr/>
      </w:pPr>
      <w:r>
        <w:rPr>
          <w:rFonts w:ascii="Times New Roman;sans-serif" w:hAnsi="Times New Roman;sans-serif"/>
          <w:b w:val="false"/>
          <w:color w:val="000000"/>
          <w:sz w:val="24"/>
        </w:rPr>
        <w:t>SECTION 8.02A.</w:t>
      </w:r>
      <w:r>
        <w:rPr>
          <w:color w:val="000000"/>
        </w:rPr>
        <w:t>    </w:t>
      </w:r>
      <w:r>
        <w:rPr>
          <w:rFonts w:ascii="Times New Roman;sans-serif" w:hAnsi="Times New Roman;sans-serif"/>
          <w:b w:val="false"/>
          <w:color w:val="000000"/>
          <w:sz w:val="24"/>
        </w:rPr>
        <w:t>Certain ABL Amendments    </w:t>
      </w:r>
      <w:r>
        <w:rPr>
          <w:rFonts w:ascii="Times New Roman;sans-serif" w:hAnsi="Times New Roman;sans-serif"/>
          <w:b w:val="false"/>
          <w:strike/>
          <w:color w:val="FF0000"/>
          <w:sz w:val="24"/>
        </w:rPr>
        <w:t>128</w:t>
      </w:r>
      <w:r>
        <w:rPr>
          <w:rFonts w:ascii="Times New Roman;sans-serif" w:hAnsi="Times New Roman;sans-serif"/>
          <w:b/>
          <w:color w:val="0000FF"/>
          <w:sz w:val="24"/>
          <w:u w:val="single"/>
        </w:rPr>
        <w:t>125</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8.03.    Expenses; Indemnity; Damage Waiver    </w:t>
      </w:r>
      <w:r>
        <w:rPr>
          <w:rFonts w:ascii="Times New Roman;sans-serif" w:hAnsi="Times New Roman;sans-serif"/>
          <w:b w:val="false"/>
          <w:strike/>
          <w:color w:val="FF0000"/>
          <w:sz w:val="24"/>
        </w:rPr>
        <w:t>129</w:t>
      </w:r>
      <w:r>
        <w:rPr>
          <w:rFonts w:ascii="Times New Roman;sans-serif" w:hAnsi="Times New Roman;sans-serif"/>
          <w:b/>
          <w:color w:val="0000FF"/>
          <w:sz w:val="24"/>
          <w:u w:val="single"/>
        </w:rPr>
        <w:t>126</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8.04.    Successors and Assigns    </w:t>
      </w:r>
      <w:r>
        <w:rPr>
          <w:rFonts w:ascii="Times New Roman;sans-serif" w:hAnsi="Times New Roman;sans-serif"/>
          <w:b w:val="false"/>
          <w:strike/>
          <w:color w:val="FF0000"/>
          <w:sz w:val="24"/>
        </w:rPr>
        <w:t>130</w:t>
      </w:r>
      <w:r>
        <w:rPr>
          <w:rFonts w:ascii="Times New Roman;sans-serif" w:hAnsi="Times New Roman;sans-serif"/>
          <w:b/>
          <w:color w:val="0000FF"/>
          <w:sz w:val="24"/>
          <w:u w:val="single"/>
        </w:rPr>
        <w:t>127</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8.05.    Survival    </w:t>
      </w:r>
      <w:r>
        <w:rPr>
          <w:rFonts w:ascii="Times New Roman;sans-serif" w:hAnsi="Times New Roman;sans-serif"/>
          <w:b w:val="false"/>
          <w:strike/>
          <w:color w:val="FF0000"/>
          <w:sz w:val="24"/>
        </w:rPr>
        <w:t>134</w:t>
      </w:r>
      <w:r>
        <w:rPr>
          <w:rFonts w:ascii="Times New Roman;sans-serif" w:hAnsi="Times New Roman;sans-serif"/>
          <w:b/>
          <w:color w:val="0000FF"/>
          <w:sz w:val="24"/>
          <w:u w:val="single"/>
        </w:rPr>
        <w:t>131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8.06.    Counterparts; Integration; Effectiveness; Electronic Execution    </w:t>
      </w:r>
      <w:r>
        <w:rPr>
          <w:rFonts w:ascii="Times New Roman;sans-serif" w:hAnsi="Times New Roman;sans-serif"/>
          <w:b w:val="false"/>
          <w:strike/>
          <w:color w:val="FF0000"/>
          <w:sz w:val="24"/>
        </w:rPr>
        <w:t>134</w:t>
      </w:r>
      <w:r>
        <w:rPr>
          <w:rFonts w:ascii="Times New Roman;sans-serif" w:hAnsi="Times New Roman;sans-serif"/>
          <w:b/>
          <w:color w:val="0000FF"/>
          <w:sz w:val="24"/>
          <w:u w:val="single"/>
        </w:rPr>
        <w:t>131</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8.07.    Severability    </w:t>
      </w:r>
      <w:r>
        <w:rPr>
          <w:rFonts w:ascii="Times New Roman;sans-serif" w:hAnsi="Times New Roman;sans-serif"/>
          <w:b w:val="false"/>
          <w:strike/>
          <w:color w:val="FF0000"/>
          <w:sz w:val="24"/>
        </w:rPr>
        <w:t>135</w:t>
      </w:r>
      <w:r>
        <w:rPr>
          <w:rFonts w:ascii="Times New Roman;sans-serif" w:hAnsi="Times New Roman;sans-serif"/>
          <w:b/>
          <w:color w:val="0000FF"/>
          <w:sz w:val="24"/>
          <w:u w:val="single"/>
        </w:rPr>
        <w:t>132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8.08.    Right of Setoff    </w:t>
      </w:r>
      <w:r>
        <w:rPr>
          <w:rFonts w:ascii="Times New Roman;sans-serif" w:hAnsi="Times New Roman;sans-serif"/>
          <w:b w:val="false"/>
          <w:strike/>
          <w:color w:val="FF0000"/>
          <w:sz w:val="24"/>
        </w:rPr>
        <w:t>135</w:t>
      </w:r>
      <w:r>
        <w:rPr>
          <w:rFonts w:ascii="Times New Roman;sans-serif" w:hAnsi="Times New Roman;sans-serif"/>
          <w:b/>
          <w:color w:val="0000FF"/>
          <w:sz w:val="24"/>
          <w:u w:val="single"/>
        </w:rPr>
        <w:t>132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8.09.    Governing Law; Jurisdiction; Consent to Service of Process    </w:t>
      </w:r>
      <w:r>
        <w:rPr>
          <w:rFonts w:ascii="Times New Roman;sans-serif" w:hAnsi="Times New Roman;sans-serif"/>
          <w:b w:val="false"/>
          <w:strike/>
          <w:color w:val="FF0000"/>
          <w:sz w:val="24"/>
        </w:rPr>
        <w:t>135</w:t>
      </w:r>
      <w:r>
        <w:rPr>
          <w:rFonts w:ascii="Times New Roman;sans-serif" w:hAnsi="Times New Roman;sans-serif"/>
          <w:b/>
          <w:color w:val="0000FF"/>
          <w:sz w:val="24"/>
          <w:u w:val="single"/>
        </w:rPr>
        <w:t>132</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8.10.    WAIVER OF JURY TRIAL    </w:t>
      </w:r>
      <w:r>
        <w:rPr>
          <w:rFonts w:ascii="Times New Roman;sans-serif" w:hAnsi="Times New Roman;sans-serif"/>
          <w:b w:val="false"/>
          <w:strike/>
          <w:color w:val="FF0000"/>
          <w:sz w:val="24"/>
        </w:rPr>
        <w:t>136</w:t>
      </w:r>
      <w:r>
        <w:rPr>
          <w:rFonts w:ascii="Times New Roman;sans-serif" w:hAnsi="Times New Roman;sans-serif"/>
          <w:b/>
          <w:color w:val="0000FF"/>
          <w:sz w:val="24"/>
          <w:u w:val="single"/>
        </w:rPr>
        <w:t>133</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8.11.    Headings    </w:t>
      </w:r>
      <w:r>
        <w:rPr>
          <w:rFonts w:ascii="Times New Roman;sans-serif" w:hAnsi="Times New Roman;sans-serif"/>
          <w:b w:val="false"/>
          <w:strike/>
          <w:color w:val="FF0000"/>
          <w:sz w:val="24"/>
        </w:rPr>
        <w:t>136</w:t>
      </w:r>
      <w:r>
        <w:rPr>
          <w:rFonts w:ascii="Times New Roman;sans-serif" w:hAnsi="Times New Roman;sans-serif"/>
          <w:b/>
          <w:color w:val="0000FF"/>
          <w:sz w:val="24"/>
          <w:u w:val="single"/>
        </w:rPr>
        <w:t>133</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8.12.    Confidentiality    </w:t>
      </w:r>
      <w:r>
        <w:rPr>
          <w:rFonts w:ascii="Times New Roman;sans-serif" w:hAnsi="Times New Roman;sans-serif"/>
          <w:b w:val="false"/>
          <w:strike/>
          <w:color w:val="FF0000"/>
          <w:sz w:val="24"/>
        </w:rPr>
        <w:t>136</w:t>
      </w:r>
      <w:r>
        <w:rPr>
          <w:rFonts w:ascii="Times New Roman;sans-serif" w:hAnsi="Times New Roman;sans-serif"/>
          <w:b/>
          <w:color w:val="0000FF"/>
          <w:sz w:val="24"/>
          <w:u w:val="single"/>
        </w:rPr>
        <w:t>133</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8.13.    Interest Rate Limitation    </w:t>
      </w:r>
      <w:r>
        <w:rPr>
          <w:rFonts w:ascii="Times New Roman;sans-serif" w:hAnsi="Times New Roman;sans-serif"/>
          <w:b w:val="false"/>
          <w:strike/>
          <w:color w:val="FF0000"/>
          <w:sz w:val="24"/>
        </w:rPr>
        <w:t>137</w:t>
      </w:r>
      <w:r>
        <w:rPr>
          <w:rFonts w:ascii="Times New Roman;sans-serif" w:hAnsi="Times New Roman;sans-serif"/>
          <w:b/>
          <w:color w:val="0000FF"/>
          <w:sz w:val="24"/>
          <w:u w:val="single"/>
        </w:rPr>
        <w:t>134</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8.14.    Collateral    </w:t>
      </w:r>
      <w:r>
        <w:rPr>
          <w:rFonts w:ascii="Times New Roman;sans-serif" w:hAnsi="Times New Roman;sans-serif"/>
          <w:b w:val="false"/>
          <w:strike/>
          <w:color w:val="FF0000"/>
          <w:sz w:val="24"/>
        </w:rPr>
        <w:t>137</w:t>
      </w:r>
      <w:r>
        <w:rPr>
          <w:rFonts w:ascii="Times New Roman;sans-serif" w:hAnsi="Times New Roman;sans-serif"/>
          <w:b/>
          <w:color w:val="0000FF"/>
          <w:sz w:val="24"/>
          <w:u w:val="single"/>
        </w:rPr>
        <w:t>134</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8.15.    USA Patriot Act and Beneficial Ownership Regulation    </w:t>
      </w:r>
      <w:r>
        <w:rPr>
          <w:rFonts w:ascii="Times New Roman;sans-serif" w:hAnsi="Times New Roman;sans-serif"/>
          <w:b w:val="false"/>
          <w:strike/>
          <w:color w:val="FF0000"/>
          <w:sz w:val="24"/>
        </w:rPr>
        <w:t>137</w:t>
      </w:r>
      <w:r>
        <w:rPr>
          <w:rFonts w:ascii="Times New Roman;sans-serif" w:hAnsi="Times New Roman;sans-serif"/>
          <w:b/>
          <w:color w:val="0000FF"/>
          <w:sz w:val="24"/>
          <w:u w:val="single"/>
        </w:rPr>
        <w:t>134</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8.16.    Canadian Anti-Money Laundering Legislation    </w:t>
      </w:r>
      <w:r>
        <w:rPr>
          <w:rFonts w:ascii="Times New Roman;sans-serif" w:hAnsi="Times New Roman;sans-serif"/>
          <w:b w:val="false"/>
          <w:strike/>
          <w:color w:val="FF0000"/>
          <w:sz w:val="24"/>
        </w:rPr>
        <w:t>138</w:t>
      </w:r>
      <w:r>
        <w:rPr>
          <w:rFonts w:ascii="Times New Roman;sans-serif" w:hAnsi="Times New Roman;sans-serif"/>
          <w:b/>
          <w:color w:val="0000FF"/>
          <w:sz w:val="24"/>
          <w:u w:val="single"/>
        </w:rPr>
        <w:t>135</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8.17.    [Reserved.]    </w:t>
      </w:r>
      <w:r>
        <w:rPr>
          <w:rFonts w:ascii="Times New Roman;sans-serif" w:hAnsi="Times New Roman;sans-serif"/>
          <w:b w:val="false"/>
          <w:strike/>
          <w:color w:val="FF0000"/>
          <w:sz w:val="24"/>
        </w:rPr>
        <w:t>138</w:t>
      </w:r>
      <w:r>
        <w:rPr>
          <w:rFonts w:ascii="Times New Roman;sans-serif" w:hAnsi="Times New Roman;sans-serif"/>
          <w:b/>
          <w:color w:val="0000FF"/>
          <w:sz w:val="24"/>
          <w:u w:val="single"/>
        </w:rPr>
        <w:t>135</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8.18.    Judgment Currency    </w:t>
      </w:r>
      <w:r>
        <w:rPr>
          <w:rFonts w:ascii="Times New Roman;sans-serif" w:hAnsi="Times New Roman;sans-serif"/>
          <w:b w:val="false"/>
          <w:strike/>
          <w:color w:val="FF0000"/>
          <w:sz w:val="24"/>
        </w:rPr>
        <w:t>138</w:t>
      </w:r>
      <w:r>
        <w:rPr>
          <w:rFonts w:ascii="Times New Roman;sans-serif" w:hAnsi="Times New Roman;sans-serif"/>
          <w:b/>
          <w:color w:val="0000FF"/>
          <w:sz w:val="24"/>
          <w:u w:val="single"/>
        </w:rPr>
        <w:t>135</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8.19.    Intercreditor Agreement    </w:t>
      </w:r>
      <w:r>
        <w:rPr>
          <w:rFonts w:ascii="Times New Roman;sans-serif" w:hAnsi="Times New Roman;sans-serif"/>
          <w:b w:val="false"/>
          <w:strike/>
          <w:color w:val="FF0000"/>
          <w:sz w:val="24"/>
        </w:rPr>
        <w:t>139</w:t>
      </w:r>
      <w:r>
        <w:rPr>
          <w:rFonts w:ascii="Times New Roman;sans-serif" w:hAnsi="Times New Roman;sans-serif"/>
          <w:b/>
          <w:color w:val="0000FF"/>
          <w:sz w:val="24"/>
          <w:u w:val="single"/>
        </w:rPr>
        <w:t>136</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8.20.    Acknowledgement and Consent to Bail-In of Affected Financial Institutions    </w:t>
      </w:r>
      <w:r>
        <w:rPr>
          <w:rFonts w:ascii="Times New Roman;sans-serif" w:hAnsi="Times New Roman;sans-serif"/>
          <w:b w:val="false"/>
          <w:strike/>
          <w:color w:val="FF0000"/>
          <w:sz w:val="24"/>
        </w:rPr>
        <w:t>141</w:t>
      </w:r>
      <w:r>
        <w:rPr>
          <w:rFonts w:ascii="Times New Roman;sans-serif" w:hAnsi="Times New Roman;sans-serif"/>
          <w:b/>
          <w:color w:val="0000FF"/>
          <w:sz w:val="24"/>
          <w:u w:val="single"/>
        </w:rPr>
        <w:t>138</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8.21.    Acknowledgement Regarding Any Supported QFCs    </w:t>
      </w:r>
      <w:r>
        <w:rPr>
          <w:rFonts w:ascii="Times New Roman;sans-serif" w:hAnsi="Times New Roman;sans-serif"/>
          <w:b w:val="false"/>
          <w:strike/>
          <w:color w:val="FF0000"/>
          <w:sz w:val="24"/>
        </w:rPr>
        <w:t>141</w:t>
      </w:r>
      <w:r>
        <w:rPr>
          <w:rFonts w:ascii="Times New Roman;sans-serif" w:hAnsi="Times New Roman;sans-serif"/>
          <w:b/>
          <w:color w:val="0000FF"/>
          <w:sz w:val="24"/>
          <w:u w:val="single"/>
        </w:rPr>
        <w:t>138</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8.22.    MIRE Events    </w:t>
      </w:r>
      <w:r>
        <w:rPr>
          <w:rFonts w:ascii="Times New Roman;sans-serif" w:hAnsi="Times New Roman;sans-serif"/>
          <w:b w:val="false"/>
          <w:strike/>
          <w:color w:val="FF0000"/>
          <w:sz w:val="24"/>
        </w:rPr>
        <w:t>142</w:t>
      </w:r>
      <w:r>
        <w:rPr>
          <w:rFonts w:ascii="Times New Roman;sans-serif" w:hAnsi="Times New Roman;sans-serif"/>
          <w:b/>
          <w:color w:val="0000FF"/>
          <w:sz w:val="24"/>
          <w:u w:val="single"/>
        </w:rPr>
        <w:t>139</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8.23.    Release    </w:t>
      </w:r>
      <w:r>
        <w:rPr>
          <w:rFonts w:ascii="Times New Roman;sans-serif" w:hAnsi="Times New Roman;sans-serif"/>
          <w:b w:val="false"/>
          <w:strike/>
          <w:color w:val="FF0000"/>
          <w:sz w:val="24"/>
        </w:rPr>
        <w:t>142</w:t>
      </w:r>
      <w:r>
        <w:rPr>
          <w:rFonts w:ascii="Times New Roman;sans-serif" w:hAnsi="Times New Roman;sans-serif"/>
          <w:b/>
          <w:color w:val="0000FF"/>
          <w:sz w:val="24"/>
          <w:u w:val="single"/>
        </w:rPr>
        <w:t>139</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SECTION 8.24.    No Advisory or Fiduciary Responsibility    </w:t>
      </w:r>
      <w:r>
        <w:rPr>
          <w:rFonts w:ascii="Times New Roman;sans-serif" w:hAnsi="Times New Roman;sans-serif"/>
          <w:b w:val="false"/>
          <w:strike/>
          <w:color w:val="FF0000"/>
          <w:sz w:val="24"/>
        </w:rPr>
        <w:t>144</w:t>
      </w:r>
      <w:r>
        <w:rPr>
          <w:rFonts w:ascii="Times New Roman;sans-serif" w:hAnsi="Times New Roman;sans-serif"/>
          <w:b/>
          <w:color w:val="0000FF"/>
          <w:sz w:val="24"/>
          <w:u w:val="single"/>
        </w:rPr>
        <w:t>141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u w:val="single"/>
        </w:rPr>
        <w:t>SCHEDULES</w:t>
      </w:r>
      <w:r>
        <w:rPr>
          <w:rFonts w:ascii="Times New Roman;sans-serif" w:hAnsi="Times New Roman;sans-serif"/>
          <w:b w:val="false"/>
          <w:color w:val="000000"/>
          <w:sz w:val="24"/>
        </w:rPr>
        <w: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1.01(a) – Existing Letters of Credit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1.01(b) – Unrestricted Subsidiaries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2.01 – Commitments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3.05 – Disclosed Matters</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Schedule 3.07 – Consolidated Domestic and Canadian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77495"/>
                <wp:effectExtent l="0" t="0" r="0" b="0"/>
                <wp:wrapNone/>
                <wp:docPr id="212" name="Frame21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3.12 – Credit Card Agreements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5.08 – Existing Liens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5.10 – Existing Indebtedness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5.19 – Restrictive Agreements</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Exhibit A – Form of Assignment and Assumption</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Exhibit B-1 – Form of Additional Borrower Agreement</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Exhibit B-2 – Form of Borrowing Subsidiary Termination</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Exhibit C – Form of Borrowing Base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277495"/>
                <wp:effectExtent l="0" t="0" r="0" b="0"/>
                <wp:wrapNone/>
                <wp:docPr id="213" name="Frame213"/>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REVOLVING CREDIT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August 2, 2021, among VICTORIA’S SECRET &amp; CO., a Delaware corporation, the BORROWING SUBSIDIARIES party hereto, the LENDERS party hereto and JPMORGAN CHASE BANK, N.A., as Administrative Agent and Collateral Agent.</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as follows:</w:t>
      </w:r>
    </w:p>
    <w:p>
      <w:pPr>
        <w:pStyle w:val="TextBody"/>
        <w:bidi w:val="0"/>
        <w:spacing w:lineRule="auto" w:line="240" w:before="0" w:after="240"/>
        <w:jc w:val="center"/>
        <w:rPr/>
      </w:pPr>
      <w:r>
        <w:rPr>
          <w:rFonts w:ascii="Times New Roman;sans-serif" w:hAnsi="Times New Roman;sans-serif"/>
          <w:b w:val="false"/>
          <w:color w:val="000000"/>
          <w:sz w:val="24"/>
        </w:rPr>
        <w:t>ARTICLE 1</w:t>
      </w:r>
      <w:r>
        <w:rPr>
          <w:rFonts w:ascii="Times New Roman;sans-serif" w:hAnsi="Times New Roman;sans-serif"/>
          <w:b w:val="false"/>
          <w:color w:val="000000"/>
          <w:sz w:val="24"/>
        </w:rPr>
        <w:br/>
        <w:br/>
        <w:t>Definitions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1.0a.</w:t>
      </w:r>
      <w:r>
        <w:rPr>
          <w:rFonts w:ascii="Times New Roman;sans-serif" w:hAnsi="Times New Roman;sans-serif"/>
          <w:b w:val="false"/>
          <w:color w:val="000000"/>
          <w:sz w:val="24"/>
          <w:u w:val="single"/>
        </w:rPr>
        <w:t>Defined Terms.</w:t>
      </w:r>
      <w:r>
        <w:rPr>
          <w:color w:val="000000"/>
        </w:rPr>
        <w:t xml:space="preserve"> </w:t>
      </w:r>
      <w:r>
        <w:rPr>
          <w:rFonts w:ascii="Times New Roman;sans-serif" w:hAnsi="Times New Roman;sans-serif"/>
          <w:b w:val="false"/>
          <w:color w:val="000000"/>
          <w:sz w:val="24"/>
        </w:rPr>
        <w:t>As used in this Agreement, the following terms have the meanings specified below:</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ABL Collection Account</w:t>
      </w:r>
      <w:r>
        <w:rPr>
          <w:color w:val="000000"/>
        </w:rPr>
        <w:t xml:space="preserve">” </w:t>
      </w:r>
      <w:r>
        <w:rPr>
          <w:rFonts w:ascii="Times New Roman;sans-serif" w:hAnsi="Times New Roman;sans-serif"/>
          <w:b w:val="false"/>
          <w:color w:val="000000"/>
          <w:sz w:val="24"/>
        </w:rPr>
        <w:t>has the meaning assigned to such term in the Collateral Agreements.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ABL Priority Collateral</w:t>
      </w:r>
      <w:r>
        <w:rPr>
          <w:color w:val="000000"/>
        </w:rPr>
        <w:t xml:space="preserve">” </w:t>
      </w:r>
      <w:r>
        <w:rPr>
          <w:rFonts w:ascii="Times New Roman;sans-serif" w:hAnsi="Times New Roman;sans-serif"/>
          <w:b w:val="false"/>
          <w:color w:val="000000"/>
          <w:sz w:val="24"/>
        </w:rPr>
        <w:t xml:space="preserve">means, at any time, any and all of the following that constitute Collateral, whether now owned or hereafter acquired and wherever located: (a) all Accounts (other than (x) Accounts arising under agreements for sale of Non-ABL Priority Collateral described in clauses (a) through (h) of the definition of such term to the extent constituting identifiable Proceeds of such Non-ABL Priority Collateral and (y) Accounts pledged in support of Specified Receivables Facilities), (b) all Payment Intangibles, including all corporate and other tax refunds and all Credit Card Receivables and all other rights to payment arising therefrom in a credit-card, debit-card, prepaid-card or other payment-card transaction (other than any Payment Intangibles constituting identifiable Proceeds of Non-ABL Priority Collateral described in clauses (a) through (f) and (h) of the definition of such term); (c) all Inventory; (d) all Deposit Accounts and Securities Accounts (including the ABL Collection Account and the Concentration Account) and all cash, cash equivalents and other assets contained in, or credited to, and all Securities Entitlements arising from, any such Deposit Accounts or Securities Accounts (in each case, other than any identifiable Proceeds of Non-ABL Priority Collateral described in clauses (a) through (h) of the definition of such term); (e) for so long as Eligible Real Property is included in the Borrowing Base, all real property, related appurtenant rights and Fixtures and interests therein (including both fee and leasehold interests) located in the United States of America; (f) all rights to business interruption insurance and all rights to credit insurance with respect to any Accounts (in each case, regardless of whether the Collateral Agent is a loss payee thereof); (g) solely to the extent evidencing, governing, securing or otherwise relating to any of the items constituting ABL Priority Collateral under clauses (a) through (e) above, (i) all General Intangibles (excluding Intellectual Property, Indebtedness (or any evidence thereof) between or among the Company or any of the Subsidiaries Loan Parties and any Equity Interests, but including all contract rights as against operators of storage facilities and as against other transporters of Inventory and all rights as consignor or consignee, whether arising by contract, statute or otherwise), (ii) Instruments (including Promissory Notes), (iii) Documents (including each warehouse receipt or bill of lading covering any Inventory), (iv) insurance policies (regardless of whether the Collateral Agent is a loss payee thereof), (v) licenses from any Governmental Authority to sell or to manufacture any Inventory and (vi) Chattel Paper; (h) all collateral and guarantees given by any other Person with respect to any of the foregoing, and all other Supporting Obligations (including Letter-of-Credit Rights) with respect to any of the foregoing; (i) all books and Records to the extent relating to any of the foregoing; and (j) all products and Proceeds of the foregoing. Notwithstanding the foregoing, the term “ABL Priority Collateral” shall not include any assets referred to in clauses (a) through (h) of the definition of the term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02235"/>
                <wp:effectExtent l="0" t="0" r="0" b="0"/>
                <wp:wrapNone/>
                <wp:docPr id="214" name="Frame21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Non-ABL Priority Collateral”. Capitalized terms used in this definition but not defined herein have the meanings assigned to them in the Collateral Agreements.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ABR</w:t>
      </w:r>
      <w:r>
        <w:rPr>
          <w:color w:val="000000"/>
        </w:rPr>
        <w:t>”</w:t>
      </w:r>
      <w:r>
        <w:rPr>
          <w:rFonts w:ascii="Times New Roman;sans-serif" w:hAnsi="Times New Roman;sans-serif"/>
          <w:b w:val="false"/>
          <w:color w:val="000000"/>
          <w:sz w:val="24"/>
        </w:rPr>
        <w:t>, when used in reference to any Loan or Borrowing, refers to whether such Loan, or the Loans comprising such Borrowing, is bearing interest at a rate determined by reference to the Alternate Base Rate.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Account</w:t>
      </w:r>
      <w:r>
        <w:rPr>
          <w:color w:val="000000"/>
        </w:rPr>
        <w:t xml:space="preserve">” </w:t>
      </w:r>
      <w:r>
        <w:rPr>
          <w:rFonts w:ascii="Times New Roman;sans-serif" w:hAnsi="Times New Roman;sans-serif"/>
          <w:b w:val="false"/>
          <w:color w:val="000000"/>
          <w:sz w:val="24"/>
        </w:rPr>
        <w:t>has the meaning specified in the UCC.</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Account Debtor</w:t>
      </w:r>
      <w:r>
        <w:rPr>
          <w:color w:val="000000"/>
        </w:rPr>
        <w:t xml:space="preserve">” </w:t>
      </w:r>
      <w:r>
        <w:rPr>
          <w:rFonts w:ascii="Times New Roman;sans-serif" w:hAnsi="Times New Roman;sans-serif"/>
          <w:b w:val="false"/>
          <w:color w:val="000000"/>
          <w:sz w:val="24"/>
        </w:rPr>
        <w:t>means any Person obligated on an Account.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Additional Borrower Agreement</w:t>
      </w:r>
      <w:r>
        <w:rPr>
          <w:color w:val="000000"/>
        </w:rPr>
        <w:t xml:space="preserve">” </w:t>
      </w:r>
      <w:r>
        <w:rPr>
          <w:rFonts w:ascii="Times New Roman;sans-serif" w:hAnsi="Times New Roman;sans-serif"/>
          <w:b w:val="false"/>
          <w:color w:val="000000"/>
          <w:sz w:val="24"/>
        </w:rPr>
        <w:t>has the meaning set forth in Section 2.20.</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Additional Borrowers</w:t>
      </w:r>
      <w:r>
        <w:rPr>
          <w:color w:val="000000"/>
        </w:rPr>
        <w:t xml:space="preserve">” </w:t>
      </w:r>
      <w:r>
        <w:rPr>
          <w:rFonts w:ascii="Times New Roman;sans-serif" w:hAnsi="Times New Roman;sans-serif"/>
          <w:b w:val="false"/>
          <w:color w:val="000000"/>
          <w:sz w:val="24"/>
        </w:rPr>
        <w:t>means, at any time, with respect to the Commitments, Loans and Letters of Credit of any Class, each of the wholly-owned Domestic Subsidiaries or Canadian Subsidiaries that has been designated as an Additional Borrower in respect of such Class pursuant to Section 2.20 or an Incremental Facility Agreement.</w:t>
      </w:r>
    </w:p>
    <w:p>
      <w:pPr>
        <w:pStyle w:val="TextBody"/>
        <w:bidi w:val="0"/>
        <w:spacing w:lineRule="auto" w:line="240" w:before="0" w:after="120"/>
        <w:ind w:left="0" w:right="0" w:firstLine="1440"/>
        <w:jc w:val="left"/>
        <w:rPr>
          <w:color w:val="0000FF"/>
          <w:u w:val="single"/>
        </w:rPr>
      </w:pPr>
      <w:r>
        <w:rPr>
          <w:color w:val="0000FF"/>
          <w:u w:val="single"/>
        </w:rPr>
        <w:t>“</w:t>
      </w:r>
      <w:r>
        <w:rPr>
          <w:rFonts w:ascii="Times New Roman;sans-serif" w:hAnsi="Times New Roman;sans-serif"/>
          <w:b/>
          <w:color w:val="0000FF"/>
          <w:sz w:val="24"/>
          <w:u w:val="single"/>
        </w:rPr>
        <w:t>Adjusted Daily Simple SOFR” means an interest rate per annum equal to (a) the Daily Simple SOFR plus (b) 0.10%; provided that if such rate as so determined would be less than zero, such rate shall be deemed to be equal to zero.</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 xml:space="preserve">Adjusted </w:t>
      </w:r>
      <w:r>
        <w:rPr>
          <w:rFonts w:ascii="Times New Roman;sans-serif" w:hAnsi="Times New Roman;sans-serif"/>
          <w:b w:val="false"/>
          <w:strike/>
          <w:color w:val="FF0000"/>
          <w:sz w:val="24"/>
          <w:u w:val="single"/>
        </w:rPr>
        <w:t>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means, </w:t>
      </w:r>
      <w:r>
        <w:rPr>
          <w:rFonts w:ascii="Times New Roman;sans-serif" w:hAnsi="Times New Roman;sans-serif"/>
          <w:b w:val="false"/>
          <w:strike/>
          <w:color w:val="FF0000"/>
          <w:sz w:val="24"/>
        </w:rPr>
        <w:t xml:space="preserve">with respect to any Eurodollar Borrowing </w:t>
      </w:r>
      <w:r>
        <w:rPr>
          <w:rFonts w:ascii="Times New Roman;sans-serif" w:hAnsi="Times New Roman;sans-serif"/>
          <w:b w:val="false"/>
          <w:color w:val="000000"/>
          <w:sz w:val="24"/>
        </w:rPr>
        <w:t xml:space="preserve">for any Interest Period, an interest rate per annum </w:t>
      </w:r>
      <w:r>
        <w:rPr>
          <w:rFonts w:ascii="Times New Roman;sans-serif" w:hAnsi="Times New Roman;sans-serif"/>
          <w:b w:val="false"/>
          <w:strike/>
          <w:color w:val="FF0000"/>
          <w:sz w:val="24"/>
        </w:rPr>
        <w:t xml:space="preserve">(rounded upwards, if necessary, to the next 1/100 of 1%) </w:t>
      </w:r>
      <w:r>
        <w:rPr>
          <w:rFonts w:ascii="Times New Roman;sans-serif" w:hAnsi="Times New Roman;sans-serif"/>
          <w:b w:val="false"/>
          <w:color w:val="000000"/>
          <w:sz w:val="24"/>
        </w:rPr>
        <w:t xml:space="preserve">equal to (a) </w:t>
      </w:r>
      <w:r>
        <w:rPr>
          <w:rFonts w:ascii="Times New Roman;sans-serif" w:hAnsi="Times New Roman;sans-serif"/>
          <w:b w:val="false"/>
          <w:strike/>
          <w:color w:val="FF0000"/>
          <w:sz w:val="24"/>
        </w:rPr>
        <w:t>the 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for such Interest Period </w:t>
      </w:r>
      <w:r>
        <w:rPr>
          <w:rFonts w:ascii="Times New Roman;sans-serif" w:hAnsi="Times New Roman;sans-serif"/>
          <w:b w:val="false"/>
          <w:strike/>
          <w:color w:val="FF0000"/>
          <w:sz w:val="24"/>
        </w:rPr>
        <w:t>multiplied by</w:t>
      </w:r>
      <w:r>
        <w:rPr>
          <w:rFonts w:ascii="Times New Roman;sans-serif" w:hAnsi="Times New Roman;sans-serif"/>
          <w:b/>
          <w:color w:val="0000FF"/>
          <w:sz w:val="24"/>
          <w:u w:val="single"/>
        </w:rPr>
        <w:t>plus</w:t>
      </w:r>
      <w:r>
        <w:rPr>
          <w:color w:val="000000"/>
        </w:rPr>
        <w:t xml:space="preserve"> </w:t>
      </w:r>
      <w:r>
        <w:rPr>
          <w:rFonts w:ascii="Times New Roman;sans-serif" w:hAnsi="Times New Roman;sans-serif"/>
          <w:b w:val="false"/>
          <w:color w:val="000000"/>
          <w:sz w:val="24"/>
        </w:rPr>
        <w:t xml:space="preserve">(b) </w:t>
      </w:r>
      <w:r>
        <w:rPr>
          <w:rFonts w:ascii="Times New Roman;sans-serif" w:hAnsi="Times New Roman;sans-serif"/>
          <w:b w:val="false"/>
          <w:strike/>
          <w:color w:val="FF0000"/>
          <w:sz w:val="24"/>
        </w:rPr>
        <w:t>the Statutory Reserve Percentage</w:t>
      </w:r>
      <w:r>
        <w:rPr>
          <w:rFonts w:ascii="Times New Roman;sans-serif" w:hAnsi="Times New Roman;sans-serif"/>
          <w:b/>
          <w:color w:val="0000FF"/>
          <w:sz w:val="24"/>
          <w:u w:val="single"/>
        </w:rPr>
        <w:t>0.10%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w:t>
      </w:r>
      <w:r>
        <w:rPr>
          <w:rFonts w:ascii="Times New Roman;sans-serif" w:hAnsi="Times New Roman;sans-serif"/>
          <w:b w:val="false"/>
          <w:strike/>
          <w:color w:val="FF0000"/>
          <w:sz w:val="24"/>
        </w:rPr>
        <w:t>the Adjusted LIBO Rate shall</w:t>
      </w:r>
      <w:r>
        <w:rPr>
          <w:rFonts w:ascii="Times New Roman;sans-serif" w:hAnsi="Times New Roman;sans-serif"/>
          <w:b/>
          <w:color w:val="0000FF"/>
          <w:sz w:val="24"/>
          <w:u w:val="single"/>
        </w:rPr>
        <w:t>such rate as so determined would</w:t>
      </w:r>
      <w:r>
        <w:rPr>
          <w:color w:val="000000"/>
        </w:rPr>
        <w:t xml:space="preserve"> </w:t>
      </w:r>
      <w:r>
        <w:rPr>
          <w:rFonts w:ascii="Times New Roman;sans-serif" w:hAnsi="Times New Roman;sans-serif"/>
          <w:b w:val="false"/>
          <w:color w:val="000000"/>
          <w:sz w:val="24"/>
        </w:rPr>
        <w:t xml:space="preserve">be less than zero, such rate shall be deemed to be </w:t>
      </w:r>
      <w:r>
        <w:rPr>
          <w:rFonts w:ascii="Times New Roman;sans-serif" w:hAnsi="Times New Roman;sans-serif"/>
          <w:b/>
          <w:color w:val="0000FF"/>
          <w:sz w:val="24"/>
          <w:u w:val="single"/>
        </w:rPr>
        <w:t xml:space="preserve">equal to </w:t>
      </w:r>
      <w:r>
        <w:rPr>
          <w:rFonts w:ascii="Times New Roman;sans-serif" w:hAnsi="Times New Roman;sans-serif"/>
          <w:b w:val="false"/>
          <w:color w:val="000000"/>
          <w:sz w:val="24"/>
        </w:rPr>
        <w:t>zero</w:t>
      </w:r>
      <w:r>
        <w:rPr>
          <w:strike/>
          <w:color w:val="FF0000"/>
        </w:rPr>
        <w:t xml:space="preserve"> </w:t>
      </w:r>
      <w:r>
        <w:rPr>
          <w:rFonts w:ascii="Times New Roman;sans-serif" w:hAnsi="Times New Roman;sans-serif"/>
          <w:b w:val="false"/>
          <w:strike/>
          <w:color w:val="FF0000"/>
          <w:sz w:val="24"/>
        </w:rPr>
        <w:t>for the purposes of this Agreement</w:t>
      </w:r>
      <w:r>
        <w:rPr>
          <w:rFonts w:ascii="Times New Roman;sans-serif" w:hAnsi="Times New Roman;sans-serif"/>
          <w:b w:val="false"/>
          <w:color w:val="000000"/>
          <w:sz w:val="24"/>
        </w:rPr>
        <w: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Administrative Agent</w:t>
      </w:r>
      <w:r>
        <w:rPr>
          <w:color w:val="000000"/>
        </w:rPr>
        <w:t xml:space="preserve">” </w:t>
      </w:r>
      <w:r>
        <w:rPr>
          <w:rFonts w:ascii="Times New Roman;sans-serif" w:hAnsi="Times New Roman;sans-serif"/>
          <w:b w:val="false"/>
          <w:color w:val="000000"/>
          <w:sz w:val="24"/>
        </w:rPr>
        <w:t>means JPMorgan Chase Bank, N.A., in its capacity as administrative agent for the Lenders hereunder, and its Affiliates in such capacity.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Administrative Questionnaire</w:t>
      </w:r>
      <w:r>
        <w:rPr>
          <w:color w:val="000000"/>
        </w:rPr>
        <w:t xml:space="preserve">” </w:t>
      </w:r>
      <w:r>
        <w:rPr>
          <w:rFonts w:ascii="Times New Roman;sans-serif" w:hAnsi="Times New Roman;sans-serif"/>
          <w:b w:val="false"/>
          <w:color w:val="000000"/>
          <w:sz w:val="24"/>
        </w:rPr>
        <w:t>means an Administrative Questionnaire in a form supplied by the Administrative Agent.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Agents</w:t>
      </w:r>
      <w:r>
        <w:rPr>
          <w:color w:val="000000"/>
        </w:rPr>
        <w:t xml:space="preserve">” </w:t>
      </w:r>
      <w:r>
        <w:rPr>
          <w:rFonts w:ascii="Times New Roman;sans-serif" w:hAnsi="Times New Roman;sans-serif"/>
          <w:b w:val="false"/>
          <w:color w:val="000000"/>
          <w:sz w:val="24"/>
        </w:rPr>
        <w:t>means the Administrative Agent and the Collateral Agent.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Aggregate Commitments</w:t>
      </w:r>
      <w:r>
        <w:rPr>
          <w:color w:val="000000"/>
        </w:rPr>
        <w:t xml:space="preserve">” </w:t>
      </w:r>
      <w:r>
        <w:rPr>
          <w:rFonts w:ascii="Times New Roman;sans-serif" w:hAnsi="Times New Roman;sans-serif"/>
          <w:b w:val="false"/>
          <w:color w:val="000000"/>
          <w:sz w:val="24"/>
        </w:rPr>
        <w:t>means, at any time, the sum of the Commitments of all the Lenders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Aggregate Credit Exposure</w:t>
      </w:r>
      <w:r>
        <w:rPr>
          <w:color w:val="000000"/>
        </w:rPr>
        <w:t xml:space="preserve">” </w:t>
      </w:r>
      <w:r>
        <w:rPr>
          <w:rFonts w:ascii="Times New Roman;sans-serif" w:hAnsi="Times New Roman;sans-serif"/>
          <w:b w:val="false"/>
          <w:color w:val="000000"/>
          <w:sz w:val="24"/>
        </w:rPr>
        <w:t>means, at any time, the sum of the Credit Exposures of all the Lenders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Alternate Base Rate</w:t>
      </w:r>
      <w:r>
        <w:rPr>
          <w:color w:val="000000"/>
        </w:rPr>
        <w:t xml:space="preserve">” </w:t>
      </w:r>
      <w:r>
        <w:rPr>
          <w:rFonts w:ascii="Times New Roman;sans-serif" w:hAnsi="Times New Roman;sans-serif"/>
          <w:b w:val="false"/>
          <w:color w:val="000000"/>
          <w:sz w:val="24"/>
        </w:rPr>
        <w:t xml:space="preserve">means, for any day, a rate per annum equal to the greatest of (a) the Prime Rate in effect on such day, (b) the NYFRB Rate in effect on such day plus ½ of 1% per annum and (c) </w:t>
      </w:r>
      <w:r>
        <w:rPr>
          <w:rFonts w:ascii="Times New Roman;sans-serif" w:hAnsi="Times New Roman;sans-serif"/>
          <w:b w:val="false"/>
          <w:strike/>
          <w:color w:val="FF0000"/>
          <w:sz w:val="24"/>
        </w:rPr>
        <w:t>the Adjusted LIBO Rate on</w:t>
      </w:r>
      <w:r>
        <w:rPr>
          <w:rFonts w:ascii="Times New Roman;sans-serif" w:hAnsi="Times New Roman;sans-serif"/>
          <w:b/>
          <w:color w:val="0000FF"/>
          <w:sz w:val="24"/>
          <w:u w:val="single"/>
        </w:rPr>
        <w:t>Adjusted Term SOFR for a one-month Interest Period as published two U.S. Government Securities Business Days prior to</w:t>
      </w:r>
      <w:r>
        <w:rPr>
          <w:color w:val="000000"/>
        </w:rPr>
        <w:t xml:space="preserve"> </w:t>
      </w:r>
      <w:r>
        <w:rPr>
          <w:rFonts w:ascii="Times New Roman;sans-serif" w:hAnsi="Times New Roman;sans-serif"/>
          <w:b w:val="false"/>
          <w:color w:val="000000"/>
          <w:sz w:val="24"/>
        </w:rPr>
        <w:t xml:space="preserve">such day (or if such day is not a </w:t>
      </w:r>
      <w:r>
        <w:rPr>
          <w:rFonts w:ascii="Times New Roman;sans-serif" w:hAnsi="Times New Roman;sans-serif"/>
          <w:b/>
          <w:color w:val="0000FF"/>
          <w:sz w:val="24"/>
          <w:u w:val="single"/>
        </w:rPr>
        <w:t xml:space="preserve">U.S. Government Securities </w:t>
      </w:r>
      <w:r>
        <w:rPr>
          <w:rFonts w:ascii="Times New Roman;sans-serif" w:hAnsi="Times New Roman;sans-serif"/>
          <w:b w:val="false"/>
          <w:color w:val="000000"/>
          <w:sz w:val="24"/>
        </w:rPr>
        <w:t xml:space="preserve">Business Day, the immediately preceding </w:t>
      </w:r>
      <w:r>
        <w:rPr>
          <w:rFonts w:ascii="Times New Roman;sans-serif" w:hAnsi="Times New Roman;sans-serif"/>
          <w:b/>
          <w:color w:val="0000FF"/>
          <w:sz w:val="24"/>
          <w:u w:val="single"/>
        </w:rPr>
        <w:t xml:space="preserve">U.S. Government Securities </w:t>
      </w:r>
      <w:r>
        <w:rPr>
          <w:rFonts w:ascii="Times New Roman;sans-serif" w:hAnsi="Times New Roman;sans-serif"/>
          <w:b w:val="false"/>
          <w:color w:val="000000"/>
          <w:sz w:val="24"/>
        </w:rPr>
        <w:t xml:space="preserve">Business Day) </w:t>
      </w:r>
      <w:r>
        <w:rPr>
          <w:rFonts w:ascii="Times New Roman;sans-serif" w:hAnsi="Times New Roman;sans-serif"/>
          <w:b w:val="false"/>
          <w:strike/>
          <w:color w:val="FF0000"/>
          <w:sz w:val="24"/>
        </w:rPr>
        <w:t xml:space="preserve">for a deposit in dollars with a maturity of one month </w:t>
      </w:r>
      <w:r>
        <w:rPr>
          <w:rFonts w:ascii="Times New Roman;sans-serif" w:hAnsi="Times New Roman;sans-serif"/>
          <w:b w:val="false"/>
          <w:color w:val="000000"/>
          <w:sz w:val="24"/>
        </w:rPr>
        <w:t xml:space="preserve">plus 1% per annum;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for purposes of this definition, </w:t>
      </w:r>
      <w:r>
        <w:rPr>
          <w:rFonts w:ascii="Times New Roman;sans-serif" w:hAnsi="Times New Roman;sans-serif"/>
          <w:b w:val="false"/>
          <w:strike/>
          <w:color w:val="FF0000"/>
          <w:sz w:val="24"/>
        </w:rPr>
        <w:t xml:space="preserve">the </w:t>
      </w:r>
      <w:r>
        <w:rPr>
          <w:rFonts w:ascii="Times New Roman;sans-serif" w:hAnsi="Times New Roman;sans-serif"/>
          <w:b w:val="false"/>
          <w:color w:val="000000"/>
          <w:sz w:val="24"/>
        </w:rPr>
        <w:t xml:space="preserve">Adjusted </w:t>
      </w:r>
      <w:r>
        <w:rPr>
          <w:rFonts w:ascii="Times New Roman;sans-serif" w:hAnsi="Times New Roman;sans-serif"/>
          <w:b w:val="false"/>
          <w:strike/>
          <w:color w:val="FF0000"/>
          <w:sz w:val="24"/>
        </w:rPr>
        <w:t>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for any day shall be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02235"/>
                <wp:effectExtent l="0" t="0" r="0" b="0"/>
                <wp:wrapNone/>
                <wp:docPr id="215" name="Frame21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val="false"/>
          <w:color w:val="000000"/>
          <w:sz w:val="24"/>
        </w:rPr>
        <w:t xml:space="preserve">based on the </w:t>
      </w:r>
      <w:r>
        <w:rPr>
          <w:rFonts w:ascii="Times New Roman;sans-serif" w:hAnsi="Times New Roman;sans-serif"/>
          <w:b w:val="false"/>
          <w:strike/>
          <w:color w:val="FF0000"/>
          <w:sz w:val="24"/>
        </w:rPr>
        <w:t>LIBO Screen Rate on such day for deposits in dollars with a maturity of one month (or, if the LIBO Screen Rate is not available for such one month maturity, the Interpolated Rate) at approximately 11:00 a.m., London time</w:t>
      </w:r>
      <w:r>
        <w:rPr>
          <w:rFonts w:ascii="Times New Roman;sans-serif" w:hAnsi="Times New Roman;sans-serif"/>
          <w:b/>
          <w:color w:val="0000FF"/>
          <w:sz w:val="24"/>
          <w:u w:val="single"/>
        </w:rPr>
        <w:t>Term SOFR Reference Rate at approximately 5:00 a.m. Chicago time on such day (or any amended publication time for the Term SOFR Reference Rate, as specified by the CME Term SOFR Administrator in the Term SOFR Reference Rate methodology)</w:t>
      </w:r>
      <w:r>
        <w:rPr>
          <w:rFonts w:ascii="Times New Roman;sans-serif" w:hAnsi="Times New Roman;sans-serif"/>
          <w:b w:val="false"/>
          <w:color w:val="000000"/>
          <w:sz w:val="24"/>
        </w:rPr>
        <w:t xml:space="preserve">. Any change in the Alternate Base Rate due to a change in the Prime Rate, the NYFRB Rate or </w:t>
      </w:r>
      <w:r>
        <w:rPr>
          <w:rFonts w:ascii="Times New Roman;sans-serif" w:hAnsi="Times New Roman;sans-serif"/>
          <w:b w:val="false"/>
          <w:strike/>
          <w:color w:val="FF0000"/>
          <w:sz w:val="24"/>
        </w:rPr>
        <w:t xml:space="preserve">the </w:t>
      </w:r>
      <w:r>
        <w:rPr>
          <w:rFonts w:ascii="Times New Roman;sans-serif" w:hAnsi="Times New Roman;sans-serif"/>
          <w:b w:val="false"/>
          <w:color w:val="000000"/>
          <w:sz w:val="24"/>
        </w:rPr>
        <w:t xml:space="preserve">Adjusted </w:t>
      </w:r>
      <w:r>
        <w:rPr>
          <w:rFonts w:ascii="Times New Roman;sans-serif" w:hAnsi="Times New Roman;sans-serif"/>
          <w:b w:val="false"/>
          <w:strike/>
          <w:color w:val="FF0000"/>
          <w:sz w:val="24"/>
        </w:rPr>
        <w:t>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shall be effective from and including the effective date of such change in the Prime Rate, the NYFRB Rate or </w:t>
      </w:r>
      <w:r>
        <w:rPr>
          <w:rFonts w:ascii="Times New Roman;sans-serif" w:hAnsi="Times New Roman;sans-serif"/>
          <w:b w:val="false"/>
          <w:strike/>
          <w:color w:val="FF0000"/>
          <w:sz w:val="24"/>
        </w:rPr>
        <w:t xml:space="preserve">the </w:t>
      </w:r>
      <w:r>
        <w:rPr>
          <w:rFonts w:ascii="Times New Roman;sans-serif" w:hAnsi="Times New Roman;sans-serif"/>
          <w:b w:val="false"/>
          <w:color w:val="000000"/>
          <w:sz w:val="24"/>
        </w:rPr>
        <w:t xml:space="preserve">Adjusted </w:t>
      </w:r>
      <w:r>
        <w:rPr>
          <w:rFonts w:ascii="Times New Roman;sans-serif" w:hAnsi="Times New Roman;sans-serif"/>
          <w:b w:val="false"/>
          <w:strike/>
          <w:color w:val="FF0000"/>
          <w:sz w:val="24"/>
        </w:rPr>
        <w:t>LIBO Rate</w:t>
      </w:r>
      <w:r>
        <w:rPr>
          <w:rFonts w:ascii="Times New Roman;sans-serif" w:hAnsi="Times New Roman;sans-serif"/>
          <w:b/>
          <w:color w:val="0000FF"/>
          <w:sz w:val="24"/>
          <w:u w:val="single"/>
        </w:rPr>
        <w:t>Term SOFR</w:t>
      </w:r>
      <w:r>
        <w:rPr>
          <w:rFonts w:ascii="Times New Roman;sans-serif" w:hAnsi="Times New Roman;sans-serif"/>
          <w:b w:val="false"/>
          <w:color w:val="000000"/>
          <w:sz w:val="24"/>
        </w:rPr>
        <w:t xml:space="preserve">, respectively. If the Alternate Base Rate is being used as an alternate rate of interest pursuant to Section 2.13 (for the avoidance of doubt, only until the applicable Benchmark Replacement has been determined pursuant to Section 2.13(b)), then </w:t>
      </w:r>
      <w:r>
        <w:rPr>
          <w:rFonts w:ascii="Times New Roman;sans-serif" w:hAnsi="Times New Roman;sans-serif"/>
          <w:b w:val="false"/>
          <w:strike/>
          <w:color w:val="FF0000"/>
          <w:sz w:val="24"/>
        </w:rPr>
        <w:t>for purposes of</w:t>
      </w:r>
      <w:r>
        <w:rPr>
          <w:rFonts w:ascii="Times New Roman;sans-serif" w:hAnsi="Times New Roman;sans-serif"/>
          <w:b/>
          <w:color w:val="0000FF"/>
          <w:sz w:val="24"/>
          <w:u w:val="single"/>
        </w:rPr>
        <w:t>the Alternate Base Rate shall be the greater of clauses (a) and (b) above and shall be determined without reference to</w:t>
      </w:r>
      <w:r>
        <w:rPr>
          <w:color w:val="000000"/>
        </w:rPr>
        <w:t xml:space="preserve"> </w:t>
      </w:r>
      <w:r>
        <w:rPr>
          <w:rFonts w:ascii="Times New Roman;sans-serif" w:hAnsi="Times New Roman;sans-serif"/>
          <w:b w:val="false"/>
          <w:color w:val="000000"/>
          <w:sz w:val="24"/>
        </w:rPr>
        <w:t>clause (c) above</w:t>
      </w:r>
      <w:r>
        <w:rPr>
          <w:strike/>
          <w:color w:val="FF0000"/>
        </w:rPr>
        <w:t xml:space="preserve"> </w:t>
      </w:r>
      <w:r>
        <w:rPr>
          <w:rFonts w:ascii="Times New Roman;sans-serif" w:hAnsi="Times New Roman;sans-serif"/>
          <w:b w:val="false"/>
          <w:strike/>
          <w:color w:val="FF0000"/>
          <w:sz w:val="24"/>
        </w:rPr>
        <w:t>the Adjusted LIBO Rate shall be deemed to be 0.00%</w:t>
      </w:r>
      <w:r>
        <w:rPr>
          <w:rFonts w:ascii="Times New Roman;sans-serif" w:hAnsi="Times New Roman;sans-serif"/>
          <w:b w:val="false"/>
          <w:color w:val="000000"/>
          <w:sz w:val="24"/>
        </w:rPr>
        <w:t>. Notwithstanding the foregoing, the Alternate Base Rate shall at no time be less than 1.00% per annum.</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Anti-Corruption Laws</w:t>
      </w:r>
      <w:r>
        <w:rPr>
          <w:color w:val="000000"/>
        </w:rPr>
        <w:t xml:space="preserve">” </w:t>
      </w:r>
      <w:r>
        <w:rPr>
          <w:rFonts w:ascii="Times New Roman;sans-serif" w:hAnsi="Times New Roman;sans-serif"/>
          <w:b w:val="false"/>
          <w:color w:val="000000"/>
          <w:sz w:val="24"/>
        </w:rPr>
        <w:t>means FCPA, the U.K. Bribery Act 2010 and all other laws, rules and regulations of any jurisdiction concerning or relating to bribery, corruption or money laundering, in each case to the extent applicable to the Company and its Subsidiaries.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Applicable Creditor</w:t>
      </w:r>
      <w:r>
        <w:rPr>
          <w:color w:val="000000"/>
        </w:rPr>
        <w:t xml:space="preserve">” </w:t>
      </w:r>
      <w:r>
        <w:rPr>
          <w:rFonts w:ascii="Times New Roman;sans-serif" w:hAnsi="Times New Roman;sans-serif"/>
          <w:b w:val="false"/>
          <w:color w:val="000000"/>
          <w:sz w:val="24"/>
        </w:rPr>
        <w:t>has the meaning set forth in Section 8.18(b).</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Applicable Percentage</w:t>
      </w:r>
      <w:r>
        <w:rPr>
          <w:color w:val="000000"/>
        </w:rPr>
        <w:t xml:space="preserve">” </w:t>
      </w:r>
      <w:r>
        <w:rPr>
          <w:rFonts w:ascii="Times New Roman;sans-serif" w:hAnsi="Times New Roman;sans-serif"/>
          <w:b w:val="false"/>
          <w:color w:val="000000"/>
          <w:sz w:val="24"/>
        </w:rPr>
        <w:t>means, with respect to any Revolving Lender or any Lender of any other Class, the percentage of the total Revolving Commitments or total Commitments of any other Class, as applicable, represented by such Lender’s Revolving Commitment or Commitment of any other Class. If the Revolving Commitments or Commitments of any other Class have terminated or expired, the Applicable Percentages shall be determined based upon the Revolving Commitments or Commitments of any other Class most recently in effect, giving effect to any assignments.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Applicable Rate</w:t>
      </w:r>
      <w:r>
        <w:rPr>
          <w:color w:val="000000"/>
        </w:rPr>
        <w:t xml:space="preserve">” </w:t>
      </w:r>
      <w:r>
        <w:rPr>
          <w:rFonts w:ascii="Times New Roman;sans-serif" w:hAnsi="Times New Roman;sans-serif"/>
          <w:b w:val="false"/>
          <w:color w:val="000000"/>
          <w:sz w:val="24"/>
        </w:rPr>
        <w:t xml:space="preserve">means, for any day, with respect to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Revolving Loan, ABR or Canadian Prime Rate Loan, with respect to any Protective Advance or with respect to the participation fees payable hereunder in respect of Letters of Credit, as the case may be, the applicable rate per annum set forth below under the caption “</w:t>
      </w:r>
      <w:r>
        <w:rPr>
          <w:rFonts w:ascii="Times New Roman;sans-serif" w:hAnsi="Times New Roman;sans-serif"/>
          <w:b w:val="false"/>
          <w:strike/>
          <w:color w:val="FF0000"/>
          <w:sz w:val="24"/>
        </w:rPr>
        <w:t>Eurodollar (LIBO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CDOR Rate Spread”, “ABR / Canadian Prime Rate Spread” or “LC Participation Fee Rate”, as the case may be, based upon the Company’s Average Daily Excess Availability applicable on such date:</w:t>
      </w:r>
    </w:p>
    <w:p>
      <w:pPr>
        <w:pStyle w:val="TextBody"/>
        <w:bidi w:val="0"/>
        <w:spacing w:before="0" w:after="120"/>
        <w:ind w:left="0" w:right="0" w:firstLine="1440"/>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02235"/>
                <wp:effectExtent l="0" t="0" r="0" b="0"/>
                <wp:wrapNone/>
                <wp:docPr id="216" name="Frame21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0"/>
        <w:gridCol w:w="756"/>
        <w:gridCol w:w="758"/>
        <w:gridCol w:w="1160"/>
        <w:gridCol w:w="1160"/>
        <w:gridCol w:w="1163"/>
        <w:gridCol w:w="784"/>
        <w:gridCol w:w="784"/>
        <w:gridCol w:w="786"/>
        <w:gridCol w:w="582"/>
        <w:gridCol w:w="582"/>
        <w:gridCol w:w="830"/>
      </w:tblGrid>
      <w:tr>
        <w:trPr/>
        <w:tc>
          <w:tcPr>
            <w:tcW w:w="8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Average Daily Excess Availability:</w:t>
            </w:r>
          </w:p>
        </w:tc>
        <w:tc>
          <w:tcPr>
            <w:tcW w:w="34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strike/>
                <w:color w:val="FF0000"/>
                <w:sz w:val="24"/>
              </w:rPr>
              <w:t>Eurodollar (LIBO Rate)</w:t>
            </w:r>
            <w:r>
              <w:rPr>
                <w:rFonts w:ascii="Times New Roman;sans-serif" w:hAnsi="Times New Roman;sans-serif"/>
                <w:b/>
                <w:strike/>
                <w:color w:val="0000FF"/>
                <w:sz w:val="24"/>
                <w:u w:val="single"/>
              </w:rPr>
              <w:t>Term SOFR</w:t>
            </w:r>
            <w:r>
              <w:rPr>
                <w:strike/>
                <w:color w:val="FF0000"/>
              </w:rPr>
              <w:t xml:space="preserve"> </w:t>
            </w:r>
            <w:r>
              <w:rPr>
                <w:rFonts w:ascii="Times New Roman;sans-serif" w:hAnsi="Times New Roman;sans-serif"/>
                <w:b w:val="false"/>
                <w:strike/>
                <w:color w:val="FF0000"/>
                <w:sz w:val="24"/>
              </w:rPr>
              <w:t>/ CDOR Rate Spread</w:t>
            </w:r>
          </w:p>
        </w:tc>
        <w:tc>
          <w:tcPr>
            <w:tcW w:w="235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ABR / Canadian Prime Rate Spread</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LC Participation Fee Rate</w:t>
            </w:r>
          </w:p>
        </w:tc>
      </w:tr>
      <w:tr>
        <w:trPr/>
        <w:tc>
          <w:tcPr>
            <w:tcW w:w="23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Category 1</w:t>
            </w:r>
          </w:p>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&gt; 66.7%</w:t>
            </w:r>
          </w:p>
        </w:tc>
        <w:tc>
          <w:tcPr>
            <w:tcW w:w="34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tc>
        <w:tc>
          <w:tcPr>
            <w:tcW w:w="23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0.50%</w:t>
            </w:r>
          </w:p>
        </w:tc>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tc>
      </w:tr>
      <w:tr>
        <w:trPr/>
        <w:tc>
          <w:tcPr>
            <w:tcW w:w="2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Category 2</w:t>
            </w:r>
          </w:p>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&lt; 66.7% but &gt; 33.3%</w:t>
            </w:r>
          </w:p>
        </w:tc>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0.75%</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p>
        </w:tc>
      </w:tr>
      <w:tr>
        <w:trPr/>
        <w:tc>
          <w:tcPr>
            <w:tcW w:w="2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Category 3</w:t>
            </w:r>
          </w:p>
          <w:p>
            <w:pPr>
              <w:pStyle w:val="TableContents"/>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&lt; 33.3%</w:t>
            </w:r>
          </w:p>
        </w:tc>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before="0" w:after="0"/>
        <w:jc w:val="left"/>
        <w:rPr/>
      </w:pPr>
      <w:r>
        <w:rPr/>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Applicable Rate shall be determined based on Average Daily Excess Availability for the most recently ended fiscal quarter of the Company as set forth in the table above. Each change to the Applicable Rate shall be effective on the first day of the first month immediately following the last day of such fiscal quarter. Notwithstanding the foregoing provisions of this definition, the Applicable Rate shall be determined by reference to Category 3 in the table above (a) if the Company shall fail to deliver any Borrowing Base Certificate by the time required under Section 5.01(a)(iii), for the period from and including the day following the date on which such Borrowing Base Certificate shall have been due to and including the day on which such Borrowing Base Certificate shall have been delivered, and (b) at any other time that an Event of Default has occurred and is continuing (unless such increase in the Applicable Rate is otherwise waived by the Required Lenders).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Assignment and Assumption</w:t>
      </w:r>
      <w:r>
        <w:rPr>
          <w:color w:val="000000"/>
        </w:rPr>
        <w:t xml:space="preserve">” </w:t>
      </w:r>
      <w:r>
        <w:rPr>
          <w:rFonts w:ascii="Times New Roman;sans-serif" w:hAnsi="Times New Roman;sans-serif"/>
          <w:b w:val="false"/>
          <w:color w:val="000000"/>
          <w:sz w:val="24"/>
        </w:rPr>
        <w:t>means an assignment and assumption entered into by a Lender and an Eligible Assignee (with the consent of any party whose consent is required by Section 8.04), and accepted by the Administrative Agent, in the form of Exhibit A or any other form approved by the Administrative Agent.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Availability Period</w:t>
      </w:r>
      <w:r>
        <w:rPr>
          <w:color w:val="000000"/>
        </w:rPr>
        <w:t xml:space="preserve">” </w:t>
      </w:r>
      <w:r>
        <w:rPr>
          <w:rFonts w:ascii="Times New Roman;sans-serif" w:hAnsi="Times New Roman;sans-serif"/>
          <w:b w:val="false"/>
          <w:color w:val="000000"/>
          <w:sz w:val="24"/>
        </w:rPr>
        <w:t>means the period from and including the Effective Date to but excluding the earlier of the Maturity Date and the date of termination of the Commitments.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Available Tenor</w:t>
      </w:r>
      <w:r>
        <w:rPr>
          <w:color w:val="000000"/>
        </w:rPr>
        <w:t xml:space="preserve">” </w:t>
      </w:r>
      <w:r>
        <w:rPr>
          <w:rFonts w:ascii="Times New Roman;sans-serif" w:hAnsi="Times New Roman;sans-serif"/>
          <w:b w:val="false"/>
          <w:color w:val="000000"/>
          <w:sz w:val="24"/>
        </w:rPr>
        <w:t>means, as of any date of determination and with respect to the then-current Benchmark for any currency,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2.13(f).</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Average Daily Excess Availability</w:t>
      </w:r>
      <w:r>
        <w:rPr>
          <w:color w:val="000000"/>
        </w:rPr>
        <w:t xml:space="preserve">” </w:t>
      </w:r>
      <w:r>
        <w:rPr>
          <w:rFonts w:ascii="Times New Roman;sans-serif" w:hAnsi="Times New Roman;sans-serif"/>
          <w:b w:val="false"/>
          <w:color w:val="000000"/>
          <w:sz w:val="24"/>
        </w:rPr>
        <w:t xml:space="preserve">means, with respect to any fiscal quarter, (a)(i) the sum of Excess Availability for each day during such fiscal quarter, divided by (ii) the number of days in such fiscal quarter, divided by (b)(i) the Aggregate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02235"/>
                <wp:effectExtent l="0" t="0" r="0" b="0"/>
                <wp:wrapNone/>
                <wp:docPr id="217" name="Frame21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Commitments in effect for each day during such fiscal quarter divided by (ii) the number of days in such fiscal quarter.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Average Utilization</w:t>
      </w:r>
      <w:r>
        <w:rPr>
          <w:color w:val="000000"/>
        </w:rPr>
        <w:t xml:space="preserve">” </w:t>
      </w:r>
      <w:r>
        <w:rPr>
          <w:rFonts w:ascii="Times New Roman;sans-serif" w:hAnsi="Times New Roman;sans-serif"/>
          <w:b w:val="false"/>
          <w:color w:val="000000"/>
          <w:sz w:val="24"/>
        </w:rPr>
        <w:t xml:space="preserve">means, with respect to any period, (a) the sum of Utilization for each day during such period divided by (b) the number of days in such period.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Bail-In Legislation</w:t>
      </w:r>
      <w:r>
        <w:rPr>
          <w:color w:val="000000"/>
        </w:rPr>
        <w:t xml:space="preserve">” </w:t>
      </w:r>
      <w:r>
        <w:rPr>
          <w:rFonts w:ascii="Times New Roman;sans-serif" w:hAnsi="Times New Roman;sans-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Bankruptcy Code</w:t>
      </w:r>
      <w:r>
        <w:rPr>
          <w:color w:val="000000"/>
        </w:rPr>
        <w:t xml:space="preserve">” </w:t>
      </w:r>
      <w:r>
        <w:rPr>
          <w:rFonts w:ascii="Times New Roman;sans-serif" w:hAnsi="Times New Roman;sans-serif"/>
          <w:b w:val="false"/>
          <w:color w:val="000000"/>
          <w:sz w:val="24"/>
        </w:rPr>
        <w:t>means title 11 of the United States Code, as amended.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Bankruptcy Event</w:t>
      </w:r>
      <w:r>
        <w:rPr>
          <w:color w:val="000000"/>
        </w:rPr>
        <w:t xml:space="preserve">” </w:t>
      </w:r>
      <w:r>
        <w:rPr>
          <w:rFonts w:ascii="Times New Roman;sans-serif" w:hAnsi="Times New Roman;sans-serif"/>
          <w:b w:val="false"/>
          <w:color w:val="000000"/>
          <w:sz w:val="24"/>
        </w:rPr>
        <w:t>means, with respect to any Person, that such Person has filed a petition or application seeking relief under any applicable Insolvency Law or similar law of any jurisdiction, has become the subject of a voluntary or involuntary bankruptcy or insolvency proceeding, or has had a receiver, interim receiver, receiver and manager, liquidator, sequestrator,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BBW</w:t>
      </w:r>
      <w:r>
        <w:rPr>
          <w:color w:val="000000"/>
        </w:rPr>
        <w:t xml:space="preserve">” </w:t>
      </w:r>
      <w:r>
        <w:rPr>
          <w:rFonts w:ascii="Times New Roman;sans-serif" w:hAnsi="Times New Roman;sans-serif"/>
          <w:b w:val="false"/>
          <w:color w:val="000000"/>
          <w:sz w:val="24"/>
        </w:rPr>
        <w:t>means L Brands, Inc., a Delaware corporation.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Benchmark</w:t>
      </w:r>
      <w:r>
        <w:rPr>
          <w:color w:val="000000"/>
        </w:rPr>
        <w:t xml:space="preserve">” </w:t>
      </w:r>
      <w:r>
        <w:rPr>
          <w:rFonts w:ascii="Times New Roman;sans-serif" w:hAnsi="Times New Roman;sans-serif"/>
          <w:b w:val="false"/>
          <w:color w:val="000000"/>
          <w:sz w:val="24"/>
        </w:rPr>
        <w:t xml:space="preserve">means, initially, with respect to any (i) Loans denominated in US Dollars, </w:t>
      </w:r>
      <w:r>
        <w:rPr>
          <w:rFonts w:ascii="Times New Roman;sans-serif" w:hAnsi="Times New Roman;sans-serif"/>
          <w:b w:val="false"/>
          <w:strike/>
          <w:color w:val="FF0000"/>
          <w:sz w:val="24"/>
        </w:rPr>
        <w:t>the Adjusted 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(ii) Loans denominated in CAD, the CDOR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Benchmark Transition Event</w:t>
      </w:r>
      <w:r>
        <w:rPr>
          <w:rFonts w:ascii="Times New Roman;sans-serif" w:hAnsi="Times New Roman;sans-serif"/>
          <w:b w:val="false"/>
          <w:strike/>
          <w:color w:val="FF0000"/>
          <w:sz w:val="24"/>
        </w:rPr>
        <w:t>, a Term SOFR Transition Event or an Early Opt-in Election, as applicable, and its</w:t>
      </w:r>
      <w:r>
        <w:rPr>
          <w:color w:val="000000"/>
        </w:rPr>
        <w:t xml:space="preserve"> </w:t>
      </w:r>
      <w:r>
        <w:rPr>
          <w:rFonts w:ascii="Times New Roman;sans-serif" w:hAnsi="Times New Roman;sans-serif"/>
          <w:b/>
          <w:color w:val="0000FF"/>
          <w:sz w:val="24"/>
          <w:u w:val="single"/>
        </w:rPr>
        <w:t>and the</w:t>
      </w:r>
      <w:r>
        <w:rPr>
          <w:color w:val="000000"/>
        </w:rPr>
        <w:t xml:space="preserve"> </w:t>
      </w:r>
      <w:r>
        <w:rPr>
          <w:rFonts w:ascii="Times New Roman;sans-serif" w:hAnsi="Times New Roman;sans-serif"/>
          <w:b w:val="false"/>
          <w:color w:val="000000"/>
          <w:sz w:val="24"/>
        </w:rPr>
        <w:t xml:space="preserve">related Benchmark Replacement Date have occurred with respect to </w:t>
      </w:r>
      <w:r>
        <w:rPr>
          <w:rFonts w:ascii="Times New Roman;sans-serif" w:hAnsi="Times New Roman;sans-serif"/>
          <w:b w:val="false"/>
          <w:strike/>
          <w:color w:val="FF0000"/>
          <w:sz w:val="24"/>
        </w:rPr>
        <w:t>the Adjusted 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the CDOR Rate or any other then-current Benchmark, as applicable, then “Benchmark” means the applicable Benchmark Replacement to the extent that such Benchmark Replacement has replaced such prior benchmark rate pursuant to Section 2.13(b)</w:t>
      </w:r>
      <w:r>
        <w:rPr>
          <w:strike/>
          <w:color w:val="FF0000"/>
        </w:rPr>
        <w:t xml:space="preserve"> </w:t>
      </w:r>
      <w:r>
        <w:rPr>
          <w:rFonts w:ascii="Times New Roman;sans-serif" w:hAnsi="Times New Roman;sans-serif"/>
          <w:b w:val="false"/>
          <w:strike/>
          <w:color w:val="FF0000"/>
          <w:sz w:val="24"/>
        </w:rPr>
        <w:t>or (c)</w:t>
      </w:r>
      <w:r>
        <w:rPr>
          <w:rFonts w:ascii="Times New Roman;sans-serif" w:hAnsi="Times New Roman;sans-serif"/>
          <w:b w:val="false"/>
          <w:color w:val="000000"/>
          <w:sz w:val="24"/>
        </w:rPr>
        <w: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 xml:space="preserve">means, for any Available Tenor, the first alternative set forth in the order below that can be determined by the Administrative Agent for the applicable Benchmark Replacement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any Loan denominated in CAD, “Benchmark Replacement” shall mean the alternative set forth in (</w:t>
      </w:r>
      <w:r>
        <w:rPr>
          <w:rFonts w:ascii="Times New Roman;sans-serif" w:hAnsi="Times New Roman;sans-serif"/>
          <w:b w:val="false"/>
          <w:strike/>
          <w:color w:val="FF0000"/>
          <w:sz w:val="24"/>
        </w:rPr>
        <w:t>3</w:t>
      </w:r>
      <w:r>
        <w:rPr>
          <w:rFonts w:ascii="Times New Roman;sans-serif" w:hAnsi="Times New Roman;sans-serif"/>
          <w:b/>
          <w:color w:val="0000FF"/>
          <w:sz w:val="24"/>
          <w:u w:val="single"/>
        </w:rPr>
        <w:t>2</w:t>
      </w:r>
      <w:r>
        <w:rPr>
          <w:rFonts w:ascii="Times New Roman;sans-serif" w:hAnsi="Times New Roman;sans-serif"/>
          <w:b w:val="false"/>
          <w:color w:val="000000"/>
          <w:sz w:val="24"/>
        </w:rPr>
        <w:t>) below:</w:t>
      </w:r>
    </w:p>
    <w:p>
      <w:pPr>
        <w:pStyle w:val="TextBody"/>
        <w:bidi w:val="0"/>
        <w:spacing w:lineRule="auto" w:line="240" w:before="0" w:after="120"/>
        <w:jc w:val="left"/>
        <w:rPr/>
      </w:pPr>
      <w:r>
        <w:rPr>
          <w:rFonts w:ascii="Times New Roman;sans-serif" w:hAnsi="Times New Roman;sans-serif"/>
          <w:b w:val="false"/>
          <w:strike/>
          <w:color w:val="FF0000"/>
          <w:sz w:val="24"/>
        </w:rPr>
        <w:t>(1)</w:t>
      </w:r>
      <w:r>
        <w:rPr>
          <w:color w:val="000000"/>
        </w:rPr>
        <w:t>    </w:t>
      </w:r>
      <w:r>
        <w:rPr>
          <w:rFonts w:ascii="Times New Roman;sans-serif" w:hAnsi="Times New Roman;sans-serif"/>
          <w:b w:val="false"/>
          <w:strike/>
          <w:color w:val="FF0000"/>
          <w:sz w:val="24"/>
        </w:rPr>
        <w:t>in the case of any Loan denominated in US Dollars, the sum of: (a) Term SOFR and (b) the related Benchmark Replacement Adjustment;</w:t>
      </w:r>
    </w:p>
    <w:p>
      <w:pPr>
        <w:pStyle w:val="TextBody"/>
        <w:bidi w:val="0"/>
        <w:spacing w:lineRule="auto" w:line="240" w:before="0" w:after="120"/>
        <w:jc w:val="left"/>
        <w:rPr/>
      </w:pPr>
      <w:r>
        <w:rPr>
          <w:rFonts w:ascii="Times New Roman;sans-serif" w:hAnsi="Times New Roman;sans-serif"/>
          <w:b w:val="false"/>
          <w:color w:val="000000"/>
          <w:sz w:val="24"/>
        </w:rPr>
        <w:t>(</w:t>
      </w:r>
      <w:r>
        <w:rPr>
          <w:rFonts w:ascii="Times New Roman;sans-serif" w:hAnsi="Times New Roman;sans-serif"/>
          <w:b w:val="false"/>
          <w:strike/>
          <w:color w:val="FF0000"/>
          <w:sz w:val="24"/>
        </w:rPr>
        <w:t>2</w:t>
      </w:r>
      <w:r>
        <w:rPr>
          <w:rFonts w:ascii="Times New Roman;sans-serif" w:hAnsi="Times New Roman;sans-serif"/>
          <w:b/>
          <w:color w:val="0000FF"/>
          <w:sz w:val="24"/>
          <w:u w:val="single"/>
        </w:rPr>
        <w:t>1</w:t>
      </w:r>
      <w:r>
        <w:rPr>
          <w:rFonts w:ascii="Times New Roman;sans-serif" w:hAnsi="Times New Roman;sans-serif"/>
          <w:b w:val="false"/>
          <w:color w:val="000000"/>
          <w:sz w:val="24"/>
        </w:rPr>
        <w:t xml:space="preserve">)    in the case of any Loan denominated in US Dollars, </w:t>
      </w:r>
      <w:r>
        <w:rPr>
          <w:rFonts w:ascii="Times New Roman;sans-serif" w:hAnsi="Times New Roman;sans-serif"/>
          <w:b w:val="false"/>
          <w:strike/>
          <w:color w:val="FF0000"/>
          <w:sz w:val="24"/>
        </w:rPr>
        <w:t>the sum of: (a)</w:t>
      </w:r>
      <w:r>
        <w:rPr>
          <w:rFonts w:ascii="Times New Roman;sans-serif" w:hAnsi="Times New Roman;sans-serif"/>
          <w:b/>
          <w:color w:val="0000FF"/>
          <w:sz w:val="24"/>
          <w:u w:val="single"/>
        </w:rPr>
        <w:t>Adjusted</w:t>
      </w:r>
      <w:r>
        <w:rPr>
          <w:color w:val="000000"/>
        </w:rPr>
        <w:t xml:space="preserve"> </w:t>
      </w:r>
      <w:r>
        <w:rPr>
          <w:rFonts w:ascii="Times New Roman;sans-serif" w:hAnsi="Times New Roman;sans-serif"/>
          <w:b w:val="false"/>
          <w:color w:val="000000"/>
          <w:sz w:val="24"/>
        </w:rPr>
        <w:t>Daily Simple SOFR</w:t>
      </w:r>
      <w:r>
        <w:rPr>
          <w:strike/>
          <w:color w:val="FF0000"/>
        </w:rPr>
        <w:t xml:space="preserve"> </w:t>
      </w:r>
      <w:r>
        <w:rPr>
          <w:rFonts w:ascii="Times New Roman;sans-serif" w:hAnsi="Times New Roman;sans-serif"/>
          <w:b w:val="false"/>
          <w:strike/>
          <w:color w:val="FF0000"/>
          <w:sz w:val="24"/>
        </w:rPr>
        <w:t>and (b) the related Benchmark Replacement Adjustment</w:t>
      </w:r>
      <w:r>
        <w:rPr>
          <w:rFonts w:ascii="Times New Roman;sans-serif" w:hAnsi="Times New Roman;sans-serif"/>
          <w:b w:val="false"/>
          <w:color w:val="000000"/>
          <w:sz w:val="24"/>
        </w:rPr>
        <w:t xml:space="preserve">; </w:t>
      </w:r>
    </w:p>
    <w:p>
      <w:pPr>
        <w:pStyle w:val="TextBody"/>
        <w:bidi w:val="0"/>
        <w:spacing w:lineRule="auto" w:line="240" w:before="0" w:after="120"/>
        <w:jc w:val="left"/>
        <w:rPr/>
      </w:pPr>
      <w:r>
        <w:rPr>
          <w:rFonts w:ascii="Times New Roman;sans-serif" w:hAnsi="Times New Roman;sans-serif"/>
          <w:b w:val="false"/>
          <w:color w:val="000000"/>
          <w:sz w:val="24"/>
        </w:rPr>
        <w:t>(</w:t>
      </w:r>
      <w:r>
        <w:rPr>
          <w:rFonts w:ascii="Times New Roman;sans-serif" w:hAnsi="Times New Roman;sans-serif"/>
          <w:b w:val="false"/>
          <w:strike/>
          <w:color w:val="FF0000"/>
          <w:sz w:val="24"/>
        </w:rPr>
        <w:t>3</w:t>
      </w:r>
      <w:r>
        <w:rPr>
          <w:rFonts w:ascii="Times New Roman;sans-serif" w:hAnsi="Times New Roman;sans-serif"/>
          <w:b/>
          <w:color w:val="0000FF"/>
          <w:sz w:val="24"/>
          <w:u w:val="single"/>
        </w:rPr>
        <w:t>2</w:t>
      </w:r>
      <w:r>
        <w:rPr>
          <w:rFonts w:ascii="Times New Roman;sans-serif" w:hAnsi="Times New Roman;sans-serif"/>
          <w:b w:val="false"/>
          <w:color w:val="000000"/>
          <w:sz w:val="24"/>
        </w:rPr>
        <w:t xml:space="preserve">)    the sum of: (a) the alternate benchmark rate that has been selected by the Administrative Agent and the Borrower as the replacement for the then-current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02235"/>
                <wp:effectExtent l="0" t="0" r="0" b="0"/>
                <wp:wrapNone/>
                <wp:docPr id="218" name="Frame21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val="false"/>
          <w:color w:val="000000"/>
          <w:sz w:val="24"/>
        </w:rPr>
        <w:t>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in the United States and (b) the related Benchmark Replacement Adjustment</w:t>
      </w:r>
      <w:r>
        <w:rPr>
          <w:rFonts w:ascii="Times New Roman;sans-serif" w:hAnsi="Times New Roman;sans-serif"/>
          <w:b w:val="false"/>
          <w:strike/>
          <w:color w:val="FF0000"/>
          <w:sz w:val="24"/>
        </w:rPr>
        <w:t>;</w:t>
      </w:r>
      <w:r>
        <w:rPr>
          <w:rFonts w:ascii="Times New Roman;sans-serif" w:hAnsi="Times New Roman;sans-serif"/>
          <w:b/>
          <w:color w:val="0000FF"/>
          <w:sz w:val="24"/>
          <w:u w:val="single"/>
        </w:rPr>
        <w:t>.</w:t>
      </w:r>
      <w:r>
        <w:rPr>
          <w:color w:val="000000"/>
        </w:rPr>
        <w:t xml:space="preserve"> </w:t>
      </w:r>
    </w:p>
    <w:p>
      <w:pPr>
        <w:pStyle w:val="TextBody"/>
        <w:bidi w:val="0"/>
        <w:spacing w:lineRule="auto" w:line="240" w:before="0" w:after="240"/>
        <w:jc w:val="left"/>
        <w:rPr/>
      </w:pPr>
      <w:r>
        <w:rPr>
          <w:rFonts w:ascii="Times New Roman;sans-serif" w:hAnsi="Times New Roman;sans-serif"/>
          <w:b w:val="false"/>
          <w:strike/>
          <w:color w:val="FF0000"/>
          <w:sz w:val="24"/>
          <w:u w:val="single"/>
        </w:rPr>
        <w:t>provided</w:t>
      </w:r>
      <w:r>
        <w:rPr>
          <w:strike/>
          <w:color w:val="FF0000"/>
        </w:rPr>
        <w:t xml:space="preserve"> </w:t>
      </w:r>
      <w:r>
        <w:rPr>
          <w:rFonts w:ascii="Times New Roman;sans-serif" w:hAnsi="Times New Roman;sans-serif"/>
          <w:b w:val="false"/>
          <w:strike/>
          <w:color w:val="FF0000"/>
          <w:sz w:val="24"/>
        </w:rPr>
        <w:t xml:space="preserve">that, in the case of clause (1), such Unadjusted Benchmark Replacement is displayed on a screen or other information service that publishes such rate from time to time as selected by the Administrative Agent in its reasonable discretion; </w:t>
      </w:r>
      <w:r>
        <w:rPr>
          <w:rFonts w:ascii="Times New Roman;sans-serif" w:hAnsi="Times New Roman;sans-serif"/>
          <w:b w:val="false"/>
          <w:strike/>
          <w:color w:val="FF0000"/>
          <w:sz w:val="24"/>
          <w:u w:val="single"/>
        </w:rPr>
        <w:t>provided</w:t>
      </w:r>
      <w:r>
        <w:rPr>
          <w:rFonts w:ascii="Times New Roman;sans-serif" w:hAnsi="Times New Roman;sans-serif"/>
          <w:b w:val="false"/>
          <w:strike/>
          <w:color w:val="FF0000"/>
          <w:sz w:val="24"/>
        </w:rPr>
        <w:t xml:space="preserve">, </w:t>
      </w:r>
      <w:r>
        <w:rPr>
          <w:rFonts w:ascii="Times New Roman;sans-serif" w:hAnsi="Times New Roman;sans-serif"/>
          <w:b w:val="false"/>
          <w:strike/>
          <w:color w:val="FF0000"/>
          <w:sz w:val="24"/>
          <w:u w:val="single"/>
        </w:rPr>
        <w:t>further</w:t>
      </w:r>
      <w:r>
        <w:rPr>
          <w:rFonts w:ascii="Times New Roman;sans-serif" w:hAnsi="Times New Roman;sans-serif"/>
          <w:b w:val="false"/>
          <w:strike/>
          <w:color w:val="FF0000"/>
          <w:sz w:val="24"/>
        </w:rPr>
        <w:t>, that, notwithstanding anything to the contrary in this Agreement or in any other Loan Document, upon the occurrence of a Term SOFR Transition Event, and the delivery of a Term SOFR Notice, on the applicable Benchmark Replacement Date the “Benchmark Replacement” with respect to Loans denominated in US Dollars shall revert to and shall be deemed to be the sum of (a) Term SOFR and (b) the related Benchmark Replacement Adjustment, as set forth in clause (1) of this definition (subject to the first proviso above).</w:t>
      </w:r>
    </w:p>
    <w:p>
      <w:pPr>
        <w:pStyle w:val="TextBody"/>
        <w:bidi w:val="0"/>
        <w:spacing w:lineRule="auto" w:line="240" w:before="0" w:after="120"/>
        <w:jc w:val="left"/>
        <w:rPr/>
      </w:pPr>
      <w:r>
        <w:rPr>
          <w:rFonts w:ascii="Times New Roman;sans-serif" w:hAnsi="Times New Roman;sans-serif"/>
          <w:b w:val="false"/>
          <w:color w:val="000000"/>
          <w:sz w:val="24"/>
        </w:rPr>
        <w:t xml:space="preserve">If the Benchmark Replacement </w:t>
      </w:r>
      <w:r>
        <w:rPr>
          <w:rFonts w:ascii="Times New Roman;sans-serif" w:hAnsi="Times New Roman;sans-serif"/>
          <w:b w:val="false"/>
          <w:strike/>
          <w:color w:val="FF0000"/>
          <w:sz w:val="24"/>
        </w:rPr>
        <w:t xml:space="preserve">as </w:t>
      </w:r>
      <w:r>
        <w:rPr>
          <w:rFonts w:ascii="Times New Roman;sans-serif" w:hAnsi="Times New Roman;sans-serif"/>
          <w:b w:val="false"/>
          <w:color w:val="000000"/>
          <w:sz w:val="24"/>
        </w:rPr>
        <w:t xml:space="preserve">determined </w:t>
      </w:r>
      <w:r>
        <w:rPr>
          <w:rFonts w:ascii="Times New Roman;sans-serif" w:hAnsi="Times New Roman;sans-serif"/>
          <w:b w:val="false"/>
          <w:strike/>
          <w:color w:val="FF0000"/>
          <w:sz w:val="24"/>
        </w:rPr>
        <w:t>pursuant to clause (1), (2) or (3)</w:t>
      </w:r>
      <w:r>
        <w:rPr>
          <w:rFonts w:ascii="Times New Roman;sans-serif" w:hAnsi="Times New Roman;sans-serif"/>
          <w:b/>
          <w:color w:val="0000FF"/>
          <w:sz w:val="24"/>
          <w:u w:val="single"/>
        </w:rPr>
        <w:t>as set forth</w:t>
      </w:r>
      <w:r>
        <w:rPr>
          <w:color w:val="000000"/>
        </w:rPr>
        <w:t xml:space="preserve"> </w:t>
      </w:r>
      <w:r>
        <w:rPr>
          <w:rFonts w:ascii="Times New Roman;sans-serif" w:hAnsi="Times New Roman;sans-serif"/>
          <w:b w:val="false"/>
          <w:color w:val="000000"/>
          <w:sz w:val="24"/>
        </w:rPr>
        <w:t xml:space="preserve">above would be less than the Floor, the Benchmark Replacement will be deemed to be the Floor for the purposes of this Agreement and the other Loan Documents.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Benchmark Replacement Adjustment</w:t>
      </w:r>
      <w:r>
        <w:rPr>
          <w:color w:val="000000"/>
        </w:rPr>
        <w:t xml:space="preserve">” </w:t>
      </w:r>
      <w:r>
        <w:rPr>
          <w:rFonts w:ascii="Times New Roman;sans-serif" w:hAnsi="Times New Roman;sans-serif"/>
          <w:b w:val="false"/>
          <w:color w:val="000000"/>
          <w:sz w:val="24"/>
        </w:rPr>
        <w:t>means, with respect to any replacement of the then-current Benchmark with an Unadjusted Benchmark Replacement for any applicable Interest Period and Available Tenor for any setting of such Unadjusted Benchmark Replacement</w:t>
      </w:r>
      <w:r>
        <w:rPr>
          <w:rFonts w:ascii="Times New Roman;sans-serif" w:hAnsi="Times New Roman;sans-serif"/>
          <w:b w:val="false"/>
          <w:strike/>
          <w:color w:val="FF0000"/>
          <w:sz w:val="24"/>
        </w:rPr>
        <w:t>:</w:t>
      </w:r>
    </w:p>
    <w:p>
      <w:pPr>
        <w:pStyle w:val="TextBody"/>
        <w:bidi w:val="0"/>
        <w:spacing w:lineRule="auto" w:line="240" w:before="0" w:after="120"/>
        <w:ind w:left="0" w:right="0" w:firstLine="1440"/>
        <w:jc w:val="left"/>
        <w:rPr/>
      </w:pPr>
      <w:r>
        <w:rPr>
          <w:rFonts w:ascii="Times New Roman;sans-serif" w:hAnsi="Times New Roman;sans-serif"/>
          <w:b/>
          <w:color w:val="0000FF"/>
          <w:sz w:val="24"/>
          <w:u w:val="single"/>
        </w:rPr>
        <w:t xml:space="preserve">, the spread adjustment, or method for calculating or determining such spread adjustment (which may be a positive or negative value or zero) that has been selected by </w:t>
      </w:r>
      <w:r>
        <w:rPr>
          <w:rFonts w:ascii="Times New Roman;sans-serif" w:hAnsi="Times New Roman;sans-serif"/>
          <w:b w:val="false"/>
          <w:strike/>
          <w:color w:val="FF0000"/>
          <w:sz w:val="24"/>
        </w:rPr>
        <w:t>(1)</w:t>
      </w:r>
      <w:r>
        <w:rPr>
          <w:color w:val="000000"/>
        </w:rPr>
        <w:t>    </w:t>
      </w:r>
      <w:r>
        <w:rPr>
          <w:rFonts w:ascii="Times New Roman;sans-serif" w:hAnsi="Times New Roman;sans-serif"/>
          <w:b w:val="false"/>
          <w:strike/>
          <w:color w:val="FF0000"/>
          <w:sz w:val="24"/>
        </w:rPr>
        <w:t>for purposes of clauses (1) and (2) of the definition of “Benchmark Replacement,” the first alternative set forth in the order below that can be determined by the Administrative Agent:</w:t>
      </w:r>
    </w:p>
    <w:p>
      <w:pPr>
        <w:pStyle w:val="TextBody"/>
        <w:bidi w:val="0"/>
        <w:spacing w:lineRule="auto" w:line="240" w:before="0" w:after="120"/>
        <w:jc w:val="left"/>
        <w:rPr/>
      </w:pPr>
      <w:r>
        <w:rPr>
          <w:rFonts w:ascii="Times New Roman;sans-serif" w:hAnsi="Times New Roman;sans-serif"/>
          <w:b w:val="false"/>
          <w:strike/>
          <w:color w:val="FF0000"/>
          <w:sz w:val="24"/>
        </w:rPr>
        <w:t>(a)</w:t>
      </w:r>
      <w:r>
        <w:rPr>
          <w:color w:val="000000"/>
        </w:rPr>
        <w:t>    </w:t>
      </w:r>
      <w:r>
        <w:rPr>
          <w:rFonts w:ascii="Times New Roman;sans-serif" w:hAnsi="Times New Roman;sans-serif"/>
          <w:b w:val="false"/>
          <w:strike/>
          <w:color w:val="FF0000"/>
          <w:sz w:val="24"/>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pStyle w:val="TextBody"/>
        <w:bidi w:val="0"/>
        <w:spacing w:lineRule="auto" w:line="240" w:before="0" w:after="120"/>
        <w:jc w:val="left"/>
        <w:rPr/>
      </w:pPr>
      <w:r>
        <w:rPr>
          <w:rFonts w:ascii="Times New Roman;sans-serif" w:hAnsi="Times New Roman;sans-serif"/>
          <w:b w:val="false"/>
          <w:strike/>
          <w:color w:val="FF0000"/>
          <w:sz w:val="24"/>
        </w:rPr>
        <w:t>(b)</w:t>
      </w:r>
      <w:r>
        <w:rPr>
          <w:color w:val="000000"/>
        </w:rPr>
        <w:t>    </w:t>
      </w:r>
      <w:r>
        <w:rPr>
          <w:rFonts w:ascii="Times New Roman;sans-serif" w:hAnsi="Times New Roman;sans-serif"/>
          <w:b w:val="false"/>
          <w:strike/>
          <w:color w:val="FF0000"/>
          <w:sz w:val="24"/>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pStyle w:val="TextBody"/>
        <w:bidi w:val="0"/>
        <w:spacing w:lineRule="auto" w:line="240" w:before="0" w:after="120"/>
        <w:ind w:left="0" w:right="0" w:firstLine="1440"/>
        <w:jc w:val="left"/>
        <w:rPr/>
      </w:pPr>
      <w:r>
        <w:rPr>
          <w:rFonts w:ascii="Times New Roman;sans-serif" w:hAnsi="Times New Roman;sans-serif"/>
          <w:b w:val="false"/>
          <w:strike/>
          <w:color w:val="FF0000"/>
          <w:sz w:val="24"/>
        </w:rPr>
        <w:t>(2)</w:t>
      </w:r>
      <w:r>
        <w:rPr>
          <w:color w:val="000000"/>
        </w:rPr>
        <w:t>    </w:t>
      </w:r>
      <w:r>
        <w:rPr>
          <w:rFonts w:ascii="Times New Roman;sans-serif" w:hAnsi="Times New Roman;sans-serif"/>
          <w:b w:val="false"/>
          <w:strike/>
          <w:color w:val="FF0000"/>
          <w:sz w:val="24"/>
        </w:rPr>
        <w:t>for purposes of clause (3) of the definition of “Benchmark Replacement,” the spread adjustment, or method for calculating or determining such spread adjustment (which may be a positive or negative value or zero) that has been selected by the</w:t>
      </w:r>
      <w:r>
        <w:rPr>
          <w:rFonts w:ascii="Times New Roman;sans-serif" w:hAnsi="Times New Roman;sans-serif"/>
          <w:b/>
          <w:color w:val="0000FF"/>
          <w:sz w:val="24"/>
          <w:u w:val="single"/>
        </w:rPr>
        <w:t>the</w:t>
      </w:r>
      <w:r>
        <w:rPr>
          <w:color w:val="000000"/>
        </w:rPr>
        <w:t xml:space="preserve"> </w:t>
      </w:r>
      <w:r>
        <w:rPr>
          <w:rFonts w:ascii="Times New Roman;sans-serif" w:hAnsi="Times New Roman;sans-serif"/>
          <w:b w:val="false"/>
          <w:color w:val="000000"/>
          <w:sz w:val="24"/>
        </w:rPr>
        <w:t xml:space="preserve">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02235"/>
                <wp:effectExtent l="0" t="0" r="0" b="0"/>
                <wp:wrapNone/>
                <wp:docPr id="219" name="Frame21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val="false"/>
          <w:color w:val="000000"/>
          <w:sz w:val="24"/>
        </w:rPr>
        <w:t>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r>
        <w:rPr>
          <w:rFonts w:ascii="Times New Roman;sans-serif" w:hAnsi="Times New Roman;sans-serif"/>
          <w:b w:val="false"/>
          <w:strike/>
          <w:color w:val="FF0000"/>
          <w:sz w:val="24"/>
        </w:rPr>
        <w:t>;</w:t>
      </w:r>
      <w:r>
        <w:rPr>
          <w:rFonts w:ascii="Times New Roman;sans-serif" w:hAnsi="Times New Roman;sans-serif"/>
          <w:b/>
          <w:color w:val="0000FF"/>
          <w:sz w:val="24"/>
          <w:u w:val="single"/>
        </w:rPr>
        <w:t>.</w:t>
      </w:r>
    </w:p>
    <w:p>
      <w:pPr>
        <w:pStyle w:val="TextBody"/>
        <w:bidi w:val="0"/>
        <w:spacing w:lineRule="auto" w:line="240" w:before="0" w:after="240"/>
        <w:jc w:val="left"/>
        <w:rPr/>
      </w:pPr>
      <w:r>
        <w:rPr>
          <w:rFonts w:ascii="Times New Roman;sans-serif" w:hAnsi="Times New Roman;sans-serif"/>
          <w:b w:val="false"/>
          <w:strike/>
          <w:color w:val="FF0000"/>
          <w:sz w:val="24"/>
          <w:u w:val="single"/>
        </w:rPr>
        <w:t>provided</w:t>
      </w:r>
      <w:r>
        <w:rPr>
          <w:strike/>
          <w:color w:val="FF0000"/>
        </w:rPr>
        <w:t xml:space="preserve"> </w:t>
      </w:r>
      <w:r>
        <w:rPr>
          <w:rFonts w:ascii="Times New Roman;sans-serif" w:hAnsi="Times New Roman;sans-serif"/>
          <w:b w:val="false"/>
          <w:strike/>
          <w:color w:val="FF0000"/>
          <w:sz w:val="24"/>
        </w:rPr>
        <w:t>that, in the case of clause (1) above, such adjustment is displayed on a screen or other information service that publishes such Benchmark Replacement Adjustment from time to time as selected by the Administrative Agent in its reasonable discretion.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Benchmark Replacement Conforming Changes</w:t>
      </w:r>
      <w:r>
        <w:rPr>
          <w:color w:val="000000"/>
        </w:rPr>
        <w:t xml:space="preserve">” </w:t>
      </w:r>
      <w:r>
        <w:rPr>
          <w:rFonts w:ascii="Times New Roman;sans-serif" w:hAnsi="Times New Roman;sans-serif"/>
          <w:b w:val="false"/>
          <w:color w:val="000000"/>
          <w:sz w:val="24"/>
        </w:rPr>
        <w:t>means, with respect to any Benchmark Replacement</w:t>
      </w:r>
      <w:r>
        <w:rPr>
          <w:color w:val="0000FF"/>
          <w:u w:val="single"/>
        </w:rPr>
        <w:t xml:space="preserve"> </w:t>
      </w:r>
      <w:r>
        <w:rPr>
          <w:rFonts w:ascii="Times New Roman;sans-serif" w:hAnsi="Times New Roman;sans-serif"/>
          <w:b/>
          <w:color w:val="0000FF"/>
          <w:sz w:val="24"/>
          <w:u w:val="single"/>
        </w:rPr>
        <w:t>and/or Adjusted Term SOFR</w:t>
      </w:r>
      <w:r>
        <w:rPr>
          <w:rFonts w:ascii="Times New Roman;sans-serif" w:hAnsi="Times New Roman;sans-serif"/>
          <w:b w:val="false"/>
          <w:color w:val="000000"/>
          <w:sz w:val="24"/>
        </w:rPr>
        <w:t>, any technical, administrative or operational changes (including changes to the definition of “Alternate Base Rate,” the definition of “</w:t>
      </w:r>
      <w:r>
        <w:rPr>
          <w:rFonts w:ascii="Times New Roman;sans-serif" w:hAnsi="Times New Roman;sans-serif"/>
          <w:b/>
          <w:color w:val="0000FF"/>
          <w:sz w:val="24"/>
          <w:u w:val="single"/>
        </w:rPr>
        <w:t xml:space="preserve">Business Day,” the definition of “U.S. Government Securities </w:t>
      </w:r>
      <w:r>
        <w:rPr>
          <w:rFonts w:ascii="Times New Roman;sans-serif" w:hAnsi="Times New Roman;sans-serif"/>
          <w:b w:val="false"/>
          <w:color w:val="000000"/>
          <w:sz w:val="24"/>
        </w:rPr>
        <w:t>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w:t>
      </w:r>
      <w:r>
        <w:rPr>
          <w:rFonts w:ascii="Times New Roman;sans-serif" w:hAnsi="Times New Roman;sans-serif"/>
          <w:b w:val="false"/>
          <w:strike/>
          <w:color w:val="FF0000"/>
          <w:sz w:val="24"/>
        </w:rPr>
        <w:t xml:space="preserve">, following consultation with the Company, </w:t>
      </w:r>
      <w:r>
        <w:rPr>
          <w:rFonts w:ascii="Times New Roman;sans-serif" w:hAnsi="Times New Roman;sans-serif"/>
          <w:b w:val="false"/>
          <w:color w:val="000000"/>
          <w:sz w:val="24"/>
        </w:rPr>
        <w:t xml:space="preserve">may be appropriate to reflect the adoption and implementation of such Benchmark </w:t>
      </w:r>
      <w:r>
        <w:rPr>
          <w:rFonts w:ascii="Times New Roman;sans-serif" w:hAnsi="Times New Roman;sans-serif"/>
          <w:b w:val="false"/>
          <w:strike/>
          <w:color w:val="FF0000"/>
          <w:sz w:val="24"/>
        </w:rPr>
        <w:t xml:space="preserve">Replacement </w:t>
      </w:r>
      <w:r>
        <w:rPr>
          <w:rFonts w:ascii="Times New Roman;sans-serif" w:hAnsi="Times New Roman;sans-serif"/>
          <w:b w:val="false"/>
          <w:color w:val="000000"/>
          <w:sz w:val="24"/>
        </w:rPr>
        <w:t xml:space="preserve">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w:t>
      </w:r>
      <w:r>
        <w:rPr>
          <w:rFonts w:ascii="Times New Roman;sans-serif" w:hAnsi="Times New Roman;sans-serif"/>
          <w:b w:val="false"/>
          <w:strike/>
          <w:color w:val="FF0000"/>
          <w:sz w:val="24"/>
        </w:rPr>
        <w:t xml:space="preserve">Replacement </w:t>
      </w:r>
      <w:r>
        <w:rPr>
          <w:rFonts w:ascii="Times New Roman;sans-serif" w:hAnsi="Times New Roman;sans-serif"/>
          <w:b w:val="false"/>
          <w:color w:val="000000"/>
          <w:sz w:val="24"/>
        </w:rPr>
        <w:t>exists, in such other manner of administration as the Administrative Agent decides is reasonably necessary in connection with the administration of this Agreement and the other Loan Documents).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means, with respect to any Benchmark, the earliest to occur of the following events with respect to such then-current Benchmark:</w:t>
      </w:r>
    </w:p>
    <w:p>
      <w:pPr>
        <w:pStyle w:val="TextBody"/>
        <w:bidi w:val="0"/>
        <w:spacing w:lineRule="auto" w:line="240" w:before="0" w:after="120"/>
        <w:jc w:val="left"/>
        <w:rPr/>
      </w:pPr>
      <w:r>
        <w:rPr>
          <w:rFonts w:ascii="Times New Roman;sans-serif" w:hAnsi="Times New Roman;sans-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r>
        <w:rPr>
          <w:color w:val="0000FF"/>
          <w:u w:val="single"/>
        </w:rPr>
        <w:t xml:space="preserve"> </w:t>
      </w:r>
      <w:r>
        <w:rPr>
          <w:rFonts w:ascii="Times New Roman;sans-serif" w:hAnsi="Times New Roman;sans-serif"/>
          <w:b/>
          <w:color w:val="0000FF"/>
          <w:sz w:val="24"/>
          <w:u w:val="single"/>
        </w:rPr>
        <w:t>or</w:t>
      </w:r>
    </w:p>
    <w:p>
      <w:pPr>
        <w:pStyle w:val="TextBody"/>
        <w:bidi w:val="0"/>
        <w:spacing w:lineRule="auto" w:line="240" w:before="0" w:after="120"/>
        <w:jc w:val="left"/>
        <w:rPr/>
      </w:pPr>
      <w:r>
        <w:rPr>
          <w:rFonts w:ascii="Times New Roman;sans-serif" w:hAnsi="Times New Roman;sans-serif"/>
          <w:b w:val="false"/>
          <w:color w:val="000000"/>
          <w:sz w:val="24"/>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r>
        <w:rPr>
          <w:rFonts w:ascii="Times New Roman;sans-serif" w:hAnsi="Times New Roman;sans-serif"/>
          <w:b w:val="false"/>
          <w:strike/>
          <w:color w:val="FF0000"/>
          <w:sz w:val="24"/>
        </w:rPr>
        <w:t>;</w:t>
      </w:r>
      <w:r>
        <w:rPr>
          <w:rFonts w:ascii="Times New Roman;sans-serif" w:hAnsi="Times New Roman;sans-serif"/>
          <w:b/>
          <w:color w:val="0000FF"/>
          <w:sz w:val="24"/>
          <w:u w:val="single"/>
        </w:rPr>
        <w:t>.</w:t>
      </w:r>
    </w:p>
    <w:p>
      <w:pPr>
        <w:pStyle w:val="TextBody"/>
        <w:bidi w:val="0"/>
        <w:spacing w:lineRule="auto" w:line="240" w:before="0" w:after="120"/>
        <w:jc w:val="left"/>
        <w:rPr/>
      </w:pPr>
      <w:r>
        <w:rPr>
          <w:rFonts w:ascii="Times New Roman;sans-serif" w:hAnsi="Times New Roman;sans-serif"/>
          <w:b w:val="false"/>
          <w:strike/>
          <w:color w:val="FF0000"/>
          <w:sz w:val="24"/>
        </w:rPr>
        <w:t>(3)</w:t>
      </w:r>
      <w:r>
        <w:rPr>
          <w:color w:val="000000"/>
        </w:rPr>
        <w:t>    </w:t>
      </w:r>
      <w:r>
        <w:rPr>
          <w:rFonts w:ascii="Times New Roman;sans-serif" w:hAnsi="Times New Roman;sans-serif"/>
          <w:b w:val="false"/>
          <w:strike/>
          <w:color w:val="FF0000"/>
          <w:sz w:val="24"/>
        </w:rPr>
        <w:t>in the case of a Term SOFR Transition Event, the date that is thirty (30) days after the date a Term SOFR Notice is provided to the Lenders and the Borrower pursuant to Section 2.14(c); or</w:t>
      </w:r>
    </w:p>
    <w:p>
      <w:pPr>
        <w:pStyle w:val="TextBody"/>
        <w:bidi w:val="0"/>
        <w:spacing w:lineRule="auto" w:line="240" w:before="0" w:after="120"/>
        <w:jc w:val="left"/>
        <w:rPr/>
      </w:pPr>
      <w:r>
        <w:rPr>
          <w:rFonts w:ascii="Times New Roman;sans-serif" w:hAnsi="Times New Roman;sans-serif"/>
          <w:b w:val="false"/>
          <w:strike/>
          <w:color w:val="FF0000"/>
          <w:sz w:val="24"/>
        </w:rPr>
        <w:t>(4)</w:t>
      </w:r>
      <w:r>
        <w:rPr>
          <w:color w:val="000000"/>
        </w:rPr>
        <w:t>    </w:t>
      </w:r>
      <w:r>
        <w:rPr>
          <w:rFonts w:ascii="Times New Roman;sans-serif" w:hAnsi="Times New Roman;sans-serif"/>
          <w:b w:val="false"/>
          <w:strike/>
          <w:color w:val="FF0000"/>
          <w:sz w:val="24"/>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02235"/>
                <wp:effectExtent l="0" t="0" r="0" b="0"/>
                <wp:wrapNone/>
                <wp:docPr id="220" name="Frame22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means, with respect to any Benchmark, the occurrence of one or more of the following events with respect to such then-current Benchmark:</w:t>
      </w:r>
    </w:p>
    <w:p>
      <w:pPr>
        <w:pStyle w:val="TextBody"/>
        <w:bidi w:val="0"/>
        <w:spacing w:lineRule="auto" w:line="240" w:before="0" w:after="120"/>
        <w:jc w:val="left"/>
        <w:rPr/>
      </w:pPr>
      <w:r>
        <w:rPr>
          <w:rFonts w:ascii="Times New Roman;sans-serif" w:hAnsi="Times New Roman;sans-serif"/>
          <w:b w:val="false"/>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lineRule="auto" w:line="240" w:before="0" w:after="120"/>
        <w:jc w:val="left"/>
        <w:rPr/>
      </w:pPr>
      <w:r>
        <w:rPr>
          <w:rFonts w:ascii="Times New Roman;sans-serif" w:hAnsi="Times New Roman;sans-serif"/>
          <w:b w:val="false"/>
          <w:color w:val="000000"/>
          <w:sz w:val="24"/>
        </w:rPr>
        <w:t xml:space="preserve">(2) a public statement or publication of information by the regulatory supervisor for the administrator of such Benchmark (or the published component used in the calculation thereof), the Board, the NYFRB, the </w:t>
      </w:r>
      <w:r>
        <w:rPr>
          <w:rFonts w:ascii="Times New Roman;sans-serif" w:hAnsi="Times New Roman;sans-serif"/>
          <w:b/>
          <w:color w:val="0000FF"/>
          <w:sz w:val="24"/>
          <w:u w:val="single"/>
        </w:rPr>
        <w:t xml:space="preserve">CME Term SOFR Administrator, the </w:t>
      </w:r>
      <w:r>
        <w:rPr>
          <w:rFonts w:ascii="Times New Roman;sans-serif" w:hAnsi="Times New Roman;sans-serif"/>
          <w:b w:val="false"/>
          <w:color w:val="000000"/>
          <w:sz w:val="24"/>
        </w:rPr>
        <w:t xml:space="preserve">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 or</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2.13 and (y) ending at the time that a Benchmark Replacement has replaced such then-current Benchmark for all purposes hereunder and under any Loan Document in accordance with Section 2.13.</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Beneficial Ownership Regulation</w:t>
      </w:r>
      <w:r>
        <w:rPr>
          <w:color w:val="000000"/>
        </w:rPr>
        <w:t xml:space="preserve">” </w:t>
      </w:r>
      <w:r>
        <w:rPr>
          <w:rFonts w:ascii="Times New Roman;sans-serif" w:hAnsi="Times New Roman;sans-serif"/>
          <w:b w:val="false"/>
          <w:color w:val="000000"/>
          <w:sz w:val="24"/>
        </w:rPr>
        <w:t>means 31 C.F.R. § 1010.230.</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02235"/>
                <wp:effectExtent l="0" t="0" r="0" b="0"/>
                <wp:wrapNone/>
                <wp:docPr id="221" name="Frame22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Benefit Plan</w:t>
      </w:r>
      <w:r>
        <w:rPr>
          <w:color w:val="000000"/>
        </w:rPr>
        <w:t xml:space="preserve">” </w:t>
      </w:r>
      <w:r>
        <w:rPr>
          <w:rFonts w:ascii="Times New Roman;sans-serif" w:hAnsi="Times New Roman;sans-serif"/>
          <w:b w:val="false"/>
          <w:color w:val="000000"/>
          <w:sz w:val="24"/>
        </w:rPr>
        <w:t xml:space="preserve">means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BHC Act Affiliate</w:t>
      </w:r>
      <w:r>
        <w:rPr>
          <w:color w:val="000000"/>
        </w:rPr>
        <w:t xml:space="preserve">” </w:t>
      </w:r>
      <w:r>
        <w:rPr>
          <w:rFonts w:ascii="Times New Roman;sans-serif" w:hAnsi="Times New Roman;sans-serif"/>
          <w:b w:val="false"/>
          <w:color w:val="000000"/>
          <w:sz w:val="24"/>
        </w:rPr>
        <w:t>means, with respect to any Person, an “affiliate” (as such term is defined under, and interpreted in accordance with, 12 U.S.C. § 1841(k)) of such Person.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Governors of the Federal Reserve System of the United States of America.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Borrowers</w:t>
      </w:r>
      <w:r>
        <w:rPr>
          <w:color w:val="000000"/>
        </w:rPr>
        <w:t xml:space="preserve">” </w:t>
      </w:r>
      <w:r>
        <w:rPr>
          <w:rFonts w:ascii="Times New Roman;sans-serif" w:hAnsi="Times New Roman;sans-serif"/>
          <w:b w:val="false"/>
          <w:color w:val="000000"/>
          <w:sz w:val="24"/>
        </w:rPr>
        <w:t>means, with respect to the Commitments, Loans and Letters of Credit of any Class, (i) the Company and (ii) the Borrowing Subsidiaries in respect of such Class.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Borrowing</w:t>
      </w:r>
      <w:r>
        <w:rPr>
          <w:color w:val="000000"/>
        </w:rPr>
        <w:t xml:space="preserve">” </w:t>
      </w:r>
      <w:r>
        <w:rPr>
          <w:rFonts w:ascii="Times New Roman;sans-serif" w:hAnsi="Times New Roman;sans-serif"/>
          <w:b w:val="false"/>
          <w:color w:val="000000"/>
          <w:sz w:val="24"/>
        </w:rPr>
        <w:t xml:space="preserve">means (a) Loans of the same Class, Type and currency made, converted or continued on the same date and, in the case of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Loans, as to which a single Interest Period is in effect or (b) a Protective Advance.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Borrowing Base</w:t>
      </w:r>
      <w:r>
        <w:rPr>
          <w:color w:val="000000"/>
        </w:rPr>
        <w:t xml:space="preserve">” </w:t>
      </w:r>
      <w:r>
        <w:rPr>
          <w:rFonts w:ascii="Times New Roman;sans-serif" w:hAnsi="Times New Roman;sans-serif"/>
          <w:b w:val="false"/>
          <w:color w:val="000000"/>
          <w:sz w:val="24"/>
        </w:rPr>
        <w:t>means the sum of:</w:t>
      </w:r>
    </w:p>
    <w:p>
      <w:pPr>
        <w:pStyle w:val="TextBody"/>
        <w:bidi w:val="0"/>
        <w:spacing w:lineRule="auto" w:line="240" w:before="0" w:after="240"/>
        <w:ind w:left="0" w:right="0" w:firstLine="494"/>
        <w:jc w:val="left"/>
        <w:rPr/>
      </w:pPr>
      <w:r>
        <w:rPr>
          <w:rFonts w:ascii="Times New Roman;sans-serif" w:hAnsi="Times New Roman;sans-serif"/>
          <w:b w:val="false"/>
          <w:color w:val="000000"/>
          <w:sz w:val="24"/>
        </w:rPr>
        <w:t xml:space="preserve">(i)95% of Eligible Credit Card Receivables at such time,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427"/>
        <w:jc w:val="left"/>
        <w:rPr/>
      </w:pPr>
      <w:r>
        <w:rPr>
          <w:rFonts w:ascii="Times New Roman;sans-serif" w:hAnsi="Times New Roman;sans-serif"/>
          <w:b w:val="false"/>
          <w:color w:val="000000"/>
          <w:sz w:val="24"/>
        </w:rPr>
        <w:t xml:space="preserve">(ii)85% of Eligible Accounts at such time,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361"/>
        <w:jc w:val="left"/>
        <w:rPr/>
      </w:pPr>
      <w:r>
        <w:rPr>
          <w:rFonts w:ascii="Times New Roman;sans-serif" w:hAnsi="Times New Roman;sans-serif"/>
          <w:b w:val="false"/>
          <w:color w:val="000000"/>
          <w:sz w:val="24"/>
        </w:rPr>
        <w:t xml:space="preserve">(iii)up to 90% of the Net Orderly Liquidation Value of Eligible Inventory at such time,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374"/>
        <w:jc w:val="left"/>
        <w:rPr/>
      </w:pPr>
      <w:r>
        <w:rPr>
          <w:rFonts w:ascii="Times New Roman;sans-serif" w:hAnsi="Times New Roman;sans-serif"/>
          <w:b w:val="false"/>
          <w:color w:val="000000"/>
          <w:sz w:val="24"/>
        </w:rPr>
        <w:t xml:space="preserve">(iv)following receipt of the Required Real Property Documentation and prior to receipt of a Real Property Exclusion Notice, 50% of the fair market value (as identified in the most recent Real Property Appraisal) of Eligible Real Property at such time, </w:t>
      </w:r>
      <w:r>
        <w:rPr>
          <w:rFonts w:ascii="Times New Roman;sans-serif" w:hAnsi="Times New Roman;sans-serif"/>
          <w:b w:val="false"/>
          <w:color w:val="000000"/>
          <w:sz w:val="24"/>
          <w:u w:val="single"/>
        </w:rPr>
        <w:t>minus</w:t>
      </w:r>
    </w:p>
    <w:p>
      <w:pPr>
        <w:pStyle w:val="TextBody"/>
        <w:bidi w:val="0"/>
        <w:spacing w:lineRule="auto" w:line="240" w:before="0" w:after="240"/>
        <w:ind w:left="0" w:right="0" w:firstLine="440"/>
        <w:jc w:val="left"/>
        <w:rPr>
          <w:rFonts w:ascii="Times New Roman;sans-serif" w:hAnsi="Times New Roman;sans-serif"/>
          <w:b w:val="false"/>
          <w:color w:val="000000"/>
          <w:sz w:val="24"/>
        </w:rPr>
      </w:pPr>
      <w:r>
        <w:rPr>
          <w:rFonts w:ascii="Times New Roman;sans-serif" w:hAnsi="Times New Roman;sans-serif"/>
          <w:b w:val="false"/>
          <w:color w:val="000000"/>
          <w:sz w:val="24"/>
        </w:rPr>
        <w:t>(v)Reserves determined by the Collateral Agent in its Permitted Discretion</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(A) notwithstanding anything contained herein to the contrary, as of any date of determination, the portion of the Borrowing Base attributable to Eligible Real Property shall not exceed the lesser of (x) $150,000,000 and (y) 25% of the Borrowing Base and (B) from and after receipt by the Collateral Agent of a Real Property Exclusion Notice, (I) the component set forth in clause (iv) shall be excluded from the calculation of the Borrowing Base for so long as such Permitted Non-ABL Indebtedness remains outstanding and (II) the Collateral Agent shall adjust the Borrowing Base to reflect such exclusion effective from and after the incurrence of such Permitted Non-ABL Indebtedness.</w:t>
      </w:r>
    </w:p>
    <w:p>
      <w:pPr>
        <w:pStyle w:val="TextBody"/>
        <w:bidi w:val="0"/>
        <w:spacing w:lineRule="auto" w:line="240" w:before="0" w:after="120"/>
        <w:ind w:left="0" w:right="0" w:firstLine="1440"/>
        <w:jc w:val="left"/>
        <w:rPr/>
      </w:pPr>
      <w:r>
        <w:rPr>
          <w:rFonts w:ascii="Times New Roman;sans-serif" w:hAnsi="Times New Roman;sans-serif"/>
          <w:b w:val="false"/>
          <w:color w:val="000000"/>
          <w:sz w:val="24"/>
        </w:rPr>
        <w:t xml:space="preserve">The Collateral Agent may, in its Permitted Discretion, establish or adjust Reserves, with any such changes to be effective three Business Days after delivery of written notice (which notice shall include a reasonably detailed description of such Reserve being established or adjusted) thereof to the Company and the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during such three Business Day period (i) the Collateral Agent shall, if requested, discuss any such Reserve or adjustment with the Company and (ii) the Company may take such action as may be required so that the event, condition or matter that is the basis for such Reserve no longer exists or exists in a manner that would result in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02235"/>
                <wp:effectExtent l="0" t="0" r="0" b="0"/>
                <wp:wrapNone/>
                <wp:docPr id="222" name="Frame22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val="false"/>
          <w:color w:val="000000"/>
          <w:sz w:val="24"/>
        </w:rPr>
        <w:t xml:space="preserve">establishment of a lower Reserve, in each case in a manner and to the extent satisfactory to the Collateral Agent in its Permitted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 such prior notice shall be required for (a) changes to any Reserves resulting solely by virtue of mathematical calculations of the amount of the Reserves in accordance with the methodology of calculation previously utilized, or (b) changes to Reserves or the establishment of additional Reserves if a Material Adverse Effect has occurred or it would be reasonably likely that a Material Adverse Effect would occur were such Reserves not changed or established prior to the expiration of such three day period. Subject to the immediately preceding sentence and the other provisions hereof expressly permitting the Collateral Agent to adjust the Borrowing Base or any component thereof, the Borrowing Base at any time shall be determined by reference to the most recent Borrowing Base Certificate delivered to the Administrative Agent pursuant to Section 5.01(a)(iii).</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parties hereto understand that eligibility criteria and any Reserves that may be imposed as provided herein, any deductions or other adjustments to determine the face amount of Eligible Accounts and factors considered in the calculation of Net Orderly Liquidation Value of Eligible Inventory have the effect of reducing the Borrowing Base, and, accordingly, whether or not any provisions hereof so state, all the foregoing shall be determined without duplication so as not to result in multiple reductions in the Borrowing Base for the same facts or circumstances.</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At the time of any disposition of a Loan Party, or any disposition outside the ordinary course of business of, or any casualty or condemnation event affecting, assets reflected in the then-current Borrowing Base having a fair market value of $5,000,000 or more, the Company shall give the Collateral Agent written notice of such disposition, casualty or condemnation event, together with such information as shall be required for the Collateral Agent to adjust the Borrowing Base to reflect such disposition.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Borrowing Base Certificate</w:t>
      </w:r>
      <w:r>
        <w:rPr>
          <w:color w:val="000000"/>
        </w:rPr>
        <w:t xml:space="preserve">” </w:t>
      </w:r>
      <w:r>
        <w:rPr>
          <w:rFonts w:ascii="Times New Roman;sans-serif" w:hAnsi="Times New Roman;sans-serif"/>
          <w:b w:val="false"/>
          <w:color w:val="000000"/>
          <w:sz w:val="24"/>
        </w:rPr>
        <w:t>means a Borrowing Base Certificate, substantially in the form of Exhibit C (with such changes thereto as may be reasonably required by the Collateral Agent from time to time to reflect (a) the results of the most recent field examination or Inventory appraisal conducted pursuant to Section 5.23 and (b) the components of, or Reserves against, the Borrowing Base as provided for hereunder), together with all attachments and supporting documentation contemplated thereby, signed and certified as accurate and complete by a Financial Officer of the Company.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Borrowing Request</w:t>
      </w:r>
      <w:r>
        <w:rPr>
          <w:color w:val="000000"/>
        </w:rPr>
        <w:t xml:space="preserve">” </w:t>
      </w:r>
      <w:r>
        <w:rPr>
          <w:rFonts w:ascii="Times New Roman;sans-serif" w:hAnsi="Times New Roman;sans-serif"/>
          <w:b w:val="false"/>
          <w:color w:val="000000"/>
          <w:sz w:val="24"/>
        </w:rPr>
        <w:t>means a request by a Borrower for a Borrowing in accordance with Section 2.03.</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Borrowing Subsidiary</w:t>
      </w:r>
      <w:r>
        <w:rPr>
          <w:color w:val="000000"/>
        </w:rPr>
        <w:t xml:space="preserve">” </w:t>
      </w:r>
      <w:r>
        <w:rPr>
          <w:rFonts w:ascii="Times New Roman;sans-serif" w:hAnsi="Times New Roman;sans-serif"/>
          <w:b w:val="false"/>
          <w:color w:val="000000"/>
          <w:sz w:val="24"/>
        </w:rPr>
        <w:t>means any Additional Borrowers.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Borrowing Subsidiary Termination</w:t>
      </w:r>
      <w:r>
        <w:rPr>
          <w:color w:val="000000"/>
        </w:rPr>
        <w:t xml:space="preserve">” </w:t>
      </w:r>
      <w:r>
        <w:rPr>
          <w:rFonts w:ascii="Times New Roman;sans-serif" w:hAnsi="Times New Roman;sans-serif"/>
          <w:b w:val="false"/>
          <w:color w:val="000000"/>
          <w:sz w:val="24"/>
        </w:rPr>
        <w:t>has the meaning set forth in Section 2.20.</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 xml:space="preserve">means any day that is not a Saturday, Sunday or other day on which commercial banks in New York City are authorized or required by law to remain closed;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when used in </w:t>
      </w:r>
      <w:r>
        <w:rPr>
          <w:rFonts w:ascii="Times New Roman;sans-serif" w:hAnsi="Times New Roman;sans-serif"/>
          <w:b w:val="false"/>
          <w:strike/>
          <w:color w:val="FF0000"/>
          <w:sz w:val="24"/>
        </w:rPr>
        <w:t>connection with a Eurodollar</w:t>
      </w:r>
      <w:r>
        <w:rPr>
          <w:rFonts w:ascii="Times New Roman;sans-serif" w:hAnsi="Times New Roman;sans-serif"/>
          <w:b/>
          <w:color w:val="0000FF"/>
          <w:sz w:val="24"/>
          <w:u w:val="single"/>
        </w:rPr>
        <w:t>relation to Term SOFR Loans or Daily Simple SOFR Loans and any interest rate settings, fundings, disbursements, settlements or payments of any Term SOFR Loan or Daily Simple SOFR Loan, or any other dealings with respect to any Term SOFR Loan or Daily Simple SOFR</w:t>
      </w:r>
      <w:r>
        <w:rPr>
          <w:color w:val="000000"/>
        </w:rPr>
        <w:t xml:space="preserve"> </w:t>
      </w:r>
      <w:r>
        <w:rPr>
          <w:rFonts w:ascii="Times New Roman;sans-serif" w:hAnsi="Times New Roman;sans-serif"/>
          <w:b w:val="false"/>
          <w:color w:val="000000"/>
          <w:sz w:val="24"/>
        </w:rPr>
        <w:t xml:space="preserve">Loan, the term “Business Day” shall also exclude any day </w:t>
      </w:r>
      <w:r>
        <w:rPr>
          <w:rFonts w:ascii="Times New Roman;sans-serif" w:hAnsi="Times New Roman;sans-serif"/>
          <w:b w:val="false"/>
          <w:strike/>
          <w:color w:val="FF0000"/>
          <w:sz w:val="24"/>
        </w:rPr>
        <w:t>on which banks are not open for dealings in US Dollar deposits in the London interbank market</w:t>
      </w:r>
      <w:r>
        <w:rPr>
          <w:rFonts w:ascii="Times New Roman;sans-serif" w:hAnsi="Times New Roman;sans-serif"/>
          <w:b/>
          <w:color w:val="0000FF"/>
          <w:sz w:val="24"/>
          <w:u w:val="single"/>
        </w:rPr>
        <w:t>that is not a U.S. Government Securities Business Day</w:t>
      </w:r>
      <w:r>
        <w:rPr>
          <w:color w:val="000000"/>
        </w:rPr>
        <w:t xml:space="preserve"> </w:t>
      </w:r>
      <w:r>
        <w:rPr>
          <w:rFonts w:ascii="Times New Roman;sans-serif" w:hAnsi="Times New Roman;sans-serif"/>
          <w:b w:val="false"/>
          <w:color w:val="000000"/>
          <w:sz w:val="24"/>
        </w:rPr>
        <w:t>and (b) when used in connection with a CDOR Rate Loan or a Canadian Prime Rate Loan, the term “Business Day” shall also exclude any day on which banks are not open for business in Toronto.</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02235"/>
                <wp:effectExtent l="0" t="0" r="0" b="0"/>
                <wp:wrapNone/>
                <wp:docPr id="223" name="Frame22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CAD Sublimit</w:t>
      </w:r>
      <w:r>
        <w:rPr>
          <w:color w:val="000000"/>
        </w:rPr>
        <w:t xml:space="preserve">” </w:t>
      </w:r>
      <w:r>
        <w:rPr>
          <w:rFonts w:ascii="Times New Roman;sans-serif" w:hAnsi="Times New Roman;sans-serif"/>
          <w:b w:val="false"/>
          <w:color w:val="000000"/>
          <w:sz w:val="24"/>
        </w:rPr>
        <w:t>means the portion of the Revolving Commitments in an aggregate amount equal to the US Dollar Equivalent in Canadian Dollars of $80,000,000 that is being made available hereunder to the Canadian Borrowers for borrowings in Canadian Dollars.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Canadian Borrower</w:t>
      </w:r>
      <w:r>
        <w:rPr>
          <w:color w:val="000000"/>
        </w:rPr>
        <w:t xml:space="preserve">” </w:t>
      </w:r>
      <w:r>
        <w:rPr>
          <w:rFonts w:ascii="Times New Roman;sans-serif" w:hAnsi="Times New Roman;sans-serif"/>
          <w:b w:val="false"/>
          <w:color w:val="000000"/>
          <w:sz w:val="24"/>
        </w:rPr>
        <w:t>means any Additional Borrower that is a Canadian Subsidiary.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Canadian Defined Benefit Pension Plan</w:t>
      </w:r>
      <w:r>
        <w:rPr>
          <w:color w:val="000000"/>
        </w:rPr>
        <w:t xml:space="preserve">” </w:t>
      </w:r>
      <w:r>
        <w:rPr>
          <w:rFonts w:ascii="Times New Roman;sans-serif" w:hAnsi="Times New Roman;sans-serif"/>
          <w:b w:val="false"/>
          <w:color w:val="000000"/>
          <w:sz w:val="24"/>
        </w:rPr>
        <w:t>means any Canadian Pension Plan which contains a “defined benefit provision”, as defined in subsection 147.1(1) of the ITA.</w:t>
      </w:r>
    </w:p>
    <w:p>
      <w:pPr>
        <w:pStyle w:val="TextBody"/>
        <w:bidi w:val="0"/>
        <w:spacing w:lineRule="auto" w:line="240" w:before="0" w:after="120"/>
        <w:ind w:left="0" w:right="0" w:firstLine="1440"/>
        <w:jc w:val="both"/>
        <w:rPr/>
      </w:pPr>
      <w:r>
        <w:rPr>
          <w:color w:val="000000"/>
        </w:rPr>
        <w:t>“</w:t>
      </w:r>
      <w:r>
        <w:rPr>
          <w:rFonts w:ascii="Times New Roman;sans-serif" w:hAnsi="Times New Roman;sans-serif"/>
          <w:b w:val="false"/>
          <w:color w:val="000000"/>
          <w:sz w:val="24"/>
          <w:u w:val="single"/>
        </w:rPr>
        <w:t>Canadian Dollars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CAD</w:t>
      </w:r>
      <w:r>
        <w:rPr>
          <w:color w:val="000000"/>
        </w:rPr>
        <w:t xml:space="preserve">” </w:t>
      </w:r>
      <w:r>
        <w:rPr>
          <w:rFonts w:ascii="Times New Roman;sans-serif" w:hAnsi="Times New Roman;sans-serif"/>
          <w:b w:val="false"/>
          <w:color w:val="000000"/>
          <w:sz w:val="24"/>
        </w:rPr>
        <w:t>means the lawful money of Canada.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Canadian Economic Sanctions and Export Control Laws</w:t>
      </w:r>
      <w:r>
        <w:rPr>
          <w:color w:val="000000"/>
        </w:rPr>
        <w:t xml:space="preserve">” </w:t>
      </w:r>
      <w:r>
        <w:rPr>
          <w:rFonts w:ascii="Times New Roman;sans-serif" w:hAnsi="Times New Roman;sans-serif"/>
          <w:b w:val="false"/>
          <w:color w:val="000000"/>
          <w:sz w:val="24"/>
        </w:rPr>
        <w:t>means any Canadian laws, regulations or orders governing transactions in controlled goods or technologies or dealings with countries, entities, organizations, or individuals subject to economic sanctions and similar measures.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Canadian Loan Party</w:t>
      </w:r>
      <w:r>
        <w:rPr>
          <w:color w:val="000000"/>
        </w:rPr>
        <w:t xml:space="preserve">” </w:t>
      </w:r>
      <w:r>
        <w:rPr>
          <w:rFonts w:ascii="Times New Roman;sans-serif" w:hAnsi="Times New Roman;sans-serif"/>
          <w:b w:val="false"/>
          <w:color w:val="000000"/>
          <w:sz w:val="24"/>
        </w:rPr>
        <w:t>means any Loan Party organized under the laws of Canada or any province or territory thereof.</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Canadian Pension Benefits Legislation</w:t>
      </w:r>
      <w:r>
        <w:rPr>
          <w:color w:val="000000"/>
        </w:rPr>
        <w:t xml:space="preserve">” </w:t>
      </w:r>
      <w:r>
        <w:rPr>
          <w:rFonts w:ascii="Times New Roman;sans-serif" w:hAnsi="Times New Roman;sans-serif"/>
          <w:b w:val="false"/>
          <w:color w:val="000000"/>
          <w:sz w:val="24"/>
        </w:rPr>
        <w:t>shall mean any Canadian federal or provincial pension standards legislation, including, without limitation, the Supplemental Pension Plans Act (Quebec) and the Pension Benefits Act (Ontario), that applies in respect of a Canadian Pension Plan.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Canadian Pension Event</w:t>
      </w:r>
      <w:r>
        <w:rPr>
          <w:color w:val="000000"/>
        </w:rPr>
        <w:t xml:space="preserve">” </w:t>
      </w:r>
      <w:r>
        <w:rPr>
          <w:rFonts w:ascii="Times New Roman;sans-serif" w:hAnsi="Times New Roman;sans-serif"/>
          <w:b w:val="false"/>
          <w:color w:val="000000"/>
          <w:sz w:val="24"/>
        </w:rPr>
        <w:t>means (a) any Loan Party shall, directly or indirectly, terminate or cause to terminate, in whole or in part, or initiate the termination of, in whole or in part, any Canadian Defined Benefit Pension Plan where doing so results in any wind-up deficit that is required to be funded under Canadian Pension Benefits Legislation; (b) any Loan Party shall fail to make minimum required contributions to amortize any funding deficiencies under a Canadian Defined Benefit Pension Plan within the time period set out in Canadian Pension Benefits Legislation or fails to make a required contribution under any Canadian Pension Plan which results in the imposition of a Lien upon the assets of any Loan Party (other than inchoate Liens under Canadian Pension Benefits Legislation for amounts required to be remitted but not yet due); or (c) any Loan Party makes any improper withdrawals or applications of assets of a Canadian Pension Plan.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Canadian Pension Plans</w:t>
      </w:r>
      <w:r>
        <w:rPr>
          <w:color w:val="000000"/>
        </w:rPr>
        <w:t xml:space="preserve">” </w:t>
      </w:r>
      <w:r>
        <w:rPr>
          <w:rFonts w:ascii="Times New Roman;sans-serif" w:hAnsi="Times New Roman;sans-serif"/>
          <w:b w:val="false"/>
          <w:color w:val="000000"/>
          <w:sz w:val="24"/>
        </w:rPr>
        <w:t>means each pension plan required to be registered under Canadian federal or provincial pension standards legislation that is administered or contributed to by a Loan Party or any subsidiary of any Loan Party for its employees or former employees, but does not include the Canada Pension Plan or the Quebec Pension Plan as maintained by the Government of Canada or the Province of Quebec, respectively, or any comparable pension plan maintained by a Governmental Authority in any other Canadian jurisdiction.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Canadian Prime Rate</w:t>
      </w:r>
      <w:r>
        <w:rPr>
          <w:color w:val="000000"/>
        </w:rPr>
        <w:t xml:space="preserve">” </w:t>
      </w:r>
      <w:r>
        <w:rPr>
          <w:rFonts w:ascii="Times New Roman;sans-serif" w:hAnsi="Times New Roman;sans-serif"/>
          <w:b w:val="false"/>
          <w:color w:val="000000"/>
          <w:sz w:val="24"/>
        </w:rPr>
        <w:t xml:space="preserve">means, for the relevant interest period, the rate of interest per annum (rounded upwards, if necessary, to the next 1/100 of 1% (with 0.005% being rounded up)) determined by the Administrative Agent to be the greater of (a) the rate equal to the PRIMCAN Index rate that appears on the Bloomberg screen at 10:15 a.m., Toronto time, on such day (or, in the event that the PRIMCAN Index is not published by Bloomberg, any other information service that publishes such index from time to time, as selected by the Administrative Agent in its reasonable discretion) and (b) the sum of (i) the CDOR Rate applicable for an Interest Period of one month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(ii) one percent (1.0%). Notwithstanding the foregoing, the Canadian Prime Rate shall at no time be less than 1.00% per annum.</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02235"/>
                <wp:effectExtent l="0" t="0" r="0" b="0"/>
                <wp:wrapNone/>
                <wp:docPr id="224" name="Frame22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Canadian Subsidiary</w:t>
      </w:r>
      <w:r>
        <w:rPr>
          <w:color w:val="000000"/>
        </w:rPr>
        <w:t xml:space="preserve">” </w:t>
      </w:r>
      <w:r>
        <w:rPr>
          <w:rFonts w:ascii="Times New Roman;sans-serif" w:hAnsi="Times New Roman;sans-serif"/>
          <w:b w:val="false"/>
          <w:color w:val="000000"/>
          <w:sz w:val="24"/>
        </w:rPr>
        <w:t>means any Subsidiary that is organized under the laws of Canada or any province or territory thereof.</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Capital Lease Obligations</w:t>
      </w:r>
      <w:r>
        <w:rPr>
          <w:color w:val="000000"/>
        </w:rPr>
        <w:t xml:space="preserve">” </w:t>
      </w:r>
      <w:r>
        <w:rPr>
          <w:rFonts w:ascii="Times New Roman;sans-serif" w:hAnsi="Times New Roman;sans-serif"/>
          <w:b w:val="false"/>
          <w:color w:val="000000"/>
          <w:sz w:val="24"/>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(subject to the proviso in Section 1.04), and the amount of such obligations shall be the capitalized amount thereof determined in accordance with GAAP (subject to the proviso in Section 1.04).</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Captive Insurance Subsidiary</w:t>
      </w:r>
      <w:r>
        <w:rPr>
          <w:color w:val="000000"/>
        </w:rPr>
        <w:t xml:space="preserve">” </w:t>
      </w:r>
      <w:r>
        <w:rPr>
          <w:rFonts w:ascii="Times New Roman;sans-serif" w:hAnsi="Times New Roman;sans-serif"/>
          <w:b w:val="false"/>
          <w:color w:val="000000"/>
          <w:sz w:val="24"/>
        </w:rPr>
        <w:t>means any Subsidiary of the Company that is subject to regulation as an insurance company (or any Subsidiary thereof).</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Cash Dominion Period</w:t>
      </w:r>
      <w:r>
        <w:rPr>
          <w:color w:val="000000"/>
        </w:rPr>
        <w:t xml:space="preserve">” </w:t>
      </w:r>
      <w:r>
        <w:rPr>
          <w:rFonts w:ascii="Times New Roman;sans-serif" w:hAnsi="Times New Roman;sans-serif"/>
          <w:b w:val="false"/>
          <w:color w:val="000000"/>
          <w:sz w:val="24"/>
        </w:rPr>
        <w:t>means (a) each period during which a Specified Event of Default has occurred and is continuing or (b) each period (i) commencing on any day when Specified Excess Availability has for three consecutive Business Days been less than the greater of (x) $80,000,000 and (y) 12.5% of the Maximum Borrowing Amount and (ii) ending on the date that Specified Excess Availability has been greater than the amount set forth in clause (i) above for 20 consecutive calendar days during which period no Specified Event of Default shall have occurred and be continuing.</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CCQ</w:t>
      </w:r>
      <w:r>
        <w:rPr>
          <w:color w:val="000000"/>
        </w:rPr>
        <w:t xml:space="preserve">” </w:t>
      </w:r>
      <w:r>
        <w:rPr>
          <w:rFonts w:ascii="Times New Roman;sans-serif" w:hAnsi="Times New Roman;sans-serif"/>
          <w:b w:val="false"/>
          <w:color w:val="000000"/>
          <w:sz w:val="24"/>
        </w:rPr>
        <w:t>has the meaning set forth in Section 7.01.</w:t>
      </w:r>
    </w:p>
    <w:p>
      <w:pPr>
        <w:pStyle w:val="TextBody"/>
        <w:bidi w:val="0"/>
        <w:spacing w:lineRule="auto" w:line="240" w:before="0" w:after="120"/>
        <w:ind w:left="0" w:right="0" w:firstLine="1440"/>
        <w:jc w:val="left"/>
        <w:rPr>
          <w:color w:val="0000FF"/>
          <w:u w:val="single"/>
        </w:rPr>
      </w:pPr>
      <w:r>
        <w:rPr>
          <w:color w:val="0000FF"/>
          <w:u w:val="single"/>
        </w:rPr>
        <w:t>“</w:t>
      </w:r>
      <w:r>
        <w:rPr>
          <w:rFonts w:ascii="Times New Roman;sans-serif" w:hAnsi="Times New Roman;sans-serif"/>
          <w:b/>
          <w:color w:val="0000FF"/>
          <w:sz w:val="24"/>
          <w:u w:val="single"/>
        </w:rPr>
        <w:t>CDOR Interpolated Rate” means, with respect to any CDOR Rate Loan for any Interest Period, a rate per annum (rounded upward to the next 1/100th of 1% (with 0.005% being rounded up)) determined by the Administrative Agent (which determination shall be conclusive and binding absent manifest error) to be equal to the rate that results from interpolating on a linear basis between (a) the applicable CDO Screen Rate for the longest period (for which such CDO Screen Rate is available) that is shorter than the Interest Period for such CDOR Rate Loan and (b) the applicable CDO Screen Rate for the shortest period (for which such CDO Screen Rate is available) that is longer than the Interest Period for such CDOR Rate Loan, in each case at or about approximately 10:00 a.m., Toronto time, on the applicable date of determination two Business Days prior to the commencement of such Interest Period. Notwithstanding the foregoing, if the CDOR Interpolated Rate shall be less than zero, such rate shall be deemed to be zero for purposes of this Agreement.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CDOR Rate</w:t>
      </w:r>
      <w:r>
        <w:rPr>
          <w:color w:val="000000"/>
        </w:rPr>
        <w:t xml:space="preserve">” </w:t>
      </w:r>
      <w:r>
        <w:rPr>
          <w:rFonts w:ascii="Times New Roman;sans-serif" w:hAnsi="Times New Roman;sans-serif"/>
          <w:b w:val="false"/>
          <w:color w:val="000000"/>
          <w:sz w:val="24"/>
        </w:rPr>
        <w:t>means, for the relevant Interest Period, on the first day of such Interest Period, the annual rate of interest determined with reference to the arithmetic average of the discount rate quotations of all institutions listed in respect of the relevant Interest Period for Canadian Dollar-denominated bankers’ acceptances displayed and identified as such on the CDOR Rate page of the Reuters screen (or on any successor or substitute page on such screen or service that displays such rate, or on the appropriate page of such other information service that publishes such rate as shall be selected by the Administrative Agent from time to time in its reasonable discretion; in each case, the “</w:t>
      </w:r>
      <w:r>
        <w:rPr>
          <w:rFonts w:ascii="Times New Roman;sans-serif" w:hAnsi="Times New Roman;sans-serif"/>
          <w:b w:val="false"/>
          <w:color w:val="000000"/>
          <w:sz w:val="24"/>
          <w:u w:val="single"/>
        </w:rPr>
        <w:t>CDO Screen Rate</w:t>
      </w:r>
      <w:r>
        <w:rPr>
          <w:color w:val="000000"/>
        </w:rPr>
        <w:t>”</w:t>
      </w:r>
      <w:r>
        <w:rPr>
          <w:rFonts w:ascii="Times New Roman;sans-serif" w:hAnsi="Times New Roman;sans-serif"/>
          <w:b w:val="false"/>
          <w:color w:val="000000"/>
          <w:sz w:val="24"/>
        </w:rPr>
        <w:t xml:space="preserve">), at or about approximately 10:15 a.m., Toronto time, on such day and, if such day is not a Business Day, then on the immediately preceding Business Day (as adjusted by the Administrative Agent after 10:15 a.m. Toronto time to reflect any error in the posted rate of interest or in the posted average annual rate of interest);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such rates are not available for such Interest Period, the </w:t>
      </w:r>
      <w:r>
        <w:rPr>
          <w:rFonts w:ascii="Times New Roman;sans-serif" w:hAnsi="Times New Roman;sans-serif"/>
          <w:b w:val="false"/>
          <w:strike/>
          <w:color w:val="FF0000"/>
          <w:sz w:val="24"/>
        </w:rPr>
        <w:t>applicable</w:t>
      </w:r>
      <w:r>
        <w:rPr>
          <w:rFonts w:ascii="Times New Roman;sans-serif" w:hAnsi="Times New Roman;sans-serif"/>
          <w:b/>
          <w:color w:val="0000FF"/>
          <w:sz w:val="24"/>
          <w:u w:val="single"/>
        </w:rPr>
        <w:t>CDOR</w:t>
      </w:r>
      <w:r>
        <w:rPr>
          <w:color w:val="000000"/>
        </w:rPr>
        <w:t xml:space="preserve"> </w:t>
      </w:r>
      <w:r>
        <w:rPr>
          <w:rFonts w:ascii="Times New Roman;sans-serif" w:hAnsi="Times New Roman;sans-serif"/>
          <w:b w:val="false"/>
          <w:color w:val="000000"/>
          <w:sz w:val="24"/>
        </w:rPr>
        <w:t xml:space="preserve">Interpolated Rate as of such time on such day; or if such day is not a Business Day, then as so determined on the immediately preceding Business Day;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CDOR Rate shall be less than zero, such rate shall be deemed to be zero for the purposes of this Agreement</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02235"/>
                <wp:effectExtent l="0" t="0" r="0" b="0"/>
                <wp:wrapNone/>
                <wp:docPr id="225" name="Frame22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means the acquisition of ownership, directly or indirectly, beneficially or of record, by any Person or group (within the meaning of the Securities Exchange Act of 1934 and the rules of the Securities and Exchange Commission thereunder as in effect on the date hereof) other than the Permitted Holders of shares representing more than 35% of the aggregate ordinary voting power represented by the issued and outstanding capital stock of the Company.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Change in Law</w:t>
      </w:r>
      <w:r>
        <w:rPr>
          <w:color w:val="000000"/>
        </w:rPr>
        <w:t xml:space="preserve">” </w:t>
      </w:r>
      <w:r>
        <w:rPr>
          <w:rFonts w:ascii="Times New Roman;sans-serif" w:hAnsi="Times New Roman;sans-serif"/>
          <w:b w:val="false"/>
          <w:color w:val="000000"/>
          <w:sz w:val="24"/>
        </w:rPr>
        <w:t xml:space="preserve">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promulgated or issued.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Class</w:t>
      </w:r>
      <w:r>
        <w:rPr>
          <w:color w:val="000000"/>
        </w:rPr>
        <w:t>”</w:t>
      </w:r>
      <w:r>
        <w:rPr>
          <w:rFonts w:ascii="Times New Roman;sans-serif" w:hAnsi="Times New Roman;sans-serif"/>
          <w:b w:val="false"/>
          <w:color w:val="000000"/>
          <w:sz w:val="24"/>
        </w:rPr>
        <w:t xml:space="preserve">, when used in reference to (a) any Loan or Borrowing, refers to whether such Loan, or the Loans comprising such Borrowing, are Revolving Loans, Incremental Revolving Loans of any tranche or Protective Advances, (b) any Commitment, refers to whether such Commitment is a Revolving Commitment or an Incremental Revolving Commitment of any tranche, (c) any Lender, refers to whether such Lender has a Loan or Commitment of a particular Class and (d) any Letter of Credit, refers to whether such Letter of Credit is issued pursuant to a Revolving Commitment or an Incremental Revolving Commitment of any tranche.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Closing Date Distribution</w:t>
      </w:r>
      <w:r>
        <w:rPr>
          <w:color w:val="000000"/>
        </w:rPr>
        <w:t xml:space="preserve">” </w:t>
      </w:r>
      <w:r>
        <w:rPr>
          <w:rFonts w:ascii="Times New Roman;sans-serif" w:hAnsi="Times New Roman;sans-serif"/>
          <w:b w:val="false"/>
          <w:color w:val="000000"/>
          <w:sz w:val="24"/>
        </w:rPr>
        <w:t>means the distribution by BBW, of 100% of the Company’s common stock to BBW’s existing shareholders.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Closing Date Payment</w:t>
      </w:r>
      <w:r>
        <w:rPr>
          <w:color w:val="000000"/>
        </w:rPr>
        <w:t xml:space="preserve">” </w:t>
      </w:r>
      <w:r>
        <w:rPr>
          <w:rFonts w:ascii="Times New Roman;sans-serif" w:hAnsi="Times New Roman;sans-serif"/>
          <w:b w:val="false"/>
          <w:color w:val="000000"/>
          <w:sz w:val="24"/>
        </w:rPr>
        <w:t>means the payment of the Special Cash Payment (as defined in the Separation Agreement).</w:t>
      </w:r>
    </w:p>
    <w:p>
      <w:pPr>
        <w:pStyle w:val="TextBody"/>
        <w:bidi w:val="0"/>
        <w:spacing w:lineRule="auto" w:line="240" w:before="0" w:after="120"/>
        <w:ind w:left="0" w:right="0" w:firstLine="1440"/>
        <w:jc w:val="left"/>
        <w:rPr>
          <w:color w:val="0000FF"/>
          <w:u w:val="single"/>
        </w:rPr>
      </w:pPr>
      <w:r>
        <w:rPr>
          <w:color w:val="0000FF"/>
          <w:u w:val="single"/>
        </w:rPr>
        <w:t>“</w:t>
      </w:r>
      <w:r>
        <w:rPr>
          <w:rFonts w:ascii="Times New Roman;sans-serif" w:hAnsi="Times New Roman;sans-serif"/>
          <w:b/>
          <w:color w:val="0000FF"/>
          <w:sz w:val="24"/>
          <w:u w:val="single"/>
        </w:rPr>
        <w:t>CME Term SOFR Administrator” means CME Group Benchmark Administration Limited as administrator of the forward-looking term Secured Overnight Financing Rate (SOFR) (or a successor administrator).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from time to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means any and all assets, tangible or intangible, on which Liens are purported to be granted pursuant to the Collateral Documents as security for the Obligations.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Collateral Access Agreement</w:t>
      </w:r>
      <w:r>
        <w:rPr>
          <w:color w:val="000000"/>
        </w:rPr>
        <w:t xml:space="preserve">” </w:t>
      </w:r>
      <w:r>
        <w:rPr>
          <w:rFonts w:ascii="Times New Roman;sans-serif" w:hAnsi="Times New Roman;sans-serif"/>
          <w:b w:val="false"/>
          <w:color w:val="000000"/>
          <w:sz w:val="24"/>
        </w:rPr>
        <w:t>means any landlord waiver or other agreement, in form and substance reasonably satisfactory to the Collateral Agent, between the Collateral Agent and any warehouseman, bailee or other similar Person in possession of any Collateral, any landlord of any real property where any Collateral is located or any administrative agent, collateral agent and/or similar representative acting on behalf of the holders of any Permitted Non-ABL Indebtedness secured by a Lien on any real property where any Inventory is located.</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14</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02235"/>
                <wp:effectExtent l="0" t="0" r="0" b="0"/>
                <wp:wrapNone/>
                <wp:docPr id="226" name="Frame22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Collateral Agent</w:t>
      </w:r>
      <w:r>
        <w:rPr>
          <w:color w:val="000000"/>
        </w:rPr>
        <w:t xml:space="preserve">” </w:t>
      </w:r>
      <w:r>
        <w:rPr>
          <w:rFonts w:ascii="Times New Roman;sans-serif" w:hAnsi="Times New Roman;sans-serif"/>
          <w:b w:val="false"/>
          <w:color w:val="000000"/>
          <w:sz w:val="24"/>
        </w:rPr>
        <w:t>means JPMorgan Chase Bank, N.A., in its capacity as collateral agent under the Collateral Documents.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Collateral Agreements</w:t>
      </w:r>
      <w:r>
        <w:rPr>
          <w:color w:val="000000"/>
        </w:rPr>
        <w:t xml:space="preserve">” </w:t>
      </w:r>
      <w:r>
        <w:rPr>
          <w:rFonts w:ascii="Times New Roman;sans-serif" w:hAnsi="Times New Roman;sans-serif"/>
          <w:b w:val="false"/>
          <w:color w:val="000000"/>
          <w:sz w:val="24"/>
        </w:rPr>
        <w:t>means, individually and collectively as the context may require, (a) the Guarantee and Collateral Agreement dated as of August 2, 2021, among the Company, the Subsidiary Loan Parties party thereto and the Collateral Agent and (b) the Guarantee and Collateral Agreement dated as of August 2, 2021, among the Canadian Loan Parties and the Collateral Agent.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Collateral and Guarantee Requirement</w:t>
      </w:r>
      <w:r>
        <w:rPr>
          <w:color w:val="000000"/>
        </w:rPr>
        <w:t xml:space="preserve">” </w:t>
      </w:r>
      <w:r>
        <w:rPr>
          <w:rFonts w:ascii="Times New Roman;sans-serif" w:hAnsi="Times New Roman;sans-serif"/>
          <w:b w:val="false"/>
          <w:color w:val="000000"/>
          <w:sz w:val="24"/>
        </w:rPr>
        <w:t>means, at any time, the requirement that: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the Collateral Agent shall have received from the Company and each Material Subsidiary either (i) a counterpart of the applicable Collateral Agreement duly executed and delivered on behalf of the Company or such Material Subsidiary, as applicable, or (ii) in the case of any Person that becomes a Material Subsidiary after the Effective Date, a supplement to the applicable Collateral Agreement, in the form specified therein, duly executed and delivered on behalf of such Material Subsidiary;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all UCC financing statements, and all similar filings and registrations in each applicable jurisdictions, required by law or reasonably requested by the Collateral Agent to be filed, registered or recorded to perfect the Liens intended to be created by each Collateral Agreement to the extent required by, and with the priority required by, such Collateral Agreement, shall have been filed, registered or recorded or delivered to the Collateral Agent for filing, registration or recording;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commencing with the date that is 90 days after the Effective Date (or such later date as may be agreed by the Collateral Agent in its sole discretion), the Collateral Agent shall have received a counterpart, duly executed and delivered by the applicable Loan Party and the applicable depositary bank or securities intermediary, as the case may be, of a Control Agreement with respect to (i) each deposit account maintained by any Loan Party with any depositary bank (other than any Excluded Deposit Account) and (ii) each securities account maintained by any Loan Party with any securities intermediary (other than any Excluded Securities Account), and the requirements of a Collateral Agreement relating to the concentration and application of collections on accounts shall have been satisfied;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 commencing with the date that is 90 days after the Effective Date (or such later date as may be agreed by the Collateral Agent in its sole discretion), the Collateral Agent shall have received evidence that all Credit Card Notifications required to be provided pursuant to Section 5.24 have been provided;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 commencing with the date that is 90 days after the Effective Date or such later date as may be agreed by the Collateral Agent in its sole discretion), each Loan Party shall have delivered to the Collateral Agent all Collateral Access Agreements requested by the Collateral Agent exercising its Permitted Discretion pursuant to this Agreement or a Collateral Agreement;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 prior to its inclusion in the Borrowing Base, the Collateral Agent shall have received (i) counterparts of a Mortgage with respect to each Mortgaged Property duly executed and delivered by the record owner of such Mortgaged Property and (ii) all Required Real Property Documentation;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15</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02235"/>
                <wp:effectExtent l="0" t="0" r="0" b="0"/>
                <wp:wrapNone/>
                <wp:docPr id="227" name="Frame22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 commencing with the date that is 90 days after the Effective Date or such later date as may be agreed by the Collateral Agent in its sole discretion), the Collateral Agent shall have received evidence of the insurance required to be maintained pursuant to Section 5.03;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 the Company and each Material Subsidiary shall have obtained all consents and approvals required to be obtained by it in connection with the execution and delivery of all Collateral Documents to which it is a party, the performance of its obligations thereunder and the granting by it of the Liens thereunder.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With respect to any Mortgaged Property as to which a Mortgage is required to be executed and delivered, notwithstanding anything to the contrary set forth in this definition or elsewhere in this Agreement, no such Mortgage shall be required to be executed and delivered until and unless (a) the Collateral Agent shall have received the items referred to in clause (f)(ii) above (it being understood that the Loan Parties shall be required to deliver such items otherwise in accordance with the terms of the Loan Documents), and shall have provided copies thereof to the Lenders, (b) the Collateral Agent shall have provided copies of all documents referred to in clause (a) of this paragraph received by it to the Lenders and (c) prior to the contemplated date of effectiveness of such Mortgage (as notified by the Collateral Agent to the Lenders), the Collateral Agent shall have been advised in writing by each Lender that such Lender has completed its flood insurance due diligence and flood insurance compliance with respect to such Mortgaged Property (with each Lender agreeing to complete such due diligence and compliance as promptly as practicable following receipt of the documents as referred to in clause (b) of this paragraph).</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Collateral Documents</w:t>
      </w:r>
      <w:r>
        <w:rPr>
          <w:color w:val="000000"/>
        </w:rPr>
        <w:t xml:space="preserve">” </w:t>
      </w:r>
      <w:r>
        <w:rPr>
          <w:rFonts w:ascii="Times New Roman;sans-serif" w:hAnsi="Times New Roman;sans-serif"/>
          <w:b w:val="false"/>
          <w:color w:val="000000"/>
          <w:sz w:val="24"/>
        </w:rPr>
        <w:t>means, collectively, the Collateral Agreements, the Control Agreements, the Credit Card Notifications, the Mortgages and each other pledge, deed of hypothec, security agreement or other instrument or document granting a Lien upon the Collateral as security for the Obligations (as required by this Agreement or any other Loan Document).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Commitment</w:t>
      </w:r>
      <w:r>
        <w:rPr>
          <w:color w:val="000000"/>
        </w:rPr>
        <w:t xml:space="preserve">” </w:t>
      </w:r>
      <w:r>
        <w:rPr>
          <w:rFonts w:ascii="Times New Roman;sans-serif" w:hAnsi="Times New Roman;sans-serif"/>
          <w:b w:val="false"/>
          <w:color w:val="000000"/>
          <w:sz w:val="24"/>
        </w:rPr>
        <w:t>means a Revolving Commitment, an Incremental Revolving Commitment of any tranche or any combination thereof, as the context requires.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means Victoria’s Secret &amp; Co., a Delaware corporation.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Concentration Account</w:t>
      </w:r>
      <w:r>
        <w:rPr>
          <w:color w:val="000000"/>
        </w:rPr>
        <w:t xml:space="preserve">” </w:t>
      </w:r>
      <w:r>
        <w:rPr>
          <w:rFonts w:ascii="Times New Roman;sans-serif" w:hAnsi="Times New Roman;sans-serif"/>
          <w:b w:val="false"/>
          <w:color w:val="000000"/>
          <w:sz w:val="24"/>
        </w:rPr>
        <w:t>has the meaning assigned to such term in the Collateral Agreements.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Consolidated Debt</w:t>
      </w:r>
      <w:r>
        <w:rPr>
          <w:color w:val="000000"/>
        </w:rPr>
        <w:t xml:space="preserve">” </w:t>
      </w:r>
      <w:r>
        <w:rPr>
          <w:rFonts w:ascii="Times New Roman;sans-serif" w:hAnsi="Times New Roman;sans-serif"/>
          <w:b w:val="false"/>
          <w:color w:val="000000"/>
          <w:sz w:val="24"/>
        </w:rPr>
        <w:t>means, at any date of determination, the total Indebtedness of the Company and the Consolidated Subsidiaries at such date determined on a consolidated basis in accordance with GAAP.</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Consolidated EBITDA</w:t>
      </w:r>
      <w:r>
        <w:rPr>
          <w:color w:val="000000"/>
        </w:rPr>
        <w:t xml:space="preserve">” </w:t>
      </w:r>
      <w:r>
        <w:rPr>
          <w:rFonts w:ascii="Times New Roman;sans-serif" w:hAnsi="Times New Roman;sans-serif"/>
          <w:b w:val="false"/>
          <w:color w:val="000000"/>
          <w:sz w:val="24"/>
        </w:rPr>
        <w:t xml:space="preserve">means, for any period, Consolidated Net Income for such period (adjusted (i) to exclude any non-cash items deducted or included in determining Consolidated Net Income for such period attributable to Accounting Standards Codification Topic 815, Derivatives and Hedging, Accounting Standards Codification Topic 350, Intangibles–Goodwill and Other, or stock options and other equity-linked compensation to officers, directors and employees, and (ii) to deduct cash payments made during such period in respect of Hedging Agreements (or other items subject to FAS 133 – Accounting for Derivative Instruments and Hedging Activities) to the extent not otherwise deducted in determining Consolidated Net Income for such period) plus (a) without duplication and to the extent deducted in determining such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16</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02235"/>
                <wp:effectExtent l="0" t="0" r="0" b="0"/>
                <wp:wrapNone/>
                <wp:docPr id="228" name="Frame22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val="false"/>
          <w:color w:val="000000"/>
          <w:sz w:val="24"/>
        </w:rPr>
        <w:t xml:space="preserve">Consolidated Net Income, the sum of (i) consolidated interest expense for such period, (ii) consolidated income tax expense for such period, (iii) all amounts attributable to depreciation and amortization for such period and (iv) any extraordinary or nonrecurring charges for such period, and minus (b) without duplication and to the extent included in determining such Consolidated Net Income, any extraordinary or nonrecurring gains for such period, all determined on a consolidated basis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on or prior to the applicable date of determination of Consolidated EBITDA, an acquisition or disposition outside of the ordinary course of business has occurred that has the effect of increasing or decreasing Consolidated EBITDA then (without duplication of any other adjustment made in determining Consolidated EBITDA for such period) Consolidated EBITDA shall be determined on a pro forma basis to give effect to such acquisition or disposition as if such acquisition or disposition had occurred immediately prior to the commencement of the period for which Consolidated EBITDA is to be determined.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Consolidated EBITDAR</w:t>
      </w:r>
      <w:r>
        <w:rPr>
          <w:color w:val="000000"/>
        </w:rPr>
        <w:t xml:space="preserve">” </w:t>
      </w:r>
      <w:r>
        <w:rPr>
          <w:rFonts w:ascii="Times New Roman;sans-serif" w:hAnsi="Times New Roman;sans-serif"/>
          <w:b w:val="false"/>
          <w:color w:val="000000"/>
          <w:sz w:val="24"/>
        </w:rPr>
        <w:t xml:space="preserve">means, for any period, Consolidated EBITDA for such period plus, without duplication and to the extent deducted in the determination of such Consolidated EBITDA, consolidated fixed minimum store rental expense for such period, all determined on a consolidated basis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on or prior to the applicable date of determination of Consolidated EBITDAR, an acquisition or disposition outside of the ordinary course of business has occurred that has the effect of increasing or decreasing Consolidated EBITDAR, then (without duplication of adjustments made in determining Consolidated EBITDA for such period) Consolidated EBITDAR shall be determined on a pro forma basis to give effect to such acquisition or disposition as if such acquisition or disposition had occurred immediately prior to the commencement of the period for which Consolidated EBITDAR is to be determined.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Consolidated Fixed Charges</w:t>
      </w:r>
      <w:r>
        <w:rPr>
          <w:color w:val="000000"/>
        </w:rPr>
        <w:t xml:space="preserve">” </w:t>
      </w:r>
      <w:r>
        <w:rPr>
          <w:rFonts w:ascii="Times New Roman;sans-serif" w:hAnsi="Times New Roman;sans-serif"/>
          <w:b w:val="false"/>
          <w:color w:val="000000"/>
          <w:sz w:val="24"/>
        </w:rPr>
        <w:t xml:space="preserve">means, for any period, the sum of (a) consolidated interest expense, both expensed and capitalized (including the interest component in respect of Capital Lease Obligations), of the Company and the Consolidated Subsidiaries for such period, plus (b) consolidated fixed minimum store rental expense of the Company and the Consolidated Subsidiaries for such period, all determined on a consolidated basis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on or prior to the applicable date of determination of Consolidated Fixed Charges, an acquisition or disposition outside of the ordinary course of business has occurred that has the effect of increasing or decreasing Consolidated Fixed Charges, then Consolidated Fixed Charges shall be determined on a pro forma basis to give effect to such acquisition or disposition as if such acquisition or disposition had occurred immediately prior to the commencement of the period for which Consolidated Fixed Charges is to be determined.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Consolidated Net Income</w:t>
      </w:r>
      <w:r>
        <w:rPr>
          <w:color w:val="000000"/>
        </w:rPr>
        <w:t xml:space="preserve">” </w:t>
      </w:r>
      <w:r>
        <w:rPr>
          <w:rFonts w:ascii="Times New Roman;sans-serif" w:hAnsi="Times New Roman;sans-serif"/>
          <w:b w:val="false"/>
          <w:color w:val="000000"/>
          <w:sz w:val="24"/>
        </w:rPr>
        <w:t>means, for any period, the net income or loss of the Company and the Consolidated Subsidiaries for such period determined on a consolidated basis in accordance with GAAP.</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Consolidated Subsidiary</w:t>
      </w:r>
      <w:r>
        <w:rPr>
          <w:color w:val="000000"/>
        </w:rPr>
        <w:t xml:space="preserve">” </w:t>
      </w:r>
      <w:r>
        <w:rPr>
          <w:rFonts w:ascii="Times New Roman;sans-serif" w:hAnsi="Times New Roman;sans-serif"/>
          <w:b w:val="false"/>
          <w:color w:val="000000"/>
          <w:sz w:val="24"/>
        </w:rPr>
        <w:t xml:space="preserve">means any Subsidiary (other than an Unrestricted Subsidiary), the accounts of which are, or are required to be, consolidated with those of the Company in the Company’s periodic reports filed under the Securities Exchange Act of 1934.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means, with respect to a specified Person, the possession, directly or indirectly, of the power to direct, or cause the direction of, the management or policies of such Person, whether through the ability to exercise voting power, by contract or otherwise. “</w:t>
      </w:r>
      <w:r>
        <w:rPr>
          <w:rFonts w:ascii="Times New Roman;sans-serif" w:hAnsi="Times New Roman;sans-serif"/>
          <w:b w:val="false"/>
          <w:color w:val="000000"/>
          <w:sz w:val="24"/>
          <w:u w:val="single"/>
        </w:rPr>
        <w:t>Controlling</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Controlled</w:t>
      </w:r>
      <w:r>
        <w:rPr>
          <w:color w:val="000000"/>
        </w:rPr>
        <w:t xml:space="preserve">” </w:t>
      </w:r>
      <w:r>
        <w:rPr>
          <w:rFonts w:ascii="Times New Roman;sans-serif" w:hAnsi="Times New Roman;sans-serif"/>
          <w:b w:val="false"/>
          <w:color w:val="000000"/>
          <w:sz w:val="24"/>
        </w:rPr>
        <w:t>have correlative meanings.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Control Agreement</w:t>
      </w:r>
      <w:r>
        <w:rPr>
          <w:color w:val="000000"/>
        </w:rPr>
        <w:t xml:space="preserve">” </w:t>
      </w:r>
      <w:r>
        <w:rPr>
          <w:rFonts w:ascii="Times New Roman;sans-serif" w:hAnsi="Times New Roman;sans-serif"/>
          <w:b w:val="false"/>
          <w:color w:val="000000"/>
          <w:sz w:val="24"/>
        </w:rPr>
        <w:t xml:space="preserve">means, with respect to any deposit account or securities account maintained by any Loan Party, a control agreement in form and substance reasonably satisfactory to the Collateral Agent, duly executed and delivered by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17</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02235"/>
                <wp:effectExtent l="0" t="0" r="0" b="0"/>
                <wp:wrapNone/>
                <wp:docPr id="229" name="Frame22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such Loan Party and the depositary bank or the securities intermediary, as the case may be, with which such account is maintained.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Corresponding Tenor</w:t>
      </w:r>
      <w:r>
        <w:rPr>
          <w:color w:val="000000"/>
        </w:rPr>
        <w:t xml:space="preserve">” </w:t>
      </w:r>
      <w:r>
        <w:rPr>
          <w:rFonts w:ascii="Times New Roman;sans-serif" w:hAnsi="Times New Roman;sans-serif"/>
          <w:b w:val="false"/>
          <w:color w:val="000000"/>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Covenant Period</w:t>
      </w:r>
      <w:r>
        <w:rPr>
          <w:color w:val="000000"/>
        </w:rPr>
        <w:t xml:space="preserve">” </w:t>
      </w:r>
      <w:r>
        <w:rPr>
          <w:rFonts w:ascii="Times New Roman;sans-serif" w:hAnsi="Times New Roman;sans-serif"/>
          <w:b w:val="false"/>
          <w:color w:val="000000"/>
          <w:sz w:val="24"/>
        </w:rPr>
        <w:t>has the meaning set forth in Section 5.06.</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Covered Entity</w:t>
      </w:r>
      <w:r>
        <w:rPr>
          <w:color w:val="000000"/>
        </w:rPr>
        <w:t xml:space="preserve">” </w:t>
      </w:r>
      <w:r>
        <w:rPr>
          <w:rFonts w:ascii="Times New Roman;sans-serif" w:hAnsi="Times New Roman;sans-serif"/>
          <w:b w:val="false"/>
          <w:color w:val="000000"/>
          <w:sz w:val="24"/>
        </w:rPr>
        <w:t>means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Covered Party</w:t>
      </w:r>
      <w:r>
        <w:rPr>
          <w:color w:val="000000"/>
        </w:rPr>
        <w:t xml:space="preserve">” </w:t>
      </w:r>
      <w:r>
        <w:rPr>
          <w:rFonts w:ascii="Times New Roman;sans-serif" w:hAnsi="Times New Roman;sans-serif"/>
          <w:b w:val="false"/>
          <w:color w:val="000000"/>
          <w:sz w:val="24"/>
        </w:rPr>
        <w:t>has the meaning set forth in Section 8.21.</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Credit Card Agreement</w:t>
      </w:r>
      <w:r>
        <w:rPr>
          <w:color w:val="000000"/>
        </w:rPr>
        <w:t xml:space="preserve">” </w:t>
      </w:r>
      <w:r>
        <w:rPr>
          <w:rFonts w:ascii="Times New Roman;sans-serif" w:hAnsi="Times New Roman;sans-serif"/>
          <w:b w:val="false"/>
          <w:color w:val="000000"/>
          <w:sz w:val="24"/>
        </w:rPr>
        <w:t>means any agreement between a Loan Party, on the one hand, and a credit card issuer or a credit card processor (including any credit card processor that processes purchases of Inventory from a Loan Party through debit cards or mall cards), on the other hand.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Credit Card Notifications</w:t>
      </w:r>
      <w:r>
        <w:rPr>
          <w:color w:val="000000"/>
        </w:rPr>
        <w:t xml:space="preserve">” </w:t>
      </w:r>
      <w:r>
        <w:rPr>
          <w:rFonts w:ascii="Times New Roman;sans-serif" w:hAnsi="Times New Roman;sans-serif"/>
          <w:b w:val="false"/>
          <w:color w:val="000000"/>
          <w:sz w:val="24"/>
        </w:rPr>
        <w:t>means each Credit Card Notification, in form and substance reasonably satisfactory to the Collateral Agent, executed by one or more Loan Parties and delivered by such Loan Parties to credit card issuers or credit card processors that are party to any Credit Card Agreement.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Credit Card Receivables</w:t>
      </w:r>
      <w:r>
        <w:rPr>
          <w:color w:val="000000"/>
        </w:rPr>
        <w:t xml:space="preserve">” </w:t>
      </w:r>
      <w:r>
        <w:rPr>
          <w:rFonts w:ascii="Times New Roman;sans-serif" w:hAnsi="Times New Roman;sans-serif"/>
          <w:b w:val="false"/>
          <w:color w:val="000000"/>
          <w:sz w:val="24"/>
        </w:rPr>
        <w:t xml:space="preserve">means any Account or Payment Intangible due to any Loan Party in connection with purchases from and other goods and services provided by such Loan Party on (a) Visa, MasterCard, American Express, Discover and any other credit card issuers that are reasonably acceptable to the Collateral Agent and PayPal and (b) such other credit cards (it being understood that such term, for purposes hereof, includes debit cards) as the Collateral Agent shall approve from time to time in its Permitted Discretion, in each case which have been originated in the ordinary course of business by such Loan Party and earned by performance by such Loan Party but not yet paid to such Loan Party by the credit card issuer or the credit card processor, as applicable, and which represents the bona fide amount due to a Loan Party from such credit card processor or credit card issuer;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any event, “Credit Card Receivables” shall exclude Accounts and Payment Intangibles due in connection with credit cards issued by Affiliates.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Credit Exposure</w:t>
      </w:r>
      <w:r>
        <w:rPr>
          <w:color w:val="000000"/>
        </w:rPr>
        <w:t xml:space="preserve">” </w:t>
      </w:r>
      <w:r>
        <w:rPr>
          <w:rFonts w:ascii="Times New Roman;sans-serif" w:hAnsi="Times New Roman;sans-serif"/>
          <w:b w:val="false"/>
          <w:color w:val="000000"/>
          <w:sz w:val="24"/>
        </w:rPr>
        <w:t>means a Revolving Exposure, an exposure of any other Class or any combination thereof, as the context requires.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Credit Party</w:t>
      </w:r>
      <w:r>
        <w:rPr>
          <w:color w:val="000000"/>
        </w:rPr>
        <w:t xml:space="preserve">” </w:t>
      </w:r>
      <w:r>
        <w:rPr>
          <w:rFonts w:ascii="Times New Roman;sans-serif" w:hAnsi="Times New Roman;sans-serif"/>
          <w:b w:val="false"/>
          <w:color w:val="000000"/>
          <w:sz w:val="24"/>
        </w:rPr>
        <w:t>means the Agents, each Issuing Bank or any other Lender.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Credit Rating</w:t>
      </w:r>
      <w:r>
        <w:rPr>
          <w:color w:val="000000"/>
        </w:rPr>
        <w:t xml:space="preserve">” </w:t>
      </w:r>
      <w:r>
        <w:rPr>
          <w:rFonts w:ascii="Times New Roman;sans-serif" w:hAnsi="Times New Roman;sans-serif"/>
          <w:b w:val="false"/>
          <w:color w:val="000000"/>
          <w:sz w:val="24"/>
        </w:rPr>
        <w:t>means, in the case of S&amp;P, the “Issuer Credit Rating” assigned by S&amp;P to the Company and, in the case of Moody’s, the “Corporate Family Rating” assigned by Moody’s to the Company.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w:t>
      </w:r>
      <w:r>
        <w:rPr>
          <w:rFonts w:ascii="Times New Roman;sans-serif" w:hAnsi="Times New Roman;sans-serif"/>
          <w:b w:val="false"/>
          <w:strike/>
          <w:color w:val="FF0000"/>
          <w:sz w:val="24"/>
        </w:rPr>
        <w:t xml:space="preserve">, </w:t>
      </w:r>
      <w:r>
        <w:rPr>
          <w:rFonts w:ascii="Times New Roman;sans-serif" w:hAnsi="Times New Roman;sans-serif"/>
          <w:b/>
          <w:color w:val="0000FF"/>
          <w:sz w:val="24"/>
          <w:u w:val="single"/>
        </w:rPr>
        <w:t>(a “</w:t>
      </w:r>
      <w:r>
        <w:rPr>
          <w:rFonts w:ascii="Times New Roman;sans-serif" w:hAnsi="Times New Roman;sans-serif"/>
          <w:b w:val="false"/>
          <w:color w:val="000000"/>
          <w:sz w:val="24"/>
          <w:u w:val="single"/>
        </w:rPr>
        <w:t>SOFR</w:t>
      </w:r>
      <w:r>
        <w:rPr>
          <w:rFonts w:ascii="Times New Roman;sans-serif" w:hAnsi="Times New Roman;sans-serif"/>
          <w:b w:val="false"/>
          <w:strike/>
          <w:color w:val="FF0000"/>
          <w:sz w:val="24"/>
        </w:rPr>
        <w:t>, with the conventions for this rate (which may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r>
        <w:rPr>
          <w:color w:val="000000"/>
          <w:u w:val="single"/>
        </w:rPr>
        <w:t xml:space="preserve"> </w:t>
      </w:r>
      <w:r>
        <w:rPr>
          <w:rFonts w:ascii="Times New Roman;sans-serif" w:hAnsi="Times New Roman;sans-serif"/>
          <w:b/>
          <w:color w:val="0000FF"/>
          <w:sz w:val="24"/>
          <w:u w:val="single"/>
        </w:rPr>
        <w:t xml:space="preserve">Rate Day”), a rate per annum equal to SOFR for the day that is five U.S. Government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18</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02235"/>
                <wp:effectExtent l="0" t="0" r="0" b="0"/>
                <wp:wrapNone/>
                <wp:docPr id="230" name="Frame23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color w:val="0000FF"/>
          <w:sz w:val="24"/>
          <w:u w:val="single"/>
        </w:rPr>
      </w:pPr>
      <w:r>
        <w:rPr>
          <w:rFonts w:ascii="Times New Roman;sans-serif" w:hAnsi="Times New Roman;sans-serif"/>
          <w:b/>
          <w:color w:val="0000FF"/>
          <w:sz w:val="24"/>
          <w:u w:val="single"/>
        </w:rPr>
        <w:t>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Default</w:t>
      </w:r>
      <w:r>
        <w:rPr>
          <w:color w:val="000000"/>
        </w:rPr>
        <w:t xml:space="preserve">” </w:t>
      </w:r>
      <w:r>
        <w:rPr>
          <w:rFonts w:ascii="Times New Roman;sans-serif" w:hAnsi="Times New Roman;sans-serif"/>
          <w:b w:val="false"/>
          <w:color w:val="000000"/>
          <w:sz w:val="24"/>
        </w:rPr>
        <w:t>means any event or condition which constitutes an Event of Default or which upon notice, lapse of time or both would, unless cured or waived, become an Event of Default.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Default Right</w:t>
      </w:r>
      <w:r>
        <w:rPr>
          <w:color w:val="000000"/>
        </w:rPr>
        <w:t xml:space="preserve">” </w:t>
      </w:r>
      <w:r>
        <w:rPr>
          <w:rFonts w:ascii="Times New Roman;sans-serif" w:hAnsi="Times New Roman;sans-serif"/>
          <w:b w:val="false"/>
          <w:color w:val="000000"/>
          <w:sz w:val="24"/>
        </w:rPr>
        <w:t>has the meaning assigned to such term in, and shall be interpreted in accordance with, 12 C.F.R. §§ 252.81, 47.2 or 382.1, as applicable.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Defaulting Lender</w:t>
      </w:r>
      <w:r>
        <w:rPr>
          <w:color w:val="000000"/>
        </w:rPr>
        <w:t xml:space="preserve">” </w:t>
      </w:r>
      <w:r>
        <w:rPr>
          <w:rFonts w:ascii="Times New Roman;sans-serif" w:hAnsi="Times New Roman;sans-serif"/>
          <w:b w:val="false"/>
          <w:color w:val="000000"/>
          <w:sz w:val="24"/>
        </w:rPr>
        <w:t xml:space="preserve">means any Lender, as reasonably determined by the Administrative Agent, that has (a) failed to fund any portion of its Loans, participations in Letters of Credit or Protective Advances within three Business Days of the date required to be funded by it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(b) notified the Company, the Administrative Agent, any Issuing Bank or any Lender in writing that it does not intend to comply with any of its funding obligations under this Agreement or has made a public statement to the effect that it does not intend to comply with its funding obligations under this Agreement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failed, within five Business Days after written request by the Administrative Agent, to confirm that it will comply with the terms of this Agreement relating to its obligations to fund prospective Loans and participations in then outstanding Letters of Credit and Protective Advances (provided that such Lender shall cease to be a Defaulting Lender pursuant to this clause (c) upon receipt by the Administrative Agent of such confirmation), (d) otherwise failed to pay over to the Administrative Agent, any Issuing Bank or any other Lender any other amount required to be paid by it hereunder within three Business Days of the date when due, unless the subject of a good-faith dispute, (e) become the subject of a bankruptcy or insolvency proceeding, or has had a receiver, conservator, trustee or custodian appointed for it, or has consented to, approved of or acquiesced in any such proceeding or appointment or has a parent company that has become the subject of a bankruptcy or insolvency proceeding, or has had a receiver, conservator, trustee or custodian appointed for it, or has consented to, approved of or acquiesced in any such proceeding or appointment or (f) has, or has a direct or indirect parent company that has, become the subject of a Bail-In Action;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if a Lender would be a “Defaulting Lender” solely by reason of events relating to a parent company of such Lender or solely because a Governmental Authority has been appointed as receiver, conservator, trustee or custodian for such Lender, in each case as described in clause (e) above, the Administrative Agent may, in its discretion, determine that such Lender is not a “Defaulting Lender” if and for so long as the Administrative Agent is satisfied that such Lender will continue to perform its funding obligations hereunder, (ii) the Administrative Agent may, by notice to the Company and the Lenders, declare that a Defaulting Lender is no longer a “Defaulting Lender” if the Administrative Agent determines, in its discretion, that the circumstances that resulted in such Lender becoming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19</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02235"/>
                <wp:effectExtent l="0" t="0" r="0" b="0"/>
                <wp:wrapNone/>
                <wp:docPr id="231" name="Frame23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 “Defaulting Lender” no longer apply and (iii)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Canada or any state, province or territory of the foregoing or from the enforcement of judgments or writs of attachment on its assets or permit such Lender (or such Governmental Authority) to reject, repudiate, disavow or disaffirm any contracts or agreements made with such Lender.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Designated Real Estate Subsidiary</w:t>
      </w:r>
      <w:r>
        <w:rPr>
          <w:color w:val="000000"/>
        </w:rPr>
        <w:t xml:space="preserve">” </w:t>
      </w:r>
      <w:r>
        <w:rPr>
          <w:rFonts w:ascii="Times New Roman;sans-serif" w:hAnsi="Times New Roman;sans-serif"/>
          <w:b w:val="false"/>
          <w:color w:val="000000"/>
          <w:sz w:val="24"/>
        </w:rPr>
        <w:t>means each Domestic Subsidiary designated by the Company to the Administrative Agent in writing at any time following the Effective Date for the purpose of including the Eligible Real Property of such Subsidiary in the Borrowing Base subject to the terms and conditions hereof.</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Disclosed Matters</w:t>
      </w:r>
      <w:r>
        <w:rPr>
          <w:color w:val="000000"/>
        </w:rPr>
        <w:t xml:space="preserve">” </w:t>
      </w:r>
      <w:r>
        <w:rPr>
          <w:rFonts w:ascii="Times New Roman;sans-serif" w:hAnsi="Times New Roman;sans-serif"/>
          <w:b w:val="false"/>
          <w:color w:val="000000"/>
          <w:sz w:val="24"/>
        </w:rPr>
        <w:t>means the actions, suits and proceedings and the environmental matters disclosed in Schedule 3.05.</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Disqualified Equity Interest</w:t>
      </w:r>
      <w:r>
        <w:rPr>
          <w:color w:val="000000"/>
        </w:rPr>
        <w:t xml:space="preserve">” </w:t>
      </w:r>
      <w:r>
        <w:rPr>
          <w:rFonts w:ascii="Times New Roman;sans-serif" w:hAnsi="Times New Roman;sans-serif"/>
          <w:b w:val="false"/>
          <w:color w:val="000000"/>
          <w:sz w:val="24"/>
        </w:rPr>
        <w:t>means, any Equity Interest in the Company that by its terms (or by the terms of any security into which it is convertible or for which it is exchangeable, either mandatorily or at the option of the holder thereof), or upon the happening of any event or condition: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matures or is mandatorily redeemable (other than solely for Equity Interests in the Company that do not constitute Disqualified Equity Interests and cash in lieu of fractional shares of such Equity Interests), whether pursuant to a sinking fund obligation or otherwise, prior to the Specified Date;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is convertible or exchangeable at the option of the holder thereof for Indebtedness or Equity Interests (other than solely for Equity Interests in the Company that do not constitute Disqualified Equity Interests and cash in lieu of fractional shares of such Equity Interests), prior to the Specified Date; or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(c) is redeemable (other than solely for Equity Interests in the Company that do not constitute Disqualified Equity Interests and cash in lieu of fractional shares of such Equity Interests) or is required to be repurchased by the Company or any of its Affiliates, in whole or in part, at the option of the holder thereof, prior to the Specified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this clause (c) shall not apply to any requirement of mandatory redemption or repurchase that is contingent upon an asset disposition or the incurrence of Indebtedness if such mandatory redemption or repurchase can be avoided through repayment or prepayment of Loans or through investments by the Company or the Consolidated Subsidiaries in assets to be used in their businesses.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Domestic Subsidiary</w:t>
      </w:r>
      <w:r>
        <w:rPr>
          <w:color w:val="000000"/>
        </w:rPr>
        <w:t xml:space="preserve">” </w:t>
      </w:r>
      <w:r>
        <w:rPr>
          <w:rFonts w:ascii="Times New Roman;sans-serif" w:hAnsi="Times New Roman;sans-serif"/>
          <w:b w:val="false"/>
          <w:color w:val="000000"/>
          <w:sz w:val="24"/>
        </w:rPr>
        <w:t>means any Subsidiary that is organized under the laws of the United States of America, any State thereof or the District of Columbia.</w:t>
      </w:r>
    </w:p>
    <w:p>
      <w:pPr>
        <w:pStyle w:val="TextBody"/>
        <w:bidi w:val="0"/>
        <w:spacing w:lineRule="auto" w:line="240" w:before="0" w:after="240"/>
        <w:ind w:left="0" w:right="0" w:firstLine="1440"/>
        <w:jc w:val="left"/>
        <w:rPr/>
      </w:pPr>
      <w:r>
        <w:rPr>
          <w:strike/>
          <w:color w:val="FF0000"/>
        </w:rPr>
        <w:t>“</w:t>
      </w:r>
      <w:r>
        <w:rPr>
          <w:rFonts w:ascii="Times New Roman;sans-serif" w:hAnsi="Times New Roman;sans-serif"/>
          <w:b w:val="false"/>
          <w:strike/>
          <w:color w:val="FF0000"/>
          <w:sz w:val="24"/>
          <w:u w:val="single"/>
        </w:rPr>
        <w:t>Early Opt-in Election</w:t>
      </w:r>
      <w:r>
        <w:rPr>
          <w:strike/>
          <w:color w:val="FF0000"/>
        </w:rPr>
        <w:t xml:space="preserve">” </w:t>
      </w:r>
      <w:r>
        <w:rPr>
          <w:rFonts w:ascii="Times New Roman;sans-serif" w:hAnsi="Times New Roman;sans-serif"/>
          <w:b w:val="false"/>
          <w:strike/>
          <w:color w:val="FF0000"/>
          <w:sz w:val="24"/>
        </w:rPr>
        <w:t>means, if the then current Benchmark with respect to US Dollars is the Adjusted LIBO Rate, the occurrence of:</w:t>
      </w:r>
    </w:p>
    <w:p>
      <w:pPr>
        <w:pStyle w:val="TextBody"/>
        <w:bidi w:val="0"/>
        <w:spacing w:lineRule="auto" w:line="240" w:before="0" w:after="120"/>
        <w:jc w:val="left"/>
        <w:rPr/>
      </w:pPr>
      <w:r>
        <w:rPr>
          <w:rFonts w:ascii="Times New Roman;sans-serif" w:hAnsi="Times New Roman;sans-serif"/>
          <w:b w:val="false"/>
          <w:strike/>
          <w:color w:val="FF0000"/>
          <w:sz w:val="24"/>
        </w:rPr>
        <w:t>(1)</w:t>
      </w:r>
      <w:r>
        <w:rPr>
          <w:color w:val="000000"/>
        </w:rPr>
        <w:t>    </w:t>
      </w:r>
      <w:r>
        <w:rPr>
          <w:rFonts w:ascii="Times New Roman;sans-serif" w:hAnsi="Times New Roman;sans-serif"/>
          <w:b w:val="false"/>
          <w:strike/>
          <w:color w:val="FF0000"/>
          <w:sz w:val="24"/>
        </w:rPr>
        <w:t>a notification by the Administrative Agent to (or the request by the Borrower to the Administrative Agent to notify) each of the other parties hereto that at least five currently outstanding US Dollar denominated syndicated credit facilities at such time contain (as a result of amendment or as originally executed) a SOFR-based rate (including SOFR, Term SOFR or any other rate based upon SOFR) as a benchmark rate (and such syndicated credit facilities are identified in such notice and are publicly available for review), and</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20</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02235"/>
                <wp:effectExtent l="0" t="0" r="0" b="0"/>
                <wp:wrapNone/>
                <wp:docPr id="232" name="Frame23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val="false"/>
          <w:strike/>
          <w:color w:val="FF0000"/>
          <w:sz w:val="24"/>
        </w:rPr>
        <w:t>(2)</w:t>
      </w:r>
      <w:r>
        <w:rPr>
          <w:color w:val="000000"/>
        </w:rPr>
        <w:t>    </w:t>
      </w:r>
      <w:r>
        <w:rPr>
          <w:rFonts w:ascii="Times New Roman;sans-serif" w:hAnsi="Times New Roman;sans-serif"/>
          <w:b w:val="false"/>
          <w:strike/>
          <w:color w:val="FF0000"/>
          <w:sz w:val="24"/>
        </w:rPr>
        <w:t>the joint election by the Administrative Agent and the Borrower to trigger a fallback from LIBO Rate and the provision, as applicable, by the Administrative Agent of written notice of such election to the Borrower and the Lenders.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EEA Financial Institution</w:t>
      </w:r>
      <w:r>
        <w:rPr>
          <w:color w:val="000000"/>
        </w:rPr>
        <w:t xml:space="preserve">” </w:t>
      </w:r>
      <w:r>
        <w:rPr>
          <w:rFonts w:ascii="Times New Roman;sans-serif" w:hAnsi="Times New Roman;sans-serif"/>
          <w:b w:val="false"/>
          <w:color w:val="000000"/>
          <w:sz w:val="24"/>
        </w:rPr>
        <w:t>means (a) any institution established in any EEA Member Country that is subject to the supervision of an EEA Resolution Authority, (b) any entity established in an EEA Member Country that is a parent of an institution described in clause (a) of this definition, or (c) any institution established in an EEA Member Country that is a subsidiary of an institution described in clause (a) or (b) of this definition and is subject to consolidated supervision with its parent.</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EEA Member Country</w:t>
      </w:r>
      <w:r>
        <w:rPr>
          <w:color w:val="000000"/>
        </w:rPr>
        <w:t xml:space="preserve">” </w:t>
      </w:r>
      <w:r>
        <w:rPr>
          <w:rFonts w:ascii="Times New Roman;sans-serif" w:hAnsi="Times New Roman;sans-serif"/>
          <w:b w:val="false"/>
          <w:color w:val="000000"/>
          <w:sz w:val="24"/>
        </w:rPr>
        <w:t>means any of the member states of the European Union, Iceland, Liechtenstein and Norway.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means August 2, 2021.</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Electronic Signature</w:t>
      </w:r>
      <w:r>
        <w:rPr>
          <w:color w:val="000000"/>
        </w:rPr>
        <w:t xml:space="preserve">” </w:t>
      </w:r>
      <w:r>
        <w:rPr>
          <w:rFonts w:ascii="Times New Roman;sans-serif" w:hAnsi="Times New Roman;sans-serif"/>
          <w:b w:val="false"/>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Eligible Accounts</w:t>
      </w:r>
      <w:r>
        <w:rPr>
          <w:color w:val="000000"/>
        </w:rPr>
        <w:t xml:space="preserve">” </w:t>
      </w:r>
      <w:r>
        <w:rPr>
          <w:rFonts w:ascii="Times New Roman;sans-serif" w:hAnsi="Times New Roman;sans-serif"/>
          <w:b w:val="false"/>
          <w:color w:val="000000"/>
          <w:sz w:val="24"/>
        </w:rPr>
        <w:t>means, at any time, the Accounts owned by any Loan Party and in which such Loan Party has good and marketable title, but excluding Credit Card Receivables and any other Account:</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which is not subject to a first priority (subject to a Lien described in clause (a) or (b) in the definition of “Permitted Encumbrances”) perfected Lien in favor of the Collateral Agent pursuant to the Collateral Agreements securing the Obligations;</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which is subject to any Lien whatsoever, other than (i) a Lien in favor of the Collateral Agent, (ii) Permitted Encumbrances (other than those described in clauses (a) and (b) in the definition of “Permitted Encumbrances”) that do not have priority over the Liens securing the Obligations created by the Collateral Agreements and (iii) Liens permitted under Section 5.08(b)(ii) or (b)(x);</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(i) with respect to which the scheduled due date is more than 90 days after the date of the original invoice therefor, (ii) which is unpaid more than 90 days after the date of the original invoice therefor or more than 60 days after the original due date therefor or (iii) which has been written off the books of the applicable Loan Party or otherwise designated as uncollectible;</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    which is owing by an Account Debtor for which more than 50% of the Accounts owing by such Account Debtor and its Affiliates are ineligible pursuant to clause (c) above;</w:t>
      </w:r>
    </w:p>
    <w:p>
      <w:pPr>
        <w:pStyle w:val="TextBody"/>
        <w:bidi w:val="0"/>
        <w:spacing w:lineRule="auto" w:line="240" w:before="0" w:after="120"/>
        <w:ind w:left="0" w:right="0" w:firstLine="720"/>
        <w:jc w:val="left"/>
        <w:rPr/>
      </w:pPr>
      <w:r>
        <w:rPr>
          <w:rFonts w:ascii="Times New Roman;sans-serif" w:hAnsi="Times New Roman;sans-serif"/>
          <w:b w:val="false"/>
          <w:color w:val="000000"/>
          <w:sz w:val="24"/>
        </w:rPr>
        <w:t xml:space="preserve">(e)    which is owing by an Account Debtor to the extent the aggregate amount of Accounts owing by such Account Debtor and its Affiliates to the Loan Parties exceeds 25% of the aggregate Eligible Accounts (or, in the case of M.H. Alshaya Co. and its Affiliates, exceeds $50,000,000);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amount of Eligible Accounts that are excluded because they exceed the percentage set forth in this clause (e) shall be determined based on all of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21</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02235"/>
                <wp:effectExtent l="0" t="0" r="0" b="0"/>
                <wp:wrapNone/>
                <wp:docPr id="233" name="Frame23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otherwise Eligible Accounts prior to giving effect to any eliminations based on the foregoing concentration limit;</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    with respect to which any covenant, representation or warranty contained in this Agreement or in the other Loan Documents has been breached or is not true;</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    which (i) does not arise from the sale of goods or performance of services in the ordinary course of business, (ii) is not evidenced by an invoice or other documentation reasonably satisfactory to the Collateral Agent which has been sent to the applicable Account Debtor, (iii) represents a sale on a bill-and-hold, guaranteed sale, sale-and-return, sale on approval, consignment, cash-on-delivery or any other repurchase or return basis or (iv) relates to payments of interest;</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    for which the goods giving rise to such Account have not been shipped to the Account Debtor or for which the services giving rise to such Account have not been performed by the applicable Loan Party or if such Account is in respect of an invoice that is duplicative of a previously invoiced Account;</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with respect to which any check or other instrument of payment has been returned uncollected for any reason;</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(j)    which is owed by an Account Debtor which (i) is the subject of any Bankruptcy Event, (ii) is liquidating, dissolving or winding up its affairs, (iii) is otherwise deemed not creditworthy by the Collateral Agent in its Permitted Discretion, (iv) has admitted in writing its inability, or is generally unable, to pay its debts as they become due, (v) has become insolvent or (vi) has ceased operation of its business;</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(k)    which is owed by an Account Debtor which has sold all or substantially all its assets;</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    which is owed by an Account Debtor that (i) does not have its head office, registered office, principal place of business or chief executive office in the United States or Canada or (ii) is not organized under applicable law of (A) the United States or any state of the United States or (B) Canada or any province or territory of Canada unless, in any such case, such Account is backed by a letter of credit or trade insurance (in the case of Accounts backed by trade insurance, not to exceed $50,000,000), in each case acceptable to the Collateral Agent which, in each case, is in the possession of, and is directly drawable by, the Collateral Agent or otherwise subject to a pledge in favor of the Collateral Agent in form and substance reasonably satisfactory to the Collateral Agent;</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    which is owed in any currency other than US Dollars or Canadian Dollars;</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    which is owed by (i) any Governmental Authority of any country other than the United States or Canada unless such Account is backed by a letter of credit acceptable to the Collateral Agent which is in the possession of, and is directly drawable by, the Collateral Agent, (ii) any Governmental Authority of the United States or Canada, or any department, agency, public corporation, or instrumentality thereof, unless any steps necessary to perfect the Lien of the Collateral Agent in such Account have been complied with to the Collateral Agent’s satisfaction, including in respect of the Federal Assignment of Claims Act of 1940, as amended (31 U.S.C. § 3727 et seq. and 41 U.S.C. § 15 et seq.), or (iii) any Governmental Authority of any State of the United States, any province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22</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02235"/>
                <wp:effectExtent l="0" t="0" r="0" b="0"/>
                <wp:wrapNone/>
                <wp:docPr id="234" name="Frame23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or territory of Canada or any other Governmental Authority not referred to in clause (i) or (ii) above;</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(o)    which is owed by any Affiliate of any Loan Party or any employee, officer, director, agent or equityholder of any Loan Party or any of its Affiliates;</w:t>
      </w:r>
    </w:p>
    <w:p>
      <w:pPr>
        <w:pStyle w:val="TextBody"/>
        <w:bidi w:val="0"/>
        <w:spacing w:lineRule="auto" w:line="240" w:before="0" w:after="120"/>
        <w:ind w:left="0" w:right="0" w:firstLine="720"/>
        <w:jc w:val="left"/>
        <w:rPr/>
      </w:pPr>
      <w:r>
        <w:rPr>
          <w:rFonts w:ascii="Times New Roman;sans-serif" w:hAnsi="Times New Roman;sans-serif"/>
          <w:b w:val="false"/>
          <w:color w:val="000000"/>
          <w:sz w:val="24"/>
        </w:rPr>
        <w:t xml:space="preserve">(p)    which is owed by an Account Debtor or any Affiliate of such Account Debtor to which any Loan Party is indebted or which is subject to any security, deposit, progress payment, retainage or other similar advance made by or for the benefit of an Account Debtor;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excess of the Accounts of such Account Debtor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the aggregate amount of such indebtedness, security, deposits, progress payments, retainage and other similar advances, shall not be excluded pursuant to this clause (p);</w:t>
      </w:r>
    </w:p>
    <w:p>
      <w:pPr>
        <w:pStyle w:val="TextBody"/>
        <w:bidi w:val="0"/>
        <w:spacing w:lineRule="auto" w:line="240" w:before="0" w:after="120"/>
        <w:ind w:left="0" w:right="0" w:firstLine="720"/>
        <w:jc w:val="left"/>
        <w:rPr/>
      </w:pPr>
      <w:r>
        <w:rPr>
          <w:rFonts w:ascii="Times New Roman;sans-serif" w:hAnsi="Times New Roman;sans-serif"/>
          <w:b w:val="false"/>
          <w:color w:val="000000"/>
          <w:sz w:val="24"/>
        </w:rPr>
        <w:t xml:space="preserve">(q)    which is subject to any counterclaim, deduction, defense, setoff or dispute;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excess of such Accounts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such counterclaims, deductions, defenses, setoffs or disputes shall not be excluded pursuant to this clause (q);</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(r)    which is evidenced by any promissory note, judgment, chattel paper or instrument;</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    which is owed by an Account Debtor located in any jurisdiction which requires filing of a “Notice of Business Activities Report” or other similar report in order to permit the applicable Loan Party to seek judicial enforcement in such jurisdiction of payment of such Account, unless such Loan Party has filed such report or is qualified to do business in such jurisdiction;</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    with respect to which the applicable Loan Party has made any agreement with the Account Debtor for any reduction thereof, other than discounts and adjustments given in the ordinary course of business (but only to the extent of any such reduction), or any Account which was partially paid and the applicable Loan Party created a new receivable for the unpaid portion of such Account; </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    which does not comply in all material respects with the requirements of all applicable laws and regulations, whether Federal, state or local, including the Federal Consumer Credit Protection Act, the Federal Truth in Lending Act and Regulation Z of the Board; </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    which is for goods that have been sold under a purchase order or pursuant to the terms of a contract or other agreement or understanding (written or oral) that indicates or purports that any Person other than the applicable Loan Party has or has had an ownership interest in such goods, or which indicates any party other than the applicable Loan Party as payee or remittance party;</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    which is owed by an Account Debtor that is a Sanctioned Person; or</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    which is not a true and correct statement of a bona fide obligation incurred in the amount of the Account for merchandise sold to or services rendered and accepted by the applicable Account Debtor; </w:t>
      </w:r>
    </w:p>
    <w:p>
      <w:pPr>
        <w:pStyle w:val="TextBody"/>
        <w:bidi w:val="0"/>
        <w:spacing w:lineRule="auto" w:line="240" w:before="0" w:after="120"/>
        <w:ind w:left="0" w:right="0" w:firstLine="1440"/>
        <w:jc w:val="left"/>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Collateral Agent may, in its Permitted Discretion and upon prior written notice to the Company, deem any Account ineligible, or impose additional eligibility criteria, based on the results of the most recent field examination or Inventory appraisal conducted pursuant to Section 5.23.</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determining the amount of an Eligible Account, the face amount of an Account may, in the Collateral Agent’s Permitted Discretion and upon prior written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23</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02235"/>
                <wp:effectExtent l="0" t="0" r="0" b="0"/>
                <wp:wrapNone/>
                <wp:docPr id="235" name="Frame23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notice to the Company, be reduced by, without duplication, to the extent not reflected in such face amount, (i) to the extent not otherwise reflected in the eligibility criteria, the amount of all accrued and actual discounts, claims, credits or credits pending, promotional program allowances, price adjustments, finance charges or other allowances (including any amount that the applicable Loan Party may be obligated to rebate to an Account Debtor pursuant to the terms of any agreement or understanding (written or oral)) and (ii) the aggregate amount of all cash received in respect of such Account but not yet applied by the applicable Loan Party to reduce the amount of such Account.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no Account acquired by any Loan Party after the Effective Date outside the ordinary course of business, or acquired or originated by any Person that becomes a Loan Party after the Effective Date, shall be included in determining Eligible Accounts until a field examination with respect thereto has been completed to the satisfaction of the Collateral Agent in its Permitted Discretion (it being understood and agreed that additional field examinations conducted at the Company’s election pursuant to this paragraph shall not count against the number of field examinations permitted pursuant to Section 5.23).</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Eligible Assignee</w:t>
      </w:r>
      <w:r>
        <w:rPr>
          <w:color w:val="000000"/>
        </w:rPr>
        <w:t xml:space="preserve">” </w:t>
      </w:r>
      <w:r>
        <w:rPr>
          <w:rFonts w:ascii="Times New Roman;sans-serif" w:hAnsi="Times New Roman;sans-serif"/>
          <w:b w:val="false"/>
          <w:color w:val="000000"/>
          <w:sz w:val="24"/>
        </w:rPr>
        <w:t xml:space="preserve">means (a) a Lender, (b) an Affiliate of a Lender, (c) an Approved Fund and (d) any other Person, other than, in each case, a natural person, the Company, any Subsidiary or other Affiliate of the Company or its Subsidiaries;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 Eligible Assignee shall not include a Defaulting Lender.</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Eligible Credit Card Receivables</w:t>
      </w:r>
      <w:r>
        <w:rPr>
          <w:color w:val="000000"/>
        </w:rPr>
        <w:t xml:space="preserve">” </w:t>
      </w:r>
      <w:r>
        <w:rPr>
          <w:rFonts w:ascii="Times New Roman;sans-serif" w:hAnsi="Times New Roman;sans-serif"/>
          <w:b w:val="false"/>
          <w:color w:val="000000"/>
          <w:sz w:val="24"/>
        </w:rPr>
        <w:t>means, as of any date of determination, each Credit Card Receivable that satisfies all the requirements set forth below:</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(i)such Credit Card Receivable is owned by a Loan Party and such Loan Party has good and marketable title to such Credit Card Receivable;</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(ii)such Credit Card Receivable has not been outstanding for more than five Business Days;</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(iii)the credit card issuer or the credit card processor of the applicable credit card with respect to such Credit Card Receivable (i) is not the subject of any Bankruptcy Event, (ii) is not liquidating, dissolving or winding up its affairs, (iii) is not otherwise deemed not creditworthy by the Collateral Agent in its Permitted Discretion, (iv) has not admitted in writing its inability, or is not generally unable to, pay its debts as they become due, (v) has not become insolvent and (vi) has not ceased operation of its business;</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(iv)such Credit Card Receivable is a valid, legally enforceable obligation of the applicable credit card issuer or credit card processor with respect thereto;</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(v)such Credit Card Receivable is subject to a first priority (subject to a Lien described in clause (a) or (b) in the definition of “Permitted Encumbrances”) perfected Lien in favor of the Collateral Agent pursuant to the Collateral Agreements;</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(vi)such Credit Card Receivable is not subject to any Lien whatsoever, other than (i) a Lien in favor of the Collateral Agent, (ii) Permitted Encumbrances (other than those described in clauses (a) and (b) in the definition of “Permitted Encumbrances”) that do not have priority over the Liens securing the Obligations created by the Collateral Agreements and (iii) Liens permitted under Section 5.08(b)(ii) or (b)(x);</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24</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02235"/>
                <wp:effectExtent l="0" t="0" r="0" b="0"/>
                <wp:wrapNone/>
                <wp:docPr id="236" name="Frame23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(vii)such Credit Card Receivable conforms in all material respects to all representations, warranties or other provisions in the Loan Documents or in the credit card agreements relating to such Credit Card Receivable;</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(viii)if such Credit Card Receivable is subject to risk of set-off, non-collection or not being processed due to unpaid and/or accrued credit card processor fee balances, or if a claim, counterclaim, offset or chargeback has been asserted by the applicable credit card issuer or credit card processor, the face amount thereof for purposes of determining the Borrowing Base has been reduced by the amount of such unpaid and/or accrued credit card processor fees or such claim, counterclaim, offset or chargeback;</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(ix)subject to the grace period in clause (d) of the definition of “Collateral and Guarantee Requirement”, such Credit Card Receivable is subject to a Credit Card Notification; and</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(x)such Credit Card Receivable is not evidenced by chattel paper or an instrument of any kind unless such chattel paper or instrument is in the possession of the Collateral Agent, and to the extent necessary or appropriate, endorsed to the Collateral Agent;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the Collateral Agent may, in its Permitted Discretion and upon prior written notice to the Company, deem any Credit Card Receivable ineligible, or impose additional eligibility criteria, based on the results of the most recent field examination or Inventory appraisal conducted pursuant to Section 5.23.</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determining the amount of an Eligible Credit Card Receivable, the face amount thereof may, in the Collateral Agent’s Permitted Discretion and upon prior written notice to the Company, be reduced by, without duplication, to the extent not reflected in such face amount, (i) the amount of all customary fees and expenses in connection with the credit card arrangements applicable thereto and (ii) the aggregate amount of all cash received in respect thereof but not yet applied by the applicable Loan Party to reduce the amount of such Eligible Credit Card Receivable.</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no Credit Card Receivable acquired by any Loan Party after the Effective Date outside the ordinary course of business, or acquired or originated by any Person that becomes a Loan Party after the Effective Date, shall be included in determining Eligible Credit Card Receivables until a field examination with respect thereto has been completed to the satisfaction of the Collateral Agent in its Permitted Discretion (it being understood and agreed that additional field examinations conducted at the Company’s election pursuant to this paragraph shall not count against the number of field examinations permitted pursuant to Section 5.23).</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Eligible Inventory</w:t>
      </w:r>
      <w:r>
        <w:rPr>
          <w:color w:val="000000"/>
        </w:rPr>
        <w:t xml:space="preserve">” </w:t>
      </w:r>
      <w:r>
        <w:rPr>
          <w:rFonts w:ascii="Times New Roman;sans-serif" w:hAnsi="Times New Roman;sans-serif"/>
          <w:b w:val="false"/>
          <w:color w:val="000000"/>
          <w:sz w:val="24"/>
        </w:rPr>
        <w:t>means, at any time, the Inventory owned by any Loan Party (and in which such Loan Party has good and marketable title), but excluding any Inventory:</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(i)which is not subject to a first priority perfected (subject to a Lien described in clause (a) or (b) in the definition of “Permitted Encumbrances”) Lien in favor of the Collateral Agent pursuant to the Collateral Agreements securing the Obligations;</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(ii)which is subject to any Lien whatsoever, other than (i) a Lien in favor of the Collateral Agent, (ii) Permitted Encumbrances (other than those described in clauses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25</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02235"/>
                <wp:effectExtent l="0" t="0" r="0" b="0"/>
                <wp:wrapNone/>
                <wp:docPr id="237" name="Frame23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 and (b) in the definition of “Permitted Encumbrances”) that do not have priority over the Liens securing the Obligations pursuant to the terms of the Collateral Agreements, (iii) Liens permitted under Section 5.08 (b)(ii), (b)(ix) or (b)(x) and (iv) in the case of Inventory at a warehouse or other third party storage facility or in transit with a common carrier or other third party carrier, any Lien in respect of which an appropriate Reserve shall have been established by the Collateral Agent in its Permitted Discretion;</w:t>
      </w:r>
    </w:p>
    <w:p>
      <w:pPr>
        <w:pStyle w:val="TextBody"/>
        <w:bidi w:val="0"/>
        <w:spacing w:lineRule="auto" w:line="240" w:before="0" w:after="240"/>
        <w:ind w:left="0" w:right="0" w:firstLine="1081"/>
        <w:jc w:val="left"/>
        <w:rPr/>
      </w:pPr>
      <w:r>
        <w:rPr>
          <w:rFonts w:ascii="Times New Roman;sans-serif" w:hAnsi="Times New Roman;sans-serif"/>
          <w:b w:val="false"/>
          <w:color w:val="000000"/>
          <w:sz w:val="24"/>
        </w:rPr>
        <w:t xml:space="preserve">(iii)which is slow moving, out of season, obsolete, unmerchantable, defective, used or unfit for sale;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this clause (c) shall not exclude (i) slow moving Inventory located at a clearance center that has been appropriately priced consistent with the Company’s customary practices and (ii) Inventory solely due to such Inventory consisting of out of season products or components thereof;</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(iv)with respect to which any covenant, representation or warranty contained in this Agreement or in the other Loan Documents has been breached or is not true or which does not conform to all standards imposed by any Governmental Authority in the United States or Canada;</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(v)in which any Person other than a Loan Party shall (i) have any direct or indirect ownership, interest or title (including the rights of a purchaser that has made progress payments and the rights of a surety that has issued a bond to assure a Loan Party’s performance with respect to that Inventory) or (ii) be indicated on any purchase order or invoice with respect to such Inventory as having or purporting to have an interest therein;</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(vi)which is not finished goods or which constitutes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pStyle w:val="TextBody"/>
        <w:bidi w:val="0"/>
        <w:spacing w:lineRule="auto" w:line="240" w:before="0" w:after="240"/>
        <w:ind w:left="0" w:right="0" w:firstLine="1027"/>
        <w:jc w:val="left"/>
        <w:rPr/>
      </w:pPr>
      <w:r>
        <w:rPr>
          <w:rFonts w:ascii="Times New Roman;sans-serif" w:hAnsi="Times New Roman;sans-serif"/>
          <w:b w:val="false"/>
          <w:color w:val="000000"/>
          <w:sz w:val="24"/>
        </w:rPr>
        <w:t xml:space="preserve">(vii)which is not located in the United States or Canada or is in transit with a common carrier or other third party carrier from vendors and suppliers;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Inventory in transit within the United States or Canada may be included as Eligible Inventory so long as: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(1)if the applicable Loan Party’s rights with respect thereto are evidenced by a bill of lading or comparable document, such document either (A) is non-negotiable or (B) has been delivered to the Collateral Agent,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(2)the common carrier or other third party carrier is not an Affiliate of the Loan Parties or of the applicable vendor or supplier, and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(3)the customs broker is not an Affiliate of the Loan Parties or of the applicable vendor or supplier;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this clause (iii) shall not apply to Retail Brokerage Solutions, LLC;</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(viii)which is located in any real property leased by a Loan Party unless (i) the lessor has executed and delivered to the Collateral Agent a Collateral Access Agreement (subject to the grace period in clause (e) of the definition of “Collateral and Guarantee Requirement”) or (ii) a Reserve for rent, charges and other amounts due or to become due with respect to such location has been established by the Collateral Agent in its Permitted Discretion;</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26</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02235"/>
                <wp:effectExtent l="0" t="0" r="0" b="0"/>
                <wp:wrapNone/>
                <wp:docPr id="238" name="Frame23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(ix)which is located at any warehouse or other third party storage facility or is otherwise in the possession of a bailee (other than a third party processor) and (i) is evidenced by a negotiable warehouse receipt or comparable document unless such document has been delivered to the Collateral Agent or (ii) is not evidenced by a document, unless (A) such warehouseman or other bailee has executed and delivered to the Collateral Agent a Collateral Access Agreement (subject to the grace period in clause (e) of the definition of “Collateral and Guarantee Requirement”) and such other documentation as the Collateral Agent may require in its Permitted Discretion or (B) an appropriate Reserve has been established by the Collateral Agent in its Permitted Discretion;</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(x)which is a discontinued product or component thereof; </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(xi)which is the subject of a consignment by a Loan Party as consignor;</w:t>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(xii)which is perishable;</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(xiii)which contains or bears any Intellectual Property rights licensed to a Loan Party unless the Collateral Agent in its Permitted Discretion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 </w:t>
      </w:r>
    </w:p>
    <w:p>
      <w:pPr>
        <w:pStyle w:val="TextBody"/>
        <w:bidi w:val="0"/>
        <w:spacing w:lineRule="auto" w:line="240" w:before="0" w:after="240"/>
        <w:ind w:left="0" w:right="0" w:firstLine="974"/>
        <w:jc w:val="left"/>
        <w:rPr>
          <w:rFonts w:ascii="Times New Roman;sans-serif" w:hAnsi="Times New Roman;sans-serif"/>
          <w:b w:val="false"/>
          <w:color w:val="000000"/>
          <w:sz w:val="24"/>
        </w:rPr>
      </w:pPr>
      <w:r>
        <w:rPr>
          <w:rFonts w:ascii="Times New Roman;sans-serif" w:hAnsi="Times New Roman;sans-serif"/>
          <w:b w:val="false"/>
          <w:color w:val="000000"/>
          <w:sz w:val="24"/>
        </w:rPr>
        <w:t>(xiv)which is not reflected in a current perpetual inventory report of the applicable Loan Party (unless such Inventory is reflected in a report to the Collateral Agent as “in transit” Inventory); or</w:t>
      </w:r>
    </w:p>
    <w:p>
      <w:pPr>
        <w:pStyle w:val="TextBody"/>
        <w:bidi w:val="0"/>
        <w:spacing w:lineRule="auto" w:line="240" w:before="0" w:after="240"/>
        <w:ind w:left="0" w:right="0" w:firstLine="1040"/>
        <w:jc w:val="left"/>
        <w:rPr>
          <w:rFonts w:ascii="Times New Roman;sans-serif" w:hAnsi="Times New Roman;sans-serif"/>
          <w:b w:val="false"/>
          <w:color w:val="000000"/>
          <w:sz w:val="24"/>
        </w:rPr>
      </w:pPr>
      <w:r>
        <w:rPr>
          <w:rFonts w:ascii="Times New Roman;sans-serif" w:hAnsi="Times New Roman;sans-serif"/>
          <w:b w:val="false"/>
          <w:color w:val="000000"/>
          <w:sz w:val="24"/>
        </w:rPr>
        <w:t>(xv)for which reclamation rights have been asserted by the seller;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the Collateral Agent may, in its Permitted Discretion and upon prior written notice to the Company, deem any Inventory ineligible, or impose additional eligibility criteria, based on the results of the most recent field examination or Inventory appraisal conducted pursuant to Section 5.23.</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 the amount of Inventory shall be adjusted (A) as required to eliminate intercompany profit and (B) to true up cost by eliminating intercompany performance incentives and (ii) the aggregate amount of Inventory included in the Borrowing Base pursuant to the proviso to clause (c) shall not exceed $50,000,000.</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no Inventory acquired by any Loan Party after the Effective Date other than in the ordinary course of business, or acquired or created by any Person that becomes a Loan Party after the Effective Date, shall be included in determining Eligible Inventory until an appraisal with respect thereto has been completed to the satisfaction of the Collateral Agent in its Permitted Discretion (it being understood and agreed that additional appraisals conducted at the Company’s election pursuant to this paragraph shall not count against the number of appraisals permitted pursuant to Section 5.23).</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Eligible Real Property</w:t>
      </w:r>
      <w:r>
        <w:rPr>
          <w:color w:val="000000"/>
        </w:rPr>
        <w:t xml:space="preserve">” </w:t>
      </w:r>
      <w:r>
        <w:rPr>
          <w:rFonts w:ascii="Times New Roman;sans-serif" w:hAnsi="Times New Roman;sans-serif"/>
          <w:b w:val="false"/>
          <w:color w:val="000000"/>
          <w:sz w:val="24"/>
        </w:rPr>
        <w:t xml:space="preserve">means, on any date, the real property owned in fee by a Loan Party (i) that is acceptable in the Permitted Discretion of the Collateral Agent for inclusion in the Borrowing Base, (ii) in respect of which a Real Property Appraisal has been delivered to the Collateral Agent prior to its inclusion in the Borrowing Base and during the 12-month period ending on such date, (iii) in respect of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27</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02235"/>
                <wp:effectExtent l="0" t="0" r="0" b="0"/>
                <wp:wrapNone/>
                <wp:docPr id="239" name="Frame23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which the Collateral Agent is satisfied that all actions necessary or desirable in order to create a perfected first priority Lien on such real property in favor of the Collateral Agent have been taken, including the filing and recording of Mortgages, (iv) in respect of which an environmental assessment report has been completed and delivered to the Collateral Agent in form and substance reasonably satisfactory to the Lenders and which does not indicate any pending, threatened or existing Environmental Liability, or noncompliance with any Environmental Law, (v) in respect of which the Company shall have delivered a fully-paid valid title insurance policy in form and substance reasonably satisfactory to the Collateral Agent naming the Collateral Agent as the insured for the benefit of the Lenders, issued by a nationally recognized title insurance company reasonably acceptable to the Collateral Agent, insuring the Lien of such Mortgage as a valid and enforceable first priority Lien on the Eligible Real Property described therein, with such customary endorsements reasonably requested by the Collateral Agent and (vi) if requested by the Collateral Agent: (A) a completed ALTA survey reasonably acceptable to the Collateral Agent has been delivered for which all necessary fees have been paid and which is dated no more than 30 days prior to the date on which the applicable Mortgage is recorded, certified to the Collateral Agent and the issuer of the title insurance policy in a manner reasonably satisfactory to the Collateral Agent by a land surveyor duly registered and licensed in the state in which such Eligible Real Property is located and acceptable to the Agent; (B) in respect of which local counsel for the Company in states in which the Eligible Real Property is located have delivered a letter of opinion with respect to the enforceability and perfection of the Mortgages and any related fixture filings in form and substance reasonably satisfactory to the Collateral Agent; (C) in respect of which the Company shall have used its commercially reasonable best efforts to obtain estoppel certificates executed by all tenants of such Eligible Real Property and such other consents, agreements and confirmations of lessors and third parties have been delivered to the Collateral Agent as the Collateral Agent may deem necessary or desirable; and (D) a completed “Life of Loan” Federal Emergency Management Agency standard flood hazard determination obtained with respect to such Eligible Real Property, together with evidence that all other customary actions that the Collateral Agent may reasonably deem necessary or desirable in order to create perfected first priority Liens on the property described in the Mortgages in favor of the Collateral Agent have been taken;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Eligible Real Property shall exclude (a) any real property located outside of the United States of America and (b) any Flood Hazard Property.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Enhanced Borrowing Base Reporting Period</w:t>
      </w:r>
      <w:r>
        <w:rPr>
          <w:color w:val="000000"/>
        </w:rPr>
        <w:t xml:space="preserve">” </w:t>
      </w:r>
      <w:r>
        <w:rPr>
          <w:rFonts w:ascii="Times New Roman;sans-serif" w:hAnsi="Times New Roman;sans-serif"/>
          <w:b w:val="false"/>
          <w:color w:val="000000"/>
          <w:sz w:val="24"/>
        </w:rPr>
        <w:t>means (a) any period during which a Specified Event of Default has occurred and is continuing or (b) any period (1) commencing on any day when Specified Excess Availability has for three consecutive Business Days been less than or equal to the greater of (x) $100,000,000 and (y) 15% of the Maximum Borrowing Amount and (2) ending after Specified Excess Availability has been greater than the amount set forth in clause (1) above for 20 consecutive days during which period no Specified Event of Default shall have occurred and be continuing.</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Environmental Laws</w:t>
      </w:r>
      <w:r>
        <w:rPr>
          <w:color w:val="000000"/>
        </w:rPr>
        <w:t xml:space="preserve">” </w:t>
      </w:r>
      <w:r>
        <w:rPr>
          <w:rFonts w:ascii="Times New Roman;sans-serif" w:hAnsi="Times New Roman;sans-serif"/>
          <w:b w:val="false"/>
          <w:color w:val="000000"/>
          <w:sz w:val="24"/>
        </w:rPr>
        <w:t>means all applicable laws, rules, regulations, codes, orders-in-council, ordinances, orders, decrees, judgments, injunctions or binding agreements issued, promulgated or entered into by any Governmental Authority, relating to the environment, preservation or reclamation of natural resources or the management, release or threatened release of any Hazardous Material.</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Environmental Liability</w:t>
      </w:r>
      <w:r>
        <w:rPr>
          <w:color w:val="000000"/>
        </w:rPr>
        <w:t xml:space="preserve">” </w:t>
      </w:r>
      <w:r>
        <w:rPr>
          <w:rFonts w:ascii="Times New Roman;sans-serif" w:hAnsi="Times New Roman;sans-serif"/>
          <w:b w:val="false"/>
          <w:color w:val="000000"/>
          <w:sz w:val="24"/>
        </w:rPr>
        <w:t xml:space="preserve">means any liability, contingent or otherwise (including any liability for damages, costs of environmental remediation, fines, penalties or indemnities), of the Company or any Consolidated Subsidiary directly or indirectly resulting from or based upon (a) violation of any Environmental Law, (b) the generation,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28</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02235"/>
                <wp:effectExtent l="0" t="0" r="0" b="0"/>
                <wp:wrapNone/>
                <wp:docPr id="240" name="Frame24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Equity Interests</w:t>
      </w:r>
      <w:r>
        <w:rPr>
          <w:color w:val="000000"/>
        </w:rPr>
        <w:t xml:space="preserve">” </w:t>
      </w:r>
      <w:r>
        <w:rPr>
          <w:rFonts w:ascii="Times New Roman;sans-serif" w:hAnsi="Times New Roman;sans-serif"/>
          <w:b w:val="false"/>
          <w:color w:val="000000"/>
          <w:sz w:val="24"/>
        </w:rPr>
        <w:t>means shares of capital stock, partnership interests, membership interests in a limited liability company, beneficial interests in a trust or other equity ownership interests in a Person.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 from time to time, and the rules and regulations promulgated thereunder.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EU Bail-In Legislation Schedule</w:t>
      </w:r>
      <w:r>
        <w:rPr>
          <w:color w:val="000000"/>
        </w:rPr>
        <w:t xml:space="preserv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bidi w:val="0"/>
        <w:spacing w:lineRule="auto" w:line="240" w:before="0" w:after="120"/>
        <w:ind w:left="0" w:right="0" w:firstLine="1440"/>
        <w:jc w:val="left"/>
        <w:rPr/>
      </w:pPr>
      <w:r>
        <w:rPr>
          <w:strike/>
          <w:color w:val="FF0000"/>
        </w:rPr>
        <w:t>“</w:t>
      </w:r>
      <w:r>
        <w:rPr>
          <w:rFonts w:ascii="Times New Roman;sans-serif" w:hAnsi="Times New Roman;sans-serif"/>
          <w:b w:val="false"/>
          <w:strike/>
          <w:color w:val="FF0000"/>
          <w:sz w:val="24"/>
          <w:u w:val="single"/>
        </w:rPr>
        <w:t>Eurodollar</w:t>
      </w:r>
      <w:r>
        <w:rPr>
          <w:strike/>
          <w:color w:val="FF0000"/>
        </w:rPr>
        <w:t>”</w:t>
      </w:r>
      <w:r>
        <w:rPr>
          <w:rFonts w:ascii="Times New Roman;sans-serif" w:hAnsi="Times New Roman;sans-serif"/>
          <w:b w:val="false"/>
          <w:strike/>
          <w:color w:val="FF0000"/>
          <w:sz w:val="24"/>
        </w:rPr>
        <w:t>, when used in reference to any Loan or Borrowing, refers to whether such Loan, or the Loans comprising such Borrowing, is bearing interest at a rate determined by reference to a LIBO Rate.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has the meaning set forth in Section 6.01.</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Excess Availability</w:t>
      </w:r>
      <w:r>
        <w:rPr>
          <w:color w:val="000000"/>
        </w:rPr>
        <w:t xml:space="preserve">” </w:t>
      </w:r>
      <w:r>
        <w:rPr>
          <w:rFonts w:ascii="Times New Roman;sans-serif" w:hAnsi="Times New Roman;sans-serif"/>
          <w:b w:val="false"/>
          <w:color w:val="000000"/>
          <w:sz w:val="24"/>
        </w:rPr>
        <w:t>means, at any time, an amount equal to (a) the Maximum Borrowing Amount, minus (b) the Aggregate Credit Exposure (which, solely for purposes of determining Average Daily Excess Availability, shall exclude Protective Advances), in each case outstanding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Exchange Rate</w:t>
      </w:r>
      <w:r>
        <w:rPr>
          <w:color w:val="000000"/>
        </w:rPr>
        <w:t xml:space="preserve">” </w:t>
      </w:r>
      <w:r>
        <w:rPr>
          <w:rFonts w:ascii="Times New Roman;sans-serif" w:hAnsi="Times New Roman;sans-serif"/>
          <w:b w:val="false"/>
          <w:color w:val="000000"/>
          <w:sz w:val="24"/>
        </w:rPr>
        <w:t>means on any day, for purposes of determining the US Dollar Equivalent of any other currency, the rate at which such other currency may be exchanged into US Dollars at the time of determination on such day as set forth on the Reuters WRLD Page for such currency. In the event that such rate does not appear on any Reuters WRLD Page, the Exchange Rate shall be determined by reference to such other publicly available service for displaying exchange rates as may be agreed upon by the Administrative Agent and the Company or, in the absence of such an agreement, such Exchange Rate shall instead be the Spot Rate.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Excluded Deposit Accounts</w:t>
      </w:r>
      <w:r>
        <w:rPr>
          <w:color w:val="000000"/>
        </w:rPr>
        <w:t xml:space="preserve">” </w:t>
      </w:r>
      <w:r>
        <w:rPr>
          <w:rFonts w:ascii="Times New Roman;sans-serif" w:hAnsi="Times New Roman;sans-serif"/>
          <w:b w:val="false"/>
          <w:color w:val="000000"/>
          <w:sz w:val="24"/>
        </w:rPr>
        <w:t>means (a) any deposit account the funds in which are used solely for the payment of salaries and wages, workers’ compensation and similar expenses (including payroll taxes) in the ordinary course of business, (b) any deposit account that is a zero-balance disbursement account, (c) any deposit account the funds in which consist solely of (i) funds held by the Company or any Subsidiary Loan Party in trust for any director, officer or employee of the Company or any Subsidiary Loan Party or any employee benefit plan maintained by the Company or any Subsidiary Loan Party or (ii) funds representing deferred compensation for the directors and employees of the Company and the Subsidiary Loan Parties, (d) any deposit account the funds in which consist solely of cash earnest money deposits or funds deposited under escrow or similar arrangements in connection with any letter of intent or purchase agreement for any transaction permitted hereunder and (e) other deposit accounts to the extent the aggregate daily balance in all such accounts does not at any time exceed $100,000.</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Excluded Securities Account</w:t>
      </w:r>
      <w:r>
        <w:rPr>
          <w:color w:val="000000"/>
        </w:rPr>
        <w:t xml:space="preserve">” </w:t>
      </w:r>
      <w:r>
        <w:rPr>
          <w:rFonts w:ascii="Times New Roman;sans-serif" w:hAnsi="Times New Roman;sans-serif"/>
          <w:b w:val="false"/>
          <w:color w:val="000000"/>
          <w:sz w:val="24"/>
        </w:rPr>
        <w:t xml:space="preserve">means any securities account the securities entitlements in which consist solely of (a) securities entitlements held by the Company or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29</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02235"/>
                <wp:effectExtent l="0" t="0" r="0" b="0"/>
                <wp:wrapNone/>
                <wp:docPr id="241" name="Frame24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any Subsidiary Loan Party in trust for any director, officer or employee of the Company or any Subsidiary Loan Party or any employee benefit plan maintained by the Company or any Subsidiary Loan Party or (b) securities entitlements representing deferred compensation for the directors and employees of the Company and the Subsidiary Loan Parties.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Excluded Subsidiary</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any Immaterial Subsidiary,</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any Consolidated Subsidiary that is prohibited or restricted by law, rule or regulation or contractual obligation (in the case of any such contractual obligation, where such contractual obligation exists on the Effective Date or on the date such entity becomes a Consolidated Subsidiary, as long as such contractual obligation was not entered into in contemplation of such person becoming a Consolidated Subsidiary) from Guaranteeing the Obligations or that would require a governmental (including regulatory) or third party consent, approval, license or authorization to Guarantee the Obligations (including under any financial assistance, corporate benefit, thin capitalization, capital maintenance, liquidity maintenance or similar legal principles) for so long as the applicable prohibition or restriction is in effect and unless and until such consent has been received, it being understood that the Company and its subsidiaries shall have no obligation to obtain any such consent, approval, license or authorization,</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any not-for-profit subsidiary,</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any Captive Insurance Subsidiary or subsidiary that is a broker-dealer,</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any special purpose entity (including a special purpose entity used for any permitted securitization or receivables facility or financing) and any Receivables Subsidiary,</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    (i) any Domestic Subsidiary that is a disregarded subsidiary for Tax purposes or (ii) any Domestic Subsidiary that is a direct or indirect subsidiary of any Foreign Subsidiary or any Subsidiary described in the preceding clause (i),</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(g)    any Subsidiary that is not a wholly-owned Consolidated Subsidiary,</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(h)    any Consolidated Subsidiary acquired pursuant to an acquisition or other Investment permitted by this Agreement that has Indebtedness at the time of such acquisition or Investment, and not incurred in contemplation thereof, and any Consolidated Subsidiary thereof that guarantees such Indebtedness, in each case to the extent the terms of such Indebtedness prohibit such Consolidated Subsidiary from becoming a Subsidiary Loan Party,</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any Consolidated Subsidiary if the provision of a Guarantee of the Obligations could reasonably be expected to result in adverse tax or regulatory consequences to any Loan Party or any of its subsidiaries or parent companies that are not de minimis as determined by the Company in good faith, and</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(k)    any other Consolidated Subsidiary with respect to which, in the good faith judgment of the Administrative Agent and the Company, the burden or cost of Guaranteeing the Obligations outweighs the benefits afforded thereby.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Excluded Taxes</w:t>
      </w:r>
      <w:r>
        <w:rPr>
          <w:color w:val="000000"/>
        </w:rPr>
        <w:t xml:space="preserve">” </w:t>
      </w:r>
      <w:r>
        <w:rPr>
          <w:rFonts w:ascii="Times New Roman;sans-serif" w:hAnsi="Times New Roman;sans-serif"/>
          <w:b w:val="false"/>
          <w:color w:val="000000"/>
          <w:sz w:val="24"/>
        </w:rPr>
        <w:t xml:space="preserve">means any of the following Taxes imposed on or with respect to a Recipient or required to be withheld or deducted from a payment to a Recipient: (a) income, franchise or similar Taxes and branch profits Taxes, in each case, imposed on (or measured by) such Recipient’s net income by the United States of America, (b) income, franchise or similar Taxes and branch profits Taxes, in each case,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02235"/>
                <wp:effectExtent l="0" t="0" r="0" b="0"/>
                <wp:wrapNone/>
                <wp:docPr id="242" name="Frame24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imposed by the jurisdiction under the laws of which such Recipient is organized or in which its principal office is located or, in the case of any Lender, in which its applicable lending office is located, or which are imposed by reason of any present or former connection between such Lender and the jurisdiction imposing such Taxes, other than solely as a result of this Agreement or any Loan or transaction contemplated hereby, (c) in the case of a Lender (other than an assignee pursuant to a request by the Company under Section 2.18(b)), any U.S. federal withholding Tax that is in effect and would apply to amounts payable to or for the account of such Lender under applicable law at the time such Lender becomes a party to this Agreement (or designates a new lending office), except to the extent that such Lender (or its assignor, if any) was entitled, under applicable law at the time of designation of a new lending office (or assignment), to receive additional amounts from the Company with respect to any such withholding Tax pursuant to Section 2.16(a), (d) any Tax that is attributable to such Lender’s or any other recipient’s failure to comply with Section 2.16(f), (e) any U.S. federal Taxes imposed under FATCA, and (f) any Canadian withholding tax that is imposed as a result of a Recipient not dealing at arm’s length (within the meaning of the ITA) with the payer at the time of such payment.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Existing Letter of Credit</w:t>
      </w:r>
      <w:r>
        <w:rPr>
          <w:color w:val="000000"/>
        </w:rPr>
        <w:t xml:space="preserve">” </w:t>
      </w:r>
      <w:r>
        <w:rPr>
          <w:rFonts w:ascii="Times New Roman;sans-serif" w:hAnsi="Times New Roman;sans-serif"/>
          <w:b w:val="false"/>
          <w:color w:val="000000"/>
          <w:sz w:val="24"/>
        </w:rPr>
        <w:t>means each letter of credit set forth on Schedule 1.01(a).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intergovernmental agreements entered into thereunder and any law, regulation or official guidance adopted pursuant to any such intergovernmental agreements; and any agreements entered into pursuant to Section 1471(b)(1) of the Code.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FCPA</w:t>
      </w:r>
      <w:r>
        <w:rPr>
          <w:color w:val="000000"/>
        </w:rPr>
        <w:t xml:space="preserve">” </w:t>
      </w:r>
      <w:r>
        <w:rPr>
          <w:rFonts w:ascii="Times New Roman;sans-serif" w:hAnsi="Times New Roman;sans-serif"/>
          <w:b w:val="false"/>
          <w:color w:val="000000"/>
          <w:sz w:val="24"/>
        </w:rPr>
        <w:t>means the United States Foreign Corrupt Practices Act of 1977.</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Federal Funds Effective Rate</w:t>
      </w:r>
      <w:r>
        <w:rPr>
          <w:color w:val="000000"/>
        </w:rPr>
        <w:t xml:space="preserve">” </w:t>
      </w:r>
      <w:r>
        <w:rPr>
          <w:rFonts w:ascii="Times New Roman;sans-serif" w:hAnsi="Times New Roman;sans-serif"/>
          <w:b w:val="false"/>
          <w:color w:val="000000"/>
          <w:sz w:val="24"/>
        </w:rPr>
        <w:t xml:space="preserve">means, for any day, the rate calculated by the NYFRB based on such day’s federal funds transactions by depository institutions (as determined in such manner as shall be set forth on the Federal Reserve Bank of New York’s Website from time to time) and published on the next succeeding Business Day by the NYFRB as the federal funds effective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rate shall be less than zero, such rate shall be deemed to be zero for all purposes of this Agreement.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Federal Reserve Bank of New York’s Website</w:t>
      </w:r>
      <w:r>
        <w:rPr>
          <w:color w:val="000000"/>
        </w:rPr>
        <w:t xml:space="preserve">” </w:t>
      </w:r>
      <w:r>
        <w:rPr>
          <w:rFonts w:ascii="Times New Roman;sans-serif" w:hAnsi="Times New Roman;sans-serif"/>
          <w:b w:val="false"/>
          <w:color w:val="000000"/>
          <w:sz w:val="24"/>
        </w:rPr>
        <w:t>means the website of the NYFRB at http://www.newyorkfed.org, or any successor source.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Financial Officer</w:t>
      </w:r>
      <w:r>
        <w:rPr>
          <w:color w:val="000000"/>
        </w:rPr>
        <w:t xml:space="preserve">” </w:t>
      </w:r>
      <w:r>
        <w:rPr>
          <w:rFonts w:ascii="Times New Roman;sans-serif" w:hAnsi="Times New Roman;sans-serif"/>
          <w:b w:val="false"/>
          <w:color w:val="000000"/>
          <w:sz w:val="24"/>
        </w:rPr>
        <w:t>means the chief financial officer, principal accounting officer, treasurer or controller of the Company.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FIRREA</w:t>
      </w:r>
      <w:r>
        <w:rPr>
          <w:color w:val="000000"/>
        </w:rPr>
        <w:t xml:space="preserve">” </w:t>
      </w:r>
      <w:r>
        <w:rPr>
          <w:rFonts w:ascii="Times New Roman;sans-serif" w:hAnsi="Times New Roman;sans-serif"/>
          <w:b w:val="false"/>
          <w:color w:val="000000"/>
          <w:sz w:val="24"/>
        </w:rPr>
        <w:t>means the Financial Institutions Reform, Recovery and Enforcement Act of 1989, as amended.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Fiscal Month</w:t>
      </w:r>
      <w:r>
        <w:rPr>
          <w:color w:val="000000"/>
        </w:rPr>
        <w:t xml:space="preserve">” </w:t>
      </w:r>
      <w:r>
        <w:rPr>
          <w:rFonts w:ascii="Times New Roman;sans-serif" w:hAnsi="Times New Roman;sans-serif"/>
          <w:b w:val="false"/>
          <w:color w:val="000000"/>
          <w:sz w:val="24"/>
        </w:rPr>
        <w:t>means any fiscal month as set forth in the calendar published by the National Retail Federation.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Fiscal Year</w:t>
      </w:r>
      <w:r>
        <w:rPr>
          <w:color w:val="000000"/>
        </w:rPr>
        <w:t xml:space="preserve">” </w:t>
      </w:r>
      <w:r>
        <w:rPr>
          <w:rFonts w:ascii="Times New Roman;sans-serif" w:hAnsi="Times New Roman;sans-serif"/>
          <w:b w:val="false"/>
          <w:color w:val="000000"/>
          <w:sz w:val="24"/>
        </w:rPr>
        <w:t>means any fiscal year as set forth in the calendar published by the National Retail Federation setting forth the fiscal year for retailers on a 52/53 week fiscal year ending on the Saturday on or nearest (whether following or preceding) January 31 of the following calendar year.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Flood Hazard Property</w:t>
      </w:r>
      <w:r>
        <w:rPr>
          <w:color w:val="000000"/>
        </w:rPr>
        <w:t xml:space="preserve">” </w:t>
      </w:r>
      <w:r>
        <w:rPr>
          <w:rFonts w:ascii="Times New Roman;sans-serif" w:hAnsi="Times New Roman;sans-serif"/>
          <w:b w:val="false"/>
          <w:color w:val="000000"/>
          <w:sz w:val="24"/>
        </w:rPr>
        <w:t xml:space="preserve">means any real property improved by a Building (as defined in the Flood Insurance Laws) or Manufactured (Mobile) Home (as defined in the Flood Insurance Laws) that on the relevant date of determination is located in an area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31</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02235"/>
                <wp:effectExtent l="0" t="0" r="0" b="0"/>
                <wp:wrapNone/>
                <wp:docPr id="243" name="Frame24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identified by the Federal Emergency Management Agency (or any successor agency) as a special flood hazard area.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Flood Insurance Laws</w:t>
      </w:r>
      <w:r>
        <w:rPr>
          <w:color w:val="000000"/>
        </w:rPr>
        <w:t xml:space="preserve">” </w:t>
      </w:r>
      <w:r>
        <w:rPr>
          <w:rFonts w:ascii="Times New Roman;sans-serif" w:hAnsi="Times New Roman;sans-serif"/>
          <w:b w:val="false"/>
          <w:color w:val="000000"/>
          <w:sz w:val="24"/>
        </w:rPr>
        <w:t>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Floor</w:t>
      </w:r>
      <w:r>
        <w:rPr>
          <w:color w:val="000000"/>
        </w:rPr>
        <w:t xml:space="preserve">” </w:t>
      </w:r>
      <w:r>
        <w:rPr>
          <w:rFonts w:ascii="Times New Roman;sans-serif" w:hAnsi="Times New Roman;sans-serif"/>
          <w:b w:val="false"/>
          <w:color w:val="000000"/>
          <w:sz w:val="24"/>
        </w:rPr>
        <w:t xml:space="preserve">means the benchmark rate floor, if any, provided in this Agreement initially (as of the execution of this Agreement, the modification, amendment or renewal of this Agreement or otherwise) with respect to </w:t>
      </w:r>
      <w:r>
        <w:rPr>
          <w:rFonts w:ascii="Times New Roman;sans-serif" w:hAnsi="Times New Roman;sans-serif"/>
          <w:b w:val="false"/>
          <w:strike/>
          <w:color w:val="FF0000"/>
          <w:sz w:val="24"/>
        </w:rPr>
        <w:t>the LIBO Rate</w:t>
      </w:r>
      <w:r>
        <w:rPr>
          <w:rFonts w:ascii="Times New Roman;sans-serif" w:hAnsi="Times New Roman;sans-serif"/>
          <w:b/>
          <w:color w:val="0000FF"/>
          <w:sz w:val="24"/>
          <w:u w:val="single"/>
        </w:rPr>
        <w:t>Adjusted Term SOFR or Adjusted Daily Simple SOFR, as applicable</w:t>
      </w:r>
      <w:r>
        <w:rPr>
          <w:rFonts w:ascii="Times New Roman;sans-serif" w:hAnsi="Times New Roman;sans-serif"/>
          <w:b w:val="false"/>
          <w:color w:val="000000"/>
          <w:sz w:val="24"/>
        </w:rPr>
        <w: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Foreign Lender</w:t>
      </w:r>
      <w:r>
        <w:rPr>
          <w:color w:val="000000"/>
        </w:rPr>
        <w:t xml:space="preserve">” </w:t>
      </w:r>
      <w:r>
        <w:rPr>
          <w:rFonts w:ascii="Times New Roman;sans-serif" w:hAnsi="Times New Roman;sans-serif"/>
          <w:b w:val="false"/>
          <w:color w:val="000000"/>
          <w:sz w:val="24"/>
        </w:rPr>
        <w:t>means any Lender that is not a U.S. Person or, as applicable in the case of a Loan or Commitment to a Canadian Borrower, a Lender that is not resident in Canada for purposes of the ITA.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Foreign Subsidiary</w:t>
      </w:r>
      <w:r>
        <w:rPr>
          <w:color w:val="000000"/>
        </w:rPr>
        <w:t xml:space="preserve">” </w:t>
      </w:r>
      <w:r>
        <w:rPr>
          <w:rFonts w:ascii="Times New Roman;sans-serif" w:hAnsi="Times New Roman;sans-serif"/>
          <w:b w:val="false"/>
          <w:color w:val="000000"/>
          <w:sz w:val="24"/>
        </w:rPr>
        <w:t>means any Subsidiary that is not a Domestic Subsidiary or a Canadian Subsidiary.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generally accepted accounting principles in the United States of America.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Gift Card Reserve</w:t>
      </w:r>
      <w:r>
        <w:rPr>
          <w:color w:val="000000"/>
        </w:rPr>
        <w:t xml:space="preserve">” </w:t>
      </w:r>
      <w:r>
        <w:rPr>
          <w:rFonts w:ascii="Times New Roman;sans-serif" w:hAnsi="Times New Roman;sans-serif"/>
          <w:b w:val="false"/>
          <w:color w:val="000000"/>
          <w:sz w:val="24"/>
        </w:rPr>
        <w:t>means, at any time, the sum of (a) 50% of the aggregate remaining amount at such time of outstanding gift certificates and gift cards sold by the Loan Parties entitling the holder thereof to use all or a portion of the certificate or gift card to pay all or a portion of the purchase price of Inventory and (b) 50% of the aggregate amount at such time of outstanding customer deposits and merchandise credits entitling the holder thereof to use all or a portion of such deposit or credit to pay all or a portion of the purchase price of Inventory.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the government of the United States of America, Canada, any other nation or any political subdivision thereof, whether state, local, provincial or territorial,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Guarantee</w:t>
      </w:r>
      <w:r>
        <w:rPr>
          <w:color w:val="000000"/>
        </w:rPr>
        <w:t xml:space="preserve">” </w:t>
      </w:r>
      <w:r>
        <w:rPr>
          <w:rFonts w:ascii="Times New Roman;sans-serif" w:hAnsi="Times New Roman;sans-serif"/>
          <w:b w:val="false"/>
          <w:color w:val="000000"/>
          <w:sz w:val="24"/>
        </w:rPr>
        <w:t>of or by any Person (the “</w:t>
      </w:r>
      <w:r>
        <w:rPr>
          <w:rFonts w:ascii="Times New Roman;sans-serif" w:hAnsi="Times New Roman;sans-serif"/>
          <w:b w:val="false"/>
          <w:color w:val="000000"/>
          <w:sz w:val="24"/>
          <w:u w:val="single"/>
        </w:rPr>
        <w:t>guarantor</w:t>
      </w:r>
      <w:r>
        <w:rPr>
          <w:color w:val="000000"/>
        </w:rPr>
        <w:t>”</w:t>
      </w:r>
      <w:r>
        <w:rPr>
          <w:rFonts w:ascii="Times New Roman;sans-serif" w:hAnsi="Times New Roman;sans-serif"/>
          <w:b w:val="false"/>
          <w:color w:val="000000"/>
          <w:sz w:val="24"/>
        </w:rPr>
        <w:t>) means any obligation, contingent or otherwise, of the guarantor guaranteeing or having the economic effect of guaranteeing any Indebtedness or other obligation of any other Person (the “</w:t>
      </w:r>
      <w:r>
        <w:rPr>
          <w:rFonts w:ascii="Times New Roman;sans-serif" w:hAnsi="Times New Roman;sans-serif"/>
          <w:b w:val="false"/>
          <w:color w:val="000000"/>
          <w:sz w:val="24"/>
          <w:u w:val="single"/>
        </w:rPr>
        <w:t>primary obligor</w:t>
      </w:r>
      <w:r>
        <w:rPr>
          <w:color w:val="000000"/>
        </w:rPr>
        <w:t>”</w:t>
      </w:r>
      <w:r>
        <w:rPr>
          <w:rFonts w:ascii="Times New Roman;sans-serif" w:hAnsi="Times New Roman;sans-serif"/>
          <w:b w:val="false"/>
          <w:color w:val="000000"/>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term “Guarantee” shall not include endorsements for collection or deposit in the ordinary course of business.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Hazardous Materials</w:t>
      </w:r>
      <w:r>
        <w:rPr>
          <w:color w:val="000000"/>
        </w:rPr>
        <w:t xml:space="preserve">” </w:t>
      </w:r>
      <w:r>
        <w:rPr>
          <w:rFonts w:ascii="Times New Roman;sans-serif" w:hAnsi="Times New Roman;sans-serif"/>
          <w:b w:val="false"/>
          <w:color w:val="000000"/>
          <w:sz w:val="24"/>
        </w:rPr>
        <w:t xml:space="preserve">means all explosive or radioactive substances or wastes and all hazardous or toxic substances, wastes or other pollutants, including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02235"/>
                <wp:effectExtent l="0" t="0" r="0" b="0"/>
                <wp:wrapNone/>
                <wp:docPr id="244" name="Frame24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petroleum or petroleum distillates, asbestos or asbestos containing materials, polychlorinated biphenyls, radon gas, infectious or medical wastes in each case which are regulated pursuant to any Environmental Law.</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Hedging Agreement</w:t>
      </w:r>
      <w:r>
        <w:rPr>
          <w:color w:val="000000"/>
        </w:rPr>
        <w:t xml:space="preserve">” </w:t>
      </w:r>
      <w:r>
        <w:rPr>
          <w:rFonts w:ascii="Times New Roman;sans-serif" w:hAnsi="Times New Roman;sans-serif"/>
          <w:b w:val="false"/>
          <w:color w:val="000000"/>
          <w:sz w:val="24"/>
        </w:rPr>
        <w:t xml:space="preserve">means any interest rate protection agreement, foreign currency exchange agreement, commodity price protection agreement or other interest or currency exchange rate or commodity price hedging arrangement.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IBA</w:t>
      </w:r>
      <w:r>
        <w:rPr>
          <w:color w:val="000000"/>
        </w:rPr>
        <w:t xml:space="preserve">” </w:t>
      </w:r>
      <w:r>
        <w:rPr>
          <w:rFonts w:ascii="Times New Roman;sans-serif" w:hAnsi="Times New Roman;sans-serif"/>
          <w:b w:val="false"/>
          <w:color w:val="000000"/>
          <w:sz w:val="24"/>
        </w:rPr>
        <w:t>has the meaning set forth in Section 1.08.</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Immaterial Subsidiaries</w:t>
      </w:r>
      <w:r>
        <w:rPr>
          <w:color w:val="000000"/>
        </w:rPr>
        <w:t xml:space="preserve">” </w:t>
      </w:r>
      <w:r>
        <w:rPr>
          <w:rFonts w:ascii="Times New Roman;sans-serif" w:hAnsi="Times New Roman;sans-serif"/>
          <w:b w:val="false"/>
          <w:color w:val="000000"/>
          <w:sz w:val="24"/>
        </w:rPr>
        <w:t>means, at any time, Consolidated Subsidiaries that (a) are Domestic Subsidiaries or Canadian Subsidiaries and (b) at such time, in the aggregate for all such Subsidiaries, (i) directly own less than 10% of the amount of Qualifying Assets owned directly by all Consolidated Subsidiaries that are Domestic Subsidiaries or Canadian Subsidiaries and (ii) directly own accounts receivable and inventory representing less than 5% of the book value of the accounts receivable and inventory directly owned by all Consolidated Subsidiaries that are Domestic Subsidiaries or Canadian Subsidiaries.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Incremental Facility Agreement</w:t>
      </w:r>
      <w:r>
        <w:rPr>
          <w:color w:val="000000"/>
        </w:rPr>
        <w:t xml:space="preserve">” </w:t>
      </w:r>
      <w:r>
        <w:rPr>
          <w:rFonts w:ascii="Times New Roman;sans-serif" w:hAnsi="Times New Roman;sans-serif"/>
          <w:b w:val="false"/>
          <w:color w:val="000000"/>
          <w:sz w:val="24"/>
        </w:rPr>
        <w:t>means an Incremental Facility Agreement, in form and substance reasonably satisfactory to the Administrative Agent, among the Company, the Administrative Agent and one or more Incremental Lenders, establishing Incremental Revolving Commitments of any tranche and effecting such other amendments hereto and to the other Loan Documents as are contemplated by Section 2.08.</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Incremental Lender</w:t>
      </w:r>
      <w:r>
        <w:rPr>
          <w:color w:val="000000"/>
        </w:rPr>
        <w:t xml:space="preserve">” </w:t>
      </w:r>
      <w:r>
        <w:rPr>
          <w:rFonts w:ascii="Times New Roman;sans-serif" w:hAnsi="Times New Roman;sans-serif"/>
          <w:b w:val="false"/>
          <w:color w:val="000000"/>
          <w:sz w:val="24"/>
        </w:rPr>
        <w:t>means a Lender with an Incremental Revolving Commitment.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Incremental Revolving Commitment</w:t>
      </w:r>
      <w:r>
        <w:rPr>
          <w:color w:val="000000"/>
        </w:rPr>
        <w:t xml:space="preserve">” </w:t>
      </w:r>
      <w:r>
        <w:rPr>
          <w:rFonts w:ascii="Times New Roman;sans-serif" w:hAnsi="Times New Roman;sans-serif"/>
          <w:b w:val="false"/>
          <w:color w:val="000000"/>
          <w:sz w:val="24"/>
        </w:rPr>
        <w:t>means, with respect to any Lender, the commitment, if any, of such Lender, established pursuant to an Incremental Facility Agreement and Section 2.08, to make Incremental Revolving Loans of any tranche, and, if provided in such Incremental Facility Agreement, to acquire participations in Letters of Credit and Protective Advances of such tranche, expressed as an amount representing the maximum aggregate permitted amount of such Lender’s Credit Exposure under such Incremental Facility Agreement.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Incremental Revolving Loan</w:t>
      </w:r>
      <w:r>
        <w:rPr>
          <w:color w:val="000000"/>
        </w:rPr>
        <w:t xml:space="preserve">” </w:t>
      </w:r>
      <w:r>
        <w:rPr>
          <w:rFonts w:ascii="Times New Roman;sans-serif" w:hAnsi="Times New Roman;sans-serif"/>
          <w:b w:val="false"/>
          <w:color w:val="000000"/>
          <w:sz w:val="24"/>
        </w:rPr>
        <w:t>means a Loan made pursuant to a tranche of Incremental Revolving Commitments.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of any Person means, without duplication, (a) all obligations of such Person for borrowed money, (b) all obligations of such Person evidenced by bonds, debentures, notes or similar instruments, (c) all obligations of such Person in respect of the deferred purchase price of property (other than inventory) or services (excluding accruals and trade accounts payable arising in the ordinary course of business), (d) all Indebtedness of others secured by any Lien on property owned or acquired by such Person, whether or not the Indebtedness secured thereby has been assumed, (e) all Guarantees by such Person of Indebtedness of others, (f) all Capital Lease Obligations of such Person and (g) all obligations, contingent or otherwise, of such Person in respect of bankers’ acceptances.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Indemnified Taxes</w:t>
      </w:r>
      <w:r>
        <w:rPr>
          <w:color w:val="000000"/>
        </w:rPr>
        <w:t xml:space="preserve">” </w:t>
      </w:r>
      <w:r>
        <w:rPr>
          <w:rFonts w:ascii="Times New Roman;sans-serif" w:hAnsi="Times New Roman;sans-serif"/>
          <w:b w:val="false"/>
          <w:color w:val="000000"/>
          <w:sz w:val="24"/>
        </w:rPr>
        <w:t>means (a) Taxes, other than Excluded Taxes, imposed on or with respect to any payment made by or on account of any obligation of any Borrower under any Loan Document and (b) to the extent not otherwise described in (a), Other Taxes.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Insolvency Laws</w:t>
      </w:r>
      <w:r>
        <w:rPr>
          <w:color w:val="000000"/>
        </w:rPr>
        <w:t xml:space="preserve">” </w:t>
      </w:r>
      <w:r>
        <w:rPr>
          <w:rFonts w:ascii="Times New Roman;sans-serif" w:hAnsi="Times New Roman;sans-serif"/>
          <w:b w:val="false"/>
          <w:color w:val="000000"/>
          <w:sz w:val="24"/>
        </w:rPr>
        <w:t xml:space="preserve">means each of the Bankruptcy Code, the </w:t>
      </w:r>
      <w:r>
        <w:rPr>
          <w:rFonts w:ascii="Times New Roman;sans-serif" w:hAnsi="Times New Roman;sans-serif"/>
          <w:b w:val="false"/>
          <w:i/>
          <w:color w:val="000000"/>
          <w:sz w:val="24"/>
        </w:rPr>
        <w:t>Bankruptcy and Insolvency Act</w:t>
      </w:r>
      <w:r>
        <w:rPr>
          <w:color w:val="000000"/>
        </w:rPr>
        <w:t xml:space="preserve"> </w:t>
      </w:r>
      <w:r>
        <w:rPr>
          <w:rFonts w:ascii="Times New Roman;sans-serif" w:hAnsi="Times New Roman;sans-serif"/>
          <w:b w:val="false"/>
          <w:color w:val="000000"/>
          <w:sz w:val="24"/>
        </w:rPr>
        <w:t xml:space="preserve">(Canada), the </w:t>
      </w:r>
      <w:r>
        <w:rPr>
          <w:rFonts w:ascii="Times New Roman;sans-serif" w:hAnsi="Times New Roman;sans-serif"/>
          <w:b w:val="false"/>
          <w:i/>
          <w:color w:val="000000"/>
          <w:sz w:val="24"/>
        </w:rPr>
        <w:t>Companies’ Creditors Arrangement Act</w:t>
      </w:r>
      <w:r>
        <w:rPr>
          <w:color w:val="000000"/>
        </w:rPr>
        <w:t xml:space="preserve"> </w:t>
      </w:r>
      <w:r>
        <w:rPr>
          <w:rFonts w:ascii="Times New Roman;sans-serif" w:hAnsi="Times New Roman;sans-serif"/>
          <w:b w:val="false"/>
          <w:color w:val="000000"/>
          <w:sz w:val="24"/>
        </w:rPr>
        <w:t xml:space="preserve">(Canada) and the </w:t>
      </w:r>
      <w:r>
        <w:rPr>
          <w:rFonts w:ascii="Times New Roman;sans-serif" w:hAnsi="Times New Roman;sans-serif"/>
          <w:b w:val="false"/>
          <w:i/>
          <w:color w:val="000000"/>
          <w:sz w:val="24"/>
        </w:rPr>
        <w:t>Winding-Up and Restructuring Act</w:t>
      </w:r>
      <w:r>
        <w:rPr>
          <w:color w:val="000000"/>
        </w:rPr>
        <w:t xml:space="preserve"> </w:t>
      </w:r>
      <w:r>
        <w:rPr>
          <w:rFonts w:ascii="Times New Roman;sans-serif" w:hAnsi="Times New Roman;sans-serif"/>
          <w:b w:val="false"/>
          <w:color w:val="000000"/>
          <w:sz w:val="24"/>
        </w:rPr>
        <w:t xml:space="preserve">(Canada), in each case as amended, and any other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33</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02235"/>
                <wp:effectExtent l="0" t="0" r="0" b="0"/>
                <wp:wrapNone/>
                <wp:docPr id="245" name="Frame24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applicable state, provincial, territorial, foreign or federal bankruptcy laws, each as now and hereafter in effect, any successors to such statutes and any other applicable insolvency or other similar law of any jurisdiction, including any corporate law of any jurisdiction permitting a debtor to obtain a stay or a compromise of the claims of its creditors against it and including any rules and regulations pursuant thereto.</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rPr>
        <w:t>has the meaning assigned to such term in the Collateral Agreements.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Intercreditor Agreement</w:t>
      </w:r>
      <w:r>
        <w:rPr>
          <w:color w:val="000000"/>
        </w:rPr>
        <w:t xml:space="preserve">” </w:t>
      </w:r>
      <w:r>
        <w:rPr>
          <w:rFonts w:ascii="Times New Roman;sans-serif" w:hAnsi="Times New Roman;sans-serif"/>
          <w:b w:val="false"/>
          <w:color w:val="000000"/>
          <w:sz w:val="24"/>
        </w:rPr>
        <w:t xml:space="preserve">means (a) the Intercreditor Agreement dated the date hereof, among the Administrative Agent and JPMorgan Chase Bank, N.A., as Term Loan Agent (as defined therein), as amended, restated, supplemented or otherwise modified from time to time or (b) any other customary intercreditor or subordination agreement or arrangement among the Loan Parties, the Collateral Agent and the trustee, agent or other representative for holders of any Indebtedness secured by Non-ABL Priority Collateral or second priority Liens contemplated by clause (b)(x) of </w:t>
      </w:r>
      <w:r>
        <w:rPr>
          <w:rFonts w:ascii="Times New Roman;sans-serif" w:hAnsi="Times New Roman;sans-serif"/>
          <w:b w:val="false"/>
          <w:color w:val="000000"/>
          <w:sz w:val="24"/>
          <w:u w:val="single"/>
        </w:rPr>
        <w:t>Section 5.08</w:t>
      </w:r>
      <w:r>
        <w:rPr>
          <w:rFonts w:ascii="Times New Roman;sans-serif" w:hAnsi="Times New Roman;sans-serif"/>
          <w:b w:val="false"/>
          <w:color w:val="000000"/>
          <w:sz w:val="24"/>
        </w:rPr>
        <w:t>, as applicable, which intercreditor agreement shall be consistent with the then existing market practice and reasonably acceptable to the Required Lenders (it being understood that (i) any such intercreditor agreement shall be considered approved by a Lender if made available to such Lender by the Administrative Agent (through Intralinks or similar facility) and such Lender is informed that such intercreditor agreement shall be considered approved by it if there is no objection within five Business Days, and no such objection is made and (ii) such intercreditor agreement shall be deemed accepted if approved or deemed approved by the Required Lenders).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Interest Election Request</w:t>
      </w:r>
      <w:r>
        <w:rPr>
          <w:color w:val="000000"/>
        </w:rPr>
        <w:t xml:space="preserve">” </w:t>
      </w:r>
      <w:r>
        <w:rPr>
          <w:rFonts w:ascii="Times New Roman;sans-serif" w:hAnsi="Times New Roman;sans-serif"/>
          <w:b w:val="false"/>
          <w:color w:val="000000"/>
          <w:sz w:val="24"/>
        </w:rPr>
        <w:t>means a request by a Borrower to convert or continue a Borrowing in accordance with Section 2.07.</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Interest Payment Date</w:t>
      </w:r>
      <w:r>
        <w:rPr>
          <w:color w:val="000000"/>
        </w:rPr>
        <w:t xml:space="preserve">” </w:t>
      </w:r>
      <w:r>
        <w:rPr>
          <w:rFonts w:ascii="Times New Roman;sans-serif" w:hAnsi="Times New Roman;sans-serif"/>
          <w:b w:val="false"/>
          <w:color w:val="000000"/>
          <w:sz w:val="24"/>
        </w:rPr>
        <w:t xml:space="preserve">means (a) with respect to any ABR Loan or Canadian Prime Rate Loan (other than a Protective Advance), the last day of each March, June, September and December, (b) with respect to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Loan, the last day of the Interest Period applicable to the Borrowing of which such Loan is a part and, in the case of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 with an Interest Period of more than three-months’ duration, each day prior to the last day of such Interest Period that occurs at intervals of three-months’ duration after the first day of such Interest Period</w:t>
      </w:r>
      <w:r>
        <w:rPr>
          <w:strike/>
          <w:color w:val="FF0000"/>
        </w:rPr>
        <w:t xml:space="preserve"> </w:t>
      </w:r>
      <w:r>
        <w:rPr>
          <w:rFonts w:ascii="Times New Roman;sans-serif" w:hAnsi="Times New Roman;sans-serif"/>
          <w:b w:val="false"/>
          <w:strike/>
          <w:color w:val="FF0000"/>
          <w:sz w:val="24"/>
        </w:rPr>
        <w:t>and</w:t>
      </w:r>
      <w:r>
        <w:rPr>
          <w:rFonts w:ascii="Times New Roman;sans-serif" w:hAnsi="Times New Roman;sans-serif"/>
          <w:b/>
          <w:color w:val="0000FF"/>
          <w:sz w:val="24"/>
          <w:u w:val="single"/>
        </w:rPr>
        <w:t>,</w:t>
      </w:r>
      <w:r>
        <w:rPr>
          <w:color w:val="000000"/>
        </w:rPr>
        <w:t xml:space="preserve"> </w:t>
      </w:r>
      <w:r>
        <w:rPr>
          <w:rFonts w:ascii="Times New Roman;sans-serif" w:hAnsi="Times New Roman;sans-serif"/>
          <w:b w:val="false"/>
          <w:color w:val="000000"/>
          <w:sz w:val="24"/>
        </w:rPr>
        <w:t>(c</w:t>
      </w:r>
      <w:r>
        <w:rPr>
          <w:rFonts w:ascii="Times New Roman;sans-serif" w:hAnsi="Times New Roman;sans-serif"/>
          <w:b/>
          <w:color w:val="0000FF"/>
          <w:sz w:val="24"/>
          <w:u w:val="single"/>
        </w:rPr>
        <w:t>) with respect to any Daily Simple SOFR Loan (if such Type of Loan is applicable pursuant to Section 2.13), (1) each date that is on the numerically corresponding date in each calendar month that is one month after the borrowing of, or conversion to, such Daily Simple SOFR Loan (or if there is no such numerically corresponding date in such month, then the last day of such month) and (2) the Maturity Date and (d</w:t>
      </w:r>
      <w:r>
        <w:rPr>
          <w:rFonts w:ascii="Times New Roman;sans-serif" w:hAnsi="Times New Roman;sans-serif"/>
          <w:b w:val="false"/>
          <w:color w:val="000000"/>
          <w:sz w:val="24"/>
        </w:rPr>
        <w:t>) with respect to any Protective Advance, the day that such Loan is required to be repaid.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Interest Period</w:t>
      </w:r>
      <w:r>
        <w:rPr>
          <w:color w:val="000000"/>
        </w:rPr>
        <w:t xml:space="preserve">” </w:t>
      </w:r>
      <w:r>
        <w:rPr>
          <w:rFonts w:ascii="Times New Roman;sans-serif" w:hAnsi="Times New Roman;sans-serif"/>
          <w:b w:val="false"/>
          <w:color w:val="000000"/>
          <w:sz w:val="24"/>
        </w:rPr>
        <w:t xml:space="preserve">means, with respect to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 Borrowing</w:t>
      </w:r>
      <w:r>
        <w:rPr>
          <w:color w:val="000000"/>
        </w:rPr>
        <w:t xml:space="preserve"> </w:t>
      </w:r>
      <w:r>
        <w:rPr>
          <w:rFonts w:ascii="Times New Roman;sans-serif" w:hAnsi="Times New Roman;sans-serif"/>
          <w:b w:val="false"/>
          <w:color w:val="000000"/>
          <w:sz w:val="24"/>
        </w:rPr>
        <w:t>or CDOR Rate Borrowing, the period commencing on the date of such Borrowing and ending on the numerically corresponding day in the calendar month that is one, three or (except in the case of CDOR Rate Borrowings) six </w:t>
      </w:r>
      <w:r>
        <w:rPr>
          <w:rFonts w:ascii="Times New Roman;sans-serif" w:hAnsi="Times New Roman;sans-serif"/>
          <w:b w:val="false"/>
          <w:strike/>
          <w:color w:val="FF0000"/>
          <w:sz w:val="24"/>
        </w:rPr>
        <w:t xml:space="preserve">months thereafter or, if available from all participating Lenders, 12 </w:t>
      </w:r>
      <w:r>
        <w:rPr>
          <w:rFonts w:ascii="Times New Roman;sans-serif" w:hAnsi="Times New Roman;sans-serif"/>
          <w:b w:val="false"/>
          <w:color w:val="000000"/>
          <w:sz w:val="24"/>
        </w:rPr>
        <w:t xml:space="preserve">months thereafter, in each case as the applicable Borrower may elect;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pertaining to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 Borrowing</w:t>
      </w:r>
      <w:r>
        <w:rPr>
          <w:color w:val="000000"/>
        </w:rPr>
        <w:t xml:space="preserve"> </w:t>
      </w:r>
      <w:r>
        <w:rPr>
          <w:rFonts w:ascii="Times New Roman;sans-serif" w:hAnsi="Times New Roman;sans-serif"/>
          <w:b w:val="false"/>
          <w:color w:val="000000"/>
          <w:sz w:val="24"/>
        </w:rPr>
        <w:t xml:space="preserve">or CDOR Rate Borrowing that commences on the last Business Day of a calendar month (or on a day for which there is no numerically corresponding day in the last calendar month of such Interest Period) shall end on the last Business Day of the last calendar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34</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02235"/>
                <wp:effectExtent l="0" t="0" r="0" b="0"/>
                <wp:wrapNone/>
                <wp:docPr id="246" name="Frame24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month of such Interest Period, (iii) no tenor that has been removed from this definition pursuant to Section 2.13(f) shall be available and (iv) any Interest Period that would otherwise end after the Maturity Date will end on the Maturity Date. For purposes hereof, the date of a Borrowing initially shall be the date on which such Borrowing is made and thereafter shall be the effective date of the most recent conversion or continuation of such Borrowing.</w:t>
      </w:r>
    </w:p>
    <w:p>
      <w:pPr>
        <w:pStyle w:val="TextBody"/>
        <w:bidi w:val="0"/>
        <w:spacing w:lineRule="auto" w:line="240" w:before="0" w:after="120"/>
        <w:ind w:left="0" w:right="0" w:firstLine="1440"/>
        <w:jc w:val="left"/>
        <w:rPr/>
      </w:pPr>
      <w:r>
        <w:rPr>
          <w:strike/>
          <w:color w:val="FF0000"/>
        </w:rPr>
        <w:t>“</w:t>
      </w:r>
      <w:r>
        <w:rPr>
          <w:rFonts w:ascii="Times New Roman;sans-serif" w:hAnsi="Times New Roman;sans-serif"/>
          <w:b w:val="false"/>
          <w:strike/>
          <w:color w:val="FF0000"/>
          <w:sz w:val="24"/>
          <w:u w:val="single"/>
        </w:rPr>
        <w:t>Interpolated Rate</w:t>
      </w:r>
      <w:r>
        <w:rPr>
          <w:strike/>
          <w:color w:val="FF0000"/>
        </w:rPr>
        <w:t xml:space="preserve">” </w:t>
      </w:r>
      <w:r>
        <w:rPr>
          <w:rFonts w:ascii="Times New Roman;sans-serif" w:hAnsi="Times New Roman;sans-serif"/>
          <w:b w:val="false"/>
          <w:strike/>
          <w:color w:val="FF0000"/>
          <w:sz w:val="24"/>
        </w:rPr>
        <w:t>means, (A) with respect to any Eurodollar Loan for any Interest Period or clause (c) of the definition of the term “Alternate Base Rate”, a rate per annum (rounded upward to the next 1/100th of 1%) determined by the Administrative Agent (which determination shall be conclusive and binding absent manifest error) to be equal to the rate that results from interpolating on a linear basis between (a) the applicable LIBO Screen Rate for the longest period (for which such LIBO Screen Rate is available) that is shorter than the Interest Period for such Eurodollar Loan and (b) the applicable LIBO Screen Rate for the shortest period (for which such LIBO Screen Rate is available) that is longer than the Interest Period for such Eurodollar Loan, in each case at approximately 11:00 a.m., London time, two Business Days prior to the commencement of such Interest Period and (B) with respect to any CDOR Rate Loan for any Interest Period, a rate per annum (rounded upward to the next 1/100th of 1% (with 0.005% being rounded up)) determined by the Administrative Agent (which determination shall be conclusive and binding absent manifest error) to be equal to the rate that results from interpolating on a linear basis between (a) the applicable CDO Screen Rate for the longest period (for which such CDO Screen Rate is available) that is shorter than the Interest Period for such CDOR Rate Loan and (b) the applicable CDO Screen Rate for the shortest period (for which such CDO Screen Rate is available) that is longer than the Interest Period for such CDOR Rate Loan, in each case at or about approximately 10:00 a.m., Toronto time, on the applicable date of determination two Business Days prior to the commencement of such Interest Period. Notwithstanding the foregoing, if any Interpolated Rate shall be less than zero, such rate shall be deemed to be zero for purposes of this Agreement.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Inventory</w:t>
      </w:r>
      <w:r>
        <w:rPr>
          <w:color w:val="000000"/>
        </w:rPr>
        <w:t xml:space="preserve">” </w:t>
      </w:r>
      <w:r>
        <w:rPr>
          <w:rFonts w:ascii="Times New Roman;sans-serif" w:hAnsi="Times New Roman;sans-serif"/>
          <w:b w:val="false"/>
          <w:color w:val="000000"/>
          <w:sz w:val="24"/>
        </w:rPr>
        <w:t>has the meaning specified in the UCC.</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Investment</w:t>
      </w:r>
      <w:r>
        <w:rPr>
          <w:color w:val="000000"/>
        </w:rPr>
        <w:t xml:space="preserve">” </w:t>
      </w:r>
      <w:r>
        <w:rPr>
          <w:rFonts w:ascii="Times New Roman;sans-serif" w:hAnsi="Times New Roman;sans-serif"/>
          <w:b w:val="false"/>
          <w:color w:val="000000"/>
          <w:sz w:val="24"/>
        </w:rPr>
        <w:t>has the meaning set forth in Section 5.17.</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means the United States Internal Revenue Service.</w:t>
      </w:r>
    </w:p>
    <w:p>
      <w:pPr>
        <w:pStyle w:val="TextBody"/>
        <w:bidi w:val="0"/>
        <w:spacing w:lineRule="auto" w:line="240" w:before="0" w:after="120"/>
        <w:ind w:left="0" w:right="0" w:firstLine="1440"/>
        <w:jc w:val="left"/>
        <w:rPr/>
      </w:pPr>
      <w:r>
        <w:rPr>
          <w:strike/>
          <w:color w:val="FF0000"/>
        </w:rPr>
        <w:t>“</w:t>
      </w:r>
      <w:r>
        <w:rPr>
          <w:rFonts w:ascii="Times New Roman;sans-serif" w:hAnsi="Times New Roman;sans-serif"/>
          <w:b w:val="false"/>
          <w:strike/>
          <w:color w:val="FF0000"/>
          <w:sz w:val="24"/>
          <w:u w:val="single"/>
        </w:rPr>
        <w:t>ISDA Definitions</w:t>
      </w:r>
      <w:r>
        <w:rPr>
          <w:strike/>
          <w:color w:val="FF0000"/>
        </w:rPr>
        <w:t xml:space="preserve">” </w:t>
      </w:r>
      <w:r>
        <w:rPr>
          <w:rFonts w:ascii="Times New Roman;sans-serif" w:hAnsi="Times New Roman;sans-serif"/>
          <w:b w:val="false"/>
          <w:strike/>
          <w:color w:val="FF0000"/>
          <w:sz w:val="24"/>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ISP</w:t>
      </w:r>
      <w:r>
        <w:rPr>
          <w:color w:val="000000"/>
        </w:rPr>
        <w:t xml:space="preserve">” </w:t>
      </w:r>
      <w:r>
        <w:rPr>
          <w:rFonts w:ascii="Times New Roman;sans-serif" w:hAnsi="Times New Roman;sans-serif"/>
          <w:b w:val="false"/>
          <w:color w:val="000000"/>
          <w:sz w:val="24"/>
        </w:rPr>
        <w:t>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Issuing Bank</w:t>
      </w:r>
      <w:r>
        <w:rPr>
          <w:color w:val="000000"/>
        </w:rPr>
        <w:t xml:space="preserve">” </w:t>
      </w:r>
      <w:r>
        <w:rPr>
          <w:rFonts w:ascii="Times New Roman;sans-serif" w:hAnsi="Times New Roman;sans-serif"/>
          <w:b w:val="false"/>
          <w:color w:val="000000"/>
          <w:sz w:val="24"/>
        </w:rPr>
        <w:t xml:space="preserve">means, as applicable, (a) with respect to Letters of Credit to be participated in under the Revolving Commitments, (i) JPMorgan Chase Bank, N.A., in its capacity as an issuer of Letters of Credit hereunder, (ii) Goldman Sachs Bank USA, in its capacity as an issuer of Letters of Credit hereunder, (iii) Bank of America, N.A., in its capacity as an issuer of Letters of Credit (denominated in US Dollars only) hereunder, (iv) Citibank, N.A., in its capacity as an issuer of Letters of Credit hereunder, (v) HSBC Bank USA, N.A., in its capacity as an issuer of Letters of Credit hereunder, (vi) Wells Fargo Bank, National Association, in its capacity as an issuer of Letters of Credit hereunder, (vii) Barclays Bank PLC, in its capacity as an issuer of Letters of Credit (standby only) hereunder, (viii) any other Revolving Lender or Affiliate of a Revolving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35</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02235"/>
                <wp:effectExtent l="0" t="0" r="0" b="0"/>
                <wp:wrapNone/>
                <wp:docPr id="247" name="Frame24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Lender designated by the Company (with such Revolving Lender’s consent) as an Issuing Bank with respect to such Letters of Credit in a written notice to the Administrative Agent and (ix) their respective successors in such capacity as provided in Section 2.05(i) and (b) with respect to Letters of Credit to be participated in under the Commitments of any other Class, (i) any Lender of such Class or Affiliate of a Lender of such Class named as such in the Incremental Facility Agreement pursuant to which such Commitments were established, (ii) any other Lender of such Class or Affiliate of a Lender of such Class designated by the Company (with such Lender’s consent) as an Issuing Bank with respect to such Letters of Credit in a written notice to the Administrative Agent and (iii) its respective successors in such capacity as provided in Section 2.05(i). Any Issuing Bank may, in its discretion, arrange for one or more Letters of Credit to be issued by or through Affiliates of such Issuing Bank, in which case the term “Issuing Bank” shall include any such Affiliate with respect to Letters of Credit issued by such Affiliate.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ITA</w:t>
      </w:r>
      <w:r>
        <w:rPr>
          <w:color w:val="000000"/>
        </w:rPr>
        <w:t xml:space="preserve">” </w:t>
      </w:r>
      <w:r>
        <w:rPr>
          <w:rFonts w:ascii="Times New Roman;sans-serif" w:hAnsi="Times New Roman;sans-serif"/>
          <w:b w:val="false"/>
          <w:color w:val="000000"/>
          <w:sz w:val="24"/>
        </w:rPr>
        <w:t xml:space="preserve">means the </w:t>
      </w:r>
      <w:r>
        <w:rPr>
          <w:rFonts w:ascii="Times New Roman;sans-serif" w:hAnsi="Times New Roman;sans-serif"/>
          <w:b w:val="false"/>
          <w:i/>
          <w:color w:val="000000"/>
          <w:sz w:val="24"/>
        </w:rPr>
        <w:t>Income Tax Act</w:t>
      </w:r>
      <w:r>
        <w:rPr>
          <w:color w:val="000000"/>
        </w:rPr>
        <w:t xml:space="preserve"> </w:t>
      </w:r>
      <w:r>
        <w:rPr>
          <w:rFonts w:ascii="Times New Roman;sans-serif" w:hAnsi="Times New Roman;sans-serif"/>
          <w:b w:val="false"/>
          <w:color w:val="000000"/>
          <w:sz w:val="24"/>
        </w:rPr>
        <w:t>(Canada).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Judgment Currency</w:t>
      </w:r>
      <w:r>
        <w:rPr>
          <w:color w:val="000000"/>
        </w:rPr>
        <w:t xml:space="preserve">” </w:t>
      </w:r>
      <w:r>
        <w:rPr>
          <w:rFonts w:ascii="Times New Roman;sans-serif" w:hAnsi="Times New Roman;sans-serif"/>
          <w:b w:val="false"/>
          <w:color w:val="000000"/>
          <w:sz w:val="24"/>
        </w:rPr>
        <w:t>has the meaning set forth in Section 8.18(b).</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LC Commitment</w:t>
      </w:r>
      <w:r>
        <w:rPr>
          <w:color w:val="000000"/>
        </w:rPr>
        <w:t xml:space="preserve">” </w:t>
      </w:r>
      <w:r>
        <w:rPr>
          <w:rFonts w:ascii="Times New Roman;sans-serif" w:hAnsi="Times New Roman;sans-serif"/>
          <w:b w:val="false"/>
          <w:color w:val="000000"/>
          <w:sz w:val="24"/>
        </w:rPr>
        <w:t xml:space="preserve">means, with respect to any Issuing Bank, the maximum permitted amount of LC Exposure that may be attributable to Letters of Credit issued by such Issuing Bank. Each Issuing Bank’s LC Commitment shall be equal to (x) the amount set forth in clause (i) of the third sentence of Section 2.05(b) divided by (y) the number of Issuing Banks at such time, or such other amount as agreed by such Issuing Bank and the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from and after the Effective Date, no Issuing Bank’s LC Commitment shall be increased without such Issuing Bank’s consent.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LC Disbursement</w:t>
      </w:r>
      <w:r>
        <w:rPr>
          <w:color w:val="000000"/>
        </w:rPr>
        <w:t xml:space="preserve">” </w:t>
      </w:r>
      <w:r>
        <w:rPr>
          <w:rFonts w:ascii="Times New Roman;sans-serif" w:hAnsi="Times New Roman;sans-serif"/>
          <w:b w:val="false"/>
          <w:color w:val="000000"/>
          <w:sz w:val="24"/>
        </w:rPr>
        <w:t>means a payment made by any Issuing Bank pursuant to a Letter of Credit.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LC Exposure</w:t>
      </w:r>
      <w:r>
        <w:rPr>
          <w:color w:val="000000"/>
        </w:rPr>
        <w:t xml:space="preserve">” </w:t>
      </w:r>
      <w:r>
        <w:rPr>
          <w:rFonts w:ascii="Times New Roman;sans-serif" w:hAnsi="Times New Roman;sans-serif"/>
          <w:b w:val="false"/>
          <w:color w:val="000000"/>
          <w:sz w:val="24"/>
        </w:rPr>
        <w:t xml:space="preserve">means, with respect to any Class as at any date of determination, the aggregate amount available to be drawn under all outstanding Letters of Credit of such Class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aggregate of all LC Disbursements in respect of Letters of Credit of such Class that have not yet been reimbursed by or on behalf of the applicable Borrowers at such time. For purposes of computing the amount available to be drawn under any Letter of Credit, the amount of such Letter of Credit shall be determined in accordance with Section 1.06. For all purposes of this Agreement, if on any date of determination a Letter of Credit has expired by its terms but any amount may still be drawn thereunder by reason of the operation of any rule of law or standard practices to which any Letter of Credit is subject (including Rules 3.13 and 3.14 of the ISP and Article 36 of the UCP), such Letter of Credit shall be deemed to be “outstanding” in the amount so remaining available to be drawn. The LC Exposure with respect to any Class of any Lender of such Class at any time shall be its Applicable Percentage in respect of such Class of the total LC Exposure in respect of such Class at such time, subject to adjustment pursuant to any LC Exposure Reallocation. An LC Exposure Reallocation permitted hereunder shall be effective upon election by the Company as provided in Section 2.19, and shall be rescinded with respect to any Lender that is a Defaulting Lender at the time it ceases to be a Defaulting Lender or at the time its applicable Commitment is assigned pursuant to Section 2.18(b) or terminated pursuant to Section 2.18(c).</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LC Exposure Reallocation</w:t>
      </w:r>
      <w:r>
        <w:rPr>
          <w:color w:val="000000"/>
        </w:rPr>
        <w:t xml:space="preserve">” </w:t>
      </w:r>
      <w:r>
        <w:rPr>
          <w:rFonts w:ascii="Times New Roman;sans-serif" w:hAnsi="Times New Roman;sans-serif"/>
          <w:b w:val="false"/>
          <w:color w:val="000000"/>
          <w:sz w:val="24"/>
        </w:rPr>
        <w:t xml:space="preserve">means an adjustment to the LC Exposure of each Lender of any applicable Class that is a non-Defaulting Lender, to take account of a Lender or Lenders of such Class being or becoming a Defaulting Lender, that increases the LC Exposure of each Lender of such Class that is not a Defaulting Lender to equal its Applicable Percentage in respect of such Class (determined as though the Commitment of each Lender of such Class that is a Defaulting Lender were reduced to zero) of the total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36</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02235"/>
                <wp:effectExtent l="0" t="0" r="0" b="0"/>
                <wp:wrapNone/>
                <wp:docPr id="248" name="Frame24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LC Exposure in respect of such Class, in order to support its ratable share of the LC Exposure of such Class of the relevant Defaulting Lender or Defaulting Lenders. In the event of an LC Exposure Reallocation (a) the LC Exposure of the relevant Lender that is a Defaulting Lender shall not be decreased, but (b) the LC Exposure of each Lender of the applicable Class that is not a Defaulting Lender shall be increased as provided above, and such Lender’s increased LC Exposure of such Class shall apply for all purposes of this Agreement, including for purposes of determining its Credit Exposure and participation fees payable with respect to its LC Exposure. Notwithstanding any other provision of this Agreement, an LC Exposure Reallocation shall not be permitted if, after giving effect thereto, the Credit Exposure of any Lender of such Class shall exceed its Commitment of such Class.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Lenders</w:t>
      </w:r>
      <w:r>
        <w:rPr>
          <w:color w:val="000000"/>
        </w:rPr>
        <w:t xml:space="preserve">” </w:t>
      </w:r>
      <w:r>
        <w:rPr>
          <w:rFonts w:ascii="Times New Roman;sans-serif" w:hAnsi="Times New Roman;sans-serif"/>
          <w:b w:val="false"/>
          <w:color w:val="000000"/>
          <w:sz w:val="24"/>
        </w:rPr>
        <w:t>means the Persons listed on Schedule 2.01 and any other Person that shall have become a party hereto (i) pursuant to an accession agreement as contemplated in Section 2.08(d), (ii) pursuant to an Assignment and Assumption as contemplated in Section 8.04(b), other than any such Person that ceases to be a party hereto pursuant to an Assignment and Assumption or (iii) pursuant to an Incremental Facility Agreement. Unless the context otherwise requires, the term “Lenders” includes the Administrative Agent in its capacity as lender of Protective Advances.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Letter of Credit</w:t>
      </w:r>
      <w:r>
        <w:rPr>
          <w:color w:val="000000"/>
        </w:rPr>
        <w:t xml:space="preserve">” </w:t>
      </w:r>
      <w:r>
        <w:rPr>
          <w:rFonts w:ascii="Times New Roman;sans-serif" w:hAnsi="Times New Roman;sans-serif"/>
          <w:b w:val="false"/>
          <w:color w:val="000000"/>
          <w:sz w:val="24"/>
        </w:rPr>
        <w:t xml:space="preserve">means any letter of credit issued pursuant to this Agreement (and shall be deemed to include all Existing Letters of Credit) and shall include, if applicable, any bankers’ acceptance resulting from any such letter of credit, so long as such banker’s acceptance matures within the period provided for in Section 2.05(c).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Liabilities</w:t>
      </w:r>
      <w:r>
        <w:rPr>
          <w:color w:val="000000"/>
        </w:rPr>
        <w:t xml:space="preserve">” </w:t>
      </w:r>
      <w:r>
        <w:rPr>
          <w:rFonts w:ascii="Times New Roman;sans-serif" w:hAnsi="Times New Roman;sans-serif"/>
          <w:b w:val="false"/>
          <w:color w:val="000000"/>
          <w:sz w:val="24"/>
        </w:rPr>
        <w:t>means any losses, claims (including intraparty claims), demands, damages or liabilities of any kind.</w:t>
      </w:r>
    </w:p>
    <w:p>
      <w:pPr>
        <w:pStyle w:val="TextBody"/>
        <w:bidi w:val="0"/>
        <w:spacing w:lineRule="auto" w:line="240" w:before="0" w:after="120"/>
        <w:ind w:left="0" w:right="0" w:firstLine="1440"/>
        <w:jc w:val="left"/>
        <w:rPr/>
      </w:pPr>
      <w:r>
        <w:rPr>
          <w:strike/>
          <w:color w:val="FF0000"/>
        </w:rPr>
        <w:t>“</w:t>
      </w:r>
      <w:r>
        <w:rPr>
          <w:rFonts w:ascii="Times New Roman;sans-serif" w:hAnsi="Times New Roman;sans-serif"/>
          <w:b w:val="false"/>
          <w:strike/>
          <w:color w:val="FF0000"/>
          <w:sz w:val="24"/>
          <w:u w:val="single"/>
        </w:rPr>
        <w:t>LIBO Rate</w:t>
      </w:r>
      <w:r>
        <w:rPr>
          <w:strike/>
          <w:color w:val="FF0000"/>
        </w:rPr>
        <w:t xml:space="preserve">” </w:t>
      </w:r>
      <w:r>
        <w:rPr>
          <w:rFonts w:ascii="Times New Roman;sans-serif" w:hAnsi="Times New Roman;sans-serif"/>
          <w:b w:val="false"/>
          <w:strike/>
          <w:color w:val="FF0000"/>
          <w:sz w:val="24"/>
        </w:rPr>
        <w:t>means, with respect to any Eurodollar Borrowing for any Interest Period, the London interbank offered rate as administered by ICE Benchmark Administration (or any other Person that takes over the administration of such rate for US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Times New Roman;sans-serif" w:hAnsi="Times New Roman;sans-serif"/>
          <w:b w:val="false"/>
          <w:strike/>
          <w:color w:val="FF0000"/>
          <w:sz w:val="24"/>
          <w:u w:val="single"/>
        </w:rPr>
        <w:t>LIBO Screen Rate</w:t>
      </w:r>
      <w:r>
        <w:rPr>
          <w:strike/>
          <w:color w:val="FF0000"/>
        </w:rPr>
        <w:t>”</w:t>
      </w:r>
      <w:r>
        <w:rPr>
          <w:rFonts w:ascii="Times New Roman;sans-serif" w:hAnsi="Times New Roman;sans-serif"/>
          <w:b w:val="false"/>
          <w:strike/>
          <w:color w:val="FF0000"/>
          <w:sz w:val="24"/>
        </w:rPr>
        <w:t xml:space="preserve">) at approximately 11:00 a.m., London time, two Business Days prior to the commencement of such Interest Period; </w:t>
      </w:r>
      <w:r>
        <w:rPr>
          <w:rFonts w:ascii="Times New Roman;sans-serif" w:hAnsi="Times New Roman;sans-serif"/>
          <w:b w:val="false"/>
          <w:strike/>
          <w:color w:val="FF0000"/>
          <w:sz w:val="24"/>
          <w:u w:val="single"/>
        </w:rPr>
        <w:t>provided</w:t>
      </w:r>
      <w:r>
        <w:rPr>
          <w:strike/>
          <w:color w:val="FF0000"/>
        </w:rPr>
        <w:t xml:space="preserve"> </w:t>
      </w:r>
      <w:r>
        <w:rPr>
          <w:rFonts w:ascii="Times New Roman;sans-serif" w:hAnsi="Times New Roman;sans-serif"/>
          <w:b w:val="false"/>
          <w:strike/>
          <w:color w:val="FF0000"/>
          <w:sz w:val="24"/>
        </w:rPr>
        <w:t xml:space="preserve">that if the LIBO Screen Rate shall be less than zero, such rate shall be deemed to be zero for the purposes of this Agreement; </w:t>
      </w:r>
      <w:r>
        <w:rPr>
          <w:rFonts w:ascii="Times New Roman;sans-serif" w:hAnsi="Times New Roman;sans-serif"/>
          <w:b w:val="false"/>
          <w:strike/>
          <w:color w:val="FF0000"/>
          <w:sz w:val="24"/>
          <w:u w:val="single"/>
        </w:rPr>
        <w:t>provided</w:t>
      </w:r>
      <w:r>
        <w:rPr>
          <w:strike/>
          <w:color w:val="FF0000"/>
        </w:rPr>
        <w:t xml:space="preserve"> </w:t>
      </w:r>
      <w:r>
        <w:rPr>
          <w:rFonts w:ascii="Times New Roman;sans-serif" w:hAnsi="Times New Roman;sans-serif"/>
          <w:b w:val="false"/>
          <w:strike/>
          <w:color w:val="FF0000"/>
          <w:sz w:val="24"/>
          <w:u w:val="single"/>
        </w:rPr>
        <w:t>further</w:t>
      </w:r>
      <w:r>
        <w:rPr>
          <w:strike/>
          <w:color w:val="FF0000"/>
        </w:rPr>
        <w:t xml:space="preserve"> </w:t>
      </w:r>
      <w:r>
        <w:rPr>
          <w:rFonts w:ascii="Times New Roman;sans-serif" w:hAnsi="Times New Roman;sans-serif"/>
          <w:b w:val="false"/>
          <w:strike/>
          <w:color w:val="FF0000"/>
          <w:sz w:val="24"/>
        </w:rPr>
        <w:t>that if the LIBO Screen Rate shall not be available at such time for such Interest Period with respect to US Dollars then the LIBO Rate shall be the Interpolated Rate.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with respect to any asset, any mortgage, deed of trust, lien, pledge, hypothecation, encumbrance, charge or security interest in, on or of such asset.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Loan Documents</w:t>
      </w:r>
      <w:r>
        <w:rPr>
          <w:color w:val="000000"/>
        </w:rPr>
        <w:t xml:space="preserve">” </w:t>
      </w:r>
      <w:r>
        <w:rPr>
          <w:rFonts w:ascii="Times New Roman;sans-serif" w:hAnsi="Times New Roman;sans-serif"/>
          <w:b w:val="false"/>
          <w:color w:val="000000"/>
          <w:sz w:val="24"/>
        </w:rPr>
        <w:t>means this Agreement and the Collateral Documents.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Loan Parties</w:t>
      </w:r>
      <w:r>
        <w:rPr>
          <w:color w:val="000000"/>
        </w:rPr>
        <w:t xml:space="preserve">” </w:t>
      </w:r>
      <w:r>
        <w:rPr>
          <w:rFonts w:ascii="Times New Roman;sans-serif" w:hAnsi="Times New Roman;sans-serif"/>
          <w:b w:val="false"/>
          <w:color w:val="000000"/>
          <w:sz w:val="24"/>
        </w:rPr>
        <w:t>means the Borrowers and the Subsidiary Loan Parties.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Loans</w:t>
      </w:r>
      <w:r>
        <w:rPr>
          <w:color w:val="000000"/>
        </w:rPr>
        <w:t xml:space="preserve">” </w:t>
      </w:r>
      <w:r>
        <w:rPr>
          <w:rFonts w:ascii="Times New Roman;sans-serif" w:hAnsi="Times New Roman;sans-serif"/>
          <w:b w:val="false"/>
          <w:color w:val="000000"/>
          <w:sz w:val="24"/>
        </w:rPr>
        <w:t>means the loans (including Protective Advances) made by the Lenders to the Borrowers pursuant to this Agreement.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 xml:space="preserve">means a material adverse effect on (a) the business, financial position or results of operations of the Company and the Consolidated Subsidiaries, taken as a whole, (b) the ability of any Borrower to perform any of its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37</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02235"/>
                <wp:effectExtent l="0" t="0" r="0" b="0"/>
                <wp:wrapNone/>
                <wp:docPr id="249" name="Frame24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obligations under this Agreement or (c) the rights of or benefits available to the Lenders under this Agreement or the Collateral Agreements.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Material Indebtedness</w:t>
      </w:r>
      <w:r>
        <w:rPr>
          <w:color w:val="000000"/>
        </w:rPr>
        <w:t xml:space="preserve">” </w:t>
      </w:r>
      <w:r>
        <w:rPr>
          <w:rFonts w:ascii="Times New Roman;sans-serif" w:hAnsi="Times New Roman;sans-serif"/>
          <w:b w:val="false"/>
          <w:color w:val="000000"/>
          <w:sz w:val="24"/>
        </w:rPr>
        <w:t>means Indebtedness (other than the Loans and Letters of Credit), or obligations in respect of one or more Hedging Agreements, of any one or more of the Company and its Consolidated Subsidiaries in an aggregate principal amount exceeding $100,000,000. For purposes of determining Material Indebtedness, the “principal amount” of the obligations of the Company or any Consolidated Subsidiary in respect of any Hedging Agreement at any time shall be the maximum aggregate amount (giving effect to any netting agreements) that the Company or such Consolidated Subsidiary would be required to pay if such Hedging Agreement were terminated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Material Subsidiary</w:t>
      </w:r>
      <w:r>
        <w:rPr>
          <w:color w:val="000000"/>
        </w:rPr>
        <w:t xml:space="preserve">” </w:t>
      </w:r>
      <w:r>
        <w:rPr>
          <w:rFonts w:ascii="Times New Roman;sans-serif" w:hAnsi="Times New Roman;sans-serif"/>
          <w:b w:val="false"/>
          <w:color w:val="000000"/>
          <w:sz w:val="24"/>
        </w:rPr>
        <w:t>means any (i) Designated Real Estate Subsidiary or (ii) Consolidated Subsidiary that (a) is a wholly-owned Domestic Subsidiary or a wholly-owned Canadian Subsidiary and (b) is not an Excluded Subsidiary.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Maturity Date</w:t>
      </w:r>
      <w:r>
        <w:rPr>
          <w:color w:val="000000"/>
        </w:rPr>
        <w:t xml:space="preserve">” </w:t>
      </w:r>
      <w:r>
        <w:rPr>
          <w:rFonts w:ascii="Times New Roman;sans-serif" w:hAnsi="Times New Roman;sans-serif"/>
          <w:b w:val="false"/>
          <w:color w:val="000000"/>
          <w:sz w:val="24"/>
        </w:rPr>
        <w:t>means August 3, 2026.</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Maximum Borrowing Amount</w:t>
      </w:r>
      <w:r>
        <w:rPr>
          <w:color w:val="000000"/>
        </w:rPr>
        <w:t xml:space="preserve">” </w:t>
      </w:r>
      <w:r>
        <w:rPr>
          <w:rFonts w:ascii="Times New Roman;sans-serif" w:hAnsi="Times New Roman;sans-serif"/>
          <w:b w:val="false"/>
          <w:color w:val="000000"/>
          <w:sz w:val="24"/>
        </w:rPr>
        <w:t>means, at any time, the lesser of (a) the Aggregate Commitments at such time and (b) the Borrowing Base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means Moody’s Investors Service, Inc.</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Mortgage</w:t>
      </w:r>
      <w:r>
        <w:rPr>
          <w:color w:val="000000"/>
        </w:rPr>
        <w:t xml:space="preserve">” </w:t>
      </w:r>
      <w:r>
        <w:rPr>
          <w:rFonts w:ascii="Times New Roman;sans-serif" w:hAnsi="Times New Roman;sans-serif"/>
          <w:b w:val="false"/>
          <w:color w:val="000000"/>
          <w:sz w:val="24"/>
        </w:rPr>
        <w:t>means a mortgage, deed of trust, assignment of leases and rents or other security document granting a Lien on any Mortgaged Property in favor of the Collateral Agent to secure the Obligations. Each Mortgage shall be in form and substance reasonably satisfactory to the Administrative Agent.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Mortgaged Property</w:t>
      </w:r>
      <w:r>
        <w:rPr>
          <w:color w:val="000000"/>
        </w:rPr>
        <w:t xml:space="preserve">” </w:t>
      </w:r>
      <w:r>
        <w:rPr>
          <w:rFonts w:ascii="Times New Roman;sans-serif" w:hAnsi="Times New Roman;sans-serif"/>
          <w:b w:val="false"/>
          <w:color w:val="000000"/>
          <w:sz w:val="24"/>
        </w:rPr>
        <w:t xml:space="preserve">means each parcel of real property (together with any adjoining or other parcels of real property integral to the operation of any facility owned by any Loan Party that shall be subject to a Mortgage;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additional parcels of real property shall not constitute Mortgaged Property if the applicable Loan Party is unable to deliver a Mortgage encumbering such additional parcels despite using commercially reasonable efforts to deliver them) located in the United States of America owned in fee by a Loan Party, and the improvements thereto.</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means a multiemployer plan as defined in Section 4001(a)(3) of ERISA.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Net Orderly Liquidation Value</w:t>
      </w:r>
      <w:r>
        <w:rPr>
          <w:color w:val="000000"/>
        </w:rPr>
        <w:t xml:space="preserve">” </w:t>
      </w:r>
      <w:r>
        <w:rPr>
          <w:rFonts w:ascii="Times New Roman;sans-serif" w:hAnsi="Times New Roman;sans-serif"/>
          <w:b w:val="false"/>
          <w:color w:val="000000"/>
          <w:sz w:val="24"/>
        </w:rPr>
        <w:t>means, with respect to Inventory of any Person, the orderly liquidation value thereof as identified in the most recent field examination or Inventory appraisal conducted pursuant to Section 5.23, as applicable, net of all costs of liquidation thereof.</w:t>
      </w:r>
    </w:p>
    <w:p>
      <w:pPr>
        <w:pStyle w:val="TextBody"/>
        <w:bidi w:val="0"/>
        <w:spacing w:lineRule="auto" w:line="240" w:before="0" w:after="120"/>
        <w:ind w:left="0" w:right="0" w:firstLine="1440"/>
        <w:jc w:val="both"/>
        <w:rPr/>
      </w:pPr>
      <w:r>
        <w:rPr>
          <w:color w:val="000000"/>
        </w:rPr>
        <w:t>“</w:t>
      </w:r>
      <w:r>
        <w:rPr>
          <w:rFonts w:ascii="Times New Roman;sans-serif" w:hAnsi="Times New Roman;sans-serif"/>
          <w:b w:val="false"/>
          <w:color w:val="000000"/>
          <w:sz w:val="24"/>
          <w:u w:val="single"/>
        </w:rPr>
        <w:t>Non-ABL Priority Collateral</w:t>
      </w:r>
      <w:r>
        <w:rPr>
          <w:color w:val="000000"/>
        </w:rPr>
        <w:t xml:space="preserve">” </w:t>
      </w:r>
      <w:r>
        <w:rPr>
          <w:rFonts w:ascii="Times New Roman;sans-serif" w:hAnsi="Times New Roman;sans-serif"/>
          <w:b w:val="false"/>
          <w:color w:val="000000"/>
          <w:sz w:val="24"/>
        </w:rPr>
        <w:t xml:space="preserve">means, at any time, all the following assets that constitute Collateral, whether now owned or hereafter acquired and wherever located: (a) all real property, related appurtenant rights and Fixtures and interests therein (including both fee and leasehold interests) (x) located outside the United States of America and (y) located in the United States of America if Eligible Real Property is not included in the Borrowing Base at such time; (b) all Equipment; (c) all Intellectual Property (other than any computer programs and any support and information relating thereto that constitute Inventory); (d) all Equity Interests and other Investment Property (other than Investment Property constituting ABL Priority Collateral under clause (d) or (g) of the definition of such term); (e) all Commercial Tort Claims; (f) all insurance policies relating to Non-ABL Priority Collateral, but, for the avoidance of doubt, excluding business interruption insurance and credit insurance with respect to any Accounts; (g) except to the extent constituting ABL Priority Collateral under clause (g) of the definition of such term, all Documents, all General Intangibles, all Instruments and all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38</w:t>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02235"/>
                <wp:effectExtent l="0" t="0" r="0" b="0"/>
                <wp:wrapNone/>
                <wp:docPr id="250" name="Frame25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Letter-of-Credit Rights; (h) all other Collateral not constituting ABL Priority Collateral; (i) all collateral and guarantees given by any other Person with respect to any of the foregoing, and all Supporting Obligations (including Letter-of-Credit Rights) with respect to any of the foregoing; (j) all books and Records to the extent relating to any of the foregoing; and (k) all products and Proceeds of the foregoing. Notwithstanding the foregoing, the term “Non-ABL Priority Collateral” shall not include any assets referred to in clauses (a) through (e) of the definition of the term “ABL Priority Collateral”. Capitalized terms used in this definition but not defined herein have the meanings assigned to them in the Collateral Agreements.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Non-Consenting Lender</w:t>
      </w:r>
      <w:r>
        <w:rPr>
          <w:color w:val="000000"/>
        </w:rPr>
        <w:t xml:space="preserve">” </w:t>
      </w:r>
      <w:r>
        <w:rPr>
          <w:rFonts w:ascii="Times New Roman;sans-serif" w:hAnsi="Times New Roman;sans-serif"/>
          <w:b w:val="false"/>
          <w:color w:val="000000"/>
          <w:sz w:val="24"/>
        </w:rPr>
        <w:t>means any Lender that withholds its consent to any proposed amendment, modification or waiver that cannot become effective without the consent of such Lender under Section 8.02 or Section 8.02A, and that has been consented to by the Required Lenders (or (a) in circumstances where Section 8.02 does not require the consent of the Required Lenders as a result of clause (ii) of the second proviso in Section 8.02(b), a majority in interest of the Lenders of the affected Class or (b) in circumstances where Section 8.02A does not require the consent of the Required Lenders, the Supermajority Lenders).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NYFRB</w:t>
      </w:r>
      <w:r>
        <w:rPr>
          <w:color w:val="000000"/>
        </w:rPr>
        <w:t xml:space="preserve">” </w:t>
      </w:r>
      <w:r>
        <w:rPr>
          <w:rFonts w:ascii="Times New Roman;sans-serif" w:hAnsi="Times New Roman;sans-serif"/>
          <w:b w:val="false"/>
          <w:color w:val="000000"/>
          <w:sz w:val="24"/>
        </w:rPr>
        <w:t>means the Federal Reserve Bank of New York.</w:t>
      </w:r>
    </w:p>
    <w:p>
      <w:pPr>
        <w:pStyle w:val="TextBody"/>
        <w:bidi w:val="0"/>
        <w:spacing w:lineRule="auto" w:line="240" w:before="0" w:after="220"/>
        <w:ind w:left="0" w:right="0" w:firstLine="1440"/>
        <w:jc w:val="left"/>
        <w:rPr/>
      </w:pPr>
      <w:r>
        <w:rPr>
          <w:color w:val="000000"/>
        </w:rPr>
        <w:t>“</w:t>
      </w:r>
      <w:r>
        <w:rPr>
          <w:rFonts w:ascii="Times New Roman;sans-serif" w:hAnsi="Times New Roman;sans-serif"/>
          <w:b w:val="false"/>
          <w:color w:val="000000"/>
          <w:sz w:val="24"/>
          <w:u w:val="single"/>
        </w:rPr>
        <w:t>NYFRB Rate</w:t>
      </w:r>
      <w:r>
        <w:rPr>
          <w:color w:val="000000"/>
        </w:rPr>
        <w:t xml:space="preserve">” </w:t>
      </w:r>
      <w:r>
        <w:rPr>
          <w:rFonts w:ascii="Times New Roman;sans-serif" w:hAnsi="Times New Roman;sans-serif"/>
          <w:b w:val="false"/>
          <w:color w:val="000000"/>
          <w:sz w:val="24"/>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any of the aforesaid rates shall be less than zero, such rate shall be deemed to be zero for purposes of this Agreement.</w:t>
      </w:r>
    </w:p>
    <w:p>
      <w:pPr>
        <w:pStyle w:val="TextBody"/>
        <w:bidi w:val="0"/>
        <w:spacing w:lineRule="auto" w:line="240" w:before="0" w:after="220"/>
        <w:ind w:left="0" w:right="0" w:firstLine="1440"/>
        <w:jc w:val="left"/>
        <w:rPr/>
      </w:pPr>
      <w:r>
        <w:rPr>
          <w:color w:val="000000"/>
        </w:rPr>
        <w:t>“</w:t>
      </w:r>
      <w:r>
        <w:rPr>
          <w:rFonts w:ascii="Times New Roman;sans-serif" w:hAnsi="Times New Roman;sans-serif"/>
          <w:b w:val="false"/>
          <w:color w:val="000000"/>
          <w:sz w:val="24"/>
          <w:u w:val="single"/>
        </w:rPr>
        <w:t>OA Payment Obligations</w:t>
      </w:r>
      <w:r>
        <w:rPr>
          <w:color w:val="000000"/>
        </w:rPr>
        <w:t xml:space="preserve">” </w:t>
      </w:r>
      <w:r>
        <w:rPr>
          <w:rFonts w:ascii="Times New Roman;sans-serif" w:hAnsi="Times New Roman;sans-serif"/>
          <w:b w:val="false"/>
          <w:color w:val="000000"/>
          <w:sz w:val="24"/>
        </w:rPr>
        <w:t>has the meaning assigned to such term in the definition of “Open Account Agreement”.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Obligations</w:t>
      </w:r>
      <w:r>
        <w:rPr>
          <w:color w:val="000000"/>
        </w:rPr>
        <w:t xml:space="preserve">” </w:t>
      </w:r>
      <w:r>
        <w:rPr>
          <w:rFonts w:ascii="Times New Roman;sans-serif" w:hAnsi="Times New Roman;sans-serif"/>
          <w:b w:val="false"/>
          <w:color w:val="000000"/>
          <w:sz w:val="24"/>
        </w:rPr>
        <w:t>has the meaning set forth in the Collateral Agreements.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OFAC</w:t>
      </w:r>
      <w:r>
        <w:rPr>
          <w:color w:val="000000"/>
        </w:rPr>
        <w:t xml:space="preserve">” </w:t>
      </w:r>
      <w:r>
        <w:rPr>
          <w:rFonts w:ascii="Times New Roman;sans-serif" w:hAnsi="Times New Roman;sans-serif"/>
          <w:b w:val="false"/>
          <w:color w:val="000000"/>
          <w:sz w:val="24"/>
        </w:rPr>
        <w:t>means the U.S. Department of Treasury’s Office of Foreign Asset Control.</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Open Account Agreement</w:t>
      </w:r>
      <w:r>
        <w:rPr>
          <w:color w:val="000000"/>
        </w:rPr>
        <w:t xml:space="preserve">” </w:t>
      </w:r>
      <w:r>
        <w:rPr>
          <w:rFonts w:ascii="Times New Roman;sans-serif" w:hAnsi="Times New Roman;sans-serif"/>
          <w:b w:val="false"/>
          <w:color w:val="000000"/>
          <w:sz w:val="24"/>
        </w:rPr>
        <w:t>means any agreement between or among a Lender, any of its Affiliates or any other Person and the Company or any Subsidiary, as identified to the Collateral Agent as an “Open Account Agreement” for purposes of this Agreement by the Company from time to time, pursuant to which the Company or such Subsidiary has committed to pay such Lender, its Affiliates or such Person (a) amounts on account of any account receivable purchased by such Lender, its Affiliates or such Person from certain vendors of the Company and its Consolidated Subsidiaries, (b) amounts on account of any account payable of the Company or such Subsidiary owing to certain of its vendors that such Lender, its Affiliates or such Person has paid on behalf of the Company or such Subsidiary (including, for the avoidance of doubt, any so called “payment undertaking” or “corporate payment undertaking”-based buyer-centric supply chain finance programs), (c) the amount of any overdrafts created by such Lender, its Affiliates or such Person to pay vendors other than those referred to in clauses (a) and (b) above and (d) certain processing fees thereunder (the obligations to pay the amounts referred to in clauses (a), (b), (c) and (d), collectively, the “</w:t>
      </w:r>
      <w:r>
        <w:rPr>
          <w:rFonts w:ascii="Times New Roman;sans-serif" w:hAnsi="Times New Roman;sans-serif"/>
          <w:b w:val="false"/>
          <w:color w:val="000000"/>
          <w:sz w:val="24"/>
          <w:u w:val="single"/>
        </w:rPr>
        <w:t>OA Payment Obligations</w:t>
      </w:r>
      <w:r>
        <w:rPr>
          <w:color w:val="000000"/>
        </w:rPr>
        <w:t>”</w:t>
      </w:r>
      <w:r>
        <w:rPr>
          <w:rFonts w:ascii="Times New Roman;sans-serif" w:hAnsi="Times New Roman;sans-serif"/>
          <w:b w:val="false"/>
          <w:color w:val="000000"/>
          <w:sz w:val="24"/>
        </w:rPr>
        <w: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Other Taxes</w:t>
      </w:r>
      <w:r>
        <w:rPr>
          <w:color w:val="000000"/>
        </w:rPr>
        <w:t xml:space="preserve">” </w:t>
      </w:r>
      <w:r>
        <w:rPr>
          <w:rFonts w:ascii="Times New Roman;sans-serif" w:hAnsi="Times New Roman;sans-serif"/>
          <w:b w:val="false"/>
          <w:color w:val="000000"/>
          <w:sz w:val="24"/>
        </w:rPr>
        <w:t xml:space="preserve">means any and all present or future recording, stamp, documentary, intangible filing, excise, property or similar taxes, charges or levies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39</w:t>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02235"/>
                <wp:effectExtent l="0" t="0" r="0" b="0"/>
                <wp:wrapNone/>
                <wp:docPr id="251" name="Frame25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imposed by the United States of America or any political subdivision thereof arising from any payment made under, from the execution, delivery, performance, enforcement or registration of, or from the registration, receipt or perfection of a security interest under, or otherwise with respect to, this Agreement or any other Loan Document.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Overnight Bank Funding Rate</w:t>
      </w:r>
      <w:r>
        <w:rPr>
          <w:color w:val="000000"/>
        </w:rPr>
        <w:t xml:space="preserve">” </w:t>
      </w:r>
      <w:r>
        <w:rPr>
          <w:rFonts w:ascii="Times New Roman;sans-serif" w:hAnsi="Times New Roman;sans-serif"/>
          <w:b w:val="false"/>
          <w:color w:val="000000"/>
          <w:sz w:val="24"/>
        </w:rPr>
        <w:t xml:space="preserve">means, for any day, the rate comprised of both overnight federal funds and overnight </w:t>
      </w:r>
      <w:r>
        <w:rPr>
          <w:rFonts w:ascii="Times New Roman;sans-serif" w:hAnsi="Times New Roman;sans-serif"/>
          <w:b w:val="false"/>
          <w:strike/>
          <w:color w:val="FF0000"/>
          <w:sz w:val="24"/>
        </w:rPr>
        <w:t>Eurodollar borrowings</w:t>
      </w:r>
      <w:r>
        <w:rPr>
          <w:rFonts w:ascii="Times New Roman;sans-serif" w:hAnsi="Times New Roman;sans-serif"/>
          <w:b/>
          <w:color w:val="0000FF"/>
          <w:sz w:val="24"/>
          <w:u w:val="single"/>
        </w:rPr>
        <w:t>eurodollar transactions denominated in US Dollars</w:t>
      </w:r>
      <w:r>
        <w:rPr>
          <w:color w:val="000000"/>
        </w:rPr>
        <w:t xml:space="preserve"> </w:t>
      </w:r>
      <w:r>
        <w:rPr>
          <w:rFonts w:ascii="Times New Roman;sans-serif" w:hAnsi="Times New Roman;sans-serif"/>
          <w:b w:val="false"/>
          <w:color w:val="000000"/>
          <w:sz w:val="24"/>
        </w:rPr>
        <w:t>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(from and after such date as the NYFRB shall commence to publish such composite rate).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Participant Register</w:t>
      </w:r>
      <w:r>
        <w:rPr>
          <w:color w:val="000000"/>
        </w:rPr>
        <w:t xml:space="preserve">” </w:t>
      </w:r>
      <w:r>
        <w:rPr>
          <w:rFonts w:ascii="Times New Roman;sans-serif" w:hAnsi="Times New Roman;sans-serif"/>
          <w:b w:val="false"/>
          <w:color w:val="000000"/>
          <w:sz w:val="24"/>
        </w:rPr>
        <w:t>has the meaning set forth in Section 8.04(c)(iii).</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Patriot Act</w:t>
      </w:r>
      <w:r>
        <w:rPr>
          <w:color w:val="000000"/>
        </w:rPr>
        <w:t xml:space="preserve">” </w:t>
      </w:r>
      <w:r>
        <w:rPr>
          <w:rFonts w:ascii="Times New Roman;sans-serif" w:hAnsi="Times New Roman;sans-serif"/>
          <w:b w:val="false"/>
          <w:color w:val="000000"/>
          <w:sz w:val="24"/>
        </w:rPr>
        <w:t>has the meaning set forth in Section 8.15.</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Payment</w:t>
      </w:r>
      <w:r>
        <w:rPr>
          <w:color w:val="000000"/>
        </w:rPr>
        <w:t xml:space="preserve">” </w:t>
      </w:r>
      <w:r>
        <w:rPr>
          <w:rFonts w:ascii="Times New Roman;sans-serif" w:hAnsi="Times New Roman;sans-serif"/>
          <w:b w:val="false"/>
          <w:color w:val="000000"/>
          <w:sz w:val="24"/>
        </w:rPr>
        <w:t>has the meaning set forth in Section 7.03.</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Payment Conditions</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(i)in respect of any Restricted Payment to be made in reliance on such conditions, on a pro forma basis, on each of the 30 days immediately preceding such Restricted Payment, and projected on a reasonable basis for each of the 30 days succeeding such Restricted Payment, either (i) both (x) the ratio of Consolidated EBITDAR to Consolidated Fixed Charges for the most recent Test Period is greater than 1.00 to 1.00 and (y) Specified Excess Availability is greater than the greater of (A) $120,000,000 and (B) 20% of the Maximum Borrowing Amount or (ii) Specified Excess Availability is greater than the greater of (A) $200,000,000 and (B) 30% of the Maximum Borrowing Amount, and, in each case, the absence of an Event of Default; and</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 in respect of any Investment to be made in reliance on such conditions, on a pro forma basis, on each of the 30 days immediately preceding such Investment, and projected on a reasonable basis for each of the 30 days succeeding such Investment, either (i) both (x) the ratio of Consolidated EBITDAR to Consolidated Fixed Charges for the most recent Test Period is greater than 1.00 to 1.00 and (y) Specified Excess Availability is greater than the greater of (A) $80,000,000 and (B) 17.5% of the Maximum Borrowing Amount or (ii) Specified Excess Availability is greater than the greater of (A) $160,000,000 and (B) 25% of the Maximum Borrowing Amount, and, in each case, the absence of an Event of Default.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Payment Notice</w:t>
      </w:r>
      <w:r>
        <w:rPr>
          <w:color w:val="000000"/>
        </w:rPr>
        <w:t xml:space="preserve">” </w:t>
      </w:r>
      <w:r>
        <w:rPr>
          <w:rFonts w:ascii="Times New Roman;sans-serif" w:hAnsi="Times New Roman;sans-serif"/>
          <w:b w:val="false"/>
          <w:color w:val="000000"/>
          <w:sz w:val="24"/>
        </w:rPr>
        <w:t>has the meaning set forth in Section 7.03.</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Payment Intangibles</w:t>
      </w:r>
      <w:r>
        <w:rPr>
          <w:color w:val="000000"/>
        </w:rPr>
        <w:t xml:space="preserve">” </w:t>
      </w:r>
      <w:r>
        <w:rPr>
          <w:rFonts w:ascii="Times New Roman;sans-serif" w:hAnsi="Times New Roman;sans-serif"/>
          <w:b w:val="false"/>
          <w:color w:val="000000"/>
          <w:sz w:val="24"/>
        </w:rPr>
        <w:t>has the meaning specified in the UCC.</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PBGC</w:t>
      </w:r>
      <w:r>
        <w:rPr>
          <w:color w:val="000000"/>
        </w:rPr>
        <w:t xml:space="preserve">” </w:t>
      </w:r>
      <w:r>
        <w:rPr>
          <w:rFonts w:ascii="Times New Roman;sans-serif" w:hAnsi="Times New Roman;sans-serif"/>
          <w:b w:val="false"/>
          <w:color w:val="000000"/>
          <w:sz w:val="24"/>
        </w:rPr>
        <w:t>means the Pension Benefit Guaranty Corporation referred to and defined in ERISA and any successor entity performing similar functions.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Permitted Discretion</w:t>
      </w:r>
      <w:r>
        <w:rPr>
          <w:color w:val="000000"/>
        </w:rPr>
        <w:t xml:space="preserve">” </w:t>
      </w:r>
      <w:r>
        <w:rPr>
          <w:rFonts w:ascii="Times New Roman;sans-serif" w:hAnsi="Times New Roman;sans-serif"/>
          <w:b w:val="false"/>
          <w:color w:val="000000"/>
          <w:sz w:val="24"/>
        </w:rPr>
        <w:t>means a determination made by the Collateral Agent in good faith and in the exercise of reasonable (from the perspective of a secured asset-based lender) business judgment in accordance with the Collateral Agent’s credit policies.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Permitted Encumbrances</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(i)Liens imposed by law for taxes that are not yet due;</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40</w:t>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02235"/>
                <wp:effectExtent l="0" t="0" r="0" b="0"/>
                <wp:wrapNone/>
                <wp:docPr id="252" name="Frame25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(ii)carriers’, warehousemen’s, mechanics’, materialmen’s, repairmen’s, landlord’s and other like Liens imposed by law, arising in the ordinary course of business and securing obligations that are not overdue by more than 30 days;</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(iii)pledges and deposits made in the ordinary course of business in compliance with workers’ compensation, unemployment insurance and other social security laws or regulations;</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(iv)deposits to secure the performance of bids, trade contracts, leases, statutory obligations, surety and appeal bonds, performance bonds and other obligations of a like nature, in each case in the ordinary course of business;</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(v)judgment liens in respect of judgments that do not constitute an Event of Default under clause (i) of Section 6.01;</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(vi)easements,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(vii)Liens in favor of sellers of goods arising under Article 2 of the UCC or similar provisions of applicable law in the ordinary course of business, covering only the goods sold and securing only the unpaid purchase price for such goods and related expenses;</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(viii)Liens securing obligations in respect of trade letters of credit; provided that such Liens do not extend to any property other than the goods financed or paid for with such letters of credit, documents of title in respect thereof and proceeds thereof;</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(ix)Liens (i) arising by operation of law under Article 4 of the UCC in connection with collection of items provided for therein, and (ii) in favor of a banking or other financial institution arising as a matter of law or under customary general terms and conditions encumbering deposits or other funds maintained with a financial institution (including the right of set-off) and which are within the general parameters customary in the banking industry or arising pursuant to such banking institution’s general terms and conditions; </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(x)leases, licenses, subleases or sublicenses granted to others in the ordinary course of business which do not (i) interfere in any material respect with the business of the Company or any Consolidated Subsidiary, taken as a whole, or (ii) secure any Indebtedness;</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(xi)Liens arising out of conditional sale, title retention, consignment or similar arrangements for sale of goods entered into by the Company or any of its Consolidated Subsidiaries in the ordinary course of business permitted by this Agreement;</w:t>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(xii)Liens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(xiii)Liens that are contractual rights of set-off (i) relating to the establishment of depository relations with banks not given in connection with the issuance of Indebtedness, (ii) relating to pooled deposit or sweep accounts of the Company or any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41</w:t>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02235"/>
                <wp:effectExtent l="0" t="0" r="0" b="0"/>
                <wp:wrapNone/>
                <wp:docPr id="253" name="Frame25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Subsidiary Loan Party to permit satisfaction of overdraft or similar obligations incurred in the ordinary course of business of the Company and the Subsidiary Loan Parties or (iii) relating to purchase orders and other agreements entered into with customers of the Company or any Subsidiary Loan Party in the ordinary course of business;</w:t>
      </w:r>
    </w:p>
    <w:p>
      <w:pPr>
        <w:pStyle w:val="TextBody"/>
        <w:bidi w:val="0"/>
        <w:spacing w:lineRule="auto" w:line="240" w:before="0" w:after="240"/>
        <w:ind w:left="0" w:right="0" w:firstLine="974"/>
        <w:jc w:val="left"/>
        <w:rPr>
          <w:rFonts w:ascii="Times New Roman;sans-serif" w:hAnsi="Times New Roman;sans-serif"/>
          <w:b w:val="false"/>
          <w:color w:val="000000"/>
          <w:sz w:val="24"/>
        </w:rPr>
      </w:pPr>
      <w:r>
        <w:rPr>
          <w:rFonts w:ascii="Times New Roman;sans-serif" w:hAnsi="Times New Roman;sans-serif"/>
          <w:b w:val="false"/>
          <w:color w:val="000000"/>
          <w:sz w:val="24"/>
        </w:rPr>
        <w:t>(xiv)Liens solely on any cash earnest money deposits made by the Company or any Subsidiary Loan Party in connection with any letter of intent or purchase agreement permitted hereunder;</w:t>
      </w:r>
    </w:p>
    <w:p>
      <w:pPr>
        <w:pStyle w:val="TextBody"/>
        <w:bidi w:val="0"/>
        <w:spacing w:lineRule="auto" w:line="240" w:before="0" w:after="240"/>
        <w:ind w:left="0" w:right="0" w:firstLine="1040"/>
        <w:jc w:val="left"/>
        <w:rPr>
          <w:rFonts w:ascii="Times New Roman;sans-serif" w:hAnsi="Times New Roman;sans-serif"/>
          <w:b w:val="false"/>
          <w:color w:val="000000"/>
          <w:sz w:val="24"/>
        </w:rPr>
      </w:pPr>
      <w:r>
        <w:rPr>
          <w:rFonts w:ascii="Times New Roman;sans-serif" w:hAnsi="Times New Roman;sans-serif"/>
          <w:b w:val="false"/>
          <w:color w:val="000000"/>
          <w:sz w:val="24"/>
        </w:rPr>
        <w:t>(xv)Liens arising from precautionary UCC filings regarding “true” operating leases or the consignment of goods to a Loan Party; and</w:t>
      </w:r>
    </w:p>
    <w:p>
      <w:pPr>
        <w:pStyle w:val="TextBody"/>
        <w:bidi w:val="0"/>
        <w:spacing w:lineRule="auto" w:line="240" w:before="0" w:after="240"/>
        <w:ind w:left="0" w:right="0" w:firstLine="974"/>
        <w:jc w:val="left"/>
        <w:rPr>
          <w:rFonts w:ascii="Times New Roman;sans-serif" w:hAnsi="Times New Roman;sans-serif"/>
          <w:b w:val="false"/>
          <w:color w:val="000000"/>
          <w:sz w:val="24"/>
        </w:rPr>
      </w:pPr>
      <w:r>
        <w:rPr>
          <w:rFonts w:ascii="Times New Roman;sans-serif" w:hAnsi="Times New Roman;sans-serif"/>
          <w:b w:val="false"/>
          <w:color w:val="000000"/>
          <w:sz w:val="24"/>
        </w:rPr>
        <w:t>(xvi)Liens on insurance proceeds incurred in the ordinary course of business in connection with the financing of insurance premiums;</w:t>
      </w:r>
    </w:p>
    <w:p>
      <w:pPr>
        <w:pStyle w:val="TextBody"/>
        <w:bidi w:val="0"/>
        <w:spacing w:lineRule="auto" w:line="240" w:before="0" w:after="120"/>
        <w:jc w:val="left"/>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term “Permitted Encumbrances” shall not include any Lien securing Indebtedness.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Permitted Holders</w:t>
      </w:r>
      <w:r>
        <w:rPr>
          <w:color w:val="000000"/>
        </w:rPr>
        <w:t xml:space="preserve">” </w:t>
      </w:r>
      <w:r>
        <w:rPr>
          <w:rFonts w:ascii="Times New Roman;sans-serif" w:hAnsi="Times New Roman;sans-serif"/>
          <w:b w:val="false"/>
          <w:color w:val="000000"/>
          <w:sz w:val="24"/>
        </w:rPr>
        <w:t>means Leslie H. Wexner, all descendants of any of his grandparents, any spouse or former spouse of any of the foregoing, any descendant of any such spouse or former spouse, the estate of any of the foregoing, any trust for the benefit, in whole or in part, of one or more of the foregoing and any corporation, limited liability company, partnership or other entity Controlled by one or more of the foregoing.</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Permitted Non-ABL Indebtedness</w:t>
      </w:r>
      <w:r>
        <w:rPr>
          <w:color w:val="000000"/>
        </w:rPr>
        <w:t xml:space="preserve">” </w:t>
      </w:r>
      <w:r>
        <w:rPr>
          <w:rFonts w:ascii="Times New Roman;sans-serif" w:hAnsi="Times New Roman;sans-serif"/>
          <w:b w:val="false"/>
          <w:color w:val="000000"/>
          <w:sz w:val="24"/>
        </w:rPr>
        <w:t>means any Indebtedness of the Company or any other Loan Party permitted under Section 5.10(k) or (l).</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val="false"/>
          <w:color w:val="000000"/>
          <w:sz w:val="24"/>
          <w:u w:val="single"/>
        </w:rPr>
        <w:t>Permitted Non-ABL Indebtedness Documents</w:t>
      </w:r>
      <w:r>
        <w:rPr>
          <w:color w:val="000000"/>
        </w:rPr>
        <w:t xml:space="preserve">” </w:t>
      </w:r>
      <w:r>
        <w:rPr>
          <w:rFonts w:ascii="Times New Roman;sans-serif" w:hAnsi="Times New Roman;sans-serif"/>
          <w:b w:val="false"/>
          <w:color w:val="000000"/>
          <w:sz w:val="24"/>
        </w:rPr>
        <w:t>means any credit agreement, indenture or other agreement, instrument or other document evidencing or governing any Permitted Non-ABL Indebtedness or providing for any Guarantee or other right in respect thereof.</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natural person, corporation, limited liability company, unlimited liability corporation, trust, joint venture, association, company, partnership, Governmental Authority or other entity.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any “employee pension benefit plan” as defined in Section 3(2) of the ERISA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PPSA</w:t>
      </w:r>
      <w:r>
        <w:rPr>
          <w:color w:val="000000"/>
        </w:rPr>
        <w:t xml:space="preserve">” </w:t>
      </w:r>
      <w:r>
        <w:rPr>
          <w:rFonts w:ascii="Times New Roman;sans-serif" w:hAnsi="Times New Roman;sans-serif"/>
          <w:b w:val="false"/>
          <w:color w:val="000000"/>
          <w:sz w:val="24"/>
        </w:rPr>
        <w:t xml:space="preserve">means the </w:t>
      </w:r>
      <w:r>
        <w:rPr>
          <w:rFonts w:ascii="Times New Roman;sans-serif" w:hAnsi="Times New Roman;sans-serif"/>
          <w:b w:val="false"/>
          <w:i/>
          <w:color w:val="000000"/>
          <w:sz w:val="24"/>
        </w:rPr>
        <w:t>Personal Property Security Act</w:t>
      </w:r>
      <w:r>
        <w:rPr>
          <w:color w:val="000000"/>
        </w:rPr>
        <w:t xml:space="preserve"> </w:t>
      </w:r>
      <w:r>
        <w:rPr>
          <w:rFonts w:ascii="Times New Roman;sans-serif" w:hAnsi="Times New Roman;sans-serif"/>
          <w:b w:val="false"/>
          <w:color w:val="000000"/>
          <w:sz w:val="24"/>
        </w:rPr>
        <w:t xml:space="preserve">(Ontario), including the regulations thereto, provided that, if validity, perfection or the effect of perfection or non-perfection or the priority of any Lien created hereunder on the Collateral is governed by the personal property security legislation or other applicable legislation with respect to personal property security in effect in a jurisdiction other than Ontario, “PPSA” means the </w:t>
      </w:r>
      <w:r>
        <w:rPr>
          <w:rFonts w:ascii="Times New Roman;sans-serif" w:hAnsi="Times New Roman;sans-serif"/>
          <w:b w:val="false"/>
          <w:i/>
          <w:color w:val="000000"/>
          <w:sz w:val="24"/>
        </w:rPr>
        <w:t>Personal Property Security Act</w:t>
      </w:r>
      <w:r>
        <w:rPr>
          <w:color w:val="000000"/>
        </w:rPr>
        <w:t xml:space="preserve"> </w:t>
      </w:r>
      <w:r>
        <w:rPr>
          <w:rFonts w:ascii="Times New Roman;sans-serif" w:hAnsi="Times New Roman;sans-serif"/>
          <w:b w:val="false"/>
          <w:color w:val="000000"/>
          <w:sz w:val="24"/>
        </w:rPr>
        <w:t>or such other applicable legislation in effect from time to time in such other jurisdiction for purposes of the provisions hereof relating to such validity, perfection, effect of perfection or non-perfection or priority.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Pre-Closing Reorganization Transactions</w:t>
      </w:r>
      <w:r>
        <w:rPr>
          <w:color w:val="000000"/>
        </w:rPr>
        <w:t xml:space="preserve">” </w:t>
      </w:r>
      <w:r>
        <w:rPr>
          <w:rFonts w:ascii="Times New Roman;sans-serif" w:hAnsi="Times New Roman;sans-serif"/>
          <w:b w:val="false"/>
          <w:color w:val="000000"/>
          <w:sz w:val="24"/>
        </w:rPr>
        <w:t>means each of transactions that collectively constitute the Restructuring (as defined in the Separation Agreement).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Prime Rate</w:t>
      </w:r>
      <w:r>
        <w:rPr>
          <w:color w:val="000000"/>
        </w:rPr>
        <w:t xml:space="preserve">” </w:t>
      </w:r>
      <w:r>
        <w:rPr>
          <w:rFonts w:ascii="Times New Roman;sans-serif" w:hAnsi="Times New Roman;sans-serif"/>
          <w:b w:val="false"/>
          <w:color w:val="000000"/>
          <w:sz w:val="24"/>
        </w:rPr>
        <w:t xml:space="preserve">means the rate of interest last quoted by The Wall Street Journal as the “Prime Rate” in the U.S. or, if The Wall Street Journal ceases to quote such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42</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02235"/>
                <wp:effectExtent l="0" t="0" r="0" b="0"/>
                <wp:wrapNone/>
                <wp:docPr id="254" name="Frame25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Protective Advance Exposure</w:t>
      </w:r>
      <w:r>
        <w:rPr>
          <w:color w:val="000000"/>
        </w:rPr>
        <w:t xml:space="preserve">” </w:t>
      </w:r>
      <w:r>
        <w:rPr>
          <w:rFonts w:ascii="Times New Roman;sans-serif" w:hAnsi="Times New Roman;sans-serif"/>
          <w:b w:val="false"/>
          <w:color w:val="000000"/>
          <w:sz w:val="24"/>
        </w:rPr>
        <w:t>means, at any time, the sum of the principal amounts of all outstanding Protective Advances at such time. The Protective Advance Exposures of any Lender at any time shall be its Applicable Percentage of the total Protective Advance Exposures at such time, adjusted to give effect to any reallocation under Section 2.19 of the Protective Advance Exposures of Defaulting Lenders in effect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Protective Advances</w:t>
      </w:r>
      <w:r>
        <w:rPr>
          <w:color w:val="000000"/>
        </w:rPr>
        <w:t xml:space="preserve">” </w:t>
      </w:r>
      <w:r>
        <w:rPr>
          <w:rFonts w:ascii="Times New Roman;sans-serif" w:hAnsi="Times New Roman;sans-serif"/>
          <w:b w:val="false"/>
          <w:color w:val="000000"/>
          <w:sz w:val="24"/>
        </w:rPr>
        <w:t>has the meaning set forth in Section 2.04(a).</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PTE</w:t>
      </w:r>
      <w:r>
        <w:rPr>
          <w:color w:val="000000"/>
        </w:rPr>
        <w:t xml:space="preserve">” </w:t>
      </w:r>
      <w:r>
        <w:rPr>
          <w:rFonts w:ascii="Times New Roman;sans-serif" w:hAnsi="Times New Roman;sans-serif"/>
          <w:b w:val="false"/>
          <w:color w:val="000000"/>
          <w:sz w:val="24"/>
        </w:rPr>
        <w:t>means a prohibited transaction class exemption issued by the U.S. Department of Labor, as any such exemption may be amended from time to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QFC</w:t>
      </w:r>
      <w:r>
        <w:rPr>
          <w:color w:val="000000"/>
        </w:rPr>
        <w:t xml:space="preserve">” </w:t>
      </w:r>
      <w:r>
        <w:rPr>
          <w:rFonts w:ascii="Times New Roman;sans-serif" w:hAnsi="Times New Roman;sans-serif"/>
          <w:b w:val="false"/>
          <w:color w:val="000000"/>
          <w:sz w:val="24"/>
        </w:rPr>
        <w:t>has the meaning assigned to the term “qualified financial contract” in, and shall be interpreted in accordance with, 12 U.S.C. § 5390(c)(8)(D).</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QFC Credit Support</w:t>
      </w:r>
      <w:r>
        <w:rPr>
          <w:color w:val="000000"/>
        </w:rPr>
        <w:t xml:space="preserve">” </w:t>
      </w:r>
      <w:r>
        <w:rPr>
          <w:rFonts w:ascii="Times New Roman;sans-serif" w:hAnsi="Times New Roman;sans-serif"/>
          <w:b w:val="false"/>
          <w:color w:val="000000"/>
          <w:sz w:val="24"/>
        </w:rPr>
        <w:t>has the meaning set forth in Section 8.21.</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Qualifying Assets</w:t>
      </w:r>
      <w:r>
        <w:rPr>
          <w:color w:val="000000"/>
        </w:rPr>
        <w:t xml:space="preserve">” </w:t>
      </w:r>
      <w:r>
        <w:rPr>
          <w:rFonts w:ascii="Times New Roman;sans-serif" w:hAnsi="Times New Roman;sans-serif"/>
          <w:b w:val="false"/>
          <w:color w:val="000000"/>
          <w:sz w:val="24"/>
        </w:rPr>
        <w:t>means any and all assets directly owned by the Consolidated Subsidiaries that are Domestic Subsidiaries or Canadian Subsidiaries, other than (a) real property, including improvements thereto and fixtures, (b) aircraft and (c) investments in the Company or any of its Subsidiaries. The amount or value of any Qualifying Assets at any time shall be the book value thereof at such time determined in accordance with GAAP.</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Real Property Appraisal</w:t>
      </w:r>
      <w:r>
        <w:rPr>
          <w:color w:val="000000"/>
        </w:rPr>
        <w:t xml:space="preserve">” </w:t>
      </w:r>
      <w:r>
        <w:rPr>
          <w:rFonts w:ascii="Times New Roman;sans-serif" w:hAnsi="Times New Roman;sans-serif"/>
          <w:b w:val="false"/>
          <w:color w:val="000000"/>
          <w:sz w:val="24"/>
        </w:rPr>
        <w:t>means an appraisal report from an appraisal firm satisfactory to the Collateral Agent, complying with the requirements of FIRREA and dated no more than 60 days prior to the date of delivery to the Collateral Agent, in form and substance satisfactory to the Collateral Agent in its Permitted Discretion.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Real Property Exclusion Notice</w:t>
      </w:r>
      <w:r>
        <w:rPr>
          <w:color w:val="000000"/>
        </w:rPr>
        <w:t xml:space="preserve">” </w:t>
      </w:r>
      <w:r>
        <w:rPr>
          <w:rFonts w:ascii="Times New Roman;sans-serif" w:hAnsi="Times New Roman;sans-serif"/>
          <w:b w:val="false"/>
          <w:color w:val="000000"/>
          <w:sz w:val="24"/>
        </w:rPr>
        <w:t>means a written notice to the Collateral Agent from the Company, signed by a Financial Officer of the Company and certifying (i) that the Company elects to exclude Eligible Real Property from the Borrowing Base and (ii) that either (x) the ratio of Consolidated EBITDAR to Consolidated Fixed Charges for the most recent Test Period is greater than 1.10 to 1.00 or (y) Specified Excess Availability is greater than $240,000,000.</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Receivables Facility</w:t>
      </w:r>
      <w:r>
        <w:rPr>
          <w:color w:val="000000"/>
        </w:rPr>
        <w:t xml:space="preserve">” </w:t>
      </w:r>
      <w:r>
        <w:rPr>
          <w:rFonts w:ascii="Times New Roman;sans-serif" w:hAnsi="Times New Roman;sans-serif"/>
          <w:b w:val="false"/>
          <w:color w:val="000000"/>
          <w:sz w:val="24"/>
        </w:rPr>
        <w:t>means any of one or more transactions pursuant to which the Company or any of the Consolidated Subsidiaries sells or conveys Receivables Facility Assets to a Receivables Subsidiary that borrows or issues debt on a secured basis against Receivables Facility Assets.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Receivables Facility Assets</w:t>
      </w:r>
      <w:r>
        <w:rPr>
          <w:color w:val="000000"/>
        </w:rPr>
        <w:t xml:space="preserve">” </w:t>
      </w:r>
      <w:r>
        <w:rPr>
          <w:rFonts w:ascii="Times New Roman;sans-serif" w:hAnsi="Times New Roman;sans-serif"/>
          <w:b w:val="false"/>
          <w:color w:val="000000"/>
          <w:sz w:val="24"/>
        </w:rPr>
        <w:t>means (a) Accounts that are excluded from Eligible Accounts pursuant to clause (g)(i) or (l) of the definition thereof and, in each case, any related assets and rights (including any collateral securing such Accounts, any contract rights in respect of such Accounts, proceeds collected on such Accounts, lockbox accounts into which such proceeds are collected and related records) customarily transferred in connection with similar receivables financing or securitization transactions and/or (b) Equity Interests issued by any Receivables Subsidiary.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Receivables Facility Guarantee</w:t>
      </w:r>
      <w:r>
        <w:rPr>
          <w:color w:val="000000"/>
        </w:rPr>
        <w:t xml:space="preserve">” </w:t>
      </w:r>
      <w:r>
        <w:rPr>
          <w:rFonts w:ascii="Times New Roman;sans-serif" w:hAnsi="Times New Roman;sans-serif"/>
          <w:b w:val="false"/>
          <w:color w:val="000000"/>
          <w:sz w:val="24"/>
        </w:rPr>
        <w:t xml:space="preserve">means (i) any guarantee of performance and related indemnification entered into by the Company or any Consolidated Subsidiary in respect of the obligations of a seller or servicer of Receivables Facility Assets in a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43</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02235"/>
                <wp:effectExtent l="0" t="0" r="0" b="0"/>
                <wp:wrapNone/>
                <wp:docPr id="255" name="Frame25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Receivables Facility or (ii) any other guarantee of performance entered into by the Company or any Consolidated Subsidiary which the Company has determined in good faith to be customary in a Receivables Facility.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Receivables Subsidiary</w:t>
      </w:r>
      <w:r>
        <w:rPr>
          <w:color w:val="000000"/>
        </w:rPr>
        <w:t xml:space="preserve">” </w:t>
      </w:r>
      <w:r>
        <w:rPr>
          <w:rFonts w:ascii="Times New Roman;sans-serif" w:hAnsi="Times New Roman;sans-serif"/>
          <w:b w:val="false"/>
          <w:color w:val="000000"/>
          <w:sz w:val="24"/>
        </w:rPr>
        <w:t>means a Consolidated Subsidiary (x) formed as a special purpose entity for the purpose of facilitating or entering into one or more Specified Receivables Facilities and promptly identified in writing to the Administrative Agent as a Receivables Subsidiary and (y) engaged only in activities reasonably related or incidental to Specified Receivables Facilities (it being understood and agreed that any entity formed solely for the purpose of holding any bank account into which collections or other proceeds of Receivables Facility Assets are paid shall satisfy the requirement in clause (y) above).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Recipient</w:t>
      </w:r>
      <w:r>
        <w:rPr>
          <w:color w:val="000000"/>
        </w:rPr>
        <w:t xml:space="preserve">” </w:t>
      </w:r>
      <w:r>
        <w:rPr>
          <w:rFonts w:ascii="Times New Roman;sans-serif" w:hAnsi="Times New Roman;sans-serif"/>
          <w:b w:val="false"/>
          <w:color w:val="000000"/>
          <w:sz w:val="24"/>
        </w:rPr>
        <w:t>means (a) the Administrative Agent, (b) any Lender and (c) any Issuing Bank, as applicable.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Reference Time</w:t>
      </w:r>
      <w:r>
        <w:rPr>
          <w:color w:val="000000"/>
        </w:rPr>
        <w:t xml:space="preserve">” </w:t>
      </w:r>
      <w:r>
        <w:rPr>
          <w:rFonts w:ascii="Times New Roman;sans-serif" w:hAnsi="Times New Roman;sans-serif"/>
          <w:b w:val="false"/>
          <w:color w:val="000000"/>
          <w:sz w:val="24"/>
        </w:rPr>
        <w:t xml:space="preserve">with respect to any setting of the then-current Benchmark means (a) if such Benchmark is </w:t>
      </w:r>
      <w:r>
        <w:rPr>
          <w:rFonts w:ascii="Times New Roman;sans-serif" w:hAnsi="Times New Roman;sans-serif"/>
          <w:b w:val="false"/>
          <w:strike/>
          <w:color w:val="FF0000"/>
          <w:sz w:val="24"/>
        </w:rPr>
        <w:t>the Adjusted LIBO Rate, 11:00 a.m., London</w:t>
      </w:r>
      <w:r>
        <w:rPr>
          <w:rFonts w:ascii="Times New Roman;sans-serif" w:hAnsi="Times New Roman;sans-serif"/>
          <w:b/>
          <w:color w:val="0000FF"/>
          <w:sz w:val="24"/>
          <w:u w:val="single"/>
        </w:rPr>
        <w:t>Term SOFR, 5:00 a.m., Chicago</w:t>
      </w:r>
      <w:r>
        <w:rPr>
          <w:color w:val="000000"/>
        </w:rPr>
        <w:t xml:space="preserve"> </w:t>
      </w:r>
      <w:r>
        <w:rPr>
          <w:rFonts w:ascii="Times New Roman;sans-serif" w:hAnsi="Times New Roman;sans-serif"/>
          <w:b w:val="false"/>
          <w:color w:val="000000"/>
          <w:sz w:val="24"/>
        </w:rPr>
        <w:t xml:space="preserve">time, on the day that is two </w:t>
      </w:r>
      <w:r>
        <w:rPr>
          <w:rFonts w:ascii="Times New Roman;sans-serif" w:hAnsi="Times New Roman;sans-serif"/>
          <w:b w:val="false"/>
          <w:strike/>
          <w:color w:val="FF0000"/>
          <w:sz w:val="24"/>
        </w:rPr>
        <w:t>London banking days</w:t>
      </w:r>
      <w:r>
        <w:rPr>
          <w:rFonts w:ascii="Times New Roman;sans-serif" w:hAnsi="Times New Roman;sans-serif"/>
          <w:b/>
          <w:color w:val="0000FF"/>
          <w:sz w:val="24"/>
          <w:u w:val="single"/>
        </w:rPr>
        <w:t>U.S. Government Securities Business Days</w:t>
      </w:r>
      <w:r>
        <w:rPr>
          <w:color w:val="000000"/>
        </w:rPr>
        <w:t xml:space="preserve"> </w:t>
      </w:r>
      <w:r>
        <w:rPr>
          <w:rFonts w:ascii="Times New Roman;sans-serif" w:hAnsi="Times New Roman;sans-serif"/>
          <w:b w:val="false"/>
          <w:color w:val="000000"/>
          <w:sz w:val="24"/>
        </w:rPr>
        <w:t>preceding the date of such setting</w:t>
      </w:r>
      <w:r>
        <w:rPr>
          <w:strike/>
          <w:color w:val="FF0000"/>
        </w:rPr>
        <w:t xml:space="preserve"> </w:t>
      </w:r>
      <w:r>
        <w:rPr>
          <w:rFonts w:ascii="Times New Roman;sans-serif" w:hAnsi="Times New Roman;sans-serif"/>
          <w:b w:val="false"/>
          <w:strike/>
          <w:color w:val="FF0000"/>
          <w:sz w:val="24"/>
        </w:rPr>
        <w:t>and</w:t>
      </w:r>
      <w:r>
        <w:rPr>
          <w:rFonts w:ascii="Times New Roman;sans-serif" w:hAnsi="Times New Roman;sans-serif"/>
          <w:b/>
          <w:color w:val="0000FF"/>
          <w:sz w:val="24"/>
          <w:u w:val="single"/>
        </w:rPr>
        <w:t>,</w:t>
      </w:r>
      <w:r>
        <w:rPr>
          <w:color w:val="000000"/>
        </w:rPr>
        <w:t xml:space="preserve"> </w:t>
      </w:r>
      <w:r>
        <w:rPr>
          <w:rFonts w:ascii="Times New Roman;sans-serif" w:hAnsi="Times New Roman;sans-serif"/>
          <w:b w:val="false"/>
          <w:color w:val="000000"/>
          <w:sz w:val="24"/>
        </w:rPr>
        <w:t>(b) if such Benchmark is the CDOR Rate, 10:15 a.m., Toronto time, on the day of such setting</w:t>
      </w:r>
      <w:r>
        <w:rPr>
          <w:color w:val="0000FF"/>
          <w:u w:val="single"/>
        </w:rPr>
        <w:t xml:space="preserve"> </w:t>
      </w:r>
      <w:r>
        <w:rPr>
          <w:rFonts w:ascii="Times New Roman;sans-serif" w:hAnsi="Times New Roman;sans-serif"/>
          <w:b/>
          <w:color w:val="0000FF"/>
          <w:sz w:val="24"/>
          <w:u w:val="single"/>
        </w:rPr>
        <w:t>and (c) if such Benchmark is neither Term SOFR nor the CDOR Rate, the time determined by the Administrative Agent in its reasonable discretion</w:t>
      </w:r>
      <w:r>
        <w:rPr>
          <w:rFonts w:ascii="Times New Roman;sans-serif" w:hAnsi="Times New Roman;sans-serif"/>
          <w:b w:val="false"/>
          <w:color w:val="000000"/>
          <w:sz w:val="24"/>
        </w:rPr>
        <w: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Register</w:t>
      </w:r>
      <w:r>
        <w:rPr>
          <w:color w:val="000000"/>
        </w:rPr>
        <w:t xml:space="preserve">” </w:t>
      </w:r>
      <w:r>
        <w:rPr>
          <w:rFonts w:ascii="Times New Roman;sans-serif" w:hAnsi="Times New Roman;sans-serif"/>
          <w:b w:val="false"/>
          <w:color w:val="000000"/>
          <w:sz w:val="24"/>
        </w:rPr>
        <w:t>has the meaning set forth in Section 8.04.</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Registration Statement</w:t>
      </w:r>
      <w:r>
        <w:rPr>
          <w:color w:val="000000"/>
        </w:rPr>
        <w:t xml:space="preserve">” </w:t>
      </w:r>
      <w:r>
        <w:rPr>
          <w:rFonts w:ascii="Times New Roman;sans-serif" w:hAnsi="Times New Roman;sans-serif"/>
          <w:b w:val="false"/>
          <w:color w:val="000000"/>
          <w:sz w:val="24"/>
        </w:rPr>
        <w:t>means the registration statement filed with the SEC on June 21, 2021, as amended from time to time prior to the date hereof.</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Related Parties</w:t>
      </w:r>
      <w:r>
        <w:rPr>
          <w:color w:val="000000"/>
        </w:rPr>
        <w:t xml:space="preserve">” </w:t>
      </w:r>
      <w:r>
        <w:rPr>
          <w:rFonts w:ascii="Times New Roman;sans-serif" w:hAnsi="Times New Roman;sans-serif"/>
          <w:b w:val="false"/>
          <w:color w:val="000000"/>
          <w:sz w:val="24"/>
        </w:rPr>
        <w:t>means, with respect to any specified Person, such Person’s Affiliates and the respective directors, officers, employees, agents and advisors of such Person and such Person’s Affiliates.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Relevant Governmental Body</w:t>
      </w:r>
      <w:r>
        <w:rPr>
          <w:color w:val="000000"/>
        </w:rPr>
        <w:t xml:space="preserve">” </w:t>
      </w:r>
      <w:r>
        <w:rPr>
          <w:rFonts w:ascii="Times New Roman;sans-serif" w:hAnsi="Times New Roman;sans-serif"/>
          <w:b w:val="false"/>
          <w:color w:val="000000"/>
          <w:sz w:val="24"/>
        </w:rPr>
        <w:t>means (i) with respect to a Benchmark Replacement in respect of Loans denominated in US Dollars, the Board and/or the NYFRB, or a committee officially endorsed or convened by the Board and/or the NYFRB or, in each case, any successor thereto and (ii) with respect to a Benchmark Replacement in respect of Loans denominated in CAD, (a) the Bank of Canada or any central bank or other supervisor which is responsible for supervising either (1) such Benchmark Replacement or (2) the administrator of such Benchmark Replacement or (b) any working group or committee officially endorsed or convened by (1) the Bank of Canada, (2) any central bank or other supervisor that is responsible for supervising either (A) such Benchmark Replacement or (B) the administrator of such Benchmark Replacement.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Reports</w:t>
      </w:r>
      <w:r>
        <w:rPr>
          <w:color w:val="000000"/>
        </w:rPr>
        <w:t xml:space="preserve">” </w:t>
      </w:r>
      <w:r>
        <w:rPr>
          <w:rFonts w:ascii="Times New Roman;sans-serif" w:hAnsi="Times New Roman;sans-serif"/>
          <w:b w:val="false"/>
          <w:color w:val="000000"/>
          <w:sz w:val="24"/>
        </w:rPr>
        <w:t>means reports prepared by any Agent or another Person showing the results of appraisals, field examinations or audits pertaining to the assets of any Loan Party from information furnished by or on behalf of any Loan Party, which Reports (except where prepared for internal purposes of the Agents) shall be distributed to the Lenders by the Agents.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Required Lenders</w:t>
      </w:r>
      <w:r>
        <w:rPr>
          <w:color w:val="000000"/>
        </w:rPr>
        <w:t xml:space="preserve">” </w:t>
      </w:r>
      <w:r>
        <w:rPr>
          <w:rFonts w:ascii="Times New Roman;sans-serif" w:hAnsi="Times New Roman;sans-serif"/>
          <w:b w:val="false"/>
          <w:color w:val="000000"/>
          <w:sz w:val="24"/>
        </w:rPr>
        <w:t>means, at any time, Lenders having Credit Exposures and unused Commitments representing more than 50% of the sum of the Aggregate Credit Exposure and total unused Commitments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Required Real Property Documentation</w:t>
      </w:r>
      <w:r>
        <w:rPr>
          <w:color w:val="000000"/>
        </w:rPr>
        <w:t xml:space="preserve">” </w:t>
      </w:r>
      <w:r>
        <w:rPr>
          <w:rFonts w:ascii="Times New Roman;sans-serif" w:hAnsi="Times New Roman;sans-serif"/>
          <w:b w:val="false"/>
          <w:color w:val="000000"/>
          <w:sz w:val="24"/>
        </w:rPr>
        <w:t>means (x) the documentation described in clauses (ii), (iv), (v) and (vi) of the definition of “Eligible Real Property” and (y) a written notice to the Collateral Agent from the Company stating that the Company elects to include such Eligible Real Property in the Borrowing Base.</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44</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02235"/>
                <wp:effectExtent l="0" t="0" r="0" b="0"/>
                <wp:wrapNone/>
                <wp:docPr id="256" name="Frame25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Required Secured Parties</w:t>
      </w:r>
      <w:r>
        <w:rPr>
          <w:color w:val="000000"/>
        </w:rPr>
        <w:t xml:space="preserve">” </w:t>
      </w:r>
      <w:r>
        <w:rPr>
          <w:rFonts w:ascii="Times New Roman;sans-serif" w:hAnsi="Times New Roman;sans-serif"/>
          <w:b w:val="false"/>
          <w:color w:val="000000"/>
          <w:sz w:val="24"/>
        </w:rPr>
        <w:t>has the meaning set forth in the Collateral Agreements.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Reserves</w:t>
      </w:r>
      <w:r>
        <w:rPr>
          <w:color w:val="000000"/>
        </w:rPr>
        <w:t xml:space="preserve">” </w:t>
      </w:r>
      <w:r>
        <w:rPr>
          <w:rFonts w:ascii="Times New Roman;sans-serif" w:hAnsi="Times New Roman;sans-serif"/>
          <w:b w:val="false"/>
          <w:color w:val="000000"/>
          <w:sz w:val="24"/>
        </w:rPr>
        <w:t>means any and all reserves which the Collateral Agent deems it appropriate, in its Permitted Discretion, to maintain (including, without limitation, reserves for excise tax collection and sales tax collection, transportation reserves, reserves for accrued and unpaid interest on the Obligations, volatility reserves, reserves for rent at locations leased by any Loan Party and for consignee’s, warehousemen’s and bailee’s charges, reserves for dilution of Accounts, reserves in respect of Inventory, reserves for customs charges and shipping charges related to any Inventory in transit, reserves for obligations related to any Hedging Agreement that is secured on a pari passu basis with the Obligations, reserves for contingent liabilities of any Loan Party, Gift Card Reserves, Specified OA Payment Obligation Reserves,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No Reserves may be taken or increased after the Effective Date based on circumstances, conditions, events or contingencies known to the Administrative Agent as of the Effective Date, and for which no Reserves were imposed on the Effective Date, unless such circumstances, conditions, events or contingencies shall have changed in any material adverse respect since the Effective Date as determined by the Collateral Agent in its Permitted Discretion. Notwithstanding any other provision of this Agreement to the contrary, (a) in no event shall Reserves (or changes in Reserves) with respect to any component of the Borrowing Base duplicate Reserves or adjustments already accounted for in determining eligibility criteria (including collection and/or advance rates) and (b) the amount of any such Reserve (or change in Reserve) shall be a reasonable quantification of the incremental dilution of the Borrowing Base attributable to the relevant contributing factors or shall have a reasonable relationship to the event, condition or other matter that is the basis for such Reserve or change.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Resolution Authority</w:t>
      </w:r>
      <w:r>
        <w:rPr>
          <w:color w:val="000000"/>
        </w:rPr>
        <w:t xml:space="preserve">” </w:t>
      </w:r>
      <w:r>
        <w:rPr>
          <w:rFonts w:ascii="Times New Roman;sans-serif" w:hAnsi="Times New Roman;sans-serif"/>
          <w:b w:val="false"/>
          <w:color w:val="000000"/>
          <w:sz w:val="24"/>
        </w:rPr>
        <w:t>means an EEA Resolution Authority or, with respect to any U.K. Financial Institution, a U.K. Resolution Authority.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Restricted Payment</w:t>
      </w:r>
      <w:r>
        <w:rPr>
          <w:color w:val="000000"/>
        </w:rPr>
        <w:t xml:space="preserve">” </w:t>
      </w:r>
      <w:r>
        <w:rPr>
          <w:rFonts w:ascii="Times New Roman;sans-serif" w:hAnsi="Times New Roman;sans-serif"/>
          <w:b w:val="false"/>
          <w:color w:val="000000"/>
          <w:sz w:val="24"/>
        </w:rPr>
        <w:t xml:space="preserve">means any dividend or other distribution (whether in cash, securities or other property) with respect to any Equity Interests in the Company or any Consolidated Subsidiary, or any payment (whether in cash, securities or other property), including any sinking fund or similar deposit, on account of the purchase, redemption, retirement, acquisition, cancellation or termination of any Equity Interests in the Company or any Consolidated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dividend, distribution or payment payable solely in Equity Interests (other than Disqualified Equity Interests) in the Company or applicable Consolidated Subsidiary shall not constitute a Restricted Payment.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Revolving Commitment</w:t>
      </w:r>
      <w:r>
        <w:rPr>
          <w:color w:val="000000"/>
        </w:rPr>
        <w:t xml:space="preserve">” </w:t>
      </w:r>
      <w:r>
        <w:rPr>
          <w:rFonts w:ascii="Times New Roman;sans-serif" w:hAnsi="Times New Roman;sans-serif"/>
          <w:b w:val="false"/>
          <w:color w:val="000000"/>
          <w:sz w:val="24"/>
        </w:rPr>
        <w:t>means, with respect to each Revolving Lender, the commitment, if any, of such Revolving Lender to make Revolving Loans and to acquire participations in Letters of Credit and Protective Advances hereunder, expressed as an amount representing the maximum aggregate permitted amount of such Revolving Lender’s Revolving Exposure hereunder, as such commitment may be (a) reduced or increased from time to time pursuant to Section 2.08 and (b) reduced or increased from time to time pursuant to assignments by or to such Lender pursuant to Section 8.04. The initial amount of each Revolving Lender’s Revolving Commitment is set forth on Schedule 2.01, or in the Assignment and Assumption pursuant to which such Revolving Lender shall have assumed its Revolving Commitment, as applicable. The initial amount of the total Revolving Commitments is $750,000,000.</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45</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02235"/>
                <wp:effectExtent l="0" t="0" r="0" b="0"/>
                <wp:wrapNone/>
                <wp:docPr id="257" name="Frame25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Revolving Exposure</w:t>
      </w:r>
      <w:r>
        <w:rPr>
          <w:color w:val="000000"/>
        </w:rPr>
        <w:t xml:space="preserve">” </w:t>
      </w:r>
      <w:r>
        <w:rPr>
          <w:rFonts w:ascii="Times New Roman;sans-serif" w:hAnsi="Times New Roman;sans-serif"/>
          <w:b w:val="false"/>
          <w:color w:val="000000"/>
          <w:sz w:val="24"/>
        </w:rPr>
        <w:t>means, with respect to any Revolving Lender at any time, the sum at such time, without duplication, of (a) the US Dollar Equivalents of the principal amounts of such Revolving Lender’s outstanding Revolving Loans and (b) the US Dollar Equivalent of the aggregate amount of such Revolving Lender’s LC Exposure and Protective Advance Exposures.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Revolving Lender</w:t>
      </w:r>
      <w:r>
        <w:rPr>
          <w:color w:val="000000"/>
        </w:rPr>
        <w:t xml:space="preserve">” </w:t>
      </w:r>
      <w:r>
        <w:rPr>
          <w:rFonts w:ascii="Times New Roman;sans-serif" w:hAnsi="Times New Roman;sans-serif"/>
          <w:b w:val="false"/>
          <w:color w:val="000000"/>
          <w:sz w:val="24"/>
        </w:rPr>
        <w:t>means a Lender with a Revolving Commitment or, if the Revolving Commitments have terminated or expired, a Lender with Revolving Exposure.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Revolving Loan</w:t>
      </w:r>
      <w:r>
        <w:rPr>
          <w:color w:val="000000"/>
        </w:rPr>
        <w:t xml:space="preserve">” </w:t>
      </w:r>
      <w:r>
        <w:rPr>
          <w:rFonts w:ascii="Times New Roman;sans-serif" w:hAnsi="Times New Roman;sans-serif"/>
          <w:b w:val="false"/>
          <w:color w:val="000000"/>
          <w:sz w:val="24"/>
        </w:rPr>
        <w:t>means a Loan made pursuant to Section 2.01(a)(i) or Section 2.01(a)(ii).</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means Standard &amp; Poor’s Ratings Services.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Sanctioned Country</w:t>
      </w:r>
      <w:r>
        <w:rPr>
          <w:color w:val="000000"/>
        </w:rPr>
        <w:t xml:space="preserve">” </w:t>
      </w:r>
      <w:r>
        <w:rPr>
          <w:rFonts w:ascii="Times New Roman;sans-serif" w:hAnsi="Times New Roman;sans-serif"/>
          <w:b w:val="false"/>
          <w:color w:val="000000"/>
          <w:sz w:val="24"/>
        </w:rPr>
        <w:t>means any country that is the subject of comprehensive territorial Sanctions (as of the date of this Agreement, Crimea, Cuba, Iran, North Korea and Syria).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Sanctioned Person</w:t>
      </w:r>
      <w:r>
        <w:rPr>
          <w:color w:val="000000"/>
        </w:rPr>
        <w:t xml:space="preserve">” </w:t>
      </w:r>
      <w:r>
        <w:rPr>
          <w:rFonts w:ascii="Times New Roman;sans-serif" w:hAnsi="Times New Roman;sans-serif"/>
          <w:b w:val="false"/>
          <w:color w:val="000000"/>
          <w:sz w:val="24"/>
        </w:rPr>
        <w:t>means at any time (a) any Person named at such time on (i) the SDN List, (ii) the Sanctioned Entities List maintained by the U.S. Department of State, (iii) the consolidated list of persons, groups and entities subject to European Union financial sanctions maintained by the European Union External Action Committee, (iv) the Consolidated List of Financial Sanctions Targets in the UK maintained by Her Majesty’s Treasury of the United Kingdom, (v) the Compendium of United Nations Security Council Sanctions Lists and (vi) any Sanctions-related list of designated Persons maintained by the Government of Canada pursuant to, or as described in, any applicable Canadian Economic Sanctions and Export Control Laws, (b) any Person located, organized or resident in a Sanctioned Country, or (c) any Person 50% or more owned by any Person or Persons in (a)(i) of this definition.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Sanctions</w:t>
      </w:r>
      <w:r>
        <w:rPr>
          <w:color w:val="000000"/>
        </w:rPr>
        <w:t xml:space="preserve">” </w:t>
      </w:r>
      <w:r>
        <w:rPr>
          <w:rFonts w:ascii="Times New Roman;sans-serif" w:hAnsi="Times New Roman;sans-serif"/>
          <w:b w:val="false"/>
          <w:color w:val="000000"/>
          <w:sz w:val="24"/>
        </w:rPr>
        <w:t>means any economic or financial sanctions or trade embargoes imposed, administered or enforced by OFAC, the U.S. Department of State, the European Union, the United Nations Security Council, Her Majesty’s Treasury or the Government of Canada.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Secured Parties</w:t>
      </w:r>
      <w:r>
        <w:rPr>
          <w:color w:val="000000"/>
        </w:rPr>
        <w:t xml:space="preserve">” </w:t>
      </w:r>
      <w:r>
        <w:rPr>
          <w:rFonts w:ascii="Times New Roman;sans-serif" w:hAnsi="Times New Roman;sans-serif"/>
          <w:b w:val="false"/>
          <w:color w:val="000000"/>
          <w:sz w:val="24"/>
        </w:rPr>
        <w:t>has the meaning set forth in the Collateral Agreements.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Separation Agreement</w:t>
      </w:r>
      <w:r>
        <w:rPr>
          <w:color w:val="000000"/>
        </w:rPr>
        <w:t xml:space="preserve">” </w:t>
      </w:r>
      <w:r>
        <w:rPr>
          <w:rFonts w:ascii="Times New Roman;sans-serif" w:hAnsi="Times New Roman;sans-serif"/>
          <w:b w:val="false"/>
          <w:color w:val="000000"/>
          <w:sz w:val="24"/>
        </w:rPr>
        <w:t>means the Separation and Distribution Agreement, dated as of August 2, 2021 between BBW and the Company.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means</w:t>
      </w:r>
      <w:r>
        <w:rPr>
          <w:rFonts w:ascii="Times New Roman;sans-serif" w:hAnsi="Times New Roman;sans-serif"/>
          <w:b w:val="false"/>
          <w:strike/>
          <w:color w:val="FF0000"/>
          <w:sz w:val="24"/>
        </w:rPr>
        <w:t xml:space="preserve">, with respect to any Business Day, </w:t>
      </w:r>
      <w:r>
        <w:rPr>
          <w:rFonts w:ascii="Times New Roman;sans-serif" w:hAnsi="Times New Roman;sans-serif"/>
          <w:b w:val="false"/>
          <w:color w:val="000000"/>
          <w:sz w:val="24"/>
        </w:rPr>
        <w:t xml:space="preserve">a rate </w:t>
      </w:r>
      <w:r>
        <w:rPr>
          <w:rFonts w:ascii="Times New Roman;sans-serif" w:hAnsi="Times New Roman;sans-serif"/>
          <w:b w:val="false"/>
          <w:strike/>
          <w:color w:val="FF0000"/>
          <w:sz w:val="24"/>
        </w:rPr>
        <w:t xml:space="preserve">per annum </w:t>
      </w:r>
      <w:r>
        <w:rPr>
          <w:rFonts w:ascii="Times New Roman;sans-serif" w:hAnsi="Times New Roman;sans-serif"/>
          <w:b w:val="false"/>
          <w:color w:val="000000"/>
          <w:sz w:val="24"/>
        </w:rPr>
        <w:t xml:space="preserve">equal to the secured overnight financing rate </w:t>
      </w:r>
      <w:r>
        <w:rPr>
          <w:rFonts w:ascii="Times New Roman;sans-serif" w:hAnsi="Times New Roman;sans-serif"/>
          <w:b w:val="false"/>
          <w:strike/>
          <w:color w:val="FF0000"/>
          <w:sz w:val="24"/>
        </w:rPr>
        <w:t>for such Business Day published</w:t>
      </w:r>
      <w:r>
        <w:rPr>
          <w:rFonts w:ascii="Times New Roman;sans-serif" w:hAnsi="Times New Roman;sans-serif"/>
          <w:b/>
          <w:color w:val="0000FF"/>
          <w:sz w:val="24"/>
          <w:u w:val="single"/>
        </w:rPr>
        <w:t>as administered</w:t>
      </w:r>
      <w:r>
        <w:rPr>
          <w:color w:val="000000"/>
        </w:rPr>
        <w:t xml:space="preserve"> </w:t>
      </w:r>
      <w:r>
        <w:rPr>
          <w:rFonts w:ascii="Times New Roman;sans-serif" w:hAnsi="Times New Roman;sans-serif"/>
          <w:b w:val="false"/>
          <w:color w:val="000000"/>
          <w:sz w:val="24"/>
        </w:rPr>
        <w:t>by the SOFR Administrator</w:t>
      </w:r>
      <w:r>
        <w:rPr>
          <w:strike/>
          <w:color w:val="FF0000"/>
        </w:rPr>
        <w:t xml:space="preserve"> </w:t>
      </w:r>
      <w:r>
        <w:rPr>
          <w:rFonts w:ascii="Times New Roman;sans-serif" w:hAnsi="Times New Roman;sans-serif"/>
          <w:b w:val="false"/>
          <w:strike/>
          <w:color w:val="FF0000"/>
          <w:sz w:val="24"/>
        </w:rPr>
        <w:t>on the immediately succeeding Business Day</w:t>
      </w:r>
      <w:r>
        <w:rPr>
          <w:rFonts w:ascii="Times New Roman;sans-serif" w:hAnsi="Times New Roman;sans-serif"/>
          <w:b w:val="false"/>
          <w:color w:val="000000"/>
          <w:sz w:val="24"/>
        </w:rPr>
        <w: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means the NYFRB (or a successor administrator of the secured overnight financing rate).</w:t>
      </w:r>
    </w:p>
    <w:p>
      <w:pPr>
        <w:pStyle w:val="TextBody"/>
        <w:bidi w:val="0"/>
        <w:spacing w:lineRule="auto" w:line="240" w:before="0" w:after="120"/>
        <w:ind w:left="0" w:right="0" w:firstLine="1440"/>
        <w:jc w:val="left"/>
        <w:rPr>
          <w:color w:val="0000FF"/>
          <w:u w:val="single"/>
        </w:rPr>
      </w:pPr>
      <w:r>
        <w:rPr>
          <w:color w:val="0000FF"/>
          <w:u w:val="single"/>
        </w:rPr>
        <w:t>“</w:t>
      </w:r>
      <w:r>
        <w:rPr>
          <w:rFonts w:ascii="Times New Roman;sans-serif" w:hAnsi="Times New Roman;sans-serif"/>
          <w:b/>
          <w:color w:val="0000FF"/>
          <w:sz w:val="24"/>
          <w:u w:val="single"/>
        </w:rPr>
        <w:t>SOFR Administrator’s Website” means the Federal Reserve Bank of New York’s Website, currently at http://www.newyorkfed.org, or any successor source for the secured overnight financing rate identified as such by the SOFR Administrator from time to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Specified Date</w:t>
      </w:r>
      <w:r>
        <w:rPr>
          <w:color w:val="000000"/>
        </w:rPr>
        <w:t xml:space="preserve">” </w:t>
      </w:r>
      <w:r>
        <w:rPr>
          <w:rFonts w:ascii="Times New Roman;sans-serif" w:hAnsi="Times New Roman;sans-serif"/>
          <w:b w:val="false"/>
          <w:color w:val="000000"/>
          <w:sz w:val="24"/>
        </w:rPr>
        <w:t>means the date that is 180 days after the Maturity Date.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Specified Event of Default</w:t>
      </w:r>
      <w:r>
        <w:rPr>
          <w:color w:val="000000"/>
        </w:rPr>
        <w:t xml:space="preserve">” </w:t>
      </w:r>
      <w:r>
        <w:rPr>
          <w:rFonts w:ascii="Times New Roman;sans-serif" w:hAnsi="Times New Roman;sans-serif"/>
          <w:b w:val="false"/>
          <w:color w:val="000000"/>
          <w:sz w:val="24"/>
        </w:rPr>
        <w:t xml:space="preserve">means an Event of Default (a) arising under clause (a) of Section 6.01, whether at stated maturity, upon acceleration or otherwise, (b) arising with respect to any Loan Party under clause (e) of Section 6.01, (c) resulting from the Company’s failure to comply with Section 5.01(a)(iii) or from any representation or warranty contained in any Borrowing Base Certificate proving to have been incorrect in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46</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02235"/>
                <wp:effectExtent l="0" t="0" r="0" b="0"/>
                <wp:wrapNone/>
                <wp:docPr id="258" name="Frame25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any material respect in a manner adverse to the interests of the Lenders when made or deemed made or (d) resulting from the Company’s failure to comply with Section 5.06 or 5.22.</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Specified Excess Availability</w:t>
      </w:r>
      <w:r>
        <w:rPr>
          <w:color w:val="000000"/>
        </w:rPr>
        <w:t xml:space="preserve">” </w:t>
      </w:r>
      <w:r>
        <w:rPr>
          <w:rFonts w:ascii="Times New Roman;sans-serif" w:hAnsi="Times New Roman;sans-serif"/>
          <w:b w:val="false"/>
          <w:color w:val="000000"/>
          <w:sz w:val="24"/>
        </w:rPr>
        <w:t>means, at any time, the sum of (a) Excess Availability at such time, plus (b) Suppressed Availability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Specified OA Payment Obligation Reserves</w:t>
      </w:r>
      <w:r>
        <w:rPr>
          <w:color w:val="000000"/>
        </w:rPr>
        <w:t xml:space="preserve">” </w:t>
      </w:r>
      <w:r>
        <w:rPr>
          <w:rFonts w:ascii="Times New Roman;sans-serif" w:hAnsi="Times New Roman;sans-serif"/>
          <w:b w:val="false"/>
          <w:color w:val="000000"/>
          <w:sz w:val="24"/>
        </w:rPr>
        <w:t xml:space="preserve">means, at any time, an amount (to the extent positive) equal to (x) the aggregate amount owing to the counterparty or lender (together with its Affiliates) under any Open Account Agreement with respect to OA Payment Obligations at such time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(y) 5% of the Maximum Borrowing Amount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Specified Receivables Facility</w:t>
      </w:r>
      <w:r>
        <w:rPr>
          <w:color w:val="000000"/>
        </w:rPr>
        <w:t xml:space="preserve">” </w:t>
      </w:r>
      <w:r>
        <w:rPr>
          <w:rFonts w:ascii="Times New Roman;sans-serif" w:hAnsi="Times New Roman;sans-serif"/>
          <w:b w:val="false"/>
          <w:color w:val="000000"/>
          <w:sz w:val="24"/>
        </w:rPr>
        <w:t>means any Receivables Facility that meets the following conditions: (a) the Company shall have determined in good faith that such Receivables Facility (including financing terms, covenants, termination events and other provisions) is in the aggregate economically fair, reasonable and beneficial to the Company; (b) all sales or other conveyances of Receivables Facility Assets by the Company or applicable Consolidated Subsidiary to any Receivables Subsidiary are made for fair market value; (c) the financing terms, covenants, termination events and other provisions thereof shall be on market terms and may include Standard Receivables Undertakings; (d) the obligations under such Receivables Facility shall not be guaranteed by, or secured by assets of, the Company or any of its Consolidated Subsidiaries, other than a Receivables Subsidiary (it being agreed that the foregoing shall not prohibit Standard Receivables Undertakings, or precautionary financing statements or similar filings, in respect of Receivables Facility Assets); and (e) the aggregate amount of such Receivables Facility, together with all other Specified Receivables Facilities, shall not exceed the greater of (x) $120,000,000 and (y) 60% of the aggregate Accounts excluded from Eligible Accounts pursuant to clauses (g)(i) and (l) of the definition thereof.</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Spot Rate</w:t>
      </w:r>
      <w:r>
        <w:rPr>
          <w:color w:val="000000"/>
        </w:rPr>
        <w:t xml:space="preserve">” </w:t>
      </w:r>
      <w:r>
        <w:rPr>
          <w:rFonts w:ascii="Times New Roman;sans-serif" w:hAnsi="Times New Roman;sans-serif"/>
          <w:b w:val="false"/>
          <w:color w:val="000000"/>
          <w:sz w:val="24"/>
        </w:rPr>
        <w:t xml:space="preserve">for a currency means the arithmetic average of the spot rates of exchange determined by the Administrative Agent or the Issuing Bank, as applicable, to be the rate quoted by the Person acting in such capacity as the spot rate for the purchase by such Person of such currency with another currency through its foreign currency exchange operations in respect of such currency are then being conducted, at or about such time as the Administrative Agent or the Issuing Bank shall elect after determining that such rates shall be the basis for determining the Exchange Rate, on such date for the purchase of US Dollars for delivery two Business Days later;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Administrative Agent or the Issuing Bank may obtain such spot rate from another financial institution designated by the Administrative Agent or the Issuing Bank if the Person acting in such capacity does not have as of the date of determination a spot buying rate for any such currency;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if at the time of any such determination, for any reason, no such spot rate is being quoted, the Administrative Agent or the Issuing Bank may use any reasonable method it deems appropriate to determine such rate, and such determination shall be conclusive absent manifest error.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Standard Receivables Undertakings</w:t>
      </w:r>
      <w:r>
        <w:rPr>
          <w:color w:val="000000"/>
        </w:rPr>
        <w:t xml:space="preserve">” </w:t>
      </w:r>
      <w:r>
        <w:rPr>
          <w:rFonts w:ascii="Times New Roman;sans-serif" w:hAnsi="Times New Roman;sans-serif"/>
          <w:b w:val="false"/>
          <w:color w:val="000000"/>
          <w:sz w:val="24"/>
        </w:rPr>
        <w:t>means any Receivables Facility Guarantee and/or any representations, warranties, covenants and indemnities entered into by the Company or any Consolidated Subsidiary which the Company has determined in good faith to be customary in a Receivables Facility, including, without limitation, those relating to the servicing of the assets of a Receivables Subsidiary.</w:t>
      </w:r>
    </w:p>
    <w:p>
      <w:pPr>
        <w:pStyle w:val="TextBody"/>
        <w:bidi w:val="0"/>
        <w:spacing w:lineRule="auto" w:line="240" w:before="0" w:after="120"/>
        <w:ind w:left="0" w:right="0" w:firstLine="1440"/>
        <w:jc w:val="left"/>
        <w:rPr/>
      </w:pPr>
      <w:r>
        <w:rPr>
          <w:strike/>
          <w:color w:val="FF0000"/>
        </w:rPr>
        <w:t>“</w:t>
      </w:r>
      <w:r>
        <w:rPr>
          <w:rFonts w:ascii="Times New Roman;sans-serif" w:hAnsi="Times New Roman;sans-serif"/>
          <w:b w:val="false"/>
          <w:strike/>
          <w:color w:val="FF0000"/>
          <w:sz w:val="24"/>
          <w:u w:val="single"/>
        </w:rPr>
        <w:t>Statutory Reserve Percentage</w:t>
      </w:r>
      <w:r>
        <w:rPr>
          <w:strike/>
          <w:color w:val="FF0000"/>
        </w:rPr>
        <w:t xml:space="preserve">” </w:t>
      </w:r>
      <w:r>
        <w:rPr>
          <w:rFonts w:ascii="Times New Roman;sans-serif" w:hAnsi="Times New Roman;sans-serif"/>
          <w:b w:val="false"/>
          <w:strike/>
          <w:color w:val="FF0000"/>
          <w:sz w:val="24"/>
        </w:rPr>
        <w:t xml:space="preserve">means for any day the percentage (expressed as a decimal) that is in effect on such day, as prescribed by the Board, for determining the maximum reserve requirement for a member bank of the Federal Reserve System for eurocurrency funding (currently referred to as “Eurocurrency Liabilities” in Regulation D of the Board). Such reserve percentage shall include those imposed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47</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02235"/>
                <wp:effectExtent l="0" t="0" r="0" b="0"/>
                <wp:wrapNone/>
                <wp:docPr id="259" name="Frame25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strike/>
          <w:color w:val="FF0000"/>
          <w:sz w:val="24"/>
        </w:rPr>
      </w:pPr>
      <w:r>
        <w:rPr>
          <w:rFonts w:ascii="Times New Roman;sans-serif" w:hAnsi="Times New Roman;sans-serif"/>
          <w:b w:val="false"/>
          <w:strike/>
          <w:color w:val="FF0000"/>
          <w:sz w:val="24"/>
        </w:rPr>
        <w:t>pursuant to such Regulation D. The Statutory Reserve Percentage shall be adjusted automatically on and as of the effective date of any change in any reserve percentage.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with respect to any Person (the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any subsidiary of the Company.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Subsidiary Loan Party</w:t>
      </w:r>
      <w:r>
        <w:rPr>
          <w:color w:val="000000"/>
        </w:rPr>
        <w:t xml:space="preserve">” </w:t>
      </w:r>
      <w:r>
        <w:rPr>
          <w:rFonts w:ascii="Times New Roman;sans-serif" w:hAnsi="Times New Roman;sans-serif"/>
          <w:b w:val="false"/>
          <w:color w:val="000000"/>
          <w:sz w:val="24"/>
        </w:rPr>
        <w:t>means, at any time, any Material Subsidiary that is a party to a Collateral Agreement and has satisfied the Collateral and Guarantee Requirement at such time. A Consolidated Subsidiary that has satisfied the Collateral and Guarantee Requirement shall cease to be a Subsidiary Loan Party at such time as its Guarantee of the Obligations, and the security interests in its assets securing the Obligations, in each case under the applicable Collateral Agreement, are released, subject to reinstatement as a Subsidiary Loan Party if and when it subsequently satisfies the Collateral and Guarantee Requirement.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Supermajority Lenders</w:t>
      </w:r>
      <w:r>
        <w:rPr>
          <w:color w:val="000000"/>
        </w:rPr>
        <w:t xml:space="preserve">” </w:t>
      </w:r>
      <w:r>
        <w:rPr>
          <w:rFonts w:ascii="Times New Roman;sans-serif" w:hAnsi="Times New Roman;sans-serif"/>
          <w:b w:val="false"/>
          <w:color w:val="000000"/>
          <w:sz w:val="24"/>
        </w:rPr>
        <w:t>means, at any time, Lenders having Credit Exposures and unused Commitments representing at least 66.7% of the sum of the Aggregate Credit Exposure and total unused Commitments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Supported QFC</w:t>
      </w:r>
      <w:r>
        <w:rPr>
          <w:color w:val="000000"/>
        </w:rPr>
        <w:t xml:space="preserve">” </w:t>
      </w:r>
      <w:r>
        <w:rPr>
          <w:rFonts w:ascii="Times New Roman;sans-serif" w:hAnsi="Times New Roman;sans-serif"/>
          <w:b w:val="false"/>
          <w:color w:val="000000"/>
          <w:sz w:val="24"/>
        </w:rPr>
        <w:t>has the meaning set forth in Section 8.21.</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Suppressed Availability</w:t>
      </w:r>
      <w:r>
        <w:rPr>
          <w:color w:val="000000"/>
        </w:rPr>
        <w:t xml:space="preserve">” </w:t>
      </w:r>
      <w:r>
        <w:rPr>
          <w:rFonts w:ascii="Times New Roman;sans-serif" w:hAnsi="Times New Roman;sans-serif"/>
          <w:b w:val="false"/>
          <w:color w:val="000000"/>
          <w:sz w:val="24"/>
        </w:rPr>
        <w:t xml:space="preserve">means, at any time, an amount, if positive, by which the Borrowing Base at such time exceeds the Aggregate Commitments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Suppressed Availability at any time shall not exceed 2.5% of the Aggregate Commitments at such time.</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any and all present or future taxes, levies, imposts, duties, deductions, charges or withholdings imposed by any Governmental Authority, including any interest, additions to tax or penalties applicable thereto.</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Term Loan Credit Agreement</w:t>
      </w:r>
      <w:r>
        <w:rPr>
          <w:color w:val="000000"/>
        </w:rPr>
        <w:t xml:space="preserve">” </w:t>
      </w:r>
      <w:r>
        <w:rPr>
          <w:rFonts w:ascii="Times New Roman;sans-serif" w:hAnsi="Times New Roman;sans-serif"/>
          <w:b w:val="false"/>
          <w:color w:val="000000"/>
          <w:sz w:val="24"/>
        </w:rPr>
        <w:t>means that certain First Lien Credit Agreement, dated as of August 2, 2021, among the Company, the financial institutions party thereto from time to time and JPMorgan Chase Bank, N.A. as administrative agent.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Term SOFR</w:t>
      </w:r>
      <w:r>
        <w:rPr>
          <w:color w:val="000000"/>
        </w:rPr>
        <w:t xml:space="preserve">” </w:t>
      </w:r>
      <w:r>
        <w:rPr>
          <w:rFonts w:ascii="Times New Roman;sans-serif" w:hAnsi="Times New Roman;sans-serif"/>
          <w:b w:val="false"/>
          <w:color w:val="000000"/>
          <w:sz w:val="24"/>
        </w:rPr>
        <w:t xml:space="preserve">means, </w:t>
      </w:r>
      <w:r>
        <w:rPr>
          <w:rFonts w:ascii="Times New Roman;sans-serif" w:hAnsi="Times New Roman;sans-serif"/>
          <w:b w:val="false"/>
          <w:strike/>
          <w:color w:val="FF0000"/>
          <w:sz w:val="24"/>
        </w:rPr>
        <w:t>for the applicable Corresponding Tenor as of the applicable Reference Time, the forward-looking term rate based on SOFR that has been selected or recommended by the Relevant Governmental Body.</w:t>
      </w:r>
      <w:r>
        <w:rPr>
          <w:rFonts w:ascii="Times New Roman;sans-serif" w:hAnsi="Times New Roman;sans-serif"/>
          <w:b/>
          <w:color w:val="0000FF"/>
          <w:sz w:val="24"/>
          <w:u w:val="single"/>
        </w:rPr>
        <w:t>with respect to any Borrowing denominated in US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 xml:space="preserve">Term SOFR </w:t>
      </w:r>
      <w:r>
        <w:rPr>
          <w:rFonts w:ascii="Times New Roman;sans-serif" w:hAnsi="Times New Roman;sans-serif"/>
          <w:b w:val="false"/>
          <w:strike/>
          <w:color w:val="FF0000"/>
          <w:sz w:val="24"/>
          <w:u w:val="single"/>
        </w:rPr>
        <w:t>Notice</w:t>
      </w:r>
      <w:r>
        <w:rPr>
          <w:strike/>
          <w:color w:val="FF0000"/>
        </w:rPr>
        <w:t xml:space="preserve">” </w:t>
      </w:r>
      <w:r>
        <w:rPr>
          <w:rFonts w:ascii="Times New Roman;sans-serif" w:hAnsi="Times New Roman;sans-serif"/>
          <w:b w:val="false"/>
          <w:strike/>
          <w:color w:val="FF0000"/>
          <w:sz w:val="24"/>
        </w:rPr>
        <w:t>means a notification by the Administrative Agent to the Lenders and the Borrower of the occurrence of a Term SOFR Transition Event</w:t>
      </w:r>
      <w:r>
        <w:rPr>
          <w:rFonts w:ascii="Times New Roman;sans-serif" w:hAnsi="Times New Roman;sans-serif"/>
          <w:b/>
          <w:color w:val="0000FF"/>
          <w:sz w:val="24"/>
          <w:u w:val="single"/>
        </w:rPr>
        <w:t>Determination Day” has the meaning assigned to it in the definition of Term SOFR Reference Rate</w:t>
      </w:r>
      <w:r>
        <w:rPr>
          <w:rFonts w:ascii="Times New Roman;sans-serif" w:hAnsi="Times New Roman;sans-serif"/>
          <w:b w:val="false"/>
          <w:color w:val="000000"/>
          <w:sz w:val="24"/>
        </w:rPr>
        <w:t xml:space="preserv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48</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02235"/>
                <wp:effectExtent l="0" t="0" r="0" b="0"/>
                <wp:wrapNone/>
                <wp:docPr id="260" name="Frame26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strike/>
          <w:color w:val="FF0000"/>
        </w:rPr>
        <w:t>“</w:t>
      </w:r>
      <w:r>
        <w:rPr>
          <w:rFonts w:ascii="Times New Roman;sans-serif" w:hAnsi="Times New Roman;sans-serif"/>
          <w:b w:val="false"/>
          <w:strike/>
          <w:color w:val="FF0000"/>
          <w:sz w:val="24"/>
          <w:u w:val="single"/>
        </w:rPr>
        <w:t>Term SOFR Transition Event</w:t>
      </w:r>
      <w:r>
        <w:rPr>
          <w:strike/>
          <w:color w:val="FF0000"/>
        </w:rPr>
        <w:t xml:space="preserve">” </w:t>
      </w:r>
      <w:r>
        <w:rPr>
          <w:rFonts w:ascii="Times New Roman;sans-serif" w:hAnsi="Times New Roman;sans-serif"/>
          <w:b w:val="false"/>
          <w:strike/>
          <w:color w:val="FF0000"/>
          <w:sz w:val="24"/>
        </w:rPr>
        <w:t>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2.13 that is not Term SOFR.</w:t>
      </w:r>
    </w:p>
    <w:p>
      <w:pPr>
        <w:pStyle w:val="TextBody"/>
        <w:bidi w:val="0"/>
        <w:spacing w:lineRule="auto" w:line="240" w:before="0" w:after="120"/>
        <w:ind w:left="0" w:right="0" w:firstLine="1440"/>
        <w:jc w:val="left"/>
        <w:rPr>
          <w:color w:val="0000FF"/>
          <w:u w:val="single"/>
        </w:rPr>
      </w:pPr>
      <w:r>
        <w:rPr>
          <w:color w:val="0000FF"/>
          <w:u w:val="single"/>
        </w:rPr>
        <w:t>“</w:t>
      </w:r>
      <w:r>
        <w:rPr>
          <w:rFonts w:ascii="Times New Roman;sans-serif" w:hAnsi="Times New Roman;sans-serif"/>
          <w:b/>
          <w:color w:val="0000FF"/>
          <w:sz w:val="24"/>
          <w:u w:val="single"/>
        </w:rPr>
        <w:t>Term SOFR Reference Rate” means, for any day and time (such day, the “Term SOFR Determination Day”), with respect to any Term SOFR Borrowing denominated in US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Test Date</w:t>
      </w:r>
      <w:r>
        <w:rPr>
          <w:color w:val="000000"/>
        </w:rPr>
        <w:t xml:space="preserve">” </w:t>
      </w:r>
      <w:r>
        <w:rPr>
          <w:rFonts w:ascii="Times New Roman;sans-serif" w:hAnsi="Times New Roman;sans-serif"/>
          <w:b w:val="false"/>
          <w:color w:val="000000"/>
          <w:sz w:val="24"/>
        </w:rPr>
        <w:t xml:space="preserve">means the date of any Borrowing hereunder (other than a Borrowing made hereunder solely for the purpose of paying maturing commercial paper of the applicable Borrower) or the date of any issuance, amendment or extension of any Letter of Credit;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date shall not be a “Test Date” if, on such date, (a) if both rating agencies shall have a Credit Rating then in effect, the Credit Ratings are Baa3 and BBB- or better or (b) if only one rating agency shall have a Credit Rating then in effect, the Credit Rating from such rating agency is Baa3 or BBB- or better.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Test Period</w:t>
      </w:r>
      <w:r>
        <w:rPr>
          <w:color w:val="000000"/>
        </w:rPr>
        <w:t xml:space="preserve">” </w:t>
      </w:r>
      <w:r>
        <w:rPr>
          <w:rFonts w:ascii="Times New Roman;sans-serif" w:hAnsi="Times New Roman;sans-serif"/>
          <w:b w:val="false"/>
          <w:color w:val="000000"/>
          <w:sz w:val="24"/>
        </w:rPr>
        <w:t>means, for any date of determination under this Agreement, the then most recently ended period of four consecutive fiscal quarters of the Company.</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Transactions</w:t>
      </w:r>
      <w:r>
        <w:rPr>
          <w:color w:val="000000"/>
        </w:rPr>
        <w:t xml:space="preserve">” </w:t>
      </w:r>
      <w:r>
        <w:rPr>
          <w:rFonts w:ascii="Times New Roman;sans-serif" w:hAnsi="Times New Roman;sans-serif"/>
          <w:b w:val="false"/>
          <w:color w:val="000000"/>
          <w:sz w:val="24"/>
        </w:rPr>
        <w:t>means the execution, delivery and performance by each Loan Party of the Loan Documents to which it is to be a party, the borrowing of Loans, the use of the proceeds thereof and the issuance of Letters of Credit hereunder.</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Type</w:t>
      </w:r>
      <w:r>
        <w:rPr>
          <w:color w:val="000000"/>
        </w:rPr>
        <w:t>”</w:t>
      </w:r>
      <w:r>
        <w:rPr>
          <w:rFonts w:ascii="Times New Roman;sans-serif" w:hAnsi="Times New Roman;sans-serif"/>
          <w:b w:val="false"/>
          <w:color w:val="000000"/>
          <w:sz w:val="24"/>
        </w:rPr>
        <w:t xml:space="preserve">, when used in reference to any Loan or Borrowing, refers to whether the rate of interest on such Loan, or on the Loans comprising such Borrowing, is determined by reference to CDOR Rate, </w:t>
      </w:r>
      <w:r>
        <w:rPr>
          <w:rFonts w:ascii="Times New Roman;sans-serif" w:hAnsi="Times New Roman;sans-serif"/>
          <w:b w:val="false"/>
          <w:strike/>
          <w:color w:val="FF0000"/>
          <w:sz w:val="24"/>
        </w:rPr>
        <w:t>the LIBO Rate</w:t>
      </w:r>
      <w:r>
        <w:rPr>
          <w:rFonts w:ascii="Times New Roman;sans-serif" w:hAnsi="Times New Roman;sans-serif"/>
          <w:b/>
          <w:color w:val="0000FF"/>
          <w:sz w:val="24"/>
          <w:u w:val="single"/>
        </w:rPr>
        <w:t>Adjusted Term SOFR</w:t>
      </w:r>
      <w:r>
        <w:rPr>
          <w:rFonts w:ascii="Times New Roman;sans-serif" w:hAnsi="Times New Roman;sans-serif"/>
          <w:b w:val="false"/>
          <w:color w:val="000000"/>
          <w:sz w:val="24"/>
        </w:rPr>
        <w:t>, the Alternate Base Rate</w:t>
      </w:r>
      <w:r>
        <w:rPr>
          <w:strike/>
          <w:color w:val="FF0000"/>
        </w:rPr>
        <w:t xml:space="preserve"> </w:t>
      </w:r>
      <w:r>
        <w:rPr>
          <w:rFonts w:ascii="Times New Roman;sans-serif" w:hAnsi="Times New Roman;sans-serif"/>
          <w:b w:val="false"/>
          <w:strike/>
          <w:color w:val="FF0000"/>
          <w:sz w:val="24"/>
        </w:rPr>
        <w:t>or</w:t>
      </w:r>
      <w:r>
        <w:rPr>
          <w:rFonts w:ascii="Times New Roman;sans-serif" w:hAnsi="Times New Roman;sans-serif"/>
          <w:b/>
          <w:color w:val="0000FF"/>
          <w:sz w:val="24"/>
          <w:u w:val="single"/>
        </w:rPr>
        <w:t>,</w:t>
      </w:r>
      <w:r>
        <w:rPr>
          <w:color w:val="000000"/>
        </w:rPr>
        <w:t xml:space="preserve"> </w:t>
      </w:r>
      <w:r>
        <w:rPr>
          <w:rFonts w:ascii="Times New Roman;sans-serif" w:hAnsi="Times New Roman;sans-serif"/>
          <w:b w:val="false"/>
          <w:color w:val="000000"/>
          <w:sz w:val="24"/>
        </w:rPr>
        <w:t>the Canadian Prime Rate</w:t>
      </w:r>
      <w:r>
        <w:rPr>
          <w:color w:val="0000FF"/>
          <w:u w:val="single"/>
        </w:rPr>
        <w:t xml:space="preserve"> </w:t>
      </w:r>
      <w:r>
        <w:rPr>
          <w:rFonts w:ascii="Times New Roman;sans-serif" w:hAnsi="Times New Roman;sans-serif"/>
          <w:b/>
          <w:color w:val="0000FF"/>
          <w:sz w:val="24"/>
          <w:u w:val="single"/>
        </w:rPr>
        <w:t>or, if applicable pursuant to Section 2.13, Adjusted Daily Simple SOFR</w:t>
      </w:r>
      <w:r>
        <w:rPr>
          <w:rFonts w:ascii="Times New Roman;sans-serif" w:hAnsi="Times New Roman;sans-serif"/>
          <w:b w:val="false"/>
          <w:color w:val="000000"/>
          <w:sz w:val="24"/>
        </w:rPr>
        <w:t xml:space="preserve">.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 xml:space="preserve">means the Uniform Commercial Code as from time to time in effect in the State of New York;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at any time, if by reason of mandatory provisions of law, any or all of the perfection or priority of the Secured Parties’ security interest in any item or portion of the Collateral is governed by the Uniform Commercial Code as in effect in a jurisdiction other than the State of New York, the term “</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shall mean the Uniform Commercial Code as in effect, at such time, in such other jurisdiction for purposes of the provisions hereof relating to such perfection or priority and for the purposes of definitions relating to such provisions.</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49</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02235"/>
                <wp:effectExtent l="0" t="0" r="0" b="0"/>
                <wp:wrapNone/>
                <wp:docPr id="261" name="Frame26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UCP</w:t>
      </w:r>
      <w:r>
        <w:rPr>
          <w:color w:val="000000"/>
        </w:rPr>
        <w:t xml:space="preserve">” </w:t>
      </w:r>
      <w:r>
        <w:rPr>
          <w:rFonts w:ascii="Times New Roman;sans-serif" w:hAnsi="Times New Roman;sans-serif"/>
          <w:b w:val="false"/>
          <w:color w:val="000000"/>
          <w:sz w:val="24"/>
        </w:rPr>
        <w:t>means the Uniform Customs and Practice for Documentary Credits (2007 Revision, International Chamber of Commerce Publication No. 600), as from time to time in effect.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U.K. Financial Institution</w:t>
      </w:r>
      <w:r>
        <w:rPr>
          <w:color w:val="000000"/>
        </w:rPr>
        <w:t xml:space="preserve">” </w:t>
      </w:r>
      <w:r>
        <w:rPr>
          <w:rFonts w:ascii="Times New Roman;sans-serif" w:hAnsi="Times New Roman;sans-serif"/>
          <w:b w:val="false"/>
          <w:color w:val="000000"/>
          <w:sz w:val="24"/>
        </w:rPr>
        <w:t>means any BRRD Undertaking (as such term is defined under the PRA Rulebook (as amended from time to time) promulgated by the United Kingdom Prudential Regulatory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Unadjusted Benchmark Replacement</w:t>
      </w:r>
      <w:r>
        <w:rPr>
          <w:color w:val="000000"/>
        </w:rPr>
        <w:t xml:space="preserve">” </w:t>
      </w:r>
      <w:r>
        <w:rPr>
          <w:rFonts w:ascii="Times New Roman;sans-serif" w:hAnsi="Times New Roman;sans-serif"/>
          <w:b w:val="false"/>
          <w:color w:val="000000"/>
          <w:sz w:val="24"/>
        </w:rPr>
        <w:t>means the applicable Benchmark Replacement excluding the related Benchmark Replacement Adjustment.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Unfunded Liabilities</w:t>
      </w:r>
      <w:r>
        <w:rPr>
          <w:color w:val="000000"/>
        </w:rPr>
        <w:t xml:space="preserve">” </w:t>
      </w:r>
      <w:r>
        <w:rPr>
          <w:rFonts w:ascii="Times New Roman;sans-serif" w:hAnsi="Times New Roman;sans-serif"/>
          <w:b w:val="false"/>
          <w:color w:val="000000"/>
          <w:sz w:val="24"/>
        </w:rPr>
        <w:t>means, with respect to any Plan at any time, the amount (if any) by which (a) the present value of all benefits under such Plan exceeds (b) the fair market value of all assets of such Plan allocable to such benefits, all determined as of the then most recent valuation date for such Plan, but only to the extent that such excess represents a potential liability of the Company or any ERISA Affiliate to the PBGC or any other Person under Title IV of ERISA.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Unrestricted Subsidiary</w:t>
      </w:r>
      <w:r>
        <w:rPr>
          <w:color w:val="000000"/>
        </w:rPr>
        <w:t xml:space="preserve">” </w:t>
      </w:r>
      <w:r>
        <w:rPr>
          <w:rFonts w:ascii="Times New Roman;sans-serif" w:hAnsi="Times New Roman;sans-serif"/>
          <w:b w:val="false"/>
          <w:color w:val="000000"/>
          <w:sz w:val="24"/>
        </w:rPr>
        <w:t xml:space="preserve">means any Subsidiary listed on Schedule 1.01(b) or designated as an Unrestricted Subsidiary in a written notice sent at any time after the date of this Agreement by the Company to the Administrative Agent which is engaged (a) primarily in the business of making or discounting loans, making advances, extending credit or providing financial accommodation to, or purchasing the obligations of, others; (b) primarily in the business of insuring property against loss and subject to regulation as an insurance company by any Governmental Authority; (c) exclusively in the business of owning or leasing, and operating, aircraft and/or trucks; (d) primarily in the ownership, management, leasing, development or operation of real estate, other than parcels of real estate with respect to which 51% or more of the rentable space is used by the Company or a Consolidated Subsidiary in the normal course of business; or (e) primarily as a carrier transporting goods in both intrastate and interstate commerce;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the Company may by notice to the Administrative Agent change the designation of any Subsidiary described in subparagraphs (a) through (e) above, but may do so only once during the term of this Agreement, (ii) the designation of a Subsidiary as an Unrestricted Subsidiary more than 30 days after the creation or acquisition of such Subsidiary where such Subsidiary was not specifically so designated within such 30 days shall be deemed to be the only permitted change in designation and (iii) immediately after the Company designates any Subsidiary whether now owned or hereafter acquired or created as an Unrestricted Subsidiary or changes the designation of a Subsidiary from an Unrestricted Subsidiary to a Consolidated Subsidiary, the Company and all Consolidated Subsidiaries would be in compliance with all of the provisions of this Agreement.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Upfront Payments</w:t>
      </w:r>
      <w:r>
        <w:rPr>
          <w:color w:val="000000"/>
        </w:rPr>
        <w:t xml:space="preserve">” </w:t>
      </w:r>
      <w:r>
        <w:rPr>
          <w:rFonts w:ascii="Times New Roman;sans-serif" w:hAnsi="Times New Roman;sans-serif"/>
          <w:b w:val="false"/>
          <w:color w:val="000000"/>
          <w:sz w:val="24"/>
        </w:rPr>
        <w:t>has the meaning set forth in Section 2.08.</w:t>
      </w:r>
    </w:p>
    <w:p>
      <w:pPr>
        <w:pStyle w:val="TextBody"/>
        <w:bidi w:val="0"/>
        <w:spacing w:lineRule="auto" w:line="240" w:before="0" w:after="120"/>
        <w:ind w:left="0" w:right="0" w:firstLine="1440"/>
        <w:jc w:val="left"/>
        <w:rPr>
          <w:color w:val="0000FF"/>
          <w:u w:val="single"/>
        </w:rPr>
      </w:pPr>
      <w:r>
        <w:rPr>
          <w:color w:val="0000FF"/>
          <w:u w:val="single"/>
        </w:rPr>
        <w:t>“</w:t>
      </w:r>
      <w:r>
        <w:rPr>
          <w:rFonts w:ascii="Times New Roman;sans-serif" w:hAnsi="Times New Roman;sans-serif"/>
          <w:b/>
          <w:color w:val="0000FF"/>
          <w:sz w:val="24"/>
          <w:u w:val="single"/>
        </w:rPr>
        <w:t>U.S. Government Securities Business Day”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U.S. Person</w:t>
      </w:r>
      <w:r>
        <w:rPr>
          <w:color w:val="000000"/>
        </w:rPr>
        <w:t xml:space="preserve">” </w:t>
      </w:r>
      <w:r>
        <w:rPr>
          <w:rFonts w:ascii="Times New Roman;sans-serif" w:hAnsi="Times New Roman;sans-serif"/>
          <w:b w:val="false"/>
          <w:color w:val="000000"/>
          <w:sz w:val="24"/>
        </w:rPr>
        <w:t>means any Person that is a “United States Person” as defined in Section 7701(a)(30) of the Code.</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50</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02235"/>
                <wp:effectExtent l="0" t="0" r="0" b="0"/>
                <wp:wrapNone/>
                <wp:docPr id="262" name="Frame26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U.S. Special Resolution Regime</w:t>
      </w:r>
      <w:r>
        <w:rPr>
          <w:color w:val="000000"/>
        </w:rPr>
        <w:t xml:space="preserve">” </w:t>
      </w:r>
      <w:r>
        <w:rPr>
          <w:rFonts w:ascii="Times New Roman;sans-serif" w:hAnsi="Times New Roman;sans-serif"/>
          <w:b w:val="false"/>
          <w:color w:val="000000"/>
          <w:sz w:val="24"/>
        </w:rPr>
        <w:t>has the meaning set forth in Section 8.21.</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US Dollar Equivalent</w:t>
      </w:r>
      <w:r>
        <w:rPr>
          <w:color w:val="000000"/>
        </w:rPr>
        <w:t xml:space="preserve">” </w:t>
      </w:r>
      <w:r>
        <w:rPr>
          <w:rFonts w:ascii="Times New Roman;sans-serif" w:hAnsi="Times New Roman;sans-serif"/>
          <w:b w:val="false"/>
          <w:color w:val="000000"/>
          <w:sz w:val="24"/>
        </w:rPr>
        <w:t xml:space="preserve">means, on any date of determination, (a) with respect to any amount in US Dollars, such amount and (b) with respect to any amount in Canadian Dollars, the equivalent in US Dollars of such amount, determined by the Administrative Agent pursuant to Section 1.05 using the Exchange Rate with respect to such currency at the time in effect for such amount under the provisions of such Section.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US Dollars</w:t>
      </w:r>
      <w:r>
        <w:rPr>
          <w:color w:val="000000"/>
        </w:rPr>
        <w:t>”</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USD</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means the lawful money of the United States of America.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Utilization</w:t>
      </w:r>
      <w:r>
        <w:rPr>
          <w:color w:val="000000"/>
        </w:rPr>
        <w:t xml:space="preserve">” </w:t>
      </w:r>
      <w:r>
        <w:rPr>
          <w:rFonts w:ascii="Times New Roman;sans-serif" w:hAnsi="Times New Roman;sans-serif"/>
          <w:b w:val="false"/>
          <w:color w:val="000000"/>
          <w:sz w:val="24"/>
        </w:rPr>
        <w:t>means, on any day, an amount equal to (i) the Aggregate Credit Exposure on such day, divided by (ii) the Aggregate Commitments in effect on such day.</w:t>
      </w:r>
      <w:r>
        <w:rPr>
          <w:color w:val="000000"/>
          <w:u w:val="single"/>
        </w:rPr>
        <w:t xml:space="preserve"> </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VS Transaction</w:t>
      </w:r>
      <w:r>
        <w:rPr>
          <w:color w:val="000000"/>
        </w:rPr>
        <w:t xml:space="preserve">” </w:t>
      </w:r>
      <w:r>
        <w:rPr>
          <w:rFonts w:ascii="Times New Roman;sans-serif" w:hAnsi="Times New Roman;sans-serif"/>
          <w:b w:val="false"/>
          <w:color w:val="000000"/>
          <w:sz w:val="24"/>
        </w:rPr>
        <w:t>means (i) the Separation of the Spin Business (each as defined in the Registration Statement) from BBW as described in the Registration Statement, (ii) the Distribution (as defined in the Separation Agreement), (iii) the payment of the Special Cash Payment (as defined in the Separation Agreement), (iv) the consummation of the other ancillary transactions described in the Separation Agreement and the Registration Statement and (v) the payment of fees and expenses incurred in connection with the foregoing.</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Withdrawal Liability</w:t>
      </w:r>
      <w:r>
        <w:rPr>
          <w:color w:val="000000"/>
        </w:rPr>
        <w:t xml:space="preserve">” </w:t>
      </w:r>
      <w:r>
        <w:rPr>
          <w:rFonts w:ascii="Times New Roman;sans-serif" w:hAnsi="Times New Roman;sans-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Withholding Agent</w:t>
      </w:r>
      <w:r>
        <w:rPr>
          <w:color w:val="000000"/>
        </w:rPr>
        <w:t xml:space="preserve">” </w:t>
      </w:r>
      <w:r>
        <w:rPr>
          <w:rFonts w:ascii="Times New Roman;sans-serif" w:hAnsi="Times New Roman;sans-serif"/>
          <w:b w:val="false"/>
          <w:color w:val="000000"/>
          <w:sz w:val="24"/>
        </w:rPr>
        <w:t>means any Loan Party and the Administrative Agent.</w:t>
      </w:r>
    </w:p>
    <w:p>
      <w:pPr>
        <w:pStyle w:val="TextBody"/>
        <w:bidi w:val="0"/>
        <w:spacing w:lineRule="auto" w:line="240" w:before="0" w:after="120"/>
        <w:ind w:left="0" w:right="0" w:firstLine="1440"/>
        <w:jc w:val="left"/>
        <w:rPr/>
      </w:pPr>
      <w:r>
        <w:rPr>
          <w:color w:val="000000"/>
        </w:rPr>
        <w:t>“</w:t>
      </w:r>
      <w:r>
        <w:rPr>
          <w:rFonts w:ascii="Times New Roman;sans-serif" w:hAnsi="Times New Roman;sans-serif"/>
          <w:b w:val="false"/>
          <w:color w:val="000000"/>
          <w:sz w:val="24"/>
          <w:u w:val="single"/>
        </w:rPr>
        <w:t>Write-Down and Conversion Powers</w:t>
      </w:r>
      <w:r>
        <w:rPr>
          <w:color w:val="000000"/>
        </w:rPr>
        <w:t xml:space="preserve">” </w:t>
      </w:r>
      <w:r>
        <w:rPr>
          <w:rFonts w:ascii="Times New Roman;sans-serif" w:hAnsi="Times New Roman;sans-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1.0b.</w:t>
      </w:r>
      <w:r>
        <w:rPr>
          <w:rFonts w:ascii="Times New Roman;sans-serif" w:hAnsi="Times New Roman;sans-serif"/>
          <w:b w:val="false"/>
          <w:color w:val="000000"/>
          <w:sz w:val="24"/>
          <w:u w:val="single"/>
        </w:rPr>
        <w:t>Classification of Loans and Borrowings.</w:t>
      </w:r>
      <w:r>
        <w:rPr>
          <w:color w:val="000000"/>
        </w:rPr>
        <w:t xml:space="preserve"> </w:t>
      </w:r>
      <w:r>
        <w:rPr>
          <w:rFonts w:ascii="Times New Roman;sans-serif" w:hAnsi="Times New Roman;sans-serif"/>
          <w:b w:val="false"/>
          <w:color w:val="000000"/>
          <w:sz w:val="24"/>
        </w:rPr>
        <w:t>For purposes of this Agreement, Loans may be classified and referred to by Class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“Revolving Loan”) or by Type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Loan”) or by Class and Type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Revolving Loan”). Borrowings also may be classified and referred to by Class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“Revolving Borrowing”) or by Type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Borrowing”) or by Class and Type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Revolving Borrowing”).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1.0c.</w:t>
      </w:r>
      <w:r>
        <w:rPr>
          <w:rFonts w:ascii="Times New Roman;sans-serif" w:hAnsi="Times New Roman;sans-serif"/>
          <w:b w:val="false"/>
          <w:color w:val="000000"/>
          <w:sz w:val="24"/>
          <w:u w:val="single"/>
        </w:rPr>
        <w:t>Terms Generally.</w:t>
      </w:r>
      <w:r>
        <w:rPr>
          <w:color w:val="000000"/>
        </w:rPr>
        <w:t xml:space="preserve"> </w:t>
      </w:r>
      <w:r>
        <w:rPr>
          <w:rFonts w:ascii="Times New Roman;sans-serif" w:hAnsi="Times New Roman;sans-serif"/>
          <w:b w:val="false"/>
          <w:color w:val="000000"/>
          <w:sz w:val="24"/>
        </w:rPr>
        <w:t xml:space="preserve">(a)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51</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02235"/>
                <wp:effectExtent l="0" t="0" r="0" b="0"/>
                <wp:wrapNone/>
                <wp:docPr id="263" name="Frame26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 xml:space="preserve">(i)All terms used in this Agreement which are defined in Article 8 or Article 9 of the UCC and which are not otherwise defined herein shall have the same meanings herein as set forth therein, provided that terms used herein which are defined in the UCC on the date hereof shall continue to have the same meaning notwithstanding any replacement or amendment of such statute except as the Administrative Agent may otherwise determine, and when used to define a category or categories of the Collateral which is subject to the PPSA, such terms shall include the equivalent category or categories of property set forth in the applicable PPSA. Notwithstanding the foregoing, and where the context so requires, (i) any term defined in this Agreement by reference to the “Code”, the “UCC” or the “Uniform Commercial Code” shall also have any extended, alternative or analogous meaning given to such term in the applicable PPSA, in all cases for the extension, preservation or betterment of the security and rights of the Collateral, (ii) all references in this Agreement to Article 8 of the UCC shall be deemed to refer also to applicable Canadian securities transfer laws (including, without limitation, the </w:t>
      </w:r>
      <w:r>
        <w:rPr>
          <w:rFonts w:ascii="Times New Roman;sans-serif" w:hAnsi="Times New Roman;sans-serif"/>
          <w:b w:val="false"/>
          <w:i/>
          <w:color w:val="000000"/>
          <w:sz w:val="24"/>
        </w:rPr>
        <w:t>Securities Transfer Act, 2006</w:t>
      </w:r>
      <w:r>
        <w:rPr>
          <w:color w:val="000000"/>
        </w:rPr>
        <w:t xml:space="preserve"> </w:t>
      </w:r>
      <w:r>
        <w:rPr>
          <w:rFonts w:ascii="Times New Roman;sans-serif" w:hAnsi="Times New Roman;sans-serif"/>
          <w:b w:val="false"/>
          <w:color w:val="000000"/>
          <w:sz w:val="24"/>
        </w:rPr>
        <w:t>(Ontario)) and (iii) all references in this Agreement to a financing statement, continuation statement, amendment or termination statement shall be deemed to refer also to the analogous documents used under applicable Canadian personal property security laws, including, without limitation, where applicable, financing change statements.</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(ii)For purposes of any Collateral located in the Province of Quebec or charged by any deed of hypothec (or any other Loan Document) and for all other purposes pursuant to which the interpretation or construction of a Loan Document may be subject to the laws of the Province of Quebec or a court or tribunal exercising jurisdiction in the Province of Quebec, (i) “personal property” shall be deemed to include “movable property”, (ii) “real property” shall be deemed to include “immovable property”, (iii) “tangible property” shall be deemed to include “corporeal property”, (iv) “intangible property” shall be deemed to include “incorporeal property”, (v) “security interest” and “mortgage” shall be deemed to include a “hypothec”, (vi) all references to filing, registering or recording under the UCC or the PPSA or otherwise shall be deemed to include publication by registration under the Civil Code of Québec, (vii) all references to “perfection of” or “perfected” Liens shall be deemed to include a reference to the “opposability” of such Liens to third parties, (viii) any “right of offset”, “right of setoff” or similar expression shall be deemed to include a “right of compensation”, (ix) “goods” shall be deemed to include “corporeal movable property” other than chattel paper, documents of title, instruments, money and securities, (x) an “agent” shall be deemed to include a “mandatary”, (xi) “construction liens” shall be deemed to include “legal hypothecs in favor of persons having taken part in the construction or renovation of an immovable”, (xii) “joint and several” shall be deemed to include “solidary”, (xiii) “gross negligence or willful misconduct” shall be deemed to be “intentional or gross fault”, (xiv) “beneficial ownership” shall be deemed to include “ownership on behalf of another as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52</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02235"/>
                <wp:effectExtent l="0" t="0" r="0" b="0"/>
                <wp:wrapNone/>
                <wp:docPr id="264" name="Frame26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mandatary”, (xv) “easement” shall be deemed to include “servitude”, (xvi) “priority” shall be deemed to include “prior claim” or “ranking”, as applicable, (xvii) “survey” shall be deemed to include “certificate of location and plan”, (xviii) “state” shall be deemed to include “province”, (xix) “fee simple title” and “fee interest” shall be deemed to include “absolute ownership”, (xx) “accounts” shall be deemed to include “claims”, (xxi) “leasehold interest” shall be deemed to include “rights resulting from a lease”, (xxii) “lease” shall be deemed to include a “lease” or a “contract of leasing (crédit-bail)”, as applicable, and (xxiii) “deposit account” shall be deemed to include a “financial account” (within the meaning of Article 2713.6 of the Civil Code of Québec).</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1.0d.</w:t>
      </w:r>
      <w:r>
        <w:rPr>
          <w:rFonts w:ascii="Times New Roman;sans-serif" w:hAnsi="Times New Roman;sans-serif"/>
          <w:b w:val="false"/>
          <w:color w:val="000000"/>
          <w:sz w:val="24"/>
          <w:u w:val="single"/>
        </w:rPr>
        <w:t>Accounting Terms; GAAP.</w:t>
      </w:r>
      <w:r>
        <w:rPr>
          <w:color w:val="000000"/>
        </w:rPr>
        <w:t xml:space="preserve"> </w:t>
      </w:r>
      <w:r>
        <w:rPr>
          <w:rFonts w:ascii="Times New Roman;sans-serif" w:hAnsi="Times New Roman;sans-serif"/>
          <w:b w:val="false"/>
          <w:color w:val="000000"/>
          <w:sz w:val="24"/>
        </w:rPr>
        <w:t xml:space="preserve">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for purposes of determining compliance with any provision of this Agreement, accounting for leases shall be made in accordance with GAAP as in effect prior to January 1, 2019 without giving effect to any change in accounting for leases resulting from Accounting Standards Codification Topic 842, Leases, (b) all terms of an accounting or financial nature used herein shall be construed, and all computations of amounts and ratios referred to herein shall be made, without giving effect to any election under Accounting Standards Codification Topic 825, Financial Instruments, or any successor thereto, to value any Indebtedness of the Company or any Subsidiary at “fair value”, as defined therein and (c)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1.0e.</w:t>
      </w:r>
      <w:r>
        <w:rPr>
          <w:rFonts w:ascii="Times New Roman;sans-serif" w:hAnsi="Times New Roman;sans-serif"/>
          <w:b w:val="false"/>
          <w:color w:val="000000"/>
          <w:sz w:val="24"/>
          <w:u w:val="single"/>
        </w:rPr>
        <w:t>Exchange Rates.</w:t>
      </w:r>
      <w:r>
        <w:rPr>
          <w:color w:val="000000"/>
        </w:rPr>
        <w:t xml:space="preserve"> </w:t>
      </w:r>
      <w:r>
        <w:rPr>
          <w:rFonts w:ascii="Times New Roman;sans-serif" w:hAnsi="Times New Roman;sans-serif"/>
          <w:b w:val="false"/>
          <w:color w:val="000000"/>
          <w:sz w:val="24"/>
        </w:rPr>
        <w:t xml:space="preserve">The Administrative Agent shall determine the US Dollar Equivalent of all Borrowings denominated in Canadian Dollars as of the date of any Borrowing Request, as of the date of the delivery of any Borrowing Base Certificate, as of the date of each Interest Election Request in respect thereof (or, if an Interest Election Request has not been made within three months since the last date of determination, the three month anniversary of the last date of determination) and as of any date determined by the Administrative Agent, in each case using the Exchange Rate for such currency in relation to US Dollars in effect on the date that is two Business Days prior to the applicable date, and each such amount shall, except as provided in the last sentence of this Section, be the US Dollar Equivalent of such Borrowing until the next required calculation thereof pursuant to this sentence. The Administrative Agent shall determine the US Dollar Equivalent of all Letters of Credit denominated in Canadian Dollars as of the date any Letter of Credit is requested pursuant to Section 2.05(b), a request is made to amend any Letter of Credit to increase its available balance or to extend such Letter of Credit or such Letter of Credit is paid by the Issuing Bank, as of the date of the delivery of any Borrowing Base Certificate and as of any date determined by the Administrative Agent, in each case using the Exchange Rate for such currency in relation to US Dollars in effect on the date that is two Business Days prior to such date, as the case may be, and each such amount shall, except as provided in the last sentence of this Section, be the US Dollar Equivalent of such Letter of Credit until the next required calculation thereof pursuant to this sentence. The Administrative Agent shall notify the Company and the Lenders of each calculation of the US Dollar Equivalent of each Borrowing. Borrowings of the applicable Class denominated in Canadian Dollars will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53</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02235"/>
                <wp:effectExtent l="0" t="0" r="0" b="0"/>
                <wp:wrapNone/>
                <wp:docPr id="265" name="Frame26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reduce availability for Borrowings of such Class denominated in US Dollars based on the Exchange Rate with respect to Canadian Dollars at the time in effect for each such Borrowing. For purposes of (x) determining the Borrowing Base or (y) any dollar basket limitation in Sections 5.08(b)(ix), Sections 5.10(i), (j) and (k), Sections 5.13(f) and Section 5.17(a), the amount of any component of the Borrowing Base or any amount of Indebtedness, Investment, or Lien, applicable, in currencies other than US Dollars shall be translated into US Dollars at currency exchange rates in effect on the date of such determination, and, solely in the case of clause (y), such limitation or cap therein shall not be deemed to have been exceeded if such excess amount is solely as a result of currency fluctuations occurring after the time such Indebtedness, Investment or Lien is incurred or made.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1.0f.</w:t>
      </w:r>
      <w:r>
        <w:rPr>
          <w:rFonts w:ascii="Times New Roman;sans-serif" w:hAnsi="Times New Roman;sans-serif"/>
          <w:b w:val="false"/>
          <w:color w:val="000000"/>
          <w:sz w:val="24"/>
          <w:u w:val="single"/>
        </w:rPr>
        <w:t>Letter of Credit Amounts.</w:t>
      </w:r>
      <w:r>
        <w:rPr>
          <w:color w:val="000000"/>
        </w:rPr>
        <w:t xml:space="preserve"> </w:t>
      </w:r>
      <w:r>
        <w:rPr>
          <w:rFonts w:ascii="Times New Roman;sans-serif" w:hAnsi="Times New Roman;sans-serif"/>
          <w:b w:val="false"/>
          <w:color w:val="000000"/>
          <w:sz w:val="24"/>
        </w:rPr>
        <w:t>Unless otherwise specified herein, the amount of a Letter of Credit at any time shall be deemed to be the stated maximum amount that is, or at any time thereafter may become, available for drawing under of such Letter of Credit.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1.0g.</w:t>
      </w:r>
      <w:r>
        <w:rPr>
          <w:rFonts w:ascii="Times New Roman;sans-serif" w:hAnsi="Times New Roman;sans-serif"/>
          <w:b w:val="false"/>
          <w:color w:val="000000"/>
          <w:sz w:val="24"/>
          <w:u w:val="single"/>
        </w:rPr>
        <w:t>Divisions.</w:t>
      </w:r>
      <w:r>
        <w:rPr>
          <w:color w:val="000000"/>
        </w:rPr>
        <w:t xml:space="preserve"> </w:t>
      </w:r>
      <w:r>
        <w:rPr>
          <w:rFonts w:ascii="Times New Roman;sans-serif" w:hAnsi="Times New Roman;sans-serif"/>
          <w:b w:val="false"/>
          <w:color w:val="000000"/>
          <w:sz w:val="24"/>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1.0h.</w:t>
      </w:r>
      <w:r>
        <w:rPr>
          <w:rFonts w:ascii="Times New Roman;sans-serif" w:hAnsi="Times New Roman;sans-serif"/>
          <w:b w:val="false"/>
          <w:color w:val="000000"/>
          <w:sz w:val="24"/>
          <w:u w:val="single"/>
        </w:rPr>
        <w:t xml:space="preserve">Interest Rates; </w:t>
      </w:r>
      <w:r>
        <w:rPr>
          <w:rFonts w:ascii="Times New Roman;sans-serif" w:hAnsi="Times New Roman;sans-serif"/>
          <w:b w:val="false"/>
          <w:strike/>
          <w:color w:val="FF0000"/>
          <w:sz w:val="24"/>
          <w:u w:val="single"/>
        </w:rPr>
        <w:t>LIBOR</w:t>
      </w:r>
      <w:r>
        <w:rPr>
          <w:rFonts w:ascii="Times New Roman;sans-serif" w:hAnsi="Times New Roman;sans-serif"/>
          <w:b/>
          <w:color w:val="0000FF"/>
          <w:sz w:val="24"/>
          <w:u w:val="single"/>
        </w:rPr>
        <w:t>Benchmark</w:t>
      </w:r>
      <w:r>
        <w:rPr>
          <w:color w:val="000000"/>
          <w:u w:val="single"/>
        </w:rPr>
        <w:t xml:space="preserve"> </w:t>
      </w:r>
      <w:r>
        <w:rPr>
          <w:rFonts w:ascii="Times New Roman;sans-serif" w:hAnsi="Times New Roman;sans-serif"/>
          <w:b w:val="false"/>
          <w:color w:val="000000"/>
          <w:sz w:val="24"/>
          <w:u w:val="single"/>
        </w:rPr>
        <w:t>Notification</w:t>
      </w:r>
      <w:r>
        <w:rPr>
          <w:rFonts w:ascii="Times New Roman;sans-serif" w:hAnsi="Times New Roman;sans-serif"/>
          <w:b w:val="false"/>
          <w:color w:val="000000"/>
          <w:sz w:val="24"/>
        </w:rPr>
        <w:t xml:space="preserve">. The interest rate on a Loan denominated in US Dollars or Canadian Dollars may be derived from an interest rate benchmark that </w:t>
      </w:r>
      <w:r>
        <w:rPr>
          <w:rFonts w:ascii="Times New Roman;sans-serif" w:hAnsi="Times New Roman;sans-serif"/>
          <w:b/>
          <w:color w:val="0000FF"/>
          <w:sz w:val="24"/>
          <w:u w:val="single"/>
        </w:rPr>
        <w:t xml:space="preserve">may be discontinued or that </w:t>
      </w:r>
      <w:r>
        <w:rPr>
          <w:rFonts w:ascii="Times New Roman;sans-serif" w:hAnsi="Times New Roman;sans-serif"/>
          <w:b w:val="false"/>
          <w:color w:val="000000"/>
          <w:sz w:val="24"/>
        </w:rPr>
        <w:t xml:space="preserve">is, or may in the future become, the subject of regulatory reform. </w:t>
      </w:r>
      <w:r>
        <w:rPr>
          <w:rFonts w:ascii="Times New Roman;sans-serif" w:hAnsi="Times New Roman;sans-serif"/>
          <w:b w:val="false"/>
          <w:strike/>
          <w:color w:val="FF0000"/>
          <w:sz w:val="24"/>
        </w:rPr>
        <w:t>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Times New Roman;sans-serif" w:hAnsi="Times New Roman;sans-serif"/>
          <w:b w:val="false"/>
          <w:strike/>
          <w:color w:val="FF0000"/>
          <w:sz w:val="24"/>
          <w:u w:val="single"/>
        </w:rPr>
        <w:t>LIBOR</w:t>
      </w:r>
      <w:r>
        <w:rPr>
          <w:strike/>
          <w:color w:val="FF0000"/>
        </w:rPr>
        <w:t>”</w:t>
      </w:r>
      <w:r>
        <w:rPr>
          <w:rFonts w:ascii="Times New Roman;sans-serif" w:hAnsi="Times New Roman;sans-serif"/>
          <w:b w:val="false"/>
          <w:strike/>
          <w:color w:val="FF0000"/>
          <w:sz w:val="24"/>
        </w:rPr>
        <w:t xml:space="preserve">) is intended to represent the rate at which contributing banks may obtain short-term borrowings from each other in the London interbank market. On March 5, 2021, the U.K. Financial Conduct Authority (“FCA”) publicly announced that: (a) immediately after December 31, 2021, publication of the 1-week and 2-month US Dollar LIBOR settings will permanently cease; and immediately after June 30, 2023, the overnight, 1-month, 3-month, 6-month and 12-month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w:t>
      </w:r>
      <w:r>
        <w:rPr>
          <w:rFonts w:ascii="Times New Roman;sans-serif" w:hAnsi="Times New Roman;sans-serif"/>
          <w:b w:val="false"/>
          <w:color w:val="000000"/>
          <w:sz w:val="24"/>
        </w:rPr>
        <w:t xml:space="preserve">Upon the occurrence of a Benchmark Transition Event, </w:t>
      </w:r>
      <w:r>
        <w:rPr>
          <w:rFonts w:ascii="Times New Roman;sans-serif" w:hAnsi="Times New Roman;sans-serif"/>
          <w:b w:val="false"/>
          <w:strike/>
          <w:color w:val="FF0000"/>
          <w:sz w:val="24"/>
        </w:rPr>
        <w:t xml:space="preserve">a Term SOFR Transition Event or an Early Opt-in Election, </w:t>
      </w:r>
      <w:r>
        <w:rPr>
          <w:rFonts w:ascii="Times New Roman;sans-serif" w:hAnsi="Times New Roman;sans-serif"/>
          <w:b w:val="false"/>
          <w:color w:val="000000"/>
          <w:sz w:val="24"/>
        </w:rPr>
        <w:t xml:space="preserve">Section 2.13(b) </w:t>
      </w:r>
      <w:r>
        <w:rPr>
          <w:rFonts w:ascii="Times New Roman;sans-serif" w:hAnsi="Times New Roman;sans-serif"/>
          <w:b w:val="false"/>
          <w:strike/>
          <w:color w:val="FF0000"/>
          <w:sz w:val="24"/>
        </w:rPr>
        <w:t>and (c) provide</w:t>
      </w:r>
      <w:r>
        <w:rPr>
          <w:rFonts w:ascii="Times New Roman;sans-serif" w:hAnsi="Times New Roman;sans-serif"/>
          <w:b/>
          <w:color w:val="0000FF"/>
          <w:sz w:val="24"/>
          <w:u w:val="single"/>
        </w:rPr>
        <w:t>provides</w:t>
      </w:r>
      <w:r>
        <w:rPr>
          <w:color w:val="000000"/>
        </w:rPr>
        <w:t xml:space="preserve"> </w:t>
      </w:r>
      <w:r>
        <w:rPr>
          <w:rFonts w:ascii="Times New Roman;sans-serif" w:hAnsi="Times New Roman;sans-serif"/>
          <w:b w:val="false"/>
          <w:color w:val="000000"/>
          <w:sz w:val="24"/>
        </w:rPr>
        <w:t xml:space="preserve">a mechanism for determining an alternative rate of interest. The </w:t>
      </w:r>
      <w:r>
        <w:rPr>
          <w:rFonts w:ascii="Times New Roman;sans-serif" w:hAnsi="Times New Roman;sans-serif"/>
          <w:b w:val="false"/>
          <w:strike/>
          <w:color w:val="FF0000"/>
          <w:sz w:val="24"/>
        </w:rPr>
        <w:t xml:space="preserve">Administrative Agent will promptly notify the Company, pursuant to Section 2.13(e), of any change to the reference rate upon which the interest rate on Eurodollar or CDOR Rate Loans is based. However, the </w:t>
      </w:r>
      <w:r>
        <w:rPr>
          <w:rFonts w:ascii="Times New Roman;sans-serif" w:hAnsi="Times New Roman;sans-serif"/>
          <w:b w:val="false"/>
          <w:color w:val="000000"/>
          <w:sz w:val="24"/>
        </w:rPr>
        <w:t xml:space="preserve">Administrative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54</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02235"/>
                <wp:effectExtent l="0" t="0" r="0" b="0"/>
                <wp:wrapNone/>
                <wp:docPr id="266" name="Frame26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Agent does not warrant or accept any responsibility for, and shall not have any liability with respect to, the administration, submission, performance or any other matter related to </w:t>
      </w:r>
      <w:r>
        <w:rPr>
          <w:rFonts w:ascii="Times New Roman;sans-serif" w:hAnsi="Times New Roman;sans-serif"/>
          <w:b w:val="false"/>
          <w:strike/>
          <w:color w:val="FF0000"/>
          <w:sz w:val="24"/>
        </w:rPr>
        <w:t>the Adjusted LIBO Rate or the CDOR Rate</w:t>
      </w:r>
      <w:r>
        <w:rPr>
          <w:rFonts w:ascii="Times New Roman;sans-serif" w:hAnsi="Times New Roman;sans-serif"/>
          <w:b/>
          <w:color w:val="0000FF"/>
          <w:sz w:val="24"/>
          <w:u w:val="single"/>
        </w:rPr>
        <w:t>any interest rate used in this Agreement,</w:t>
      </w:r>
      <w:r>
        <w:rPr>
          <w:color w:val="000000"/>
        </w:rPr>
        <w:t xml:space="preserve"> </w:t>
      </w:r>
      <w:r>
        <w:rPr>
          <w:rFonts w:ascii="Times New Roman;sans-serif" w:hAnsi="Times New Roman;sans-serif"/>
          <w:b w:val="false"/>
          <w:color w:val="000000"/>
          <w:sz w:val="24"/>
        </w:rPr>
        <w:t xml:space="preserve">or with respect to any alternative or successor rate thereto, or replacement rate thereof (including, without limitation, (i) any such alternative, successor or replacement rate implemented pursuant to Section 2.13(b) </w:t>
      </w:r>
      <w:r>
        <w:rPr>
          <w:rFonts w:ascii="Times New Roman;sans-serif" w:hAnsi="Times New Roman;sans-serif"/>
          <w:b w:val="false"/>
          <w:strike/>
          <w:color w:val="FF0000"/>
          <w:sz w:val="24"/>
        </w:rPr>
        <w:t xml:space="preserve">or (c), whether upon the occurrence of a Benchmark Transition Event, a Term SOFR Transition Event or an Early Opt-in Election, </w:t>
      </w:r>
      <w:r>
        <w:rPr>
          <w:rFonts w:ascii="Times New Roman;sans-serif" w:hAnsi="Times New Roman;sans-serif"/>
          <w:b w:val="false"/>
          <w:color w:val="000000"/>
          <w:sz w:val="24"/>
        </w:rPr>
        <w:t xml:space="preserve">and (ii) the implementation of any Benchmark Replacement Conforming Changes pursuant to Section 2.13(d)), including without limitation, whether the composition or characteristics of any such alternative, successor or replacement reference rate will be similar to, or produce the same value or economic equivalence of, the </w:t>
      </w:r>
      <w:r>
        <w:rPr>
          <w:rFonts w:ascii="Times New Roman;sans-serif" w:hAnsi="Times New Roman;sans-serif"/>
          <w:b w:val="false"/>
          <w:strike/>
          <w:color w:val="FF0000"/>
          <w:sz w:val="24"/>
        </w:rPr>
        <w:t>Adjusted LIBO Rate or the CDOR Rate, as applicable,</w:t>
      </w:r>
      <w:r>
        <w:rPr>
          <w:rFonts w:ascii="Times New Roman;sans-serif" w:hAnsi="Times New Roman;sans-serif"/>
          <w:b/>
          <w:color w:val="0000FF"/>
          <w:sz w:val="24"/>
          <w:u w:val="single"/>
        </w:rPr>
        <w:t>existing interest rate being replaced</w:t>
      </w:r>
      <w:r>
        <w:rPr>
          <w:color w:val="000000"/>
        </w:rPr>
        <w:t xml:space="preserve"> </w:t>
      </w:r>
      <w:r>
        <w:rPr>
          <w:rFonts w:ascii="Times New Roman;sans-serif" w:hAnsi="Times New Roman;sans-serif"/>
          <w:b w:val="false"/>
          <w:color w:val="000000"/>
          <w:sz w:val="24"/>
        </w:rPr>
        <w:t xml:space="preserve">or have the same volume or liquidity as did </w:t>
      </w:r>
      <w:r>
        <w:rPr>
          <w:rFonts w:ascii="Times New Roman;sans-serif" w:hAnsi="Times New Roman;sans-serif"/>
          <w:b w:val="false"/>
          <w:strike/>
          <w:color w:val="FF0000"/>
          <w:sz w:val="24"/>
        </w:rPr>
        <w:t>the London interbank offered rate or the Canadian Dollar offered rate, as applicable,</w:t>
      </w:r>
      <w:r>
        <w:rPr>
          <w:rFonts w:ascii="Times New Roman;sans-serif" w:hAnsi="Times New Roman;sans-serif"/>
          <w:b/>
          <w:color w:val="0000FF"/>
          <w:sz w:val="24"/>
          <w:u w:val="single"/>
        </w:rPr>
        <w:t>any existing interest rate</w:t>
      </w:r>
      <w:r>
        <w:rPr>
          <w:color w:val="000000"/>
        </w:rPr>
        <w:t xml:space="preserve"> </w:t>
      </w:r>
      <w:r>
        <w:rPr>
          <w:rFonts w:ascii="Times New Roman;sans-serif" w:hAnsi="Times New Roman;sans-serif"/>
          <w:b w:val="false"/>
          <w:color w:val="000000"/>
          <w:sz w:val="24"/>
        </w:rPr>
        <w:t>prior to its discontinuance or unavailability</w:t>
      </w:r>
      <w:r>
        <w:rPr>
          <w:rFonts w:ascii="Times New Roman;sans-serif" w:hAnsi="Times New Roman;sans-serif"/>
          <w:b/>
          <w:color w:val="0000FF"/>
          <w:sz w:val="24"/>
          <w:u w:val="single"/>
        </w:rPr>
        <w:t>.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Company</w:t>
      </w:r>
      <w:r>
        <w:rPr>
          <w:rFonts w:ascii="Times New Roman;sans-serif" w:hAnsi="Times New Roman;sans-serif"/>
          <w:b w:val="false"/>
          <w:color w:val="000000"/>
          <w:sz w:val="24"/>
        </w:rPr>
        <w:t xml:space="preserve">. The Administrative Agent may select information sources or services in its reasonable discretion to ascertain </w:t>
      </w:r>
      <w:r>
        <w:rPr>
          <w:rFonts w:ascii="Times New Roman;sans-serif" w:hAnsi="Times New Roman;sans-serif"/>
          <w:b w:val="false"/>
          <w:strike/>
          <w:color w:val="FF0000"/>
          <w:sz w:val="24"/>
        </w:rPr>
        <w:t>the Adjusted LIBO Rate or the CDOR Rate</w:t>
      </w:r>
      <w:r>
        <w:rPr>
          <w:rFonts w:ascii="Times New Roman;sans-serif" w:hAnsi="Times New Roman;sans-serif"/>
          <w:b/>
          <w:color w:val="0000FF"/>
          <w:sz w:val="24"/>
          <w:u w:val="single"/>
        </w:rPr>
        <w:t>any interest rate used in this Agreement</w:t>
      </w:r>
      <w:r>
        <w:rPr>
          <w:rFonts w:ascii="Times New Roman;sans-serif" w:hAnsi="Times New Roman;sans-serif"/>
          <w:b w:val="false"/>
          <w:color w:val="000000"/>
          <w:sz w:val="24"/>
        </w:rPr>
        <w:t xml:space="preserve">, any component thereof, or any successor rate thereto, in each case pursuant to the terms of this Agreement, and shall have no liability to </w:t>
      </w:r>
      <w:r>
        <w:rPr>
          <w:rFonts w:ascii="Times New Roman;sans-serif" w:hAnsi="Times New Roman;sans-serif"/>
          <w:b w:val="false"/>
          <w:strike/>
          <w:color w:val="FF0000"/>
          <w:sz w:val="24"/>
        </w:rPr>
        <w:t>any Loan Party</w:t>
      </w:r>
      <w:r>
        <w:rPr>
          <w:rFonts w:ascii="Times New Roman;sans-serif" w:hAnsi="Times New Roman;sans-serif"/>
          <w:b/>
          <w:color w:val="0000FF"/>
          <w:sz w:val="24"/>
          <w:u w:val="single"/>
        </w:rPr>
        <w:t>the Company</w:t>
      </w:r>
      <w:r>
        <w:rPr>
          <w:rFonts w:ascii="Times New Roman;sans-serif" w:hAnsi="Times New Roman;sans-serif"/>
          <w:b w:val="false"/>
          <w:color w:val="000000"/>
          <w:sz w:val="24"/>
        </w:rPr>
        <w:t>,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240"/>
        <w:jc w:val="center"/>
        <w:rPr/>
      </w:pPr>
      <w:r>
        <w:rPr>
          <w:rFonts w:ascii="Times New Roman;sans-serif" w:hAnsi="Times New Roman;sans-serif"/>
          <w:b w:val="false"/>
          <w:color w:val="000000"/>
          <w:sz w:val="24"/>
        </w:rPr>
        <w:t>ARTICLE 2</w:t>
      </w:r>
      <w:r>
        <w:rPr>
          <w:rFonts w:ascii="Times New Roman;sans-serif" w:hAnsi="Times New Roman;sans-serif"/>
          <w:b w:val="false"/>
          <w:color w:val="000000"/>
          <w:sz w:val="24"/>
        </w:rPr>
        <w:br/>
        <w:br/>
        <w:t>The Credits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1.0a.</w:t>
      </w:r>
      <w:r>
        <w:rPr>
          <w:rFonts w:ascii="Times New Roman;sans-serif" w:hAnsi="Times New Roman;sans-serif"/>
          <w:b w:val="false"/>
          <w:color w:val="000000"/>
          <w:sz w:val="24"/>
          <w:u w:val="single"/>
        </w:rPr>
        <w:t>Commitments.</w:t>
      </w:r>
      <w:r>
        <w:rPr>
          <w:color w:val="000000"/>
        </w:rPr>
        <w:t xml:space="preserve"> </w:t>
      </w:r>
      <w:r>
        <w:rPr>
          <w:rFonts w:ascii="Times New Roman;sans-serif" w:hAnsi="Times New Roman;sans-serif"/>
          <w:b w:val="false"/>
          <w:color w:val="000000"/>
          <w:sz w:val="24"/>
        </w:rPr>
        <w:t>(a) Subject to the terms and conditions set forth herein, (i) each Revolving Lender agrees to make Revolving Loans denominated in US Dollars to the Company and any Additional Borrower borrowing in US Dollars, (ii) each Revolving Lender agrees to make Revolving Loans denominated in Canadian Dollars to any Additional Borrower borrowing in Canadian Dollars and (iii) Lenders of any other Class agree to make Loans of such Class to the applicable Borrower in US Dollars or Canadian Dollars, as applicable, in each case from time to time during the Availability Period in an aggregate principal amount that (after giving effect to the making of such Loans and any other Loans being made or Letters of Credit being issued on the same date and any concurrent repayment of Loans and reimbursement of LC Disbursements) will not result in (A) such Lender’s Credit Exposure of the applicable Class exceeding such Lender’s Commitment of such Class, (B) the total Credit Exposures of the applicable Class exceeding the total Commitments of such Class or any other limitation set forth in the applicable Incremental Facility Agreement, (C) the Aggregate Credit Exposure exceeding the Maximum Borrowing Amount and (D) the total Loans denominated in Canadian Dollars exceeding the CAD Sublimit.</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(i)Within the foregoing limits and subject to the terms and conditions set forth herein, the Borrowers may borrow, prepay and reborrow Loans.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1.0b.</w:t>
      </w:r>
      <w:r>
        <w:rPr>
          <w:rFonts w:ascii="Times New Roman;sans-serif" w:hAnsi="Times New Roman;sans-serif"/>
          <w:b w:val="false"/>
          <w:color w:val="000000"/>
          <w:sz w:val="24"/>
          <w:u w:val="single"/>
        </w:rPr>
        <w:t>Loans and Borrowings.</w:t>
      </w:r>
      <w:r>
        <w:rPr>
          <w:color w:val="000000"/>
        </w:rPr>
        <w:t xml:space="preserve"> </w:t>
      </w:r>
      <w:r>
        <w:rPr>
          <w:rFonts w:ascii="Times New Roman;sans-serif" w:hAnsi="Times New Roman;sans-serif"/>
          <w:b w:val="false"/>
          <w:color w:val="000000"/>
          <w:sz w:val="24"/>
        </w:rPr>
        <w:t xml:space="preserve">(a) Each Loan (other than a Protective Advance) shall be made as part of a Borrowing consisting of Loans of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55</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02235"/>
                <wp:effectExtent l="0" t="0" r="0" b="0"/>
                <wp:wrapNone/>
                <wp:docPr id="267" name="Frame26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same Class, Type and currency made by the Lenders ratably in accordance with their respective Commitments of the applicable Class. The failure of any Lender to make any Loan required to be made by it shall not relieve any other Lender of its obligations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Commitments of the Lenders are several and no Lender shall be responsible for any other Lender’s failure to make Loans as required.</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 xml:space="preserve">(i)Subject to Section 2.13, (i) each Borrowing denominated in US Dollars shall be comprised entirely of ABR Loans or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Loans as the applicable Borrowers may request in accordance herewith and (ii) each Borrowing denominated in Canadian Dollars shall be comprised entirely of Canadian Prime Rate Loans or CDOR Rate Loans as the applicable Borrowers may request in accordance herewith. Each Protective Advance shall be an ABR Loan. Each Lender at its option may make any Loan or issue any Letter of Credit by causing any domestic or foreign branch or Affiliate of such Lender to make such Loan or issue such Letter of Credit;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exercise of such option shall not affect the obligation of the applicable Borrower to repay such Loan in accordance with the terms of this Agreement.</w:t>
      </w:r>
    </w:p>
    <w:p>
      <w:pPr>
        <w:pStyle w:val="TextBody"/>
        <w:bidi w:val="0"/>
        <w:spacing w:lineRule="auto" w:line="240" w:before="0" w:after="240"/>
        <w:ind w:left="0" w:right="0" w:firstLine="1147"/>
        <w:jc w:val="left"/>
        <w:rPr/>
      </w:pPr>
      <w:r>
        <w:rPr>
          <w:rFonts w:ascii="Times New Roman;sans-serif" w:hAnsi="Times New Roman;sans-serif"/>
          <w:b w:val="false"/>
          <w:color w:val="000000"/>
          <w:sz w:val="24"/>
        </w:rPr>
        <w:t xml:space="preserve">(ii)At the commencement of each Interest Period for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Borrowing, such Borrowing shall be in an aggregate amount that is an integral multiple of $1,000,000 and not less than $5,000,000 (or in the case of Loans denominated in Canadian Dollars, an integral multiple of CAD1,000,000 and not less than CAD5,000,000). At the time that each ABR or Canadian Prime Rate Borrowing is made, such Borrowing shall be in an aggregate amount that is an integral multiple of $1,000,000 and not less than $5,000,000 (or in the case of Loans denominated in Canadian Dollars, an integral multiple of CAD1,000,000 and not less than CAD5,000,000);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an ABR or Canadian Prime Rate Borrowing may be in an aggregate amount that is equal to (A) the lesser of the entire unused balance of the Commitments of the applicable Class and the amount of Excess Availability, (B) an aggregate amount that is required to finance the repayment of a Protective Advance as contemplated by Section 2.04(a) or (C) an aggregate amount that is required to finance the reimbursement of an LC Disbursement as contemplated by Section 2.05(e) or to provide cash collateral as contemplated by Section 2.19 and (ii) each Protective Advance may be in such principal amount as shall be determined by the Administrative Agent pursuant to Section 2.04. Borrowings of more than one Class or Type may be outstanding at the same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there shall not at any time be more than a total of 12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Borrowings outstanding.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1.0c.</w:t>
      </w:r>
      <w:r>
        <w:rPr>
          <w:rFonts w:ascii="Times New Roman;sans-serif" w:hAnsi="Times New Roman;sans-serif"/>
          <w:b w:val="false"/>
          <w:color w:val="000000"/>
          <w:sz w:val="24"/>
          <w:u w:val="single"/>
        </w:rPr>
        <w:t>Requests for Borrowings.</w:t>
      </w:r>
      <w:r>
        <w:rPr>
          <w:color w:val="000000"/>
        </w:rPr>
        <w:t xml:space="preserve"> </w:t>
      </w:r>
      <w:r>
        <w:rPr>
          <w:rFonts w:ascii="Times New Roman;sans-serif" w:hAnsi="Times New Roman;sans-serif"/>
          <w:b w:val="false"/>
          <w:color w:val="000000"/>
          <w:sz w:val="24"/>
        </w:rPr>
        <w:t xml:space="preserve">To request a Borrowing, the applicable Borrower shall notify the Administrative Agent of such request by telephone (a) in the case of a </w:t>
      </w:r>
      <w:r>
        <w:rPr>
          <w:rFonts w:ascii="Times New Roman;sans-serif" w:hAnsi="Times New Roman;sans-serif"/>
          <w:b w:val="false"/>
          <w:strike/>
          <w:color w:val="FF0000"/>
          <w:sz w:val="24"/>
        </w:rPr>
        <w:t>Eurodollar or</w:t>
      </w:r>
      <w:r>
        <w:rPr>
          <w:rFonts w:ascii="Times New Roman;sans-serif" w:hAnsi="Times New Roman;sans-serif"/>
          <w:b/>
          <w:color w:val="0000FF"/>
          <w:sz w:val="24"/>
          <w:u w:val="single"/>
        </w:rPr>
        <w:t>Term SOFR Borrowing, not later than 11:00 a.m., New York City time, three U.S. Government Securities Business Days before the date of the proposed Borrowing, (b) in the case of a</w:t>
      </w:r>
      <w:r>
        <w:rPr>
          <w:color w:val="000000"/>
        </w:rPr>
        <w:t xml:space="preserve"> </w:t>
      </w:r>
      <w:r>
        <w:rPr>
          <w:rFonts w:ascii="Times New Roman;sans-serif" w:hAnsi="Times New Roman;sans-serif"/>
          <w:b w:val="false"/>
          <w:color w:val="000000"/>
          <w:sz w:val="24"/>
        </w:rPr>
        <w:t>CDOR Rate Borrowing, not later than 11:00 a.m., New York City time, three Business Days before the date of the proposed Borrowing, (b) in the case of a Canadian Prime Rate Borrowing, not later than 11:00 a.m., New York City time, one Business Day before the date of the proposed Borrowing and (c) in the case of an ABR Borrowing, not later than 11:00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applicable Borrower. Each such telephonic and written Borrowing Request shall specify the following information in compliance with Section 2.02:</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(1)the name of the applicable Borrower;</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56</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02235"/>
                <wp:effectExtent l="0" t="0" r="0" b="0"/>
                <wp:wrapNone/>
                <wp:docPr id="268" name="Frame26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(2)whether such Borrowing is to be a Revolving Borrowing or a Borrowing of another Class;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(3)the currency in which such Borrowing is to be denominated (which shall be a currency in which the requesting Borrower is entitled to make Borrowings under this Agreement);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(4)the aggregate amount (expressed in the currency in which such Borrowing is to be denominated) of the requested Borrowing;</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(5)the date of such Borrowing, which shall be a Business Day;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(6)whether such Borrowing is to be an ABR, Canadian Prime Rate,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(7)in the case of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 the initial Interest Period to be applicable thereto, which shall be a period contemplated by the definition of the term “Interest Period”;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(8)the location and number of the applicable Borrower’s account to which funds are to be disbursed, which shall comply with the requirements of Section 2.06.</w:t>
      </w:r>
    </w:p>
    <w:p>
      <w:pPr>
        <w:pStyle w:val="TextBody"/>
        <w:bidi w:val="0"/>
        <w:spacing w:lineRule="auto" w:line="240" w:before="0" w:after="240"/>
        <w:jc w:val="left"/>
        <w:rPr/>
      </w:pPr>
      <w:r>
        <w:rPr>
          <w:rFonts w:ascii="Times New Roman;sans-serif" w:hAnsi="Times New Roman;sans-serif"/>
          <w:b w:val="false"/>
          <w:color w:val="000000"/>
          <w:sz w:val="24"/>
        </w:rPr>
        <w:t xml:space="preserve">If no election as to the Type of Borrowing is specified, then the requested Borrowing shall be (i) in the case of a Loan denominated in US Dollars, an ABR Borrowing and (ii) in the case of a Loan denominated in Canadian Dollars, a Canadian Prime Rate Borrowing. If no Interest Period is specified with respect to any requested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1.0d.</w:t>
      </w:r>
      <w:r>
        <w:rPr>
          <w:rFonts w:ascii="Times New Roman;sans-serif" w:hAnsi="Times New Roman;sans-serif"/>
          <w:b w:val="false"/>
          <w:color w:val="000000"/>
          <w:sz w:val="24"/>
          <w:u w:val="single"/>
        </w:rPr>
        <w:t>Protective Advances.</w:t>
      </w:r>
      <w:r>
        <w:rPr>
          <w:color w:val="000000"/>
        </w:rPr>
        <w:t xml:space="preserve"> </w:t>
      </w:r>
      <w:r>
        <w:rPr>
          <w:rFonts w:ascii="Times New Roman;sans-serif" w:hAnsi="Times New Roman;sans-serif"/>
          <w:b w:val="false"/>
          <w:color w:val="000000"/>
          <w:sz w:val="24"/>
        </w:rPr>
        <w:t>(a) Subject to the limitations set forth below, the Administrative Agent is authorized by the Company and the Lenders, from time to time during the Availability Period, in the Administrative Agent’s sole discretion (but with no obligation), to make Loans in US Dollars to the Company,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Borrowers pursuant to the terms of this Agreement, including payments of reimbursable expenses (including costs, fees, and expenses described in Section 8.03) and other sums payable under the Loan Documents (any such Loans are herein referred to as “</w:t>
      </w:r>
      <w:r>
        <w:rPr>
          <w:rFonts w:ascii="Times New Roman;sans-serif" w:hAnsi="Times New Roman;sans-serif"/>
          <w:b w:val="false"/>
          <w:color w:val="000000"/>
          <w:sz w:val="24"/>
          <w:u w:val="single"/>
        </w:rPr>
        <w:t>Protective Advances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aggregate principal amount of Protective Advances outstanding at any time shall not exceed $50,000,000;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the making of any Protective Advance shall not cause the Aggregate Credit Exposure to exceed the Aggregate Commitments. Protective Advances may be made when a Default exists or the conditions precedent set forth in Section 4.02 are not otherwise satisfied. The Protective Advances shall be secured by the Liens created by the Collateral Documents and shall constitute Obligations. The Company shall be required to repay (or, subject to the satisfaction of the conditions precedent set forth in Section 4.02, refinance with the proceeds of a Borrowing) each Protective Advance within 45 days after such Protective Advance is made. Without affecting Protective Advances already made,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57</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02235"/>
                <wp:effectExtent l="0" t="0" r="0" b="0"/>
                <wp:wrapNone/>
                <wp:docPr id="269" name="Frame26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Agent’s authorization to make future Protective Advances may be revoked at any time by the Required Lenders. Any such revocation must be in writing and shall become effective prospectively upon the Administrative Agent’s receipt thereof. At any time that there is sufficient Excess Availability and the conditions precedent set forth in Section 4.02 have been satisfied, the Administrative Agent may request, on behalf of the Company, the Lenders to make ABR Loans to repay any Protective Advance. At any other time the Administrative Agent may require the Lenders to acquire participations in any Protective Advance as described in Section 2.04(b).</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 xml:space="preserve">(i)The Administrative Agent may by notice given not later than 12:00 noon, New York City time, on any Business Day require the Lenders to acquire participations on such Business Day in all or a portion of the Protective Advances outstanding. Such notice shall specify the aggregate principal amount of Protective Advances in which the Lenders will be required to participate and each Lender’s Applicable Percentage of such Protective Advances. Each Lender hereby absolutely and unconditionally agrees to pay, promptly upon receipt of notice as provided above (and in any event, if such notice is received by 12:00 noon, New York City time, on a Business Day, no later than 2:00 p.m., New York City time on such Business Day and if received after 12:00 noon, New York City time, on a Business Day, no later than 10:00 a.m., New York City time, on the immediately succeeding Business Day), to the Administrative Agent such Lender’s Applicable Percentage of such Protective Advances. Each Lender acknowledges and agrees that its obligation to acquire participations in Protective Advances pursuant to this paragraph is absolute and unconditional and shall not be affected by any circumstance whatsoever, including nonsatisfaction of any of the conditions precedent set forth in Section 4.02, the occurrence and continuance of a Default or any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2.06 with respect to Loans made by such Lender (and Section 2.06 shall apply, mutatis mutandis, to the payment obligations of the Lenders pursuant to this paragraph). Any amounts received by the Administrative Agent from the Company (or other Person on behalf of the Company) in respect of a Protective Advance after receipt by the Administrative Agent of the proceeds of a sale of participations therein shall be promptly remitted by the Administrative Agent to the Lenders that shall have made their payments pursuant to this paragraph to the extent of their interests therein;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payment so remitted shall be repaid to the Administrative Agent if and to the extent such payment is required to be refunded to a Borrower for any reason. The purchase of participations in a Protective Advance pursuant to this paragraph shall not constitute a Loan and shall not relieve the Company of its obligation to repay such Protective Advance.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1.0e.</w:t>
      </w:r>
      <w:r>
        <w:rPr>
          <w:rFonts w:ascii="Times New Roman;sans-serif" w:hAnsi="Times New Roman;sans-serif"/>
          <w:b w:val="false"/>
          <w:color w:val="000000"/>
          <w:sz w:val="24"/>
          <w:u w:val="single"/>
        </w:rPr>
        <w:t>Letters of Credit.</w:t>
      </w:r>
      <w:r>
        <w:rPr>
          <w:color w:val="000000"/>
        </w:rPr>
        <w:t xml:space="preserve">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General.</w:t>
      </w:r>
      <w:r>
        <w:rPr>
          <w:color w:val="000000"/>
        </w:rPr>
        <w:t xml:space="preserve"> </w:t>
      </w:r>
      <w:r>
        <w:rPr>
          <w:rFonts w:ascii="Times New Roman;sans-serif" w:hAnsi="Times New Roman;sans-serif"/>
          <w:b w:val="false"/>
          <w:color w:val="000000"/>
          <w:sz w:val="24"/>
        </w:rPr>
        <w:t xml:space="preserve">Subject to the terms and conditions set forth herein, a Borrower may request the issuance of Letters of Credit of any Class that provides for the issuance of Letters of Credit, in a form reasonably acceptable to the Administrative Agent and the applicable Issuing Bank, at any time and from time to time during the Availability Period, which Letter of Credit may be denominated in (x) in the case of the Company, US Dollars and (y) in the case of any Canadian Borrower, Canadian Dollars. In the event of any inconsistency between the terms and conditions of this Agreement and the terms and conditions of any form of letter of credit application or other agreement submitted by the applicable Borrower to, or entered into by the applicable Borrower with, an Issuing Bank relating to any Letter of Credit, the terms and conditions of this Agreement shall control. The parties hereto acknowledge and agree that (i) Letters of Credit may be issued to support obligations of Subsidiaries of the Borrowers as well as the Borrowers; (ii) Letters of Credit issued to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58</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02235"/>
                <wp:effectExtent l="0" t="0" r="0" b="0"/>
                <wp:wrapNone/>
                <wp:docPr id="270" name="Frame27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support obligations of a Subsidiary may state that they are issued for such Subsidiary’s account, and the applicable Borrower hereby acknowledges that the issuance of Letters of Credit for the account of its Subsidiaries inures to the benefit of such Borrower, and that such Borrower’s business derives substantial benefits from the businesses of such Subsidiaries; and (iii) regardless of any such statement in any Letter of Credit, the applicable Borrower is the “</w:t>
      </w:r>
      <w:r>
        <w:rPr>
          <w:rFonts w:ascii="Times New Roman;sans-serif" w:hAnsi="Times New Roman;sans-serif"/>
          <w:b w:val="false"/>
          <w:color w:val="000000"/>
          <w:sz w:val="24"/>
          <w:u w:val="single"/>
        </w:rPr>
        <w:t>account party</w:t>
      </w:r>
      <w:r>
        <w:rPr>
          <w:color w:val="000000"/>
        </w:rPr>
        <w:t xml:space="preserve">” </w:t>
      </w:r>
      <w:r>
        <w:rPr>
          <w:rFonts w:ascii="Times New Roman;sans-serif" w:hAnsi="Times New Roman;sans-serif"/>
          <w:b w:val="false"/>
          <w:color w:val="000000"/>
          <w:sz w:val="24"/>
        </w:rPr>
        <w:t>in respect of all Letters of Credit issued at its request and will be responsible for reimbursement of LC Disbursements as provided herein. Notwithstanding anything to the contrary contained in this Agreement, it is understood and agreed that, except as separately agreed between such Issuing Bank and the applicable Borrower, no Issuing Bank shall have an obligation hereunder to issue any commercial or trade Letter of Credit.</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Notice of Issuance, Amendment, Extension; Certain Conditions.</w:t>
      </w:r>
      <w:r>
        <w:rPr>
          <w:color w:val="000000"/>
        </w:rPr>
        <w:t xml:space="preserve"> </w:t>
      </w:r>
      <w:r>
        <w:rPr>
          <w:rFonts w:ascii="Times New Roman;sans-serif" w:hAnsi="Times New Roman;sans-serif"/>
          <w:b w:val="false"/>
          <w:color w:val="000000"/>
          <w:sz w:val="24"/>
        </w:rPr>
        <w:t>To request the issuance of a Letter of Credit of any Class (or the amendment or extension of an outstanding Letter of Credit of any Class), the applicable Borrower shall hand deliver or telecopy (or transmit by electronic communication, if arrangements for doing so have been approved by the relevant Issuing Bank) to the relevant Issuing Bank and the Administrative Agent (reasonably in advance of the requested date of issuance, amendment or extension) a notice requesting the issuance of a Letter of Credit of such Class, or identifying the Letter of Credit of such Class to be amended or extended, and specifying the name of the requesting Borrower, the date of issuance, amendment or extension (which shall be a Business Day), the date on which such Letter of Credit is to expire (which shall comply with paragraph (c) of this Section), the Class and amount of such Letter of Credit, the currency in which such Letter of Credit shall be denominated (which shall be a currency in which the requesting Borrower is entitled to make Borrowings of such Class under this Agreement), the name and address of the beneficiary thereof and such other information as shall be necessary to prepare, amend or extend such Letter of Credit. If requested by the relevant Issuing Bank, the applicable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applicable Borrower shall be deemed to represent and warrant that), after giving effect to such issuance, amendment or extension (i) the LC Exposure shall not exceed $100,000,000, (ii) the portion of the LC Exposure attributable to Letters of Credit issued by an Issuing Bank will not exceed such Issuing Bank’s LC Commitment, (iii) no Lender’s Credit Exposure of the applicable Class shall exceed its Commitment of such Class, (iv) the total Credit Exposures of the applicable Class shall not exceed the total Commitments of such Class or any other limitation set forth in the applicable Incremental Facility Agreement, (v) the Aggregate Credit Exposure shall not exceed the Maximum Borrowing Amount and (vi) the total Credit Exposures denominated in Canadian Dollars shall not exceed the CAD Sublimit.</w:t>
      </w:r>
    </w:p>
    <w:p>
      <w:pPr>
        <w:pStyle w:val="TextBody"/>
        <w:bidi w:val="0"/>
        <w:spacing w:lineRule="auto" w:line="240" w:before="0" w:after="240"/>
        <w:ind w:left="0" w:right="0" w:firstLine="1147"/>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Expiration Date.</w:t>
      </w:r>
      <w:r>
        <w:rPr>
          <w:color w:val="000000"/>
        </w:rPr>
        <w:t xml:space="preserve"> </w:t>
      </w:r>
      <w:r>
        <w:rPr>
          <w:rFonts w:ascii="Times New Roman;sans-serif" w:hAnsi="Times New Roman;sans-serif"/>
          <w:b w:val="false"/>
          <w:color w:val="000000"/>
          <w:sz w:val="24"/>
        </w:rPr>
        <w:t xml:space="preserve">Each Letter of Credit shall expire at or prior to the close of business on the earlier of (i) the date one year after the date of the issuance of such Letter of Credit (or, in the case of any extension thereof, one year after such extension);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Letter of Credit may be subject to customary “evergreen” provisions pursuant to which the expiration date thereof shall be automatically extended for a period of up to one year (subject to clause (ii) of this sentence) unless notice to the contrary shall have been given by any Issuing Bank in respect thereof by a specified date, and (ii) the date that is five Business Days prior to the Maturity Date.</w:t>
      </w:r>
    </w:p>
    <w:p>
      <w:pPr>
        <w:pStyle w:val="TextBody"/>
        <w:bidi w:val="0"/>
        <w:spacing w:lineRule="auto" w:line="240" w:before="0" w:after="240"/>
        <w:ind w:left="0" w:right="0" w:firstLine="1081"/>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Participations.</w:t>
      </w:r>
      <w:r>
        <w:rPr>
          <w:color w:val="000000"/>
        </w:rPr>
        <w:t xml:space="preserve"> </w:t>
      </w:r>
      <w:r>
        <w:rPr>
          <w:rFonts w:ascii="Times New Roman;sans-serif" w:hAnsi="Times New Roman;sans-serif"/>
          <w:b w:val="false"/>
          <w:color w:val="000000"/>
          <w:sz w:val="24"/>
        </w:rPr>
        <w:t xml:space="preserve">By the issuance of a Letter of Credit of any Class (or an amendment to a Letter of Credit of any Class increasing the amount thereof) and without any further action on the part of the relevant Issuing Bank or the Lenders of such Class,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59</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02235"/>
                <wp:effectExtent l="0" t="0" r="0" b="0"/>
                <wp:wrapNone/>
                <wp:docPr id="271" name="Frame27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such Issuing Bank hereby grants to each Lender of such Class, and each Lender of such Class hereby acquires from such Issuing Bank, a participation in such Letter of Credit equal to such Lender’s Applicable Percentage with respect to such Class of the aggregate amount available to be drawn under such Letter of Credit, subject to any LC Exposure Reallocation. In consideration and in furtherance of the foregoing, each Lender of any Class hereby absolutely and unconditionally agrees to pay to the Administrative Agent, for the account of such Issuing Bank, such Lender’s Applicable Percentage in respect of such Class of each LC Disbursement made by such Issuing Bank in respect of a Letter of Credit of such Class and not reimbursed by the applicable Borrower on the date due as provided in paragraph (e) of this Section, or of any reimbursement payment required to be refunded to the applicable Borrower for any reason, subject to any LC Exposure Reallocation. Each Lender of any applicable Class acknowledges and agrees that its obligation to acquire participations pursuant to this paragraph in respect of Letters of Credit of such Class is absolute and unconditional and shall not be affected by any circumstance whatsoever, including any amendment or extension of any such Letter of Credit or the occurrence and continuance of a Default or reduction or termination of the Commitments, and that each such payment shall be made without any offset, abatement, withholding or reduction whatsoever.</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Reimbursement.</w:t>
      </w:r>
      <w:r>
        <w:rPr>
          <w:color w:val="000000"/>
        </w:rPr>
        <w:t xml:space="preserve"> </w:t>
      </w:r>
      <w:r>
        <w:rPr>
          <w:rFonts w:ascii="Times New Roman;sans-serif" w:hAnsi="Times New Roman;sans-serif"/>
          <w:b w:val="false"/>
          <w:color w:val="000000"/>
          <w:sz w:val="24"/>
        </w:rPr>
        <w:t xml:space="preserve">Upon receipt from the beneficiary of any Letter of Credit of any Class of any notice of a drawing under such Letter of Credit, the Issuing Bank shall notify the Company, the applicable Borrower and the Administrative Agent thereof. The applicable Borrower shall reimburse such LC Disbursement by paying to the Administrative Agent an amount equal to such LC Disbursement in the currency in which such LC Disbursement was made not later than 12:00 noon, New York City time, on the next Business Day after the date that the applicable Borrower shall have received notice of such LC Disbursement;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applicable Borrower may, subject to the conditions to borrowing set forth herein, request in accordance with Section 2.03 that such payment be financed with an ABR or Canadian Prime Rate Borrowing of the applicable Class in an equivalent amount, and, to the extent so financed, the applicable Borrower’s obligation to make such payment shall be discharged and replaced by the resulting ABR or Canadian Prime Rate Borrowing. If the applicable Borrower fails to make such payment when due, the Administrative Agent shall notify each Lender of the applicable Class of the applicable LC Disbursement, the payment then due from the applicable Borrower in respect thereof and such Lender’s Applicable Percentage thereof (subject to any LC Exposure Reallocation). Promptly following receipt of such notice, each Lender of the applicable Class shall pay to the Administrative Agent its Applicable Percentage (subject to any LC Exposure Reallocation) of the payment then due from the applicable Borrower, in the same manner as provided in Section 2.06 with respect to Loans made by such Lender and in the applicable currency (and Section 2.06 shall apply, </w:t>
      </w:r>
      <w:r>
        <w:rPr>
          <w:rFonts w:ascii="Times New Roman;sans-serif" w:hAnsi="Times New Roman;sans-serif"/>
          <w:b w:val="false"/>
          <w:color w:val="000000"/>
          <w:sz w:val="24"/>
          <w:u w:val="single"/>
        </w:rPr>
        <w:t>mutatis</w:t>
      </w:r>
      <w:r>
        <w:rPr>
          <w:color w:val="000000"/>
        </w:rPr>
        <w:t xml:space="preserve"> </w:t>
      </w:r>
      <w:r>
        <w:rPr>
          <w:rFonts w:ascii="Times New Roman;sans-serif" w:hAnsi="Times New Roman;sans-serif"/>
          <w:b w:val="false"/>
          <w:color w:val="000000"/>
          <w:sz w:val="24"/>
          <w:u w:val="single"/>
        </w:rPr>
        <w:t>mutandis</w:t>
      </w:r>
      <w:r>
        <w:rPr>
          <w:rFonts w:ascii="Times New Roman;sans-serif" w:hAnsi="Times New Roman;sans-serif"/>
          <w:b w:val="false"/>
          <w:color w:val="000000"/>
          <w:sz w:val="24"/>
        </w:rPr>
        <w:t>, to the payment obligations of the Lenders) and within the same timeframe as provided after a request for a Borrowing in Section 2.03, and the Administrative Agent shall promptly pay such Issuing Bank the amounts so received by it from the Lenders of such Class. Promptly following receipt by the Administrative Agent of any payment from the applicable Borrower pursuant to this paragraph, the Administrative Agent shall distribute such payment to such Issuing Bank or, to the extent that Lenders of the applicable Class have made payments pursuant to this paragraph to reimburse such Issuing Bank, then to such Lenders and such Issuing Bank as their interests may appear. Any payment made by a Lender pursuant to this paragraph to reimburse such Issuing Bank for any LC Disbursement (other than the funding of ABR or Canadian Prime Rate Loans as contemplated above) shall not constitute a Loan and shall not relieve the applicable Borrower of its obligation to reimburse such LC Disbursement.</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60</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02235"/>
                <wp:effectExtent l="0" t="0" r="0" b="0"/>
                <wp:wrapNone/>
                <wp:docPr id="272" name="Frame27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160"/>
        <w:jc w:val="left"/>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Obligations Absolute.</w:t>
      </w:r>
      <w:r>
        <w:rPr>
          <w:color w:val="000000"/>
        </w:rPr>
        <w:t xml:space="preserve"> </w:t>
      </w:r>
      <w:r>
        <w:rPr>
          <w:rFonts w:ascii="Times New Roman;sans-serif" w:hAnsi="Times New Roman;sans-serif"/>
          <w:b w:val="false"/>
          <w:color w:val="000000"/>
          <w:sz w:val="24"/>
        </w:rPr>
        <w:t xml:space="preserve">The applicable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other term or provision in this Agreement,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applicable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foregoing shall not be construed to excuse any Issuing Bank from liability to the applicable Borrower to the extent of any direct damages (as opposed to consequential, special, indirect and punitive damages, claims in respect of which are hereby waived by the applicable Borrower to the extent permitted by applicable law) suffered by the applicable Borrower that are caused by such Issuing Bank’s failure to exercise care when determining whether drafts and other documents presented under a Letter of Credit comply with the terms thereof or such Issuing Bank’s failure to make an LC Disbursement under a Letter of Credit upon presentation to it of documents strictly complying with such Letter of Credit.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such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Disbursement Procedures.</w:t>
      </w:r>
      <w:r>
        <w:rPr>
          <w:color w:val="000000"/>
        </w:rPr>
        <w:t xml:space="preserve"> </w:t>
      </w:r>
      <w:r>
        <w:rPr>
          <w:rFonts w:ascii="Times New Roman;sans-serif" w:hAnsi="Times New Roman;sans-serif"/>
          <w:b w:val="false"/>
          <w:color w:val="000000"/>
          <w:sz w:val="24"/>
        </w:rPr>
        <w:t xml:space="preserve">Any Issuing Bank shall, within the period of time stipulated by the terms and conditions of the applicable Letter of Credit, examine all documents purporting to represent a demand for payment under such Letter of Credit. After such examination, such Issuing Bank shall promptly notify the Administrative Agent and the applicable Borrower by telephone (confirmed by telecopy) of such demand for payment and whether such Issuing Bank has made or will make an LC Disbursement thereunder;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failure to give or delay in giving such notice shall not relieve such Borrower of its obligation to reimburse such Issuing Bank and the applicable Lenders with respect to any such LC Disbursement.</w:t>
      </w:r>
    </w:p>
    <w:p>
      <w:pPr>
        <w:pStyle w:val="TextBody"/>
        <w:bidi w:val="0"/>
        <w:spacing w:lineRule="auto" w:line="240" w:before="0" w:after="240"/>
        <w:ind w:left="0" w:right="0" w:firstLine="1027"/>
        <w:jc w:val="left"/>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Interim Interest.</w:t>
      </w:r>
      <w:r>
        <w:rPr>
          <w:color w:val="000000"/>
        </w:rPr>
        <w:t xml:space="preserve"> </w:t>
      </w:r>
      <w:r>
        <w:rPr>
          <w:rFonts w:ascii="Times New Roman;sans-serif" w:hAnsi="Times New Roman;sans-serif"/>
          <w:b w:val="false"/>
          <w:color w:val="000000"/>
          <w:sz w:val="24"/>
        </w:rPr>
        <w:t xml:space="preserve">If any Issuing Bank shall make any LC Disbursement, then, unless the applicable Borrower shall reimburse such LC Disbursement in full on the later of (i) the date when such LC Disbursement is made and (ii) the date upon which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61</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02235"/>
                <wp:effectExtent l="0" t="0" r="0" b="0"/>
                <wp:wrapNone/>
                <wp:docPr id="273" name="Frame27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such Borrower receives notice of such LC Disbursement pursuant to paragraph (g) above (such later date, the “</w:t>
      </w:r>
      <w:r>
        <w:rPr>
          <w:rFonts w:ascii="Times New Roman;sans-serif" w:hAnsi="Times New Roman;sans-serif"/>
          <w:b w:val="false"/>
          <w:color w:val="000000"/>
          <w:sz w:val="24"/>
          <w:u w:val="single"/>
        </w:rPr>
        <w:t>Interest Commencement Date</w:t>
      </w:r>
      <w:r>
        <w:rPr>
          <w:color w:val="000000"/>
        </w:rPr>
        <w:t>”</w:t>
      </w:r>
      <w:r>
        <w:rPr>
          <w:rFonts w:ascii="Times New Roman;sans-serif" w:hAnsi="Times New Roman;sans-serif"/>
          <w:b w:val="false"/>
          <w:color w:val="000000"/>
          <w:sz w:val="24"/>
        </w:rPr>
        <w:t>), the unpaid amount thereof shall bear interest, for each day from and including the Interest Commencement Date to but excluding the date that reimbursement of such LC Disbursement is due pursuant to paragraph (e) of this Section, at the rate provided in Section 2.12 with respect to (x) in the case of LC Disbursements denominated in US Dollars, ABR Loans and (y) in the case of LC Disbursements denominated in Canadian Dollars, Canadian Prime Rate Loans, and, if not so reimbursed on the date due pursuant to paragraph (e) of this Section, then from and including such date so due to but excluding the date that such Borrower reimburses such LC Disbursement, at the rate provided in Section 2.12(g) with respect to such Loans.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pStyle w:val="TextBody"/>
        <w:bidi w:val="0"/>
        <w:spacing w:lineRule="auto" w:line="240" w:before="0" w:after="240"/>
        <w:ind w:left="0" w:right="0" w:firstLine="961"/>
        <w:jc w:val="left"/>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Replacement of an Issuing Bank.</w:t>
      </w:r>
      <w:r>
        <w:rPr>
          <w:color w:val="000000"/>
        </w:rPr>
        <w:t xml:space="preserve"> </w:t>
      </w:r>
      <w:r>
        <w:rPr>
          <w:rFonts w:ascii="Times New Roman;sans-serif" w:hAnsi="Times New Roman;sans-serif"/>
          <w:b w:val="false"/>
          <w:color w:val="000000"/>
          <w:sz w:val="24"/>
        </w:rPr>
        <w:t>Any Issuing Bank may be replaced at any time by written agreement among the Company and the successor Issuing Bank. The Company shall notify the Administrative Agent, the replaced Issuing Bank and the Lenders of any such replacement of any Issuing Bank. At the time any such replacement shall become effective, the applicable Borrowers shall pay all unpaid fees payable by the applicable Borrowers that have accrued for the account of any replaced Issuing Bank pursuant to Section 2.11(b). From and after the effective date of any such replacement, (i) the successor Issuing Bank shall have all the rights and obligations of an Issuing Bank under this Agreement with respect to Letters of Credit to be issued thereafter and (ii) references herein to the term “</w:t>
      </w:r>
      <w:r>
        <w:rPr>
          <w:rFonts w:ascii="Times New Roman;sans-serif" w:hAnsi="Times New Roman;sans-serif"/>
          <w:b w:val="false"/>
          <w:color w:val="000000"/>
          <w:sz w:val="24"/>
          <w:u w:val="single"/>
        </w:rPr>
        <w:t>Issuing Bank</w:t>
      </w:r>
      <w:r>
        <w:rPr>
          <w:color w:val="000000"/>
        </w:rPr>
        <w:t xml:space="preserve">” </w:t>
      </w:r>
      <w:r>
        <w:rPr>
          <w:rFonts w:ascii="Times New Roman;sans-serif" w:hAnsi="Times New Roman;sans-serif"/>
          <w:b w:val="false"/>
          <w:color w:val="000000"/>
          <w:sz w:val="24"/>
        </w:rPr>
        <w:t>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Cash Collateralization.</w:t>
      </w:r>
      <w:r>
        <w:rPr>
          <w:color w:val="000000"/>
        </w:rPr>
        <w:t xml:space="preserve"> </w:t>
      </w:r>
      <w:r>
        <w:rPr>
          <w:rFonts w:ascii="Times New Roman;sans-serif" w:hAnsi="Times New Roman;sans-serif"/>
          <w:b w:val="false"/>
          <w:color w:val="000000"/>
          <w:sz w:val="24"/>
        </w:rPr>
        <w:t xml:space="preserve">If any Event of Default shall occur and be continuing, on the Business Day that the Company receives notice from the Administrative Agent or a majority in interest of the Lenders (or, if the maturity of the Loans has been accelerated, Lenders with LC Exposure representing greater than 50% of the total LC Exposure) demanding the deposit of cash collateral pursuant to this paragraph, each applicable Borrower shall deposit in an account with the Administrative Agent, in the name of the Administrative Agent and for the benefit of the Lenders of each applicable Class, an amount in cash equal to the portion of the LC Exposure attributable to outstanding Letters of Credit of such Class issued for the account of such Borrower as of such date plus any accrued and unpaid interest thereon, which shall be deposited in the applicable currencies;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obligation to deposit such cash collateral shall become effective immediately, and such deposit shall become immediately due and payable, without demand or other notice of any kind, upon the occurrence of any Event of Default with respect to the Borrowers described in clause (e) of Section 6.01. The applicable Borrower also shall deposit cash collateral pursuant to this paragraph as and to the extent required by Section 2.19(a). Each such deposit shall be held by the Administrative Agent as collateral for the payment and performance of the obligations of such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applicable Borrower’s risk and expense, such deposits shall not bear interest. Interest or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62</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02235"/>
                <wp:effectExtent l="0" t="0" r="0" b="0"/>
                <wp:wrapNone/>
                <wp:docPr id="274" name="Frame27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profits, if any, on such investments shall (i) in the case of cash collateral deposited pursuant to the first sentence of this Section 2.05(j), accumulate in such account and (ii) in the case of cash collateral deposited pursuant to Section 2.19(a), be remitted to the applicable Borrower promptly by the Administrative Agent unless an Event of Default has occurred and is continuing. Cash collateral deposited by any Borrower pursuant to the first sentence of this Section 2.05(j) (and interest and profits in respect thereof accumulated in such account pursuant to clause (i) of the preceding sentence) shall be applied by the Administrative Agent to reimburse any Issuing Bank for LC Disbursements in respect of Letters of Credit of the applicable Class issued for the account of such Borrower for which it has not been reimbursed and, to the extent not so applied, shall be held for the satisfaction of the reimbursement obligations of such Borrower for the LC Exposure relating to Letters of Credit of such Class issued for the account of such Borrower that are outstanding at such time or, if the maturity of the Loans has been accelerated (but subject to the consent of Lenders with LC Exposure representing greater than 50% of the total LC Exposure and, in the case of cash collateral required by Section 2.19(a), the consent of the Issuing Banks with outstanding Letters of Credit), be applied to satisfy other obligations of such Borrower under this Agreement. Cash collateral deposited pursuant to Section 2.19(a) in respect of any Lender that is a Defaulting Lender shall be applied by the Administrative Agent to such Defaulting Lender’s Applicable Percentage in respect of the applicable Class of any LC Disbursements of such Class for which it has not been reimbursed. If any Borrower is required to provide an amount of cash collateral hereunder as a result of the occurrence of an Event of Default or pursuant to Section 2.19(a), such amount (to the extent not applied as aforesaid) shall be returned to such Borrower within three Business Days after all Events of Default have been cured or waived or such amount is no longer required in order to comply with Section 2.19(a) (and no Event of Default has occurred and is continuing), as applicable.</w:t>
      </w:r>
    </w:p>
    <w:p>
      <w:pPr>
        <w:pStyle w:val="TextBody"/>
        <w:bidi w:val="0"/>
        <w:spacing w:lineRule="auto" w:line="240" w:before="0" w:after="240"/>
        <w:ind w:left="0" w:right="0" w:firstLine="1160"/>
        <w:jc w:val="left"/>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Applicability of ISP and UCP; Limitation of Liability.</w:t>
      </w:r>
      <w:r>
        <w:rPr>
          <w:color w:val="000000"/>
        </w:rPr>
        <w:t xml:space="preserve"> </w:t>
      </w:r>
      <w:r>
        <w:rPr>
          <w:rFonts w:ascii="Times New Roman;sans-serif" w:hAnsi="Times New Roman;sans-serif"/>
          <w:b w:val="false"/>
          <w:color w:val="000000"/>
          <w:sz w:val="24"/>
        </w:rPr>
        <w:t xml:space="preserve">Unless otherwise expressly agreed by the applicable Issuing Bank when a Letter of Credit is issued (i) the rules of the ISP shall be stated therein to apply to each Letter of Credit that is a standby Letter of Credit, and (ii) the rules of the UCP shall apply to each Letter of Credit that is a commercial Letter of Credit. Notwithstanding the foregoing, the applicable Issuing Bank shall not be responsible to any Borrower for, and the Issuing Bank’s rights and remedies against the Borrowers shall not be impaired by, any action or inaction of such Issuing Bank with respect to its obligations under a Letter of Credit expressly required under any law, order, or practice that is expressly required to be applied to such Letter of Credit, including the law of a jurisdiction, or any order of a Governmental Authority of a jurisdiction, where the Issuing Bank or the beneficiary of such Letter of Credit is located, the practice stated in the ISP or UCP, as applicable, or, unless expressly provided otherwise by the terms of such Letter of Credit, the decisions, opinions, practice statements, or official commentary of the ICC Banking Commission, the Bankers Association for Finance and Trade (BAFT), or the Institute of International Banking Law &amp; Practice applicable to letters of credit of the same type as such Letter of Credit, whether or not any Letter of Credit expressly provides that it is governed by such law or practice. </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Existing Letters of Credit.</w:t>
      </w:r>
      <w:r>
        <w:rPr>
          <w:color w:val="000000"/>
        </w:rPr>
        <w:t xml:space="preserve"> </w:t>
      </w:r>
      <w:r>
        <w:rPr>
          <w:rFonts w:ascii="Times New Roman;sans-serif" w:hAnsi="Times New Roman;sans-serif"/>
          <w:b w:val="false"/>
          <w:color w:val="000000"/>
          <w:sz w:val="24"/>
        </w:rPr>
        <w:t xml:space="preserve">Upon the Effective Date, each Existing Letter of Credit shall be deemed a Letter of Credit issued hereunder for all purposes under this Agreement without need for any further action by the Company or any other Person.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1.0f.</w:t>
      </w:r>
      <w:r>
        <w:rPr>
          <w:rFonts w:ascii="Times New Roman;sans-serif" w:hAnsi="Times New Roman;sans-serif"/>
          <w:b w:val="false"/>
          <w:color w:val="000000"/>
          <w:sz w:val="24"/>
          <w:u w:val="single"/>
        </w:rPr>
        <w:t>Funding of Borrowings.</w:t>
      </w:r>
      <w:r>
        <w:rPr>
          <w:color w:val="000000"/>
        </w:rPr>
        <w:t xml:space="preserve"> </w:t>
      </w:r>
      <w:r>
        <w:rPr>
          <w:rFonts w:ascii="Times New Roman;sans-serif" w:hAnsi="Times New Roman;sans-serif"/>
          <w:b w:val="false"/>
          <w:color w:val="000000"/>
          <w:sz w:val="24"/>
        </w:rPr>
        <w:t xml:space="preserve">(a) Each Lender shall make each Loan to be made by it hereunder on the proposed date thereof by wire transfer of immediately available funds (i) in the case of CDOR Rate Loans and ABR Loans by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63</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02235"/>
                <wp:effectExtent l="0" t="0" r="0" b="0"/>
                <wp:wrapNone/>
                <wp:docPr id="275" name="Frame27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12:00 noon, New York City time, (ii) in the case of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Loans by 12:00 noon, </w:t>
      </w:r>
      <w:r>
        <w:rPr>
          <w:rFonts w:ascii="Times New Roman;sans-serif" w:hAnsi="Times New Roman;sans-serif"/>
          <w:b w:val="false"/>
          <w:strike/>
          <w:color w:val="FF0000"/>
          <w:sz w:val="24"/>
        </w:rPr>
        <w:t>London</w:t>
      </w:r>
      <w:r>
        <w:rPr>
          <w:rFonts w:ascii="Times New Roman;sans-serif" w:hAnsi="Times New Roman;sans-serif"/>
          <w:b/>
          <w:color w:val="0000FF"/>
          <w:sz w:val="24"/>
          <w:u w:val="single"/>
        </w:rPr>
        <w:t>New York City</w:t>
      </w:r>
      <w:r>
        <w:rPr>
          <w:color w:val="000000"/>
        </w:rPr>
        <w:t xml:space="preserve"> </w:t>
      </w:r>
      <w:r>
        <w:rPr>
          <w:rFonts w:ascii="Times New Roman;sans-serif" w:hAnsi="Times New Roman;sans-serif"/>
          <w:b w:val="false"/>
          <w:color w:val="000000"/>
          <w:sz w:val="24"/>
        </w:rPr>
        <w:t xml:space="preserve">time and (iii) in the case of Canadian Prime Rate loans, 3:00 p.m., New York City time, to the account of the Administrative Agent most recently designated by it for such purpose by notice to the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Protective Advances shall be made as provided in Section 2.04. The Administrative Agent will make such Loans available to the applicable Borrower by promptly crediting the amounts so received, in like funds, to an account of the applicable Borrower maintained with the Administrative Agent in New York City and designated by the applicable Borrower in the applicable Borrowing Request;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ABR or Canadian Prime Rate Loans made to finance (A) the repayment of a Protective Advance as provided in Section 2.04(a) shall be applied by the Administrative Agent for such purpose and (B) the reimbursement of an LC Disbursement as provided in Section 2.05(e) shall be remitted by the Administrative Agent to the applicable Issuing Bank and (ii) the proceeds of any Protective Advance shall be retained by the Administrative Agent and applied, on behalf of the Company, for the purpose for which such Protective Advance has been made.</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(i)Unless the Administrative Agent shall have received notice from a Lender prior to the proposed date of any Borrowing (or, in the case of a Borrowing that is being made on same-day notice, prior to the time at which such Borrowing is required to be funded)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(A) (x) the Federal Funds Effective Rate in the case of Loans denominated in US Dollars and (y) the rate reasonably determined by the Administrative Agent to be the cost of funding such amount, in the case of Loans denominated in Canadian Dollars and (B) a rate determined by the Administrative Agent in accordance with banking industry rules on interbank compensation or (ii) in the case of the applicable Borrower, the greater of the interest rate applicable to the Loans of the other Lenders included in the applicable Borrowing and a rate determined by the Administrative Agent to equal its cost of funds for funding such amount. If such Lender pays such amount to the Administrative Agent, then such amount shall constitute such Lender’s Loan included in such Borrowing.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1.0g.</w:t>
      </w:r>
      <w:r>
        <w:rPr>
          <w:rFonts w:ascii="Times New Roman;sans-serif" w:hAnsi="Times New Roman;sans-serif"/>
          <w:b w:val="false"/>
          <w:color w:val="000000"/>
          <w:sz w:val="24"/>
          <w:u w:val="single"/>
        </w:rPr>
        <w:t>Interest Elections.</w:t>
      </w:r>
      <w:r>
        <w:rPr>
          <w:color w:val="000000"/>
        </w:rPr>
        <w:t xml:space="preserve"> </w:t>
      </w:r>
      <w:r>
        <w:rPr>
          <w:rFonts w:ascii="Times New Roman;sans-serif" w:hAnsi="Times New Roman;sans-serif"/>
          <w:b w:val="false"/>
          <w:color w:val="000000"/>
          <w:sz w:val="24"/>
        </w:rPr>
        <w:t xml:space="preserve">(a) Each Borrowing initially shall be of the Type specified in the applicable Borrowing Request and, in the case of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Borrowing, shall have an initial Interest Period as specified in such Borrowing Request. Thereafter, the applicable Borrower may elect to convert such Borrowing to a different Type or to continue such Borrowing and, in the case of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 may elect Interest Periods therefor, all as provided in this Section.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Protective Advances, which may not be converted or continued.</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64</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02235"/>
                <wp:effectExtent l="0" t="0" r="0" b="0"/>
                <wp:wrapNone/>
                <wp:docPr id="276" name="Frame27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(i)To make an election pursuant to this Section, the applicable Borrower shall notify the Administrative Agent of such election by telephone by the time that a Borrowing Request would be required under Section 2.03 if such Borrower were requesting a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and signed by the applicable Borrower. Notwithstanding any other provision of this Section, no Borrower may (i) change the currency of any Borrowing or (ii) elect an Interest Period that does not comply with Section 2.03.</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(ii)Each telephonic and written Interest Election Request shall specify the following information in compliance with Section 2.03:</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(2)the effective date of the election made pursuant to such Interest Election Request, which shall be a Business Day;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(3)whether the resulting Borrowing is to be an ABR or Canadian Prime Rate Borrowing or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 and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(4)if the resulting Borrowing is to be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 the Interest Period to be applicable thereto after giving effect to such election, which shall be a period contemplated by the definition of the term “Interest Period”.</w:t>
      </w:r>
    </w:p>
    <w:p>
      <w:pPr>
        <w:pStyle w:val="TextBody"/>
        <w:bidi w:val="0"/>
        <w:spacing w:lineRule="auto" w:line="240" w:before="0" w:after="120"/>
        <w:jc w:val="left"/>
        <w:rPr/>
      </w:pPr>
      <w:r>
        <w:rPr>
          <w:rFonts w:ascii="Times New Roman;sans-serif" w:hAnsi="Times New Roman;sans-serif"/>
          <w:b w:val="false"/>
          <w:color w:val="000000"/>
          <w:sz w:val="24"/>
        </w:rPr>
        <w:t xml:space="preserve">If any such Interest Election Request requests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 but does not specify an Interest Period, then the applicable Borrower shall be deemed to have selected an Interest Period of one month’s duration.</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(iii)Promptly following receipt of an Interest Election Request, the Administrative Agent shall advise each participating Lender of the applicable Class of the details thereof and of such Lender’s portion of each resulting Borrowing.</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 xml:space="preserve">(iv)If the applicable Borrower fails to deliver a timely Interest Election Request with respect to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Borrowing prior to the end of the Interest Period applicable thereto, then, unless such Borrowing is repaid as provided herein, at the end of such Interest Period such Borrowing shall be converted to (x) in the case of a Loan denominated in US Dollars, an ABR Borrowing and (y) in the case of a Loan denominated in Canadian Dollars, a Canadian Prime Rate Borrowing.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1.0h.</w:t>
      </w:r>
      <w:r>
        <w:rPr>
          <w:rFonts w:ascii="Times New Roman;sans-serif" w:hAnsi="Times New Roman;sans-serif"/>
          <w:b w:val="false"/>
          <w:color w:val="000000"/>
          <w:sz w:val="24"/>
          <w:u w:val="single"/>
        </w:rPr>
        <w:t>Termination, Reduction and Increase of Commitments; Incremental Revolving Commitments.</w:t>
      </w:r>
      <w:r>
        <w:rPr>
          <w:color w:val="000000"/>
        </w:rPr>
        <w:t xml:space="preserve"> </w:t>
      </w:r>
      <w:r>
        <w:rPr>
          <w:rFonts w:ascii="Times New Roman;sans-serif" w:hAnsi="Times New Roman;sans-serif"/>
          <w:b w:val="false"/>
          <w:color w:val="000000"/>
          <w:sz w:val="24"/>
        </w:rPr>
        <w:t>(a)  Unless previously terminated, the Commitments shall terminate on the Maturity Date.</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 xml:space="preserve">(i)The Company may at any time terminate, or from time to time reduce, the Commitments of any Class;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each reduction of the Commitments of any Class shall be in an amount that is an integral multiple of $1,000,000 and not less than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65</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02235"/>
                <wp:effectExtent l="0" t="0" r="0" b="0"/>
                <wp:wrapNone/>
                <wp:docPr id="277" name="Frame27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$5,000,000 or, in each case, the US Dollar Equivalent thereof at any such time, (ii) the Company shall not terminate or reduce the Revolving Commitments or the Commitments of any other Class if after giving effect to any concurrent prepayment of the Loans or Protective Advances in accordance with Section 2.10 and, if applicable, reimbursement of LC Disbursements in accordance with Section 2.05(e), (A) the total Revolving Exposures or total Credit Exposures of any other Class, as applicable, would exceed the total Revolving Commitments or the total Commitments of such Class, as applicable, or (B) the Aggregate Credit Exposure would exceed the Maximum Borrowing Amount and (iii) the Company shall not terminate or reduce the Commitments if, after giving effect to any concurrent prepayment of the Loans in accordance with Section 2.10 and, if applicable, reimbursement of LC Disbursements in accordance with Section 2.05(e), the Aggregate Credit Exposure would exceed the Aggregate Commitments.</w:t>
      </w:r>
    </w:p>
    <w:p>
      <w:pPr>
        <w:pStyle w:val="TextBody"/>
        <w:bidi w:val="0"/>
        <w:spacing w:lineRule="auto" w:line="240" w:before="0" w:after="240"/>
        <w:ind w:left="0" w:right="0" w:firstLine="1147"/>
        <w:jc w:val="left"/>
        <w:rPr/>
      </w:pPr>
      <w:r>
        <w:rPr>
          <w:rFonts w:ascii="Times New Roman;sans-serif" w:hAnsi="Times New Roman;sans-serif"/>
          <w:b w:val="false"/>
          <w:color w:val="000000"/>
          <w:sz w:val="24"/>
        </w:rPr>
        <w:t xml:space="preserve">(ii)The Company shall notify the Administrative Agent of any election to terminate or reduce the Commitments of any Class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notice of termination of the Commitments of any Class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Commitments of any Class shall be permanent. Each reduction of the Commitments of any Class (other than a termination of the Commitment of a Defaulting Lender pursuant to Section 2.18(c)) shall be made ratably among the Lenders in accordance with their respective Commitments of such Class.</w:t>
      </w:r>
    </w:p>
    <w:p>
      <w:pPr>
        <w:pStyle w:val="TextBody"/>
        <w:bidi w:val="0"/>
        <w:spacing w:lineRule="auto" w:line="240" w:before="0" w:after="240"/>
        <w:ind w:left="0" w:right="0" w:firstLine="1081"/>
        <w:jc w:val="left"/>
        <w:rPr/>
      </w:pPr>
      <w:r>
        <w:rPr>
          <w:rFonts w:ascii="Times New Roman;sans-serif" w:hAnsi="Times New Roman;sans-serif"/>
          <w:b w:val="false"/>
          <w:color w:val="000000"/>
          <w:sz w:val="24"/>
        </w:rPr>
        <w:t>(iii)So long as no Event of Default is continuing or would result therefrom, the Company may, by written notice to the Administrative Agent, executed by the Company and one or more financial institutions (any such financial institution referred to in this Section being called an “</w:t>
      </w:r>
      <w:r>
        <w:rPr>
          <w:rFonts w:ascii="Times New Roman;sans-serif" w:hAnsi="Times New Roman;sans-serif"/>
          <w:b w:val="false"/>
          <w:color w:val="000000"/>
          <w:sz w:val="24"/>
          <w:u w:val="single"/>
        </w:rPr>
        <w:t>Increasing Lender</w:t>
      </w:r>
      <w:r>
        <w:rPr>
          <w:color w:val="000000"/>
        </w:rPr>
        <w:t>”</w:t>
      </w:r>
      <w:r>
        <w:rPr>
          <w:rFonts w:ascii="Times New Roman;sans-serif" w:hAnsi="Times New Roman;sans-serif"/>
          <w:b w:val="false"/>
          <w:color w:val="000000"/>
          <w:sz w:val="24"/>
        </w:rPr>
        <w:t xml:space="preserve">), which may include any Lender, as such Lender elects or declines in its sole discretion, cause Commitments of the Increasing Lenders of any Class to become effective (or, in the case of an Increasing Lender that is an existing Lender, cause its Commitment in respect of any Class to be increased, as the case may be) in an amount for each Increasing Lender set forth in such notice;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the aggregate amount of all Commitments hereunder, after giving effect to new Commitments, increases in existing Commitments pursuant to this paragraph and all Incremental Revolving Commitments, shall not exceed $1,000,000,000, (ii) each Increasing Lender, if not already a Lender hereunder, shall be subject to the approval of the Administrative Agent (which approval shall not be unreasonably withheld) and (iii) each Increasing Lender, if not already a Lender hereunder, shall become a party to this Agreement by completing and delivering to the Administrative Agent a duly executed accession agreement in a form reasonably satisfactory to the Administrative Agent and the Company. New Commitments and increases in Commitments pursuant to this Section shall become effective on the date specified in the applicable notices delivered pursuant to this Section. Following any extension of a new Commitment in respect of any Class or increase of a Lender’s Commitment in respect of any Class pursuant to this paragraph, any Loans of such Class outstanding prior to the effectiveness of such increase or extension shall continue outstanding until the ends of the respective Interest Periods applicable thereto, and shall then be repaid or refinanced with new Loans of such Class made pursuant to Section 2.01. Following any increase in the Commitments of any Class pursuant to this paragraph, the Company will use its reasonable best efforts to ensure that,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66</w: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02235"/>
                <wp:effectExtent l="0" t="0" r="0" b="0"/>
                <wp:wrapNone/>
                <wp:docPr id="278" name="Frame27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the extent there are outstanding Loans of such Class, each Lender’s outstanding Loans of such Class will be in accordance with such Lender’s pro rata portion of the Commitments of such Class.</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 xml:space="preserve">(iv)In addition, so long as no Event of Default is continuing or would result therefrom, the Company may on one or more occasions, by written notice to the Administrative Agent, request the establishment of Incremental Revolving Commitments;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Incremental Revolving Loans are to be denominated only in US Dollars and Canadian Dollars, (ii) the aggregate amount of all the Incremental Revolving Commitments then being requested shall not be less than $25,000,000 or the US Dollar Equivalent thereof at any such time and (iii) the aggregate amount of all Commitments hereunder, after giving effect to new Commitments pursuant to this paragraph and the immediately preceding paragraph (and any concurrent reduction in any Class of Commitments pursuant to Section 2.08(b)), shall not exceed $1,000,000,000. Each such notice shall specify (A) the date on which the Company proposes that the Incremental Revolving Commitments shall be effective, which shall be a date not less than 10 Business Days after the date on which such notice is delivered to the Administrative Agent, (B) the amount of the Incremental Revolving Commitments being requested and (C) the Borrower(s) or Additional Borrower(s), as applicable (it being agreed that (x) any Lender approached to provide any Incremental Revolving Commitment may elect or decline, in its sole discretion, to provide such Incremental Revolving Commitment and (y) any Person that the Company proposes to become an Incremental Lender, if such Person is not then a Lender, must be an Eligible Assignee and must be approved by the Administrative Agent and each Issuing Bank in respect of the Class of such Incremental Revolving Commitments (such approvals not to be unreasonably withheld)).</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(v)The Incremental Revolving Commitments shall be effected pursuant to one or more Incremental Facility Agreements executed and delivered by the Company, each Incremental Lender providing such Incremental Revolving Commitments, each Issuing Bank designated therein to issue Letters of Credit under such Incremental Revolving Commitments and the Administrative Agent. Each Incremental Facility Agreement may, without the consent of any Revolving Lender, effect such amendments to this Agreement and the other Loan Documents as may be necessary or appropriate, in the opinion of the Administrative Agent, to give effect to the provisions of this Section with respect to the Incremental Revolving Commitments. The Incremental Revolving Loans will have terms and conditions substantially identical to the Revolving Loans (other than with respect to pricing and maturity) and will otherwise be on terms and subject to conditions reasonably satisfactory to the Administrative Agent.</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 xml:space="preserve">(vi)Each Incremental Facility Agreement shall specify the terms of the Incremental Revolving Loans to be made thereunder;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without the prior written consent of Lenders holding a majority in aggregate principal amount of then outstanding Loans, (i) the Incremental Revolving Loans shall mature no earlier than (and shall not require any mandatory commitment reductions prior to) the Maturity Date, (ii) the Incremental Revolving Loans shall constitute a separate tranche of Loans (which, at the Company’s option, may be part of a tranche of “first in, last out” term loans or revolving commitments subject to customary terms and conditions reasonably satisfactory to the Administrative Agent) and (iii) if the interest rate spread applicable to any Incremental Revolving Loans denominated in US Dollars (which, for this purpose, shall be deemed to include all upfront or similar fees and any pricing “floor” applicable to the Incremental Revolving Loans, but excluding any underwriting, arrangement, structuring or similar fees that are not generally shared with the Lenders (collectively, “</w:t>
      </w:r>
      <w:r>
        <w:rPr>
          <w:rFonts w:ascii="Times New Roman;sans-serif" w:hAnsi="Times New Roman;sans-serif"/>
          <w:b w:val="false"/>
          <w:color w:val="000000"/>
          <w:sz w:val="24"/>
          <w:u w:val="single"/>
        </w:rPr>
        <w:t>Upfront Payments</w:t>
      </w:r>
      <w:r>
        <w:rPr>
          <w:color w:val="000000"/>
        </w:rPr>
        <w:t>”</w:t>
      </w:r>
      <w:r>
        <w:rPr>
          <w:rFonts w:ascii="Times New Roman;sans-serif" w:hAnsi="Times New Roman;sans-serif"/>
          <w:b w:val="false"/>
          <w:color w:val="000000"/>
          <w:sz w:val="24"/>
        </w:rPr>
        <w:t xml:space="preserve">), in each case paid to the Incremental Lenders in respect of the Incremental Revolving Commitments) exceeds (x) in cases other than in respect of “first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67</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02235"/>
                <wp:effectExtent l="0" t="0" r="0" b="0"/>
                <wp:wrapNone/>
                <wp:docPr id="279" name="Frame27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last out” facilities, the interest rate spread applicable to Loans of another Class denominated in US Dollars (taking into account any Upfront Payments paid in respect of Loans of such other Classes) by more than 0.50%, then the interest rate spread applicable to the Loans of such other Class denominated in US Dollars shall be increased so it equals the interest rate applicable to such Incremental Revolving Loans less 0.50% and (y) in the case of any “first in, last out” facility, the interest rate spread exceeds the interest rate spread applicable to Loans of another Class denominated in US Dollars (taking into account any Upfront Payments paid in respect of Loans of such other Classes) by more than 1.50%, then the interest rate spread applicable to the Loans of such other Class denominated in US Dollars shall be increased so it equals the interest rate applicable to such “first in, last out” facility less 1.50%.</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1.0i.</w:t>
      </w:r>
      <w:r>
        <w:rPr>
          <w:rFonts w:ascii="Times New Roman;sans-serif" w:hAnsi="Times New Roman;sans-serif"/>
          <w:b w:val="false"/>
          <w:color w:val="000000"/>
          <w:sz w:val="24"/>
          <w:u w:val="single"/>
        </w:rPr>
        <w:t>Repayment of Loans; Evidence of Indebtedness.</w:t>
      </w:r>
      <w:r>
        <w:rPr>
          <w:color w:val="000000"/>
        </w:rPr>
        <w:t xml:space="preserve"> </w:t>
      </w:r>
      <w:r>
        <w:rPr>
          <w:rFonts w:ascii="Times New Roman;sans-serif" w:hAnsi="Times New Roman;sans-serif"/>
          <w:b w:val="false"/>
          <w:color w:val="000000"/>
          <w:sz w:val="24"/>
        </w:rPr>
        <w:t>(a) The applicable Borrower hereby unconditionally promises to pay (i) to the Administrative Agent for the account of each Lender the then unpaid principal amount of each Revolving Loan on the Maturity Date and (ii) to the Administrative Agent the then unpaid principal amount of each Protective Advance on the earlier of the Maturity Date and demand by the Administrative Agent in respect of such Protective Advance.</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(i)Each Lender shall maintain in accordance with its usual practice an account or accounts evidencing the indebtedness of the applicable Borrower to such Lender resulting from each Loan made by such Lender, including the amounts of principal and interest payable and paid to such Lender from time to time hereunder.</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applicable Borrower to each Lender hereunder and (iii) the amount of any sum received by the Administrative Agent hereunder for the account of the Lenders and each Lender’s share thereof.</w:t>
      </w:r>
    </w:p>
    <w:p>
      <w:pPr>
        <w:pStyle w:val="TextBody"/>
        <w:bidi w:val="0"/>
        <w:spacing w:lineRule="auto" w:line="240" w:before="0" w:after="240"/>
        <w:ind w:left="0" w:right="0" w:firstLine="1081"/>
        <w:jc w:val="left"/>
        <w:rPr/>
      </w:pPr>
      <w:r>
        <w:rPr>
          <w:rFonts w:ascii="Times New Roman;sans-serif" w:hAnsi="Times New Roman;sans-serif"/>
          <w:b w:val="false"/>
          <w:color w:val="000000"/>
          <w:sz w:val="24"/>
        </w:rPr>
        <w:t xml:space="preserve">(iii)The entries made in the accounts maintained pursuant to paragraph (b) or (c) of this Section shall be prima facie evidence of the existence and amounts of the obligations recorded therein;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failure of any Lender or the Administrative Agent to maintain such accounts or any error therein shall not in any manner affect the obligation of the applicable Borrower to repay the Loans in accordance with the terms of this Agreement.</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(iv)Any Lender may request that Loans made by it be evidenced by a promissory note. In such event, the applicable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8.04) be represented by one or more promissory notes in such form payable to the payee named therein (and its registered assigns).</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(v)On each Business Day while a Cash Dominion Period is in effect, the Administrative Agent shall apply any and all funds credited to the ABL Collection Account on such Business Day or the immediately preceding Business Day (in the Permitted Discretion of the Administrative Agent), first, to prepay any Protective Advances that may be outstanding, second, to prepay the Borrowings and unreimbursed LC Disbursements and, third, to cash collateralize outstanding LC Exposure in the manner provided in Section 2.05(j) (to the extent such LC Exposure shall not have been theretofore cash collateralized in accordance with such Section). The Borrowers hereby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68</w:t>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02235"/>
                <wp:effectExtent l="0" t="0" r="0" b="0"/>
                <wp:wrapNone/>
                <wp:docPr id="280" name="Frame28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direct the Administrative Agent to apply the funds credited to the ABL Collection Account as set forth above and authorize the Administrative Agent to determine the order of application of such funds as among the individual Protective Advances or Borrowings and unreimbursed LC Disbursements. Each prepayment of a Borrowing shall be applied ratably to the Loans included in such Borrowing. For the avoidance of doubt, funds used to prepay Borrowings or unreimbursed LC Disbursements may be reborrowed, subject to the terms and conditions set forth herein.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1.j.</w:t>
      </w:r>
      <w:r>
        <w:rPr>
          <w:rFonts w:ascii="Times New Roman;sans-serif" w:hAnsi="Times New Roman;sans-serif"/>
          <w:b w:val="false"/>
          <w:color w:val="000000"/>
          <w:sz w:val="24"/>
          <w:u w:val="single"/>
        </w:rPr>
        <w:t>Prepayment of Loans.</w:t>
      </w:r>
      <w:r>
        <w:rPr>
          <w:color w:val="000000"/>
        </w:rPr>
        <w:t xml:space="preserve"> </w:t>
      </w:r>
      <w:r>
        <w:rPr>
          <w:rFonts w:ascii="Times New Roman;sans-serif" w:hAnsi="Times New Roman;sans-serif"/>
          <w:b w:val="false"/>
          <w:color w:val="000000"/>
          <w:sz w:val="24"/>
        </w:rPr>
        <w:t xml:space="preserve">(a)  The Borrowers shall have the right at any time and from time to time to prepay any Borrowing in whole or in part, subject to prior notice in accordance with paragraph (c) of this Section. In the event and on such occasion that (i) the total Revolving Exposures exceeds the total Revolving Commitments, (ii) the total Credit Exposures of any other Class exceeds the total Commitments of such Class or (iii) the Aggregate Credit Exposure exceeds the lesser of (A) the sum of (1) the Borrowing Base then in effect and (2) the Protective Advance Exposures and (B) the Aggregate Commitments then in effect, the Company shall, on the third Business Day after notice thereof from the Administrative Agent has been delivered to the Company, first, prepay any Protective Advances that may be outstanding and, second, prepay such outstanding Borrowing or Borrowings of the applicable Class as the Company may elect in an aggregate amount equal to the amount of such excess;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total Credit Exposures of any Class exceeds the total Commitments of such Class solely as a result of currency fluctuations, the Company shall not be required to prepay the excess until such time as the total Credit Exposures of such Class exceeds 105% of the total Commitments of such Class, in which case such excess shall be paid on the third Business Day after notice from the Administrative Agent is delivered to the Company.</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(vi)[reserved].</w:t>
      </w:r>
    </w:p>
    <w:p>
      <w:pPr>
        <w:pStyle w:val="TextBody"/>
        <w:bidi w:val="0"/>
        <w:spacing w:lineRule="auto" w:line="240" w:before="0" w:after="240"/>
        <w:ind w:left="0" w:right="0" w:firstLine="1027"/>
        <w:jc w:val="left"/>
        <w:rPr/>
      </w:pPr>
      <w:r>
        <w:rPr>
          <w:rFonts w:ascii="Times New Roman;sans-serif" w:hAnsi="Times New Roman;sans-serif"/>
          <w:b w:val="false"/>
          <w:color w:val="000000"/>
          <w:sz w:val="24"/>
        </w:rPr>
        <w:t xml:space="preserve">(vii)The applicable Borrower shall notify the Administrative Agent by telephone (confirmed by telecopy) of any prepayment hereunder (i) in the case of prepayment of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rFonts w:ascii="Times New Roman;sans-serif" w:hAnsi="Times New Roman;sans-serif"/>
          <w:b w:val="false"/>
          <w:color w:val="000000"/>
          <w:sz w:val="24"/>
        </w:rPr>
        <w:t xml:space="preserve">, CDOR Rate or Canadian Prime Rate Borrowing, not later than 11:00 a.m., New York City time, one Business Day before the date of prepayment and (ii) in the case of prepayment of an ABR Borrowing, not later than 11:00 a.m., New York City time, on the date of prepayment. Each such notice shall be irrevocable and shall specify the prepayment date and the principal amount of each Borrowing or portion thereof to be prepaid and the applicable currency of such Borrowing;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Borrowing, the Administrative Agent shall advise the participating Lenders of the contents thereof. Each partial prepayment of any Borrowing shall be in an amount that would be permitted in the case of an advance of a Borrowing of the same Class and Type as provided in Section 2.02. Each prepayment of a Borrowing (other than a prepayment of the Loans of a Defaulting Lender pursuant to Section 2.18(c)) shall be applied ratably to the Loans included in the prepaid Borrowing. Prepayments shall be accompanied by accrued interest to the extent required by Section 2.12.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1.k.</w:t>
      </w:r>
      <w:r>
        <w:rPr>
          <w:rFonts w:ascii="Times New Roman;sans-serif" w:hAnsi="Times New Roman;sans-serif"/>
          <w:b w:val="false"/>
          <w:color w:val="000000"/>
          <w:sz w:val="24"/>
          <w:u w:val="single"/>
        </w:rPr>
        <w:t>Fees.</w:t>
      </w:r>
      <w:r>
        <w:rPr>
          <w:color w:val="000000"/>
        </w:rPr>
        <w:t xml:space="preserve"> </w:t>
      </w:r>
      <w:r>
        <w:rPr>
          <w:rFonts w:ascii="Times New Roman;sans-serif" w:hAnsi="Times New Roman;sans-serif"/>
          <w:b w:val="false"/>
          <w:color w:val="000000"/>
          <w:sz w:val="24"/>
        </w:rPr>
        <w:t xml:space="preserve">(a)  The Company agrees to pay to the Administrative Agent for the account of each Lender a commitment fee in US Dollars, which shall accrue on the daily unused amount of the Commitment of such Lender during the period from and including the Effective Date to but excluding the date on which such Commitment terminates at a rate per annum equal to the applicable rate set forth in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69</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02235"/>
                <wp:effectExtent l="0" t="0" r="0" b="0"/>
                <wp:wrapNone/>
                <wp:docPr id="281" name="Frame28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table below based on Average Utilization during the most recently ended fiscal quarter of the Company, with each change in such rate effective on the first day of the first month immediately following the last day of such fiscal quarter;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prior to the end of the first full fiscal quarter of the Company after the Effective Date, the commitment fee shall accrue at 0.30% per annum. </w:t>
      </w:r>
    </w:p>
    <w:tbl>
      <w:tblPr>
        <w:tblW w:w="3764" w:type="dxa"/>
        <w:jc w:val="left"/>
        <w:tblInd w:w="0" w:type="dxa"/>
        <w:tblLayout w:type="fixed"/>
        <w:tblCellMar>
          <w:top w:w="28" w:type="dxa"/>
          <w:left w:w="28" w:type="dxa"/>
          <w:bottom w:w="28" w:type="dxa"/>
          <w:right w:w="28" w:type="dxa"/>
        </w:tblCellMar>
      </w:tblPr>
      <w:tblGrid>
        <w:gridCol w:w="716"/>
        <w:gridCol w:w="631"/>
        <w:gridCol w:w="632"/>
        <w:gridCol w:w="522"/>
        <w:gridCol w:w="522"/>
        <w:gridCol w:w="741"/>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Average Utilization</w:t>
            </w:r>
          </w:p>
        </w:tc>
        <w:tc>
          <w:tcPr>
            <w:tcW w:w="17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Commitment Fee</w:t>
            </w:r>
          </w:p>
        </w:tc>
      </w:tr>
      <w:tr>
        <w:trPr/>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&gt; 50.0%</w:t>
            </w:r>
          </w:p>
        </w:tc>
        <w:tc>
          <w:tcPr>
            <w:tcW w:w="17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0.25%</w:t>
            </w:r>
          </w:p>
        </w:tc>
      </w:tr>
      <w:tr>
        <w:trPr/>
        <w:tc>
          <w:tcPr>
            <w:tcW w:w="19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&lt; 50.0%</w:t>
            </w:r>
          </w:p>
        </w:tc>
        <w:tc>
          <w:tcPr>
            <w:tcW w:w="17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0.30%</w:t>
            </w:r>
          </w:p>
        </w:tc>
      </w:tr>
    </w:tbl>
    <w:p>
      <w:pPr>
        <w:pStyle w:val="TextBody"/>
        <w:bidi w:val="0"/>
        <w:spacing w:before="0" w:after="12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Accrued commitment fees shall be payable in arrears on the last day of March, June, September and December of each year and on the Maturity Date,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 Lender shall be deemed to be used to the extent of the outstanding Loans and LC Exposure of such Lender (and the Protective Advance Exposures of such Lender shall constitute unused Commitments for such purpose).</w:t>
      </w:r>
    </w:p>
    <w:p>
      <w:pPr>
        <w:pStyle w:val="TextBody"/>
        <w:bidi w:val="0"/>
        <w:spacing w:lineRule="auto" w:line="240" w:before="0" w:after="240"/>
        <w:ind w:left="0" w:right="0" w:firstLine="961"/>
        <w:jc w:val="left"/>
        <w:rPr/>
      </w:pPr>
      <w:r>
        <w:rPr>
          <w:rFonts w:ascii="Times New Roman;sans-serif" w:hAnsi="Times New Roman;sans-serif"/>
          <w:b w:val="false"/>
          <w:color w:val="000000"/>
          <w:sz w:val="24"/>
        </w:rPr>
        <w:t xml:space="preserve">(viii)Each Borrower agrees to pay (i) to the Administrative Agent for the account of each Lender of any Class a participation fee with respect to its participations in Letters of Credit of such Class issued for the account of such Borrower, which shall accrue at the Applicable Rate on the daily amount of the LC Exposure of such Class (excluding any portion thereof attributable to unreimbursed LC Disbursements of such Class) during the period from and including the Effective Date to but excluding the later of the date on which such Lender’s Commitment of such Class terminates and the date on which such Lender ceases to have any LC Exposure of such Class, and (ii) to the relevant Issuing Bank a fronting fee, which shall accrue at the rate or rates per annum separately agreed upon between the applicable Borrower and such Issuing Bank on the daily amount of the portion of the LC Exposure (excluding any portion thereof attributable to unreimbursed LC Disbursements) attributable to outstanding Letters of Credit issued by such Issuing Bank for the account of such Borrower during the period from and including the Effective Date to but excluding the later of the date of termination of the Commitments and the date on which there ceases to be any LC Exposure in respect of Letters of Credit issued for the account of such Borrower, as well as such Issuing Bank’s standard fees with respect to the issuance, amendment or extension of any Letter of Credit or processing of drawings thereunder. Participation and fronting fees accrued through and including the last day of March, June, September and December of each year shall be payable on the third Business Day following such last day, commencing on the first such date to occur after the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all such fees shall be payable on the date on which the Commitments terminate and any such fees accruing after the date on which the Commitments terminate shall be payable on demand. Any other fees payable by any Borrower to any Issuing Bank pursuant to this paragraph shall be payable within 10 days after demand. All participation and fronting fees shall be computed on the basis of a year of 360 days and shall be payable for the actual number of days elapsed (including the first day but excluding the last day). In addition to the fees referred to above, each Issuing Bank (i) may collect customary drawing fees from beneficiaries of Letters of Credit issued by it and (ii) may require that Letters of Credit issued by it contain customary provisions for such drawing fees.</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70</w:t>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02235"/>
                <wp:effectExtent l="0" t="0" r="0" b="0"/>
                <wp:wrapNone/>
                <wp:docPr id="282" name="Frame28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(ix)The Company agrees to pay to the Administrative Agent, for its own account and for the account of the initial Lenders, fees in the amounts and at the times separately agreed upon between the Company and the Administrative Agent.</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(x)All fees payable by the Borrowers hereunder shall be paid in US Dollars on the dates due, in immediately available funds, to the Administrative Agent (or to the relevant Issuing Bank, in the case of fees payable by the Borrowers to it) for distribution to the parties entitled thereto. Fees paid by the Borrowers shall not be refundable under any circumstances.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1.l.</w:t>
      </w:r>
      <w:r>
        <w:rPr>
          <w:rFonts w:ascii="Times New Roman;sans-serif" w:hAnsi="Times New Roman;sans-serif"/>
          <w:b w:val="false"/>
          <w:color w:val="000000"/>
          <w:sz w:val="24"/>
          <w:u w:val="single"/>
        </w:rPr>
        <w:t>Interest.</w:t>
      </w:r>
      <w:r>
        <w:rPr>
          <w:color w:val="000000"/>
        </w:rPr>
        <w:t xml:space="preserve"> </w:t>
      </w:r>
      <w:r>
        <w:rPr>
          <w:rFonts w:ascii="Times New Roman;sans-serif" w:hAnsi="Times New Roman;sans-serif"/>
          <w:b w:val="false"/>
          <w:color w:val="000000"/>
          <w:sz w:val="24"/>
        </w:rPr>
        <w:t>(a)  The Loans comprising each ABR Borrowing and each Protective Advance shall bear interest at the Alternate Base Rate plus the Applicable Rate.</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(xi)The Loans comprising each Canadian Prime Rate Borrowing shall bear interest at the Canadian Prime Rate plus the Applicable Rate. </w:t>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(xii)The Loans comprising each CDOR Rate Borrowing shall bear interest at the CDOR Rate for the Interest Period in effect for such Borrowing plus the Applicable Rate.</w:t>
      </w:r>
    </w:p>
    <w:p>
      <w:pPr>
        <w:pStyle w:val="TextBody"/>
        <w:bidi w:val="0"/>
        <w:spacing w:lineRule="auto" w:line="240" w:before="0" w:after="240"/>
        <w:ind w:left="0" w:right="0" w:firstLine="961"/>
        <w:jc w:val="left"/>
        <w:rPr/>
      </w:pPr>
      <w:r>
        <w:rPr>
          <w:rFonts w:ascii="Times New Roman;sans-serif" w:hAnsi="Times New Roman;sans-serif"/>
          <w:b w:val="false"/>
          <w:color w:val="000000"/>
          <w:sz w:val="24"/>
        </w:rPr>
        <w:t xml:space="preserve">(xiii)The Loans comprising each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Borrowing shall bear interest at </w:t>
      </w:r>
      <w:r>
        <w:rPr>
          <w:rFonts w:ascii="Times New Roman;sans-serif" w:hAnsi="Times New Roman;sans-serif"/>
          <w:b w:val="false"/>
          <w:strike/>
          <w:color w:val="FF0000"/>
          <w:sz w:val="24"/>
        </w:rPr>
        <w:t>the LIBO Rate</w:t>
      </w:r>
      <w:r>
        <w:rPr>
          <w:rFonts w:ascii="Times New Roman;sans-serif" w:hAnsi="Times New Roman;sans-serif"/>
          <w:b/>
          <w:color w:val="0000FF"/>
          <w:sz w:val="24"/>
          <w:u w:val="single"/>
        </w:rPr>
        <w:t>Adjusted Term SOFR</w:t>
      </w:r>
      <w:r>
        <w:rPr>
          <w:color w:val="000000"/>
        </w:rPr>
        <w:t xml:space="preserve"> </w:t>
      </w:r>
      <w:r>
        <w:rPr>
          <w:rFonts w:ascii="Times New Roman;sans-serif" w:hAnsi="Times New Roman;sans-serif"/>
          <w:b w:val="false"/>
          <w:color w:val="000000"/>
          <w:sz w:val="24"/>
        </w:rPr>
        <w:t>for the Interest Period in effect for such Borrowing plus the Applicable Rate.</w:t>
      </w:r>
    </w:p>
    <w:p>
      <w:pPr>
        <w:pStyle w:val="TextBody"/>
        <w:bidi w:val="0"/>
        <w:spacing w:lineRule="auto" w:line="240" w:before="0" w:after="240"/>
        <w:ind w:left="0" w:right="0" w:firstLine="974"/>
        <w:jc w:val="left"/>
        <w:rPr>
          <w:rFonts w:ascii="Times New Roman;sans-serif" w:hAnsi="Times New Roman;sans-serif"/>
          <w:b w:val="false"/>
          <w:color w:val="000000"/>
          <w:sz w:val="24"/>
        </w:rPr>
      </w:pPr>
      <w:r>
        <w:rPr>
          <w:rFonts w:ascii="Times New Roman;sans-serif" w:hAnsi="Times New Roman;sans-serif"/>
          <w:b w:val="false"/>
          <w:color w:val="000000"/>
          <w:sz w:val="24"/>
        </w:rPr>
        <w:t>(xiv)[Reserved.]</w:t>
      </w:r>
    </w:p>
    <w:p>
      <w:pPr>
        <w:pStyle w:val="TextBody"/>
        <w:bidi w:val="0"/>
        <w:spacing w:lineRule="auto" w:line="240" w:before="0" w:after="240"/>
        <w:ind w:left="0" w:right="0" w:firstLine="1040"/>
        <w:jc w:val="left"/>
        <w:rPr>
          <w:rFonts w:ascii="Times New Roman;sans-serif" w:hAnsi="Times New Roman;sans-serif"/>
          <w:b w:val="false"/>
          <w:color w:val="000000"/>
          <w:sz w:val="24"/>
        </w:rPr>
      </w:pPr>
      <w:r>
        <w:rPr>
          <w:rFonts w:ascii="Times New Roman;sans-serif" w:hAnsi="Times New Roman;sans-serif"/>
          <w:b w:val="false"/>
          <w:color w:val="000000"/>
          <w:sz w:val="24"/>
        </w:rPr>
        <w:t>(xv)[Reserved.]</w:t>
      </w:r>
    </w:p>
    <w:p>
      <w:pPr>
        <w:pStyle w:val="TextBody"/>
        <w:bidi w:val="0"/>
        <w:spacing w:lineRule="auto" w:line="240" w:before="0" w:after="240"/>
        <w:ind w:left="0" w:right="0" w:firstLine="974"/>
        <w:jc w:val="left"/>
        <w:rPr>
          <w:rFonts w:ascii="Times New Roman;sans-serif" w:hAnsi="Times New Roman;sans-serif"/>
          <w:b w:val="false"/>
          <w:color w:val="000000"/>
          <w:sz w:val="24"/>
        </w:rPr>
      </w:pPr>
      <w:r>
        <w:rPr>
          <w:rFonts w:ascii="Times New Roman;sans-serif" w:hAnsi="Times New Roman;sans-serif"/>
          <w:b w:val="false"/>
          <w:color w:val="000000"/>
          <w:sz w:val="24"/>
        </w:rPr>
        <w:t>(xvi)Notwithstanding the foregoing, if any principal of or interest on any Loan or any fee or other amount payable by the applicable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pStyle w:val="TextBody"/>
        <w:bidi w:val="0"/>
        <w:spacing w:lineRule="auto" w:line="240" w:before="0" w:after="240"/>
        <w:ind w:left="0" w:right="0" w:firstLine="907"/>
        <w:jc w:val="left"/>
        <w:rPr>
          <w:rFonts w:ascii="Times New Roman;sans-serif" w:hAnsi="Times New Roman;sans-serif"/>
          <w:b/>
          <w:color w:val="0000FF"/>
          <w:sz w:val="24"/>
          <w:u w:val="single"/>
        </w:rPr>
      </w:pPr>
      <w:r>
        <w:rPr>
          <w:rFonts w:ascii="Times New Roman;sans-serif" w:hAnsi="Times New Roman;sans-serif"/>
          <w:b/>
          <w:color w:val="0000FF"/>
          <w:sz w:val="24"/>
          <w:u w:val="single"/>
        </w:rPr>
        <w:t xml:space="preserve">(xvii)[Reserved.] </w:t>
      </w:r>
    </w:p>
    <w:p>
      <w:pPr>
        <w:pStyle w:val="TextBody"/>
        <w:bidi w:val="0"/>
        <w:spacing w:lineRule="auto" w:line="240" w:before="0" w:after="240"/>
        <w:ind w:left="0" w:right="0" w:firstLine="1440"/>
        <w:jc w:val="left"/>
        <w:rPr/>
      </w:pPr>
      <w:r>
        <w:rPr>
          <w:rFonts w:ascii="Times New Roman;sans-serif" w:hAnsi="Times New Roman;sans-serif"/>
          <w:b w:val="false"/>
          <w:strike/>
          <w:color w:val="FF0000"/>
          <w:sz w:val="24"/>
        </w:rPr>
        <w:t>(h) (i) For so long as any Lender maintains reserves against “</w:t>
      </w:r>
      <w:r>
        <w:rPr>
          <w:rFonts w:ascii="Times New Roman;sans-serif" w:hAnsi="Times New Roman;sans-serif"/>
          <w:b w:val="false"/>
          <w:strike/>
          <w:color w:val="FF0000"/>
          <w:sz w:val="24"/>
          <w:u w:val="single"/>
        </w:rPr>
        <w:t>Eurocurrency liabilities</w:t>
      </w:r>
      <w:r>
        <w:rPr>
          <w:strike/>
          <w:color w:val="FF0000"/>
        </w:rPr>
        <w:t xml:space="preserve">” </w:t>
      </w:r>
      <w:r>
        <w:rPr>
          <w:rFonts w:ascii="Times New Roman;sans-serif" w:hAnsi="Times New Roman;sans-serif"/>
          <w:b w:val="false"/>
          <w:strike/>
          <w:color w:val="FF0000"/>
          <w:sz w:val="24"/>
        </w:rPr>
        <w:t xml:space="preserve">(or any other category of liabilities which includes deposits by reference to which the interest rate on Eurodollar Loans is determined or any category of extensions of credit or other assets which includes loans by a non-United States office of any Lender to United States residents), and as a result the cost to such Lender (or its lending office for Eurodollar Loans) of making or maintaining its Eurodollar Loans is increased, then such Lender may require the applicable Borrower to pay, contemporaneously with each payment of interest on any Eurodollar Loan of such Lender, additional interest on such Eurodollar Loan for the Interest Period of such Eurodollar Loan at a rate per annum up to but not exceeding the excess of (A) (x) the applicable LIBO Rate divided by (y) one minus the Statutory Reserve Percentage over (B) the rate specified in the preceding clause (x).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71</w:t>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02235"/>
                <wp:effectExtent l="0" t="0" r="0" b="0"/>
                <wp:wrapNone/>
                <wp:docPr id="283" name="Frame28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val="false"/>
          <w:strike/>
          <w:color w:val="FF0000"/>
          <w:sz w:val="24"/>
        </w:rPr>
      </w:pPr>
      <w:r>
        <w:rPr>
          <w:rFonts w:ascii="Times New Roman;sans-serif" w:hAnsi="Times New Roman;sans-serif"/>
          <w:b w:val="false"/>
          <w:strike/>
          <w:color w:val="FF0000"/>
          <w:sz w:val="24"/>
        </w:rPr>
        <w:t>(ii) Any Lender wishing to require payment of additional interest (x) shall so notify the applicable Borrower and the Administrative Agent, in which case such additional interest on the Eurodollar Loans of such Lender shall be payable to such Lender at the place indicated in such notice with respect to each Interest Period commencing at least three Business Days after the giving of such notice and (y) shall furnish to the applicable Borrower at least five Business Days prior to each date on which interest is payable on the Eurodollar Loans an officer’s certificate setting forth the amount to which such Lender is then entitled under this Section (which shall be consistent with such Lender’s good-faith estimate of the level at which the related reserves are maintained by it). Each such certificate shall be accompanied by such information as the applicable Borrower may reasonably request as to the computation set forth therein.</w:t>
      </w:r>
    </w:p>
    <w:p>
      <w:pPr>
        <w:pStyle w:val="TextBody"/>
        <w:bidi w:val="0"/>
        <w:spacing w:lineRule="auto" w:line="240" w:before="0" w:after="240"/>
        <w:ind w:left="0" w:right="0" w:firstLine="841"/>
        <w:jc w:val="left"/>
        <w:rPr/>
      </w:pPr>
      <w:r>
        <w:rPr>
          <w:rFonts w:ascii="Times New Roman;sans-serif" w:hAnsi="Times New Roman;sans-serif"/>
          <w:b w:val="false"/>
          <w:color w:val="000000"/>
          <w:sz w:val="24"/>
        </w:rPr>
        <w:t xml:space="preserve">(xviii)Accrued interest on each Loan shall be payable in arrears on each Interest Payment Date for such Loan and, in the case of a Revolving Loan or a Protective Advance, upon termination of the Commitments;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interest accrued pursuant to paragraph (g) of this Section and interest accrued on any Protective Advance shall be payable on demand, (ii) in the event of any repayment or prepayment of any Loan (other than a prepayment of an ABR or Canadian Prime Rate Loan prior to the end of the Availability Period), accrued interest on the principal amount repaid or prepaid shall be payable on the date of such repayment or prepayment and (iii) in the event of any conversion of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Loan prior to the end of the current Interest Period therefor, accrued interest on such Loan shall be payable on the effective date of such conversion.</w:t>
      </w:r>
    </w:p>
    <w:p>
      <w:pPr>
        <w:pStyle w:val="TextBody"/>
        <w:bidi w:val="0"/>
        <w:spacing w:lineRule="auto" w:line="240" w:before="0" w:after="240"/>
        <w:ind w:left="0" w:right="0" w:firstLine="974"/>
        <w:jc w:val="left"/>
        <w:rPr/>
      </w:pPr>
      <w:r>
        <w:rPr>
          <w:rFonts w:ascii="Times New Roman;sans-serif" w:hAnsi="Times New Roman;sans-serif"/>
          <w:b w:val="false"/>
          <w:color w:val="000000"/>
          <w:sz w:val="24"/>
        </w:rPr>
        <w:t xml:space="preserve">(xix)All interest hereunder shall be computed on the basis of a year of 360 days, except that (i) interest computed by reference to the Alternate Base Rate at times when the Alternate Base Rate is based on the Prime Rate and (ii) interest on Borrowings denominated in Canadian Dollars shall each be computed on the basis of a year of 365 days (or 366 days in a leap year), and in each case shall be payable for the actual number of days elapsed (including the first day but excluding the last day). The applicable Alternate Base Rate, Canadian Prime Rate, CDOR Rate or </w:t>
      </w:r>
      <w:r>
        <w:rPr>
          <w:rFonts w:ascii="Times New Roman;sans-serif" w:hAnsi="Times New Roman;sans-serif"/>
          <w:b w:val="false"/>
          <w:strike/>
          <w:color w:val="FF0000"/>
          <w:sz w:val="24"/>
        </w:rPr>
        <w:t>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shall be determined by the Administrative Agent, and such determination shall be conclusive absent manifest error.</w:t>
      </w:r>
    </w:p>
    <w:p>
      <w:pPr>
        <w:pStyle w:val="TextBody"/>
        <w:bidi w:val="0"/>
        <w:spacing w:lineRule="auto" w:line="240" w:before="0" w:after="240"/>
        <w:ind w:left="0" w:right="0" w:firstLine="1040"/>
        <w:jc w:val="left"/>
        <w:rPr/>
      </w:pPr>
      <w:r>
        <w:rPr>
          <w:rFonts w:ascii="Times New Roman;sans-serif" w:hAnsi="Times New Roman;sans-serif"/>
          <w:b w:val="false"/>
          <w:color w:val="000000"/>
          <w:sz w:val="24"/>
        </w:rPr>
        <w:t xml:space="preserve">(xx)For purposes of disclosure pursuant to the </w:t>
      </w:r>
      <w:r>
        <w:rPr>
          <w:rFonts w:ascii="Times New Roman;sans-serif" w:hAnsi="Times New Roman;sans-serif"/>
          <w:b w:val="false"/>
          <w:i/>
          <w:color w:val="000000"/>
          <w:sz w:val="24"/>
        </w:rPr>
        <w:t>Interest Act</w:t>
      </w:r>
      <w:r>
        <w:rPr>
          <w:color w:val="000000"/>
        </w:rPr>
        <w:t xml:space="preserve"> </w:t>
      </w:r>
      <w:r>
        <w:rPr>
          <w:rFonts w:ascii="Times New Roman;sans-serif" w:hAnsi="Times New Roman;sans-serif"/>
          <w:b w:val="false"/>
          <w:color w:val="000000"/>
          <w:sz w:val="24"/>
        </w:rPr>
        <w:t>(Canada),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w:t>
      </w:r>
    </w:p>
    <w:p>
      <w:pPr>
        <w:pStyle w:val="TextBody"/>
        <w:bidi w:val="0"/>
        <w:spacing w:lineRule="auto" w:line="240" w:before="0" w:after="240"/>
        <w:ind w:left="0" w:right="0" w:firstLine="974"/>
        <w:jc w:val="left"/>
        <w:rPr/>
      </w:pPr>
      <w:r>
        <w:rPr>
          <w:rFonts w:ascii="Times New Roman;sans-serif" w:hAnsi="Times New Roman;sans-serif"/>
          <w:b w:val="false"/>
          <w:color w:val="000000"/>
          <w:sz w:val="24"/>
        </w:rPr>
        <w:t xml:space="preserve">(xxi)If any provision of this Agreement or of any of the other Loan Documents would obligate any Canadian Loan Party to make any payment of interest or other amount payable to the Lenders in an amount or calculated at a rate which would be prohibited by law or would result in a receipt by the Lenders of interest at a criminal rate (as such terms are construed under the </w:t>
      </w:r>
      <w:r>
        <w:rPr>
          <w:rFonts w:ascii="Times New Roman;sans-serif" w:hAnsi="Times New Roman;sans-serif"/>
          <w:b w:val="false"/>
          <w:i/>
          <w:color w:val="000000"/>
          <w:sz w:val="24"/>
        </w:rPr>
        <w:t>Criminal Code</w:t>
      </w:r>
      <w:r>
        <w:rPr>
          <w:color w:val="000000"/>
        </w:rPr>
        <w:t xml:space="preserve"> </w:t>
      </w:r>
      <w:r>
        <w:rPr>
          <w:rFonts w:ascii="Times New Roman;sans-serif" w:hAnsi="Times New Roman;sans-serif"/>
          <w:b w:val="false"/>
          <w:color w:val="000000"/>
          <w:sz w:val="24"/>
        </w:rPr>
        <w:t xml:space="preserve">(Canada)) then, notwithstanding such provisions, such amount or rate shall be deemed to have been adjusted with retroactive effect to the maximum amount or rate of interest, as the case may be, as would not be so prohibited by law or so result in a receipt by the Lenders of interest at a criminal rate, such adjustment to be effected, to the extent necessary, as follows: (1) </w:t>
      </w:r>
      <w:r>
        <w:rPr>
          <w:rFonts w:ascii="Times New Roman;sans-serif" w:hAnsi="Times New Roman;sans-serif"/>
          <w:b w:val="false"/>
          <w:color w:val="000000"/>
          <w:sz w:val="24"/>
          <w:u w:val="single"/>
        </w:rPr>
        <w:t>firstly</w:t>
      </w:r>
      <w:r>
        <w:rPr>
          <w:rFonts w:ascii="Times New Roman;sans-serif" w:hAnsi="Times New Roman;sans-serif"/>
          <w:b w:val="false"/>
          <w:color w:val="000000"/>
          <w:sz w:val="24"/>
        </w:rPr>
        <w:t xml:space="preserve">, by reducing the amount or rate of interest required to be paid to the Lenders under this Section, and (2) thereafter, by reducing any fees, commissions, premiums and other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72</w:t>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02235"/>
                <wp:effectExtent l="0" t="0" r="0" b="0"/>
                <wp:wrapNone/>
                <wp:docPr id="284" name="Frame28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amounts required to be paid to the Lenders which would constitute “interest” for purposes of Section 347 of the </w:t>
      </w:r>
      <w:r>
        <w:rPr>
          <w:rFonts w:ascii="Times New Roman;sans-serif" w:hAnsi="Times New Roman;sans-serif"/>
          <w:b w:val="false"/>
          <w:i/>
          <w:color w:val="000000"/>
          <w:sz w:val="24"/>
        </w:rPr>
        <w:t>Criminal Code</w:t>
      </w:r>
      <w:r>
        <w:rPr>
          <w:color w:val="000000"/>
        </w:rPr>
        <w:t xml:space="preserve"> </w:t>
      </w:r>
      <w:r>
        <w:rPr>
          <w:rFonts w:ascii="Times New Roman;sans-serif" w:hAnsi="Times New Roman;sans-serif"/>
          <w:b w:val="false"/>
          <w:color w:val="000000"/>
          <w:sz w:val="24"/>
        </w:rPr>
        <w:t xml:space="preserve">(Canada). Notwithstanding the foregoing, and after giving effect to all adjustments contemplated thereby, if the Lenders shall have received an amount in excess of the maximum permitted by that section of the </w:t>
      </w:r>
      <w:r>
        <w:rPr>
          <w:rFonts w:ascii="Times New Roman;sans-serif" w:hAnsi="Times New Roman;sans-serif"/>
          <w:b w:val="false"/>
          <w:i/>
          <w:color w:val="000000"/>
          <w:sz w:val="24"/>
        </w:rPr>
        <w:t>Criminal Code</w:t>
      </w:r>
      <w:r>
        <w:rPr>
          <w:color w:val="000000"/>
        </w:rPr>
        <w:t xml:space="preserve"> </w:t>
      </w:r>
      <w:r>
        <w:rPr>
          <w:rFonts w:ascii="Times New Roman;sans-serif" w:hAnsi="Times New Roman;sans-serif"/>
          <w:b w:val="false"/>
          <w:color w:val="000000"/>
          <w:sz w:val="24"/>
        </w:rPr>
        <w:t xml:space="preserve">(Canada), the Canadian Loan Parties shall be entitled, by notice in writing to the Administrative Agent, to obtain reimbursement from the Lenders in an amount equal to such excess and, pending such reimbursement, such amount shall be deemed to be an amount payable by the Lenders to the Borrower. Any amount or rate of interest referred to in this Section shall be determined in accordance with generally accepted actuarial practices and principles as an effective annual rate of interest over the term that the applicable Loan remains outstanding on the assumption that any charges, fees or expenses that fall within the meaning of “interest” (as defined in the </w:t>
      </w:r>
      <w:r>
        <w:rPr>
          <w:rFonts w:ascii="Times New Roman;sans-serif" w:hAnsi="Times New Roman;sans-serif"/>
          <w:b w:val="false"/>
          <w:i/>
          <w:color w:val="000000"/>
          <w:sz w:val="24"/>
        </w:rPr>
        <w:t>Criminal Code</w:t>
      </w:r>
      <w:r>
        <w:rPr>
          <w:color w:val="000000"/>
        </w:rPr>
        <w:t xml:space="preserve"> </w:t>
      </w:r>
      <w:r>
        <w:rPr>
          <w:rFonts w:ascii="Times New Roman;sans-serif" w:hAnsi="Times New Roman;sans-serif"/>
          <w:b w:val="false"/>
          <w:color w:val="000000"/>
          <w:sz w:val="24"/>
        </w:rPr>
        <w:t>(Canada)) shall, if they relate to a specific period of time, be pro-rated over that period of time and otherwise be pro-rated over the period from the closing date to the Maturity Date and, in the event of a dispute, a certificate of a Fellow of the Canadian Institute of Actuaries appointed by the Administrative Agent shall be conclusive for the purposes of such determination.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1.m.</w:t>
      </w:r>
      <w:r>
        <w:rPr>
          <w:rFonts w:ascii="Times New Roman;sans-serif" w:hAnsi="Times New Roman;sans-serif"/>
          <w:b w:val="false"/>
          <w:color w:val="000000"/>
          <w:sz w:val="24"/>
          <w:u w:val="single"/>
        </w:rPr>
        <w:t>Alternate Rate of Interest.</w:t>
      </w:r>
      <w:r>
        <w:rPr>
          <w:color w:val="000000"/>
        </w:rPr>
        <w:t xml:space="preserve"> </w:t>
      </w:r>
      <w:r>
        <w:rPr>
          <w:rFonts w:ascii="Times New Roman;sans-serif" w:hAnsi="Times New Roman;sans-serif"/>
          <w:b w:val="false"/>
          <w:color w:val="000000"/>
          <w:sz w:val="24"/>
        </w:rPr>
        <w:t xml:space="preserve">(a)  If prior to the commencement of any Interest Period for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Borrowing:</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(1)the Administrative Agent determines (which determination shall be conclusive absent manifest error), that adequate and reasonable means do not exist for ascertaining </w:t>
      </w:r>
      <w:r>
        <w:rPr>
          <w:rFonts w:ascii="Times New Roman;sans-serif" w:hAnsi="Times New Roman;sans-serif"/>
          <w:b w:val="false"/>
          <w:strike/>
          <w:color w:val="FF0000"/>
          <w:sz w:val="24"/>
        </w:rPr>
        <w:t xml:space="preserve">the </w:t>
      </w:r>
      <w:r>
        <w:rPr>
          <w:rFonts w:ascii="Times New Roman;sans-serif" w:hAnsi="Times New Roman;sans-serif"/>
          <w:b w:val="false"/>
          <w:color w:val="000000"/>
          <w:sz w:val="24"/>
        </w:rPr>
        <w:t xml:space="preserve">Adjusted </w:t>
      </w:r>
      <w:r>
        <w:rPr>
          <w:rFonts w:ascii="Times New Roman;sans-serif" w:hAnsi="Times New Roman;sans-serif"/>
          <w:b w:val="false"/>
          <w:strike/>
          <w:color w:val="FF0000"/>
          <w:sz w:val="24"/>
        </w:rPr>
        <w:t>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the CDOR Rate (including because the </w:t>
      </w:r>
      <w:r>
        <w:rPr>
          <w:rFonts w:ascii="Times New Roman;sans-serif" w:hAnsi="Times New Roman;sans-serif"/>
          <w:b w:val="false"/>
          <w:strike/>
          <w:color w:val="FF0000"/>
          <w:sz w:val="24"/>
        </w:rPr>
        <w:t>LIBO Screen</w:t>
      </w:r>
      <w:r>
        <w:rPr>
          <w:rFonts w:ascii="Times New Roman;sans-serif" w:hAnsi="Times New Roman;sans-serif"/>
          <w:b/>
          <w:color w:val="0000FF"/>
          <w:sz w:val="24"/>
          <w:u w:val="single"/>
        </w:rPr>
        <w:t>Term SOFR Reference</w:t>
      </w:r>
      <w:r>
        <w:rPr>
          <w:color w:val="000000"/>
        </w:rPr>
        <w:t xml:space="preserve"> </w:t>
      </w:r>
      <w:r>
        <w:rPr>
          <w:rFonts w:ascii="Times New Roman;sans-serif" w:hAnsi="Times New Roman;sans-serif"/>
          <w:b w:val="false"/>
          <w:color w:val="000000"/>
          <w:sz w:val="24"/>
        </w:rPr>
        <w:t>Rate or the CDO Screen Rate, as applicable, is not available or published on a current basis) for such Interest Period; or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(2)the Administrative Agent is advised by the Required Lenders that </w:t>
      </w:r>
      <w:r>
        <w:rPr>
          <w:rFonts w:ascii="Times New Roman;sans-serif" w:hAnsi="Times New Roman;sans-serif"/>
          <w:b w:val="false"/>
          <w:strike/>
          <w:color w:val="FF0000"/>
          <w:sz w:val="24"/>
        </w:rPr>
        <w:t xml:space="preserve">the </w:t>
      </w:r>
      <w:r>
        <w:rPr>
          <w:rFonts w:ascii="Times New Roman;sans-serif" w:hAnsi="Times New Roman;sans-serif"/>
          <w:b w:val="false"/>
          <w:color w:val="000000"/>
          <w:sz w:val="24"/>
        </w:rPr>
        <w:t xml:space="preserve">Adjusted </w:t>
      </w:r>
      <w:r>
        <w:rPr>
          <w:rFonts w:ascii="Times New Roman;sans-serif" w:hAnsi="Times New Roman;sans-serif"/>
          <w:b w:val="false"/>
          <w:strike/>
          <w:color w:val="FF0000"/>
          <w:sz w:val="24"/>
        </w:rPr>
        <w:t>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the CDOR Rate for such Interest Period will not adequately and fairly reflect the cost to such Lenders (or Lender) of making or maintaining their Loans (or its Loan) included in such Borrowing for such Interest Period;</w:t>
      </w:r>
    </w:p>
    <w:p>
      <w:pPr>
        <w:pStyle w:val="TextBody"/>
        <w:bidi w:val="0"/>
        <w:spacing w:lineRule="auto" w:line="240" w:before="0" w:after="120"/>
        <w:jc w:val="left"/>
        <w:rPr/>
      </w:pPr>
      <w:r>
        <w:rPr>
          <w:rFonts w:ascii="Times New Roman;sans-serif" w:hAnsi="Times New Roman;sans-serif"/>
          <w:b w:val="false"/>
          <w:color w:val="000000"/>
          <w:sz w:val="24"/>
        </w:rPr>
        <w:t xml:space="preserve">then the Administrative Agent shall give notice thereof to the Company and the Lenders by telephone or telecopy as promptly as practicable thereafter, but not later than 10:00 a.m. </w:t>
      </w:r>
      <w:r>
        <w:rPr>
          <w:rFonts w:ascii="Times New Roman;sans-serif" w:hAnsi="Times New Roman;sans-serif"/>
          <w:b w:val="false"/>
          <w:strike/>
          <w:color w:val="FF0000"/>
          <w:sz w:val="24"/>
        </w:rPr>
        <w:t xml:space="preserve">(London time, or in the case of a CDOR Rate Borrowing, </w:t>
      </w:r>
      <w:r>
        <w:rPr>
          <w:rFonts w:ascii="Times New Roman;sans-serif" w:hAnsi="Times New Roman;sans-serif"/>
          <w:b w:val="false"/>
          <w:color w:val="000000"/>
          <w:sz w:val="24"/>
        </w:rPr>
        <w:t>New York City time</w:t>
      </w:r>
      <w:r>
        <w:rPr>
          <w:rFonts w:ascii="Times New Roman;sans-serif" w:hAnsi="Times New Roman;sans-serif"/>
          <w:b w:val="false"/>
          <w:strike/>
          <w:color w:val="FF0000"/>
          <w:sz w:val="24"/>
        </w:rPr>
        <w:t xml:space="preserve">) </w:t>
      </w:r>
      <w:r>
        <w:rPr>
          <w:rFonts w:ascii="Times New Roman;sans-serif" w:hAnsi="Times New Roman;sans-serif"/>
          <w:b w:val="false"/>
          <w:color w:val="000000"/>
          <w:sz w:val="24"/>
        </w:rPr>
        <w:t xml:space="preserve">on the first day of such Interest Period, and, until the Administrative Agent notifies the Company and the Lenders that the circumstances giving rise to such notice no longer exist, (A) any Interest Election Request that requests the conversion of any Borrowing to, or continuation of any Borrowing as, an affected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Borrowing shall be ineffective, (B) any affected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Borrowing that is requested to be continued shall be converted to an ABR Borrowing on the last day of the Interest Period applicable thereto, (C) any affected CDOR Rate Borrowing that is requested to be continued shall be converted to a Canadian Prime Rate Borrowing on the last day of the Interest Period applicable thereto and (D) if any Borrowing Request requests an affected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Borrowing, then, unless the applicable Borrower notifies the Administrative Agent by 2:00 p.m. </w:t>
      </w:r>
      <w:r>
        <w:rPr>
          <w:rFonts w:ascii="Times New Roman;sans-serif" w:hAnsi="Times New Roman;sans-serif"/>
          <w:b w:val="false"/>
          <w:strike/>
          <w:color w:val="FF0000"/>
          <w:sz w:val="24"/>
        </w:rPr>
        <w:t xml:space="preserve">(London time, or in the case of a CDOR Rate Borrowing, </w:t>
      </w:r>
      <w:r>
        <w:rPr>
          <w:rFonts w:ascii="Times New Roman;sans-serif" w:hAnsi="Times New Roman;sans-serif"/>
          <w:b w:val="false"/>
          <w:color w:val="000000"/>
          <w:sz w:val="24"/>
        </w:rPr>
        <w:t>New York City time</w:t>
      </w:r>
      <w:r>
        <w:rPr>
          <w:rFonts w:ascii="Times New Roman;sans-serif" w:hAnsi="Times New Roman;sans-serif"/>
          <w:b w:val="false"/>
          <w:strike/>
          <w:color w:val="FF0000"/>
          <w:sz w:val="24"/>
        </w:rPr>
        <w:t xml:space="preserve">) </w:t>
      </w:r>
      <w:r>
        <w:rPr>
          <w:rFonts w:ascii="Times New Roman;sans-serif" w:hAnsi="Times New Roman;sans-serif"/>
          <w:b w:val="false"/>
          <w:color w:val="000000"/>
          <w:sz w:val="24"/>
        </w:rPr>
        <w:t>on the date of such Borrowing that it elects not to borrow on such date, such Borrowing shall (1) in the case of a Borrowing denominated in US Dollars, be deemed a request for an ABR Borrowing or (2) in the case of a Borrowing denominated in Canadian Dollars, be deemed a request for a Canadian Prime Rate Borrowing.</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73</w:t>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02235"/>
                <wp:effectExtent l="0" t="0" r="0" b="0"/>
                <wp:wrapNone/>
                <wp:docPr id="285" name="Frame28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907"/>
        <w:jc w:val="left"/>
        <w:rPr/>
      </w:pPr>
      <w:r>
        <w:rPr>
          <w:rFonts w:ascii="Times New Roman;sans-serif" w:hAnsi="Times New Roman;sans-serif"/>
          <w:b w:val="false"/>
          <w:color w:val="000000"/>
          <w:sz w:val="24"/>
        </w:rPr>
        <w:t xml:space="preserve">(xxii)Notwithstanding anything to the contrary herein or in any other Loan Document, if a Benchmark Transition Event </w:t>
      </w:r>
      <w:r>
        <w:rPr>
          <w:rFonts w:ascii="Times New Roman;sans-serif" w:hAnsi="Times New Roman;sans-serif"/>
          <w:b w:val="false"/>
          <w:strike/>
          <w:color w:val="FF0000"/>
          <w:sz w:val="24"/>
        </w:rPr>
        <w:t xml:space="preserve">or an Early Opt-in Election, as applicable, </w:t>
      </w:r>
      <w:r>
        <w:rPr>
          <w:rFonts w:ascii="Times New Roman;sans-serif" w:hAnsi="Times New Roman;sans-serif"/>
          <w:b w:val="false"/>
          <w:color w:val="000000"/>
          <w:sz w:val="24"/>
        </w:rPr>
        <w:t xml:space="preserve">and its related Benchmark Replacement Date have occurred prior to the Reference Time in respect of any setting of the then-current Benchmark, then (x) if a Benchmark Replacement is determined in accordance with clause (1) </w:t>
      </w:r>
      <w:r>
        <w:rPr>
          <w:rFonts w:ascii="Times New Roman;sans-serif" w:hAnsi="Times New Roman;sans-serif"/>
          <w:b w:val="false"/>
          <w:strike/>
          <w:color w:val="FF0000"/>
          <w:sz w:val="24"/>
        </w:rPr>
        <w:t xml:space="preserve">or (2) </w:t>
      </w:r>
      <w:r>
        <w:rPr>
          <w:rFonts w:ascii="Times New Roman;sans-serif" w:hAnsi="Times New Roman;sans-serif"/>
          <w:b w:val="false"/>
          <w:color w:val="000000"/>
          <w:sz w:val="24"/>
        </w:rPr>
        <w:t>of the definition of “Benchmark Replacement” with respect to US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Times New Roman;sans-serif" w:hAnsi="Times New Roman;sans-serif"/>
          <w:b w:val="false"/>
          <w:strike/>
          <w:color w:val="FF0000"/>
          <w:sz w:val="24"/>
        </w:rPr>
        <w:t>3</w:t>
      </w:r>
      <w:r>
        <w:rPr>
          <w:rFonts w:ascii="Times New Roman;sans-serif" w:hAnsi="Times New Roman;sans-serif"/>
          <w:b/>
          <w:color w:val="0000FF"/>
          <w:sz w:val="24"/>
          <w:u w:val="single"/>
        </w:rPr>
        <w:t>2</w:t>
      </w:r>
      <w:r>
        <w:rPr>
          <w:rFonts w:ascii="Times New Roman;sans-serif" w:hAnsi="Times New Roman;sans-serif"/>
          <w:b w:val="false"/>
          <w:color w:val="000000"/>
          <w:sz w:val="24"/>
        </w:rPr>
        <w:t>) of the definition of “Benchmark Replacement” with respect to US Dollars or CAD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40" w:before="0" w:after="240"/>
        <w:ind w:left="0" w:right="0" w:firstLine="1440"/>
        <w:jc w:val="left"/>
        <w:rPr/>
      </w:pPr>
      <w:r>
        <w:rPr>
          <w:rFonts w:ascii="Times New Roman;sans-serif" w:hAnsi="Times New Roman;sans-serif"/>
          <w:b w:val="false"/>
          <w:strike/>
          <w:color w:val="FF0000"/>
          <w:sz w:val="24"/>
        </w:rPr>
        <w:t xml:space="preserve">(c) Notwithstanding anything to the contrary herein or in any other Loan Document and subject to the proviso below in this paragraph, with respect to a Loan denominated in US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sans-serif" w:hAnsi="Times New Roman;sans-serif"/>
          <w:b w:val="false"/>
          <w:strike/>
          <w:color w:val="FF0000"/>
          <w:sz w:val="24"/>
          <w:u w:val="single"/>
        </w:rPr>
        <w:t>provided</w:t>
      </w:r>
      <w:r>
        <w:rPr>
          <w:strike/>
          <w:color w:val="FF0000"/>
        </w:rPr>
        <w:t xml:space="preserve"> </w:t>
      </w:r>
      <w:r>
        <w:rPr>
          <w:rFonts w:ascii="Times New Roman;sans-serif" w:hAnsi="Times New Roman;sans-serif"/>
          <w:b w:val="false"/>
          <w:strike/>
          <w:color w:val="FF0000"/>
          <w:sz w:val="24"/>
        </w:rPr>
        <w:t>that, this clause (c) shall not be effective unless the Administrative Agent has delivered to the Lenders and the Borrower a Term SOFR Notice. For the avoidance of doubt, the Administrative Agent shall not be required to deliver a Term SOFR Notice after the occurrence of a Term SOFR Transition Event and may do so in its sole discretion.</w:t>
      </w:r>
    </w:p>
    <w:p>
      <w:pPr>
        <w:pStyle w:val="TextBody"/>
        <w:bidi w:val="0"/>
        <w:spacing w:lineRule="auto" w:line="240" w:before="0" w:after="240"/>
        <w:ind w:left="0" w:right="0" w:firstLine="841"/>
        <w:jc w:val="left"/>
        <w:rPr>
          <w:rFonts w:ascii="Times New Roman;sans-serif" w:hAnsi="Times New Roman;sans-serif"/>
          <w:b/>
          <w:color w:val="0000FF"/>
          <w:sz w:val="24"/>
          <w:u w:val="single"/>
        </w:rPr>
      </w:pPr>
      <w:r>
        <w:rPr>
          <w:rFonts w:ascii="Times New Roman;sans-serif" w:hAnsi="Times New Roman;sans-serif"/>
          <w:b/>
          <w:color w:val="0000FF"/>
          <w:sz w:val="24"/>
          <w:u w:val="single"/>
        </w:rPr>
        <w:t>(xxiii)[Reserved.]</w:t>
      </w:r>
    </w:p>
    <w:p>
      <w:pPr>
        <w:pStyle w:val="TextBody"/>
        <w:bidi w:val="0"/>
        <w:spacing w:lineRule="auto" w:line="240" w:before="0" w:after="240"/>
        <w:ind w:left="0" w:right="0" w:firstLine="854"/>
        <w:jc w:val="left"/>
        <w:rPr>
          <w:rFonts w:ascii="Times New Roman;sans-serif" w:hAnsi="Times New Roman;sans-serif"/>
          <w:b w:val="false"/>
          <w:color w:val="000000"/>
          <w:sz w:val="24"/>
        </w:rPr>
      </w:pPr>
      <w:r>
        <w:rPr>
          <w:rFonts w:ascii="Times New Roman;sans-serif" w:hAnsi="Times New Roman;sans-serif"/>
          <w:b w:val="false"/>
          <w:color w:val="000000"/>
          <w:sz w:val="24"/>
        </w:rPr>
        <w:t>(xxiv)In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40" w:before="0" w:after="240"/>
        <w:ind w:left="0" w:right="0" w:firstLine="920"/>
        <w:jc w:val="left"/>
        <w:rPr/>
      </w:pPr>
      <w:r>
        <w:rPr>
          <w:rFonts w:ascii="Times New Roman;sans-serif" w:hAnsi="Times New Roman;sans-serif"/>
          <w:b w:val="false"/>
          <w:color w:val="000000"/>
          <w:sz w:val="24"/>
        </w:rPr>
        <w:t>(xxv)The Administrative Agent will promptly notify the Borrower and the Lenders of (i) any occurrence of a Benchmark Transition Event</w:t>
      </w:r>
      <w:r>
        <w:rPr>
          <w:strike/>
          <w:color w:val="FF0000"/>
        </w:rPr>
        <w:t xml:space="preserve"> </w:t>
      </w:r>
      <w:r>
        <w:rPr>
          <w:rFonts w:ascii="Times New Roman;sans-serif" w:hAnsi="Times New Roman;sans-serif"/>
          <w:b w:val="false"/>
          <w:strike/>
          <w:color w:val="FF0000"/>
          <w:sz w:val="24"/>
        </w:rPr>
        <w:t>or an Early Opt-in Election, as applicable,</w:t>
      </w:r>
      <w:r>
        <w:rPr>
          <w:rFonts w:ascii="Times New Roman;sans-serif" w:hAnsi="Times New Roman;sans-serif"/>
          <w:b/>
          <w:color w:val="0000FF"/>
          <w:sz w:val="24"/>
          <w:u w:val="single"/>
        </w:rPr>
        <w:t>,</w:t>
      </w:r>
      <w:r>
        <w:rPr>
          <w:color w:val="000000"/>
        </w:rPr>
        <w:t xml:space="preserve"> </w:t>
      </w:r>
      <w:r>
        <w:rPr>
          <w:rFonts w:ascii="Times New Roman;sans-serif" w:hAnsi="Times New Roman;sans-serif"/>
          <w:b w:val="false"/>
          <w:color w:val="000000"/>
          <w:sz w:val="24"/>
        </w:rPr>
        <w:t xml:space="preserve">(ii)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74</w:t>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02235"/>
                <wp:effectExtent l="0" t="0" r="0" b="0"/>
                <wp:wrapNone/>
                <wp:docPr id="286" name="Frame28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w:t>
      </w:r>
    </w:p>
    <w:p>
      <w:pPr>
        <w:pStyle w:val="TextBody"/>
        <w:bidi w:val="0"/>
        <w:spacing w:lineRule="auto" w:line="240" w:before="0" w:after="240"/>
        <w:ind w:left="0" w:right="0" w:firstLine="854"/>
        <w:jc w:val="left"/>
        <w:rPr/>
      </w:pPr>
      <w:r>
        <w:rPr>
          <w:rFonts w:ascii="Times New Roman;sans-serif" w:hAnsi="Times New Roman;sans-serif"/>
          <w:b w:val="false"/>
          <w:color w:val="000000"/>
          <w:sz w:val="24"/>
        </w:rPr>
        <w:t xml:space="preserve">(xxvi)Notwithstanding anything to the contrary herein or in any other Loan Document, at any time (including in connection with the implementation of a Benchmark Replacement), (i) if the then-current Benchmark is a term rate (including </w:t>
      </w:r>
      <w:r>
        <w:rPr>
          <w:rFonts w:ascii="Times New Roman;sans-serif" w:hAnsi="Times New Roman;sans-serif"/>
          <w:b w:val="false"/>
          <w:strike/>
          <w:color w:val="FF0000"/>
          <w:sz w:val="24"/>
        </w:rPr>
        <w:t xml:space="preserve">the </w:t>
      </w:r>
      <w:r>
        <w:rPr>
          <w:rFonts w:ascii="Times New Roman;sans-serif" w:hAnsi="Times New Roman;sans-serif"/>
          <w:b w:val="false"/>
          <w:color w:val="000000"/>
          <w:sz w:val="24"/>
        </w:rPr>
        <w:t xml:space="preserve">Adjusted </w:t>
      </w:r>
      <w:r>
        <w:rPr>
          <w:rFonts w:ascii="Times New Roman;sans-serif" w:hAnsi="Times New Roman;sans-serif"/>
          <w:b w:val="false"/>
          <w:strike/>
          <w:color w:val="FF0000"/>
          <w:sz w:val="24"/>
        </w:rPr>
        <w:t>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the CDOR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40" w:before="0" w:after="240"/>
        <w:ind w:left="0" w:right="0" w:firstLine="787"/>
        <w:jc w:val="left"/>
        <w:rPr/>
      </w:pPr>
      <w:r>
        <w:rPr>
          <w:rFonts w:ascii="Times New Roman;sans-serif" w:hAnsi="Times New Roman;sans-serif"/>
          <w:b w:val="false"/>
          <w:color w:val="000000"/>
          <w:sz w:val="24"/>
        </w:rPr>
        <w:t xml:space="preserve">(xxvii)Upon the Company’s receipt of notice of the commencement of a Benchmark Unavailability Period, any Borrower may revoke any request for a Borrowing of, conversion to or continuation of affected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Loans to be made, converted or continued during any Benchmark Unavailability Period and, failing that, such Borrower will be deemed to have converted (x) any request for a Borrowing of, conversion to or continuation of affected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Loans into a request for a Borrowing of or conversion to ABR Loans and (y) any request for a Borrowing of, conversion to or continuation of affected CDOR Rate Loans into a request for a Borrowing of or conversion to Canadian Prime Rate Loans. During any Benchmark Unavailability Period or at any time that a tenor for the then-current Benchmark is not an Available Tenor, (x) with respect to US Dollars, the component of ABR based upon the then-current Benchmark or such tenor for such Benchmark, as applicable, will not be used in any determination of ABR and (y) with respect to CAD, the component of the Canadian Prime Rate based upon the then-current Benchmark or such tenor for such Benchmark, as applicable, will not be used in any determination of the Canadian Prime Rate. Furthermore, if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Loan or CDOR Rate Loan is outstanding on the date of the Borrower’s receipt of notice of the commencement of a Benchmark Unavailability Period with respect to </w:t>
      </w:r>
      <w:r>
        <w:rPr>
          <w:rFonts w:ascii="Times New Roman;sans-serif" w:hAnsi="Times New Roman;sans-serif"/>
          <w:b w:val="false"/>
          <w:strike/>
          <w:color w:val="FF0000"/>
          <w:sz w:val="24"/>
        </w:rPr>
        <w:t xml:space="preserve">the </w:t>
      </w:r>
      <w:r>
        <w:rPr>
          <w:rFonts w:ascii="Times New Roman;sans-serif" w:hAnsi="Times New Roman;sans-serif"/>
          <w:b w:val="false"/>
          <w:color w:val="000000"/>
          <w:sz w:val="24"/>
        </w:rPr>
        <w:t xml:space="preserve">Adjusted </w:t>
      </w:r>
      <w:r>
        <w:rPr>
          <w:rFonts w:ascii="Times New Roman;sans-serif" w:hAnsi="Times New Roman;sans-serif"/>
          <w:b w:val="false"/>
          <w:strike/>
          <w:color w:val="FF0000"/>
          <w:sz w:val="24"/>
        </w:rPr>
        <w:t>LIBO Rate</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the CDOR Rate, as applicable, then until such time as the applicable Benchmark Replacement is implemented pursuant to this Section 2.13, (i) in the case of a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Loan, on the last day of the Interest Period applicable to such Loan (or the next succeeding Business Day if such day is not a Business Day), such Loan shall be converted by the Administrative Agent to, and shall constitute, an ABR Loan and (ii) in the case of a CDOR Rate Loan, such Loan shall, on the last day of the Interest Period applicable to such Loan (or the next succeeding Business Day if such day is not a Business Day), such Loan shall be converted by the Administrative Agent to, and shall constitute, a Canadian Prime Rate Loan.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1.n.</w:t>
      </w:r>
      <w:r>
        <w:rPr>
          <w:rFonts w:ascii="Times New Roman;sans-serif" w:hAnsi="Times New Roman;sans-serif"/>
          <w:b w:val="false"/>
          <w:color w:val="000000"/>
          <w:sz w:val="24"/>
          <w:u w:val="single"/>
        </w:rPr>
        <w:t>Increased Costs.</w:t>
      </w:r>
      <w:r>
        <w:rPr>
          <w:color w:val="000000"/>
        </w:rPr>
        <w:t xml:space="preserve"> </w:t>
      </w:r>
      <w:r>
        <w:rPr>
          <w:rFonts w:ascii="Times New Roman;sans-serif" w:hAnsi="Times New Roman;sans-serif"/>
          <w:b w:val="false"/>
          <w:color w:val="000000"/>
          <w:sz w:val="24"/>
        </w:rPr>
        <w:t>(a)  If any Change in Law shall:</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75</w:t>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02235"/>
                <wp:effectExtent l="0" t="0" r="0" b="0"/>
                <wp:wrapNone/>
                <wp:docPr id="287" name="Frame28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(1)impose, modify or deem applicable any reserve, special deposit or similar requirement against assets of, deposits with or for the account of, or credit extended by, any Lender </w:t>
      </w:r>
      <w:r>
        <w:rPr>
          <w:rFonts w:ascii="Times New Roman;sans-serif" w:hAnsi="Times New Roman;sans-serif"/>
          <w:b w:val="false"/>
          <w:strike/>
          <w:color w:val="FF0000"/>
          <w:sz w:val="24"/>
        </w:rPr>
        <w:t xml:space="preserve">(except any such reserve requirement reflected in the Statutory Reserve Percentage) </w:t>
      </w:r>
      <w:r>
        <w:rPr>
          <w:rFonts w:ascii="Times New Roman;sans-serif" w:hAnsi="Times New Roman;sans-serif"/>
          <w:b w:val="false"/>
          <w:color w:val="000000"/>
          <w:sz w:val="24"/>
        </w:rPr>
        <w:t>or any Issuing Bank; or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(2)impose on any Lender or any Issuing Bank or the </w:t>
      </w:r>
      <w:r>
        <w:rPr>
          <w:rFonts w:ascii="Times New Roman;sans-serif" w:hAnsi="Times New Roman;sans-serif"/>
          <w:b w:val="false"/>
          <w:strike/>
          <w:color w:val="FF0000"/>
          <w:sz w:val="24"/>
        </w:rPr>
        <w:t>London or Canadian</w:t>
      </w:r>
      <w:r>
        <w:rPr>
          <w:rFonts w:ascii="Times New Roman;sans-serif" w:hAnsi="Times New Roman;sans-serif"/>
          <w:b/>
          <w:color w:val="0000FF"/>
          <w:sz w:val="24"/>
          <w:u w:val="single"/>
        </w:rPr>
        <w:t>applicable offshore</w:t>
      </w:r>
      <w:r>
        <w:rPr>
          <w:color w:val="000000"/>
        </w:rPr>
        <w:t xml:space="preserve"> </w:t>
      </w:r>
      <w:r>
        <w:rPr>
          <w:rFonts w:ascii="Times New Roman;sans-serif" w:hAnsi="Times New Roman;sans-serif"/>
          <w:b w:val="false"/>
          <w:color w:val="000000"/>
          <w:sz w:val="24"/>
        </w:rPr>
        <w:t xml:space="preserve">interbank market any other condition affecting this Agreement or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Loans made by such Lender or any Letter of Credit or participation therein (other than an imposition or change in Indemnified Taxes, Other Taxes or Excluded Taxes, or any Change in Law relating to capital or liquidity requirements or the rate of return on capital, with respect to which Section 2.16 and paragraph (b) of this Section, respectively, shall apply);</w:t>
      </w:r>
    </w:p>
    <w:p>
      <w:pPr>
        <w:pStyle w:val="TextBody"/>
        <w:bidi w:val="0"/>
        <w:spacing w:lineRule="auto" w:line="240" w:before="0" w:after="120"/>
        <w:jc w:val="left"/>
        <w:rPr/>
      </w:pPr>
      <w:r>
        <w:rPr>
          <w:rFonts w:ascii="Times New Roman;sans-serif" w:hAnsi="Times New Roman;sans-serif"/>
          <w:b w:val="false"/>
          <w:color w:val="000000"/>
          <w:sz w:val="24"/>
        </w:rPr>
        <w:t xml:space="preserve">and the result of any of the foregoing shall be to increase the cost to such Lender or such other Recipient of making or maintaining, or reduce the amount receivable by any Lender with respect to,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Loan (or of maintaining its obligation to make any such Loan) or to increase the cost to such Lender or such Issuing Bank of participating in, issuing or maintaining any Letter of Credit or Protective Advance, then the Company will pay to such Lender or such Issuing Bank, as the case may be, such additional amount or amounts as will compensate such Lender or such Issuing Bank, as the case may be, for such additional costs incurred or reduction suffered.</w:t>
      </w:r>
    </w:p>
    <w:p>
      <w:pPr>
        <w:pStyle w:val="TextBody"/>
        <w:bidi w:val="0"/>
        <w:spacing w:lineRule="auto" w:line="240" w:before="0" w:after="240"/>
        <w:ind w:left="0" w:right="0" w:firstLine="721"/>
        <w:jc w:val="left"/>
        <w:rPr>
          <w:rFonts w:ascii="Times New Roman;sans-serif" w:hAnsi="Times New Roman;sans-serif"/>
          <w:b w:val="false"/>
          <w:color w:val="000000"/>
          <w:sz w:val="24"/>
        </w:rPr>
      </w:pPr>
      <w:r>
        <w:rPr>
          <w:rFonts w:ascii="Times New Roman;sans-serif" w:hAnsi="Times New Roman;sans-serif"/>
          <w:b w:val="false"/>
          <w:color w:val="000000"/>
          <w:sz w:val="24"/>
        </w:rPr>
        <w:t>(xxviii)If any Lender or any Issuing Bank determines that any Change in Law regarding capital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or Protective Advances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the Company will pay to such Lender or such Issuing Bank, as the case may be, such additional amount or amounts as will compensate such Lender or such Issuing Bank or such Lender’s or such Issuing Bank’s holding company for any such reduction suffered.</w:t>
      </w:r>
    </w:p>
    <w:p>
      <w:pPr>
        <w:pStyle w:val="TextBody"/>
        <w:bidi w:val="0"/>
        <w:spacing w:lineRule="auto" w:line="240" w:before="0" w:after="240"/>
        <w:ind w:left="0" w:right="0" w:firstLine="854"/>
        <w:jc w:val="left"/>
        <w:rPr>
          <w:rFonts w:ascii="Times New Roman;sans-serif" w:hAnsi="Times New Roman;sans-serif"/>
          <w:b w:val="false"/>
          <w:color w:val="000000"/>
          <w:sz w:val="24"/>
        </w:rPr>
      </w:pPr>
      <w:r>
        <w:rPr>
          <w:rFonts w:ascii="Times New Roman;sans-serif" w:hAnsi="Times New Roman;sans-serif"/>
          <w:b w:val="false"/>
          <w:color w:val="000000"/>
          <w:sz w:val="24"/>
        </w:rPr>
        <w:t>(xxix)A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such Lender or such Issuing Bank, as the case may be, the amount shown as due on any such certificate within 15 days after receipt thereof.</w:t>
      </w:r>
    </w:p>
    <w:p>
      <w:pPr>
        <w:pStyle w:val="TextBody"/>
        <w:bidi w:val="0"/>
        <w:spacing w:lineRule="auto" w:line="240" w:before="0" w:after="240"/>
        <w:ind w:left="0" w:right="0" w:firstLine="920"/>
        <w:jc w:val="left"/>
        <w:rPr/>
      </w:pPr>
      <w:r>
        <w:rPr>
          <w:rFonts w:ascii="Times New Roman;sans-serif" w:hAnsi="Times New Roman;sans-serif"/>
          <w:b w:val="false"/>
          <w:color w:val="000000"/>
          <w:sz w:val="24"/>
        </w:rPr>
        <w:t xml:space="preserve">(xxx)Failure or delay on the part of any Lender or any Issuing Bank to demand compensation pursuant to this Section shall not constitute a waiver of such Lender’s or such Issuing Bank’s right to demand such compensation;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if the Change in Law giving rise to such increased costs or reductions is retroactive, then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76</w:t>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02235"/>
                <wp:effectExtent l="0" t="0" r="0" b="0"/>
                <wp:wrapNone/>
                <wp:docPr id="288" name="Frame28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180-day period referred to above shall be extended to include the period of retroactive effect thereof.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1.o.</w:t>
      </w:r>
      <w:r>
        <w:rPr>
          <w:rFonts w:ascii="Times New Roman;sans-serif" w:hAnsi="Times New Roman;sans-serif"/>
          <w:b w:val="false"/>
          <w:color w:val="000000"/>
          <w:sz w:val="24"/>
          <w:u w:val="single"/>
        </w:rPr>
        <w:t>Break Funding Payments.</w:t>
      </w:r>
      <w:r>
        <w:rPr>
          <w:color w:val="000000"/>
        </w:rPr>
        <w:t xml:space="preserve"> </w:t>
      </w:r>
      <w:r>
        <w:rPr>
          <w:rFonts w:ascii="Times New Roman;sans-serif" w:hAnsi="Times New Roman;sans-serif"/>
          <w:b w:val="false"/>
          <w:color w:val="000000"/>
          <w:sz w:val="24"/>
        </w:rPr>
        <w:t xml:space="preserve">In the event of (a) the payment of any principal of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Loan other than on the last day of an Interest Period applicable thereto (including as a result of an Event of Default), (b) the conversion of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Loan other than on the last day of the Interest Period applicable thereto, (c) the failure to borrow, convert, continue or prepay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 xml:space="preserve">or CDOR Rate Loan on the date specified in any notice delivered pursuant hereto (regardless of whether such notice may be revoked under Section 2.10(c) and is revoked in accordance therewith) or (d) the assignment of any </w:t>
      </w:r>
      <w:r>
        <w:rPr>
          <w:rFonts w:ascii="Times New Roman;sans-serif" w:hAnsi="Times New Roman;sans-serif"/>
          <w:b w:val="false"/>
          <w:strike/>
          <w:color w:val="FF0000"/>
          <w:sz w:val="24"/>
        </w:rPr>
        <w:t>Eurodollar</w:t>
      </w:r>
      <w:r>
        <w:rPr>
          <w:rFonts w:ascii="Times New Roman;sans-serif" w:hAnsi="Times New Roman;sans-serif"/>
          <w:b/>
          <w:color w:val="0000FF"/>
          <w:sz w:val="24"/>
          <w:u w:val="single"/>
        </w:rPr>
        <w:t>Term SOFR</w:t>
      </w:r>
      <w:r>
        <w:rPr>
          <w:color w:val="000000"/>
        </w:rPr>
        <w:t xml:space="preserve"> </w:t>
      </w:r>
      <w:r>
        <w:rPr>
          <w:rFonts w:ascii="Times New Roman;sans-serif" w:hAnsi="Times New Roman;sans-serif"/>
          <w:b w:val="false"/>
          <w:color w:val="000000"/>
          <w:sz w:val="24"/>
        </w:rPr>
        <w:t>or CDOR Rate other than on the last day of the Interest Period applicable thereto as a result of a request by a Borrower pursuant to Section 2.18, then, in any such event, the applicable Borrower shall compensate each Lender for the loss, cost and expense attributable to such event which, in the reasonable judgment of such Lender, such Lender (or an existing or prospective participant in a related Loan) incurred, including any loss incurred in obtaining, liquidating or employing deposits from third parties, but excluding loss of margin for the period after any such payment. A certificate of any Lender setting forth any amount or amounts that such Lender is entitled to receive pursuant to this Section shall be delivered to the applicable Borrowers and shall be conclusive absent manifest error. The applicable Borrower shall pay such Lender the amount shown as due on any such certificate within 15 days after receipt thereof.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1.p.</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(a) Each payment by any Loan Party under any Loan Document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such Loan Party shall be increased as necessary so that, net of such withholding (including such withholding applicable to additional amounts payable under this Section), the applicable Recipient receives the amount it would have received had no such withholding been made.</w:t>
      </w:r>
    </w:p>
    <w:p>
      <w:pPr>
        <w:pStyle w:val="TextBody"/>
        <w:bidi w:val="0"/>
        <w:spacing w:lineRule="auto" w:line="240" w:before="0" w:after="240"/>
        <w:ind w:left="0" w:right="0" w:firstLine="854"/>
        <w:jc w:val="left"/>
        <w:rPr>
          <w:rFonts w:ascii="Times New Roman;sans-serif" w:hAnsi="Times New Roman;sans-serif"/>
          <w:b w:val="false"/>
          <w:color w:val="000000"/>
          <w:sz w:val="24"/>
        </w:rPr>
      </w:pPr>
      <w:r>
        <w:rPr>
          <w:rFonts w:ascii="Times New Roman;sans-serif" w:hAnsi="Times New Roman;sans-serif"/>
          <w:b w:val="false"/>
          <w:color w:val="000000"/>
          <w:sz w:val="24"/>
        </w:rPr>
        <w:t>(xxxi)In addition, the Loan Parties shall pay any Other Taxes to the relevant Governmental Authority in accordance with applicable law.</w:t>
      </w:r>
    </w:p>
    <w:p>
      <w:pPr>
        <w:pStyle w:val="TextBody"/>
        <w:bidi w:val="0"/>
        <w:spacing w:lineRule="auto" w:line="240" w:before="0" w:after="240"/>
        <w:ind w:left="0" w:right="0" w:firstLine="787"/>
        <w:jc w:val="left"/>
        <w:rPr/>
      </w:pPr>
      <w:r>
        <w:rPr>
          <w:rFonts w:ascii="Times New Roman;sans-serif" w:hAnsi="Times New Roman;sans-serif"/>
          <w:b w:val="false"/>
          <w:color w:val="000000"/>
          <w:sz w:val="24"/>
        </w:rPr>
        <w:t xml:space="preserve">(xxxii)Each Loan Party shall jointly and severally indemnify each Recipient within 15 days after written demand therefor, for the full amount of any Indemnified Taxes paid by such Recipient on or with respect to any payment by or on account of any obligation of any Loan Party hereunder (including Indemnified Taxes imposed or asserted on or attributable to amounts payable under this Section) and any reasonable expenses arising therefrom or with respect thereto, whether or not such Indemnified Taxes were correctly or legally imposed or asserted by the relevant Governmental Authority;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Loan Parties shall not be obligated to make payment to such Recipient for penalties, interest or expenses attributable to the gross negligence or willful misconduct of such Recipient. A certificate as to the amount of such payment or liability delivered to the applicable Loan Party by a Recipient, or by the Administrative Agent on behalf of another Recipient, shall be conclusive absent manifest error.</w:t>
      </w:r>
    </w:p>
    <w:p>
      <w:pPr>
        <w:pStyle w:val="TextBody"/>
        <w:bidi w:val="0"/>
        <w:spacing w:lineRule="auto" w:line="240" w:before="0" w:after="240"/>
        <w:ind w:left="0" w:right="0" w:firstLine="72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(xxxiii)Each Lender shall severally indemnify the Administrative Agent, within 10 days after written demand therefor, for the full amount of any Taxes (but, in the case of any Indemnified Taxes, only to the extent that the Loan Parties have not already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77</w:t>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02235"/>
                <wp:effectExtent l="0" t="0" r="0" b="0"/>
                <wp:wrapNone/>
                <wp:docPr id="289" name="Frame28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Excluded Taxes were correctly or legally imposed or asserted by the relevant Governmental Authority. A certificate setting forth and explaining in reasonable detail the amount of such payment or liability delivered to a Lender by the Administrative Agent shall be conclusive absent manifest error. </w:t>
      </w:r>
    </w:p>
    <w:p>
      <w:pPr>
        <w:pStyle w:val="TextBody"/>
        <w:bidi w:val="0"/>
        <w:spacing w:lineRule="auto" w:line="240" w:before="0" w:after="240"/>
        <w:ind w:left="0" w:right="0" w:firstLine="734"/>
        <w:jc w:val="left"/>
        <w:rPr>
          <w:rFonts w:ascii="Times New Roman;sans-serif" w:hAnsi="Times New Roman;sans-serif"/>
          <w:b w:val="false"/>
          <w:color w:val="000000"/>
          <w:sz w:val="24"/>
        </w:rPr>
      </w:pPr>
      <w:r>
        <w:rPr>
          <w:rFonts w:ascii="Times New Roman;sans-serif" w:hAnsi="Times New Roman;sans-serif"/>
          <w:b w:val="false"/>
          <w:color w:val="000000"/>
          <w:sz w:val="24"/>
        </w:rPr>
        <w:t>(xxxiv)As soon as practicable after any payment of Indemnified Taxes or Other Taxes by a Loan Party to a Governmental Authority,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800"/>
        <w:jc w:val="left"/>
        <w:rPr/>
      </w:pPr>
      <w:r>
        <w:rPr>
          <w:rFonts w:ascii="Times New Roman;sans-serif" w:hAnsi="Times New Roman;sans-serif"/>
          <w:b w:val="false"/>
          <w:color w:val="000000"/>
          <w:sz w:val="24"/>
        </w:rPr>
        <w:t xml:space="preserve">(xxxv)(A) Any Foreign Lender that is entitled to an exemption from, or reduction of withholding Tax under the law of the United States of America, or any treaty to which the United States of America is a party, with respect to payments under this Agreement or any other Loan Document shall deliver to the Company (with a copy to the Administrative Agent), on or prior to the date of this Agreement (or, in the case of any Lender that becomes a party to this Agreement pursuant to an Assignment and Assumption, on or about the date on which such Lender becomes a Lender under this Agreement) either (a) two properly executed originals of Form W-8ECI or Form W-8BEN or Form W-8BEN-E, as applicable (or any successor forms) prescribed by the IRS or other documents satisfactory to the Company and the Administrative Agent, as the case may be, certifying (i) that all payments to be made to such Foreign Lender under the Loan Documents are exempt from United States withholding Taxes because such payments are effectively connected with the conduct by such Lender of a trade or business within the United States and are included in such Lender’s gross income or (ii) that all payments to be made to such Foreign Lender under the Loan Documents are completely exempt from Taxes or are subject to such Taxes at a reduced rate by an applicable Tax treaty, (b)(i) a certificate executed by such Lender certifying that such Lender is not a “bank” within the meaning of Section 881(c)(3)(A) of the Code and that such Lender qualifies for the portfolio interest exemption under Section 881(c) of the Code, and (ii) two properly executed originals of IRS Form W-8BEN or Form W-8BEN-E, as applicable (or any successor form) or (c) in the case of a Foreign Lender that is not the beneficial owner of payments made under this Agreement (including a partnership or a participating Lender) (i) an IRS Form W-8IMY on behalf of itself and (ii) the relevant forms prescribed in this paragraph (f)(A) that would be required of each such beneficial owner or partner of such partnership if such beneficial owner or partner were a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Lender is a partnership and one or more of its partners are claiming the exemption for portfolio interest under Section 881(c) of the Code, such Lender may provide a certificate described in clause (b)(i) on behalf of such partners, in each case, certifying such Lender’s entitlement to an exemption from, or reduction of, U.S. federal withholding Tax with respect to payments of interest to be made hereunder or under this Agreement or any other Loan Document. In the case of a Foreign Lender claiming the benefits of an income tax treaty to which the United States is a party, the IRS Form W-8BEN or Form W-8BEN-E, as applicable, shall (x) with respect to payments of interest under the Loan Documents, establish an exemption from U.S. federal withholding Tax pursuant to the “interest” article of such tax treaty and (y) with respect to any other applicable payments under the Loan Documents, establish an exemption from U.S. federal withholding Tax pursuant to the “business profits” or “other income” article of such tax treaty. Each Lender that is not a Foreign Lender shall deliver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78</w:t>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02235"/>
                <wp:effectExtent l="0" t="0" r="0" b="0"/>
                <wp:wrapNone/>
                <wp:docPr id="290" name="Frame29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the Company (with a copy to the Administrative Agent) two properly executed originals IRS Form W-9 (or any successor form). Each Lender agrees (but only to the extent it is legally entitled to do so) to provide the Company (with a copy to the Administrative Agent) with new forms prescribed by the IRS upon the expiration or obsolescence of any previously delivered form, after the occurrence of any event requiring a change in the most recent forms delivered by it to the Company and the Administrative Agent, or at any other time reasonably requested by the Company or promptly notify the Company or the Administrative Agent in writing of its legal inability to do so.</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Section 2.16(f)(B), “FATCA” shall include any amendments made to FATCA after the date of this Agreement.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(2)Any Lender that is entitled to an exemption from, or reduction of withholding Tax under the laws of a country other than the United States of America, or any treaty to which such country is a party, with respect to payments under this Agreement or any other Loan Document shall deliver to the Company (with a copy to the Administrative Agent), at the time or times reasonably requested by the Company or the Administrative Agent, (A) such properly completed and duly executed documentation prescribed by applicable laws as will permit the Company or the Administrative Agent, as the case may be, to establish such Lender’s entitlement to any available exemption from, or reduction of, applicable Taxes (other than United States Taxes), and (B) such other documentation and reasonably requested information as will permit the Company or the Administrative Agent, as the case may be, to determine, if applicable, the required rate of withholding or deduction for any applicable Taxes and any required information reporting requirements, in each case, in respect of any payments to be made to such Lender pursuant to any Loan Document. The completion, execution and submission of any documentation contemplated by this Section 2.16(f)(C) shall not be required if in the Lender’s judgment such completion, execution or submission would subject such Lender to any material unreimbursed cost or expense or would materially prejudice the legal or commercial position of such Lender. Each Lender shall deliver to the Company and the Administrative Agent two further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79</w:t>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02235"/>
                <wp:effectExtent l="0" t="0" r="0" b="0"/>
                <wp:wrapNone/>
                <wp:docPr id="291" name="Frame29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or the Administrative Agent, or promptly notify the Company and the Administrative Agent that it is unable to do so. Each Lender shall promptly notify the Administrative Agent at any time it determines that it is no longer in a position to provide any previously delivered form or certification under this Section 2.16(f)(C) to the Company or the Administrative Agent. Notwithstanding any other provision of this Section 2.16(f)(C), a Lender or Agent shall not be required to deliver any form pursuant to this Section 2.16(f)(C) that it is not legally able to deliver.</w:t>
      </w:r>
    </w:p>
    <w:p>
      <w:pPr>
        <w:pStyle w:val="TextBody"/>
        <w:bidi w:val="0"/>
        <w:spacing w:lineRule="auto" w:line="240" w:before="0" w:after="240"/>
        <w:ind w:left="0" w:right="0" w:firstLine="734"/>
        <w:jc w:val="left"/>
        <w:rPr/>
      </w:pPr>
      <w:r>
        <w:rPr>
          <w:rFonts w:ascii="Times New Roman;sans-serif" w:hAnsi="Times New Roman;sans-serif"/>
          <w:b w:val="false"/>
          <w:color w:val="000000"/>
          <w:sz w:val="24"/>
        </w:rPr>
        <w:t xml:space="preserve">(xxxvi)If the Administrative Agent or a Lender determines, in its sole discretion, that it has received a refund of any Taxes as to which it has been indemnified by a Loan Party or with respect to which a Loan Party has paid additional amounts pursuant to this Section, it shall pay over such refund to the Loan Party (but only to the extent of indemnity payments made, or additional amounts paid, by the Loan Party under this Section with respect to the Taxes giving rise to such refund), net of all out-of-pocket expenses of the Administrative Agent or such Lender and without interest (other than any interest paid by the relevant Governmental Authority with respect to such refund);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Loan Party, upon the request of the Administrative Agent or such Lender, agrees to repay the amount paid over to the Loan Party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Loan Party or any other Person.</w:t>
      </w:r>
    </w:p>
    <w:p>
      <w:pPr>
        <w:pStyle w:val="TextBody"/>
        <w:bidi w:val="0"/>
        <w:spacing w:lineRule="auto" w:line="240" w:before="0" w:after="240"/>
        <w:ind w:left="0" w:right="0" w:firstLine="667"/>
        <w:jc w:val="left"/>
        <w:rPr>
          <w:rFonts w:ascii="Times New Roman;sans-serif" w:hAnsi="Times New Roman;sans-serif"/>
          <w:b w:val="false"/>
          <w:color w:val="000000"/>
          <w:sz w:val="24"/>
        </w:rPr>
      </w:pPr>
      <w:r>
        <w:rPr>
          <w:rFonts w:ascii="Times New Roman;sans-serif" w:hAnsi="Times New Roman;sans-serif"/>
          <w:b w:val="false"/>
          <w:color w:val="000000"/>
          <w:sz w:val="24"/>
        </w:rPr>
        <w:t>(xxxvii)[Reserved.]</w:t>
      </w:r>
    </w:p>
    <w:p>
      <w:pPr>
        <w:pStyle w:val="TextBody"/>
        <w:bidi w:val="0"/>
        <w:spacing w:lineRule="auto" w:line="240" w:before="0" w:after="240"/>
        <w:ind w:left="0" w:right="0" w:firstLine="601"/>
        <w:jc w:val="left"/>
        <w:rPr>
          <w:rFonts w:ascii="Times New Roman;sans-serif" w:hAnsi="Times New Roman;sans-serif"/>
          <w:b w:val="false"/>
          <w:color w:val="000000"/>
          <w:sz w:val="24"/>
        </w:rPr>
      </w:pPr>
      <w:r>
        <w:rPr>
          <w:rFonts w:ascii="Times New Roman;sans-serif" w:hAnsi="Times New Roman;sans-serif"/>
          <w:b w:val="false"/>
          <w:color w:val="000000"/>
          <w:sz w:val="24"/>
        </w:rPr>
        <w:t>(xxxviii)[Reserved.]</w:t>
      </w:r>
    </w:p>
    <w:p>
      <w:pPr>
        <w:pStyle w:val="TextBody"/>
        <w:bidi w:val="0"/>
        <w:spacing w:lineRule="auto" w:line="240" w:before="0" w:after="240"/>
        <w:ind w:left="0" w:right="0" w:firstLine="734"/>
        <w:jc w:val="left"/>
        <w:rPr>
          <w:rFonts w:ascii="Times New Roman;sans-serif" w:hAnsi="Times New Roman;sans-serif"/>
          <w:b w:val="false"/>
          <w:color w:val="000000"/>
          <w:sz w:val="24"/>
        </w:rPr>
      </w:pPr>
      <w:r>
        <w:rPr>
          <w:rFonts w:ascii="Times New Roman;sans-serif" w:hAnsi="Times New Roman;sans-serif"/>
          <w:b w:val="false"/>
          <w:color w:val="000000"/>
          <w:sz w:val="24"/>
        </w:rPr>
        <w:t>(xxxix)Each party’s obligations under this Section 2.16 shall survive the resignation or replacement of the Administrative Agent or any assignment of rights by, or the replacement of, a Lender, the termination of the Commitments and the repayment, satisfaction or discharge of all obligations under this Agreement and any other Loan Document.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1.q.</w:t>
      </w:r>
      <w:r>
        <w:rPr>
          <w:rFonts w:ascii="Times New Roman;sans-serif" w:hAnsi="Times New Roman;sans-serif"/>
          <w:b w:val="false"/>
          <w:color w:val="000000"/>
          <w:sz w:val="24"/>
          <w:u w:val="single"/>
        </w:rPr>
        <w:t>Payments Generally; Pro Rata Treatment; Sharing of Set-offs.</w:t>
      </w:r>
      <w:r>
        <w:rPr>
          <w:color w:val="000000"/>
        </w:rPr>
        <w:t xml:space="preserve"> </w:t>
      </w:r>
      <w:r>
        <w:rPr>
          <w:rFonts w:ascii="Times New Roman;sans-serif" w:hAnsi="Times New Roman;sans-serif"/>
          <w:b w:val="false"/>
          <w:color w:val="000000"/>
          <w:sz w:val="24"/>
        </w:rPr>
        <w:t xml:space="preserve">(a) Each Borrower shall make each payment required to be made by it hereunder (whether of principal, interest, fees or reimbursement of LC Disbursements, or of amounts payable under Section 2.14, 2.15 or 2.16, or otherwise) on the date when due, in immediately available funds, without set-off or counterclaim, and each Borrower agrees to instruct its bank which will be transmitting such funds with respect to such payments not later than 10:00 A.M. (New York City time) on the date when due. All such payments shall be made to the Administrative Agent at its offices at 383 Madison Avenue, New York, New York, except payments to be made directly to an Issuing Bank as expressly provided herein and except that payments pursuant to Sections 2.14, 2.15, 2.16 and 8.03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Payments of principal and interest on any Loan shall be in the currency in which such Loan is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w:t>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02235"/>
                <wp:effectExtent l="0" t="0" r="0" b="0"/>
                <wp:wrapNone/>
                <wp:docPr id="292" name="Frame29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denominated. Reimbursement of LC Disbursement and interest thereon shall be paid in the currency in which such LC Disbursement was made. All other payments hereunder shall be made in US Dollars.</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(xl)If at any time insufficient funds are received by and available to the Administrative Agent to pay fully all amounts of principal, unreimbursed LC Disbursements, interest and fees then due from an applicable Borrower hereunder, such funds shall be applied (i) first, towards payment of interest and fees then due from such Borrower hereunder, ratably among the parties entitled thereto in accordance with the amounts of such interest and fees then due to such parties by such Borrower, and (ii) second, towards payment of principal and unreimbursed LC Disbursements then due from such Borrower hereunder, ratably among the parties entitled thereto in accordance with the amounts of principal and unreimbursed LC Disbursements then due to such parties by such Borrower.</w:t>
      </w:r>
    </w:p>
    <w:p>
      <w:pPr>
        <w:pStyle w:val="TextBody"/>
        <w:bidi w:val="0"/>
        <w:spacing w:lineRule="auto" w:line="240" w:before="0" w:after="240"/>
        <w:ind w:left="0" w:right="0" w:firstLine="1027"/>
        <w:jc w:val="left"/>
        <w:rPr/>
      </w:pPr>
      <w:r>
        <w:rPr>
          <w:rFonts w:ascii="Times New Roman;sans-serif" w:hAnsi="Times New Roman;sans-serif"/>
          <w:b w:val="false"/>
          <w:color w:val="000000"/>
          <w:sz w:val="24"/>
        </w:rPr>
        <w:t xml:space="preserve">(xli)If any Lender shall, by exercising any right of set-off or counterclaim or otherwise, obtain payment in respect of any principal of or interest on any of its (i) Revolving Loans or participations in LC Disbursements in respect of Letters of Credit or Protective Advances or (ii) Loans or participations in LC Disbursements or Protective Advances of any other Class resulting in such Lender receiving payment of a greater proportion of the aggregate amount of its (i) Revolving Loans and participations in LC Disbursements and Protective Advances or (ii) Loans and participations in LC Disbursements and Protective Advances of any other Class and, in each case, accrued interest thereon than the proportion received by any other Lender of the applicable Class, then the Lender receiving such greater proportion shall purchase (for cash at face value) participations in the (i) Revolving Loans and participations in LC Disbursements in respect of Letters of Credit and Protective Advances or (ii) Loans and participations in LC Disbursements and Protective Advances of any other Class of other Lenders of the applicable Class to the extent necessary so that the benefit of all such payments shall be shared by the Lenders of the applicable Class ratably in accordance with the aggregate amount of principal of and accrued interest on their respective (i) Revolving Loans and participations in LC Disbursements in respect of Letters of Credit and Protective Advances or (ii) Loans and participations in LC Disbursements and Protective Advances of any other Class;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or Protective Advances to any assignee or participant, other than to the Company or any Subsidiary or Affiliate thereof (as to which the provisions of this paragraph shall apply).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(xlii)Unless the Administrative Agent shall have received notice from the applicable Borrower prior to the date on which any payment is due to the Administrative Agent for the account of any Lenders or any Issuing Bank hereunder that such Borrower will not make such payment, the Administrative Agent may assume that such Borrower has made such payment on such date in accordance herewith and may, in reliance upon such assumption, distribute to the applicable Lenders or such Issuing Bank, as the case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81</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02235"/>
                <wp:effectExtent l="0" t="0" r="0" b="0"/>
                <wp:wrapNone/>
                <wp:docPr id="293" name="Frame29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may be, the amount due. In such event, if such Borrower has not in fact made such payment, then each of the applicable Lenders or such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(A) (x) the Federal Funds Effective Rate in the case of Loans denominated in US Dollars and (y) the rate reasonably determined by the Administrative Agent to be the cost of funding such amount, in the case of Loans denominated in Canadian Dollars and (B) a rate determined by the Administrative Agent in accordance with banking industry rules on interbank compensation.</w:t>
      </w:r>
    </w:p>
    <w:p>
      <w:pPr>
        <w:pStyle w:val="TextBody"/>
        <w:bidi w:val="0"/>
        <w:spacing w:lineRule="auto" w:line="240" w:before="0" w:after="240"/>
        <w:ind w:left="0" w:right="0" w:firstLine="894"/>
        <w:jc w:val="left"/>
        <w:rPr>
          <w:rFonts w:ascii="Times New Roman;sans-serif" w:hAnsi="Times New Roman;sans-serif"/>
          <w:b w:val="false"/>
          <w:color w:val="000000"/>
          <w:sz w:val="24"/>
        </w:rPr>
      </w:pPr>
      <w:r>
        <w:rPr>
          <w:rFonts w:ascii="Times New Roman;sans-serif" w:hAnsi="Times New Roman;sans-serif"/>
          <w:b w:val="false"/>
          <w:color w:val="000000"/>
          <w:sz w:val="24"/>
        </w:rPr>
        <w:t>(xliii)If any Lender shall fail to make any payment required to be made by it pursuant to Section 2.05(d) or (e), 2.06(b) or 2.17(d),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1.r.</w:t>
      </w:r>
      <w:r>
        <w:rPr>
          <w:rFonts w:ascii="Times New Roman;sans-serif" w:hAnsi="Times New Roman;sans-serif"/>
          <w:b w:val="false"/>
          <w:color w:val="000000"/>
          <w:sz w:val="24"/>
          <w:u w:val="single"/>
        </w:rPr>
        <w:t>Mitigation Obligations; Replacement of Lenders.</w:t>
      </w:r>
      <w:r>
        <w:rPr>
          <w:color w:val="000000"/>
        </w:rPr>
        <w:t xml:space="preserve"> </w:t>
      </w:r>
      <w:r>
        <w:rPr>
          <w:rFonts w:ascii="Times New Roman;sans-serif" w:hAnsi="Times New Roman;sans-serif"/>
          <w:b w:val="false"/>
          <w:color w:val="000000"/>
          <w:sz w:val="24"/>
        </w:rPr>
        <w:t xml:space="preserve">(a)  If any Lender requests compensation under Section 2.14 or 2.21, or </w:t>
      </w:r>
      <w:r>
        <w:rPr>
          <w:rFonts w:ascii="Times New Roman;sans-serif" w:hAnsi="Times New Roman;sans-serif"/>
          <w:b w:val="false"/>
          <w:strike/>
          <w:color w:val="FF0000"/>
          <w:sz w:val="24"/>
        </w:rPr>
        <w:t xml:space="preserve">additional interest under Section 2.12(h) or </w:t>
      </w:r>
      <w:r>
        <w:rPr>
          <w:rFonts w:ascii="Times New Roman;sans-serif" w:hAnsi="Times New Roman;sans-serif"/>
          <w:b w:val="false"/>
          <w:color w:val="000000"/>
          <w:sz w:val="24"/>
        </w:rPr>
        <w:t xml:space="preserve">if a Borrower is required to pay any additional amount to any Lender or any Governmental Authority for the account of any Lender pursuant to Section 2.16 or 2.21,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w:t>
      </w:r>
      <w:r>
        <w:rPr>
          <w:rFonts w:ascii="Times New Roman;sans-serif" w:hAnsi="Times New Roman;sans-serif"/>
          <w:b w:val="false"/>
          <w:strike/>
          <w:color w:val="FF0000"/>
          <w:sz w:val="24"/>
        </w:rPr>
        <w:t xml:space="preserve">2.12(h), </w:t>
      </w:r>
      <w:r>
        <w:rPr>
          <w:rFonts w:ascii="Times New Roman;sans-serif" w:hAnsi="Times New Roman;sans-serif"/>
          <w:b w:val="false"/>
          <w:color w:val="000000"/>
          <w:sz w:val="24"/>
        </w:rPr>
        <w:t>2.14, 2.16 or 2.21, as the case may be, in the future and (ii) would not subject such Lender to any unreimbursed cost or expense and would not otherwise be disadvantageous to such Lender. The applicable Borrower hereby agrees to pay all reasonable costs and expenses incurred by any Lender in connection with any such designation or assignment.</w:t>
      </w:r>
    </w:p>
    <w:p>
      <w:pPr>
        <w:pStyle w:val="TextBody"/>
        <w:bidi w:val="0"/>
        <w:spacing w:lineRule="auto" w:line="240" w:before="0" w:after="240"/>
        <w:ind w:left="0" w:right="0" w:firstLine="907"/>
        <w:jc w:val="left"/>
        <w:rPr/>
      </w:pPr>
      <w:r>
        <w:rPr>
          <w:rFonts w:ascii="Times New Roman;sans-serif" w:hAnsi="Times New Roman;sans-serif"/>
          <w:b w:val="false"/>
          <w:color w:val="000000"/>
          <w:sz w:val="24"/>
        </w:rPr>
        <w:t xml:space="preserve">(xliv)If any Lender requests compensation under Section 2.14 or 2.21, or </w:t>
      </w:r>
      <w:r>
        <w:rPr>
          <w:rFonts w:ascii="Times New Roman;sans-serif" w:hAnsi="Times New Roman;sans-serif"/>
          <w:b w:val="false"/>
          <w:strike/>
          <w:color w:val="FF0000"/>
          <w:sz w:val="24"/>
        </w:rPr>
        <w:t xml:space="preserve">additional interest under Section 2.12(h), or </w:t>
      </w:r>
      <w:r>
        <w:rPr>
          <w:rFonts w:ascii="Times New Roman;sans-serif" w:hAnsi="Times New Roman;sans-serif"/>
          <w:b w:val="false"/>
          <w:color w:val="000000"/>
          <w:sz w:val="24"/>
        </w:rPr>
        <w:t xml:space="preserve">if a Borrower is required to pay any additional amount to any Lender or any Governmental Authority for the account of any Lender pursuant to Section 2.16 or 2.21, or if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8.04), all its interests, rights and obligations under this Agreement to an Eligible Assignee that shall assume such obligations (which assignee may be another Lender, if a Lender accepts such assignment);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the Company shall have received the prior written consent of the Administrative Agent (and, if a Commitment is being assigned, the Issuing Banks), which consents shall not unreasonably be withheld, (ii) such Lender shall have received payment of an amount equal to the outstanding principal of its Loans and participations in LC Disbursements and Protective Advances, accrued interest thereon, accrued fees and all other amounts, in each case payable to it by the applicable Borrower hereunder, from the assignee (to the extent of such outstanding principal and accrued interest and fees) or the applicable Borrower (in the case of all other amounts) and (iii) in the case of any such assignment resulting from a claim for compensation under Section 2.14 or 2.21, </w:t>
      </w:r>
      <w:r>
        <w:rPr>
          <w:rFonts w:ascii="Times New Roman;sans-serif" w:hAnsi="Times New Roman;sans-serif"/>
          <w:b w:val="false"/>
          <w:strike/>
          <w:color w:val="FF0000"/>
          <w:sz w:val="24"/>
        </w:rPr>
        <w:t xml:space="preserve">additional interest under Section 2.12(h) </w:t>
      </w:r>
      <w:r>
        <w:rPr>
          <w:rFonts w:ascii="Times New Roman;sans-serif" w:hAnsi="Times New Roman;sans-serif"/>
          <w:b w:val="false"/>
          <w:color w:val="000000"/>
          <w:sz w:val="24"/>
        </w:rPr>
        <w:t xml:space="preserve">or payments required to be made pursuant to Section 2.16 or 2.21, such assignment will result in a material reduction in such compensation or payments. A Lender shall not be required to make any such assignment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82</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02235"/>
                <wp:effectExtent l="0" t="0" r="0" b="0"/>
                <wp:wrapNone/>
                <wp:docPr id="294" name="Frame29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and delegation if, prior thereto, as a result of a waiver by such Lender or otherwise, the circumstances entitling the applicable Borrower to require such assignment and delegation cease to apply.</w:t>
      </w:r>
    </w:p>
    <w:p>
      <w:pPr>
        <w:pStyle w:val="TextBody"/>
        <w:bidi w:val="0"/>
        <w:spacing w:lineRule="auto" w:line="240" w:before="0" w:after="240"/>
        <w:ind w:left="0" w:right="0" w:firstLine="974"/>
        <w:jc w:val="left"/>
        <w:rPr/>
      </w:pPr>
      <w:r>
        <w:rPr>
          <w:rFonts w:ascii="Times New Roman;sans-serif" w:hAnsi="Times New Roman;sans-serif"/>
          <w:b w:val="false"/>
          <w:color w:val="000000"/>
          <w:sz w:val="24"/>
        </w:rPr>
        <w:t xml:space="preserve">(xlv)If any Lender becomes a Defaulting Lender, then, and at any time thereafter while such Lender continues to be a Defaulting Lender, the Company may, in its sole discretion, terminate the Commitment of such Lender and prepay all Loans of such Lender then outstanding, together with interest thereon to the date of such prepayment;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termination and prepayment shall be permitted only if, after giving effect thereto (including the adjustment of Credit Exposures of the Lenders to give effect to the allocation of LC Exposure in accordance with the Applicable Percentages of the Lenders after giving effect thereto), no Lender’s Credit Exposure shall exceed its Commitment.</w:t>
      </w:r>
    </w:p>
    <w:p>
      <w:pPr>
        <w:pStyle w:val="TextBody"/>
        <w:bidi w:val="0"/>
        <w:spacing w:lineRule="auto" w:line="240" w:before="0" w:after="240"/>
        <w:ind w:left="0" w:right="0" w:firstLine="907"/>
        <w:jc w:val="left"/>
        <w:rPr/>
      </w:pPr>
      <w:r>
        <w:rPr>
          <w:rFonts w:ascii="Times New Roman;sans-serif" w:hAnsi="Times New Roman;sans-serif"/>
          <w:b w:val="false"/>
          <w:color w:val="000000"/>
          <w:sz w:val="24"/>
        </w:rPr>
        <w:t>(xlvi)In connection with any proposed amendment, modification or waiver of or with respect to any provision of this Agreement (a “</w:t>
      </w:r>
      <w:r>
        <w:rPr>
          <w:rFonts w:ascii="Times New Roman;sans-serif" w:hAnsi="Times New Roman;sans-serif"/>
          <w:b w:val="false"/>
          <w:color w:val="000000"/>
          <w:sz w:val="24"/>
          <w:u w:val="single"/>
        </w:rPr>
        <w:t>Proposed Change</w:t>
      </w:r>
      <w:r>
        <w:rPr>
          <w:color w:val="000000"/>
        </w:rPr>
        <w:t>”</w:t>
      </w:r>
      <w:r>
        <w:rPr>
          <w:rFonts w:ascii="Times New Roman;sans-serif" w:hAnsi="Times New Roman;sans-serif"/>
          <w:b w:val="false"/>
          <w:color w:val="000000"/>
          <w:sz w:val="24"/>
        </w:rPr>
        <w:t xml:space="preserve">) requiring the consent of all Lenders, if the consent of the Required Lenders to such Proposed Change is obtained, but the consent to such Proposed Change of other Lenders whose consent is required is not obtained, then the Company may, at its sole expense and effort, upon notice to each Non-Consenting Lender and the Administrative Agent, require each Non-Consenting Lender to assign and delegate, without recourse (in accordance with and subject to the restrictions contained in Section 8.04) all its interests, rights and obligations under this Agreement to an Eligible Assignee that shall assume such obligations (which assignee may be another Lender, if a Lender accepts such assignment);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the Company shall have received the prior written consent of the Administrative Agent, which consent shall not be unreasonably withheld, (ii) such Non-Consenting Lender shall have received payment of an amount equal to the outstanding principal of its Loans and participations in LC Disbursements and Protective Advances, accrued interest thereon, accrued fees and all other amounts, in each case payable to it by the Company hereunder, from the assignee (to the extent of such outstanding principal and accrued interest and fees) or the Company (in the case of all other amounts) and (iii) the Company shall not be permitted to require any Non-Consenting Lender to make any such assignment unless all Non-Consenting Lenders are required to make such assignments and, as a result thereof, the Proposed Change will become effective.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1.s.</w:t>
      </w:r>
      <w:r>
        <w:rPr>
          <w:rFonts w:ascii="Times New Roman;sans-serif" w:hAnsi="Times New Roman;sans-serif"/>
          <w:b w:val="false"/>
          <w:color w:val="000000"/>
          <w:sz w:val="24"/>
          <w:u w:val="single"/>
        </w:rPr>
        <w:t>Defaulting Lenders</w:t>
      </w:r>
      <w:r>
        <w:rPr>
          <w:rFonts w:ascii="Times New Roman;sans-serif" w:hAnsi="Times New Roman;sans-serif"/>
          <w:b w:val="false"/>
          <w:color w:val="000000"/>
          <w:sz w:val="24"/>
        </w:rPr>
        <w:t>. Notwithstanding any other provision of this Agreement to the contrary, if any Lender becomes a Defaulting Lender then the following provisions shall apply for so long as such Lender is a Defaulting Lender:</w:t>
      </w:r>
    </w:p>
    <w:p>
      <w:pPr>
        <w:pStyle w:val="TextBody"/>
        <w:bidi w:val="0"/>
        <w:spacing w:lineRule="auto" w:line="240" w:before="0" w:after="240"/>
        <w:ind w:left="0" w:right="0" w:firstLine="494"/>
        <w:jc w:val="left"/>
        <w:rPr/>
      </w:pPr>
      <w:r>
        <w:rPr>
          <w:rFonts w:ascii="Times New Roman;sans-serif" w:hAnsi="Times New Roman;sans-serif"/>
          <w:b w:val="false"/>
          <w:color w:val="000000"/>
          <w:sz w:val="24"/>
        </w:rPr>
        <w:t xml:space="preserve">(i)if any Protective Advance Exposures in respect of any Class exists at the time a Lender of such Class is a Defaulting Lender the Protective Advance Exposures of such Defaulting Lender shall be reallocated among the non-Defaulting Lenders at such time in accordance with their respective Applicable Percentages but only to the extent that after giving effect to any such reallocation, (i) the Credit Exposure of each non-Defaulting Lender of such Class would not exceed its Commitments of such Class and (ii) the total Credit Exposure of all non-Defaulting Lenders of such Class would not exceed the total Commitments of such Lenders of such Class;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such reallocation cannot, or can only partially, be effected, the Company shall within one Business Day following notice by the Administrative Agent prepay the portion of such Defaulting Lender’s Protective Advance Exposures that has not been reallocated;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the conditions set forth in Section 4.02 are satisfied at the time of such reallocation (and, unless the Company shall have otherwise notified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83</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02235"/>
                <wp:effectExtent l="0" t="0" r="0" b="0"/>
                <wp:wrapNone/>
                <wp:docPr id="295" name="Frame29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 at such time, the Company shall be deemed to have represented and warranted that such conditions are satisfied at such time);</w:t>
      </w:r>
    </w:p>
    <w:p>
      <w:pPr>
        <w:pStyle w:val="TextBody"/>
        <w:bidi w:val="0"/>
        <w:spacing w:lineRule="auto" w:line="240" w:before="0" w:after="240"/>
        <w:ind w:left="0" w:right="0" w:firstLine="427"/>
        <w:jc w:val="left"/>
        <w:rPr/>
      </w:pPr>
      <w:r>
        <w:rPr>
          <w:rFonts w:ascii="Times New Roman;sans-serif" w:hAnsi="Times New Roman;sans-serif"/>
          <w:b w:val="false"/>
          <w:color w:val="000000"/>
          <w:sz w:val="24"/>
        </w:rPr>
        <w:t xml:space="preserve">(ii)if any LC Exposure in respect of any Class exists at the time a Lender of such Class is a Defaulting Lender the Company shall within three Business Days following notice by the Administrative Agent either (i) cash collateralize such Defaulting Lender’s LC Exposure of such Class in accordance with the procedures set forth in Section 2.05(j) for so long as such Defaulting Lender’s LC Exposure of such Class is outstanding, (ii) elect, by notice to the Administrative Agent, an LC Exposure Reallocation with respect to such Defaulting Lender’s LC Exposure of such Class,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conditions set forth in Section 4.02 are satisfied at the time of such reallocation (and, unless the Company shall have otherwise notified the Administrative Agent at such time, the Company shall be deemed to have represented and warranted that such conditions are satisfied at such time) or (iii) comply with a combination of clauses (i) and (ii) above with respect to such Defaulting Lender’s LC Exposure of such Class;</w:t>
      </w:r>
    </w:p>
    <w:p>
      <w:pPr>
        <w:pStyle w:val="TextBody"/>
        <w:bidi w:val="0"/>
        <w:spacing w:lineRule="auto" w:line="240" w:before="0" w:after="240"/>
        <w:ind w:left="0" w:right="0" w:firstLine="361"/>
        <w:jc w:val="left"/>
        <w:rPr>
          <w:rFonts w:ascii="Times New Roman;sans-serif" w:hAnsi="Times New Roman;sans-serif"/>
          <w:b w:val="false"/>
          <w:color w:val="000000"/>
          <w:sz w:val="24"/>
        </w:rPr>
      </w:pPr>
      <w:r>
        <w:rPr>
          <w:rFonts w:ascii="Times New Roman;sans-serif" w:hAnsi="Times New Roman;sans-serif"/>
          <w:b w:val="false"/>
          <w:color w:val="000000"/>
          <w:sz w:val="24"/>
        </w:rPr>
        <w:t>(iii)no Issuing Bank shall be required to issue, amend or increase any Letter of Credit of any Class unless the Company provides cash collateral or elects an LC Exposure Reallocation (or a combination thereof) in accordance with clause (b) above in respect of such Defaulting Lender’s LC Exposure of such Class in respect thereof;</w:t>
      </w:r>
    </w:p>
    <w:p>
      <w:pPr>
        <w:pStyle w:val="TextBody"/>
        <w:bidi w:val="0"/>
        <w:spacing w:lineRule="auto" w:line="240" w:before="0" w:after="240"/>
        <w:ind w:left="0" w:right="0" w:firstLine="374"/>
        <w:jc w:val="left"/>
        <w:rPr>
          <w:rFonts w:ascii="Times New Roman;sans-serif" w:hAnsi="Times New Roman;sans-serif"/>
          <w:b w:val="false"/>
          <w:color w:val="000000"/>
          <w:sz w:val="24"/>
        </w:rPr>
      </w:pPr>
      <w:r>
        <w:rPr>
          <w:rFonts w:ascii="Times New Roman;sans-serif" w:hAnsi="Times New Roman;sans-serif"/>
          <w:b w:val="false"/>
          <w:color w:val="000000"/>
          <w:sz w:val="24"/>
        </w:rPr>
        <w:t>(iv)no commitment fees or participation fees shall accrue for the account of or be payable to such Defaulting Lender; and</w:t>
      </w:r>
    </w:p>
    <w:p>
      <w:pPr>
        <w:pStyle w:val="TextBody"/>
        <w:bidi w:val="0"/>
        <w:spacing w:lineRule="auto" w:line="240" w:before="0" w:after="240"/>
        <w:ind w:left="0" w:right="0" w:firstLine="440"/>
        <w:jc w:val="left"/>
        <w:rPr/>
      </w:pPr>
      <w:r>
        <w:rPr>
          <w:rFonts w:ascii="Times New Roman;sans-serif" w:hAnsi="Times New Roman;sans-serif"/>
          <w:b w:val="false"/>
          <w:color w:val="000000"/>
          <w:sz w:val="24"/>
        </w:rPr>
        <w:t xml:space="preserve">(v)the Commitment and Credit Exposure of such Defaulting Lender shall not be included in determining whether the Required Lenders, the Supermajority Lenders or any other requisite Lenders have taken or may take any action hereunder or under any other Loan Document (including any consent to any amendment, waiver or other modification pursuant to Section 8.02 or Section 8.02A);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amendment, waiver or other modification requiring the consent of all Lenders or all Lenders affected thereby shall, except as otherwise provided in Section 8.02, require the consent of such Defaulting Lender in accordance with the terms hereof.</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 is understood that, if the Commitment of a Defaulting Lender is assigned pursuant to Section 2.18(b) or terminated pursuant to Section 2.18(c), the provisions of this Section 2.19 shall cease to apply in respect of such Defaulting Lender and its Commitment.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1.t.</w:t>
      </w:r>
      <w:r>
        <w:rPr>
          <w:rFonts w:ascii="Times New Roman;sans-serif" w:hAnsi="Times New Roman;sans-serif"/>
          <w:b w:val="false"/>
          <w:color w:val="000000"/>
          <w:sz w:val="24"/>
          <w:u w:val="single"/>
        </w:rPr>
        <w:t>Additional Borrowers; Borrowing Subsidiary Terminations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(i)After the Effective Date, the Company may designate any wholly-owned Domestic Subsidiary or Canadian Subsidiary acceptable to the Lenders of any Class of Commitments and the Administrative Agent as an Additional Borrower in respect of such Class by delivery to the Administrative Agent of (i) an Additional Borrower Agreement executed by such Subsidiary and the Company, substantially in the form of Exhibit B-1 hereto (each, an “</w:t>
      </w:r>
      <w:r>
        <w:rPr>
          <w:rFonts w:ascii="Times New Roman;sans-serif" w:hAnsi="Times New Roman;sans-serif"/>
          <w:b w:val="false"/>
          <w:color w:val="000000"/>
          <w:sz w:val="24"/>
          <w:u w:val="single"/>
        </w:rPr>
        <w:t>Additional Borrower Agreement</w:t>
      </w:r>
      <w:r>
        <w:rPr>
          <w:color w:val="000000"/>
        </w:rPr>
        <w:t>”</w:t>
      </w:r>
      <w:r>
        <w:rPr>
          <w:rFonts w:ascii="Times New Roman;sans-serif" w:hAnsi="Times New Roman;sans-serif"/>
          <w:b w:val="false"/>
          <w:color w:val="000000"/>
          <w:sz w:val="24"/>
        </w:rPr>
        <w:t xml:space="preserve">) and (ii) a favorable written opinion (addressed to the Administrative Agent and the Lenders) of counsel of such Subsidiary or Subsidiaries (which opinion shall be reasonably satisfactory to the Administrative Agent). Upon the written acceptance of the Additional Borrower Agreement by the Administrative Agent and all the Lenders of the applicable Class, in each applicable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02235"/>
                <wp:effectExtent l="0" t="0" r="0" b="0"/>
                <wp:wrapNone/>
                <wp:docPr id="296" name="Frame29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Lender’s sole discretion, such Subsidiary shall for all purposes of this Agreement be an Additional Borrower with respect to such Class and a party to this Agreement. </w:t>
      </w:r>
    </w:p>
    <w:p>
      <w:pPr>
        <w:pStyle w:val="TextBody"/>
        <w:bidi w:val="0"/>
        <w:spacing w:lineRule="auto" w:line="240" w:before="0" w:after="240"/>
        <w:ind w:left="0" w:right="0" w:firstLine="1147"/>
        <w:jc w:val="left"/>
        <w:rPr/>
      </w:pPr>
      <w:r>
        <w:rPr>
          <w:rFonts w:ascii="Times New Roman;sans-serif" w:hAnsi="Times New Roman;sans-serif"/>
          <w:b w:val="false"/>
          <w:color w:val="000000"/>
          <w:sz w:val="24"/>
        </w:rPr>
        <w:t>(ii)If the Company wishes to terminate a Borrowing Subsidiary, the Company may execute and deliver to the Administrative Agent, at least ten Business Days prior to effectiveness, a Borrowing Subsidiary Termination substantially in the form of Exhibit B-2 hereto (each, a “</w:t>
      </w:r>
      <w:r>
        <w:rPr>
          <w:rFonts w:ascii="Times New Roman;sans-serif" w:hAnsi="Times New Roman;sans-serif"/>
          <w:b w:val="false"/>
          <w:color w:val="000000"/>
          <w:sz w:val="24"/>
          <w:u w:val="single"/>
        </w:rPr>
        <w:t>Borrowing Subsidiary Termination</w:t>
      </w:r>
      <w:r>
        <w:rPr>
          <w:color w:val="000000"/>
        </w:rPr>
        <w:t>”</w:t>
      </w:r>
      <w:r>
        <w:rPr>
          <w:rFonts w:ascii="Times New Roman;sans-serif" w:hAnsi="Times New Roman;sans-serif"/>
          <w:b w:val="false"/>
          <w:color w:val="000000"/>
          <w:sz w:val="24"/>
        </w:rPr>
        <w:t>) with respect to any Borrowing Subsidiary, and such Subsidiary shall cease to be a Borrowing Subsidiary and a party to this Agreement. Notwithstanding the foregoing, no Borrowing Subsidiary Termination will become effective as to any Borrowing Subsidiary at a time when any principal of or interest on any Loan to such Borrowing Subsidiary shall be outstanding hereunder. Promptly following receipt of any Additional Borrower Agreement or Borrowing Subsidiary Termination, the Administrative Agent shall send a copy thereof to each Lender.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1.u.</w:t>
      </w:r>
      <w:r>
        <w:rPr>
          <w:rFonts w:ascii="Times New Roman;sans-serif" w:hAnsi="Times New Roman;sans-serif"/>
          <w:b w:val="false"/>
          <w:color w:val="000000"/>
          <w:sz w:val="24"/>
          <w:u w:val="single"/>
        </w:rPr>
        <w:t>Canadian Borrower Costs.</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(i)If the cost to any Lender of making or maintaining any Loan to any Additional Borrower that is a Canadian Borrower is increased, or the amount of any sum received or receivable by any Lender (or its lending office) from any such Canadian Borrower is reduced, by an amount deemed in good faith by such Lender to be material, by reason of the fact that such Additional Borrower is organized under the laws of, or principally conducts its business in, a jurisdiction or jurisdictions outside the United States of America, the Company shall indemnify such Lender for such increased cost or reduction within 30 days after demand by such Lender (with a copy to the Administrative Agent). A certificate of such Lender claiming compensation under this subsection (a) and setting forth the additional amount or amounts to be paid to it hereunder, together with calculations in reasonable detail supporting such amounts, shall be conclusive in the absence of clearly demonstrable error.</w:t>
      </w:r>
    </w:p>
    <w:p>
      <w:pPr>
        <w:pStyle w:val="TextBody"/>
        <w:bidi w:val="0"/>
        <w:spacing w:lineRule="auto" w:line="240" w:before="0" w:after="240"/>
        <w:ind w:left="0" w:right="0" w:firstLine="1147"/>
        <w:jc w:val="left"/>
        <w:rPr/>
      </w:pPr>
      <w:r>
        <w:rPr>
          <w:rFonts w:ascii="Times New Roman;sans-serif" w:hAnsi="Times New Roman;sans-serif"/>
          <w:b w:val="false"/>
          <w:color w:val="000000"/>
          <w:sz w:val="24"/>
        </w:rPr>
        <w:t xml:space="preserve">(ii)Each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if any Lender fails to give such notice within 45 days after it obtains actual knowledge of such an event, such Lender shall, with respect to compensation payable pursuant to this Section in respect of any costs resulting from such event, only be entitled to payment under this Section for costs incurred from and after the date 45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 or to the Company or any Borrower.</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(iii)The foregoing provisions of this Section shall not apply to Taxes imposed on or with respect to payments made by the Borrowers hereunder or Other Taxes, which Taxes shall be governed in each case solely by Section 2.16.</w:t>
      </w:r>
    </w:p>
    <w:p>
      <w:pPr>
        <w:pStyle w:val="TextBody"/>
        <w:bidi w:val="0"/>
        <w:spacing w:lineRule="auto" w:line="240" w:before="0" w:after="240"/>
        <w:jc w:val="center"/>
        <w:rPr/>
      </w:pPr>
      <w:r>
        <w:rPr>
          <w:rFonts w:ascii="Times New Roman;sans-serif" w:hAnsi="Times New Roman;sans-serif"/>
          <w:b w:val="false"/>
          <w:color w:val="000000"/>
          <w:sz w:val="24"/>
        </w:rPr>
        <w:t>ARTICLE 3</w:t>
      </w:r>
      <w:r>
        <w:rPr>
          <w:rFonts w:ascii="Times New Roman;sans-serif" w:hAnsi="Times New Roman;sans-serif"/>
          <w:b w:val="false"/>
          <w:color w:val="000000"/>
          <w:sz w:val="24"/>
        </w:rPr>
        <w:br/>
        <w:br/>
        <w:t>Representations and Warranties</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represents and warrants to the Lenders that:</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02235"/>
                <wp:effectExtent l="0" t="0" r="0" b="0"/>
                <wp:wrapNone/>
                <wp:docPr id="297" name="Frame29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1.0a.</w:t>
      </w:r>
      <w:r>
        <w:rPr>
          <w:rFonts w:ascii="Times New Roman;sans-serif" w:hAnsi="Times New Roman;sans-serif"/>
          <w:b w:val="false"/>
          <w:color w:val="000000"/>
          <w:sz w:val="24"/>
          <w:u w:val="single"/>
        </w:rPr>
        <w:t>Corporate Existence and Power.</w:t>
      </w:r>
      <w:r>
        <w:rPr>
          <w:color w:val="000000"/>
        </w:rPr>
        <w:t xml:space="preserve"> </w:t>
      </w:r>
      <w:r>
        <w:rPr>
          <w:rFonts w:ascii="Times New Roman;sans-serif" w:hAnsi="Times New Roman;sans-serif"/>
          <w:b w:val="false"/>
          <w:color w:val="000000"/>
          <w:sz w:val="24"/>
        </w:rPr>
        <w:t>Each Loan Party is duly organized, validly existing and in good standing under the laws of the jurisdiction of its organization and has all corporate or other organizational power and authority required to carry on its business as now conducted.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1.0b.</w:t>
      </w:r>
      <w:r>
        <w:rPr>
          <w:rFonts w:ascii="Times New Roman;sans-serif" w:hAnsi="Times New Roman;sans-serif"/>
          <w:b w:val="false"/>
          <w:color w:val="000000"/>
          <w:sz w:val="24"/>
          <w:u w:val="single"/>
        </w:rPr>
        <w:t>Corporate and Governmental Authorization; No Contravention.</w:t>
      </w:r>
      <w:r>
        <w:rPr>
          <w:color w:val="000000"/>
        </w:rPr>
        <w:t xml:space="preserve"> </w:t>
      </w:r>
      <w:r>
        <w:rPr>
          <w:rFonts w:ascii="Times New Roman;sans-serif" w:hAnsi="Times New Roman;sans-serif"/>
          <w:b w:val="false"/>
          <w:color w:val="000000"/>
          <w:sz w:val="24"/>
        </w:rPr>
        <w:t>The Transactions to be entered into by each Loan Party (a) are within such Loan Party’s corporate or other organizational power, (b) have been duly authorized by all necessary corporate or other organizational action, (c) require no action by or in respect of, or filing with, any governmental body, agency or official (other than the filing of reports with the Securities and Exchange Commission and filings necessary to satisfy the Collateral and Guarantee Requirement) and (d) do not contravene, or constitute a default under, (i) any provision of applicable law or regulation, (ii) the certificate of incorporation, bylaws or other organizational documents of such Loan Party or (iii) any agreement, judgment, injunction, order, decree or other instrument binding upon such Loan Party, in each case of clauses (c), (d)(i) and (d)(iii) where the failure to take such action, make such filing or contravention or default would reasonably be expected to have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1.0c.</w:t>
      </w:r>
      <w:r>
        <w:rPr>
          <w:rFonts w:ascii="Times New Roman;sans-serif" w:hAnsi="Times New Roman;sans-serif"/>
          <w:b w:val="false"/>
          <w:color w:val="000000"/>
          <w:sz w:val="24"/>
          <w:u w:val="single"/>
        </w:rPr>
        <w:t>Binding Effect.</w:t>
      </w:r>
      <w:r>
        <w:rPr>
          <w:color w:val="000000"/>
        </w:rPr>
        <w:t xml:space="preserve"> </w:t>
      </w:r>
      <w:r>
        <w:rPr>
          <w:rFonts w:ascii="Times New Roman;sans-serif" w:hAnsi="Times New Roman;sans-serif"/>
          <w:b w:val="false"/>
          <w:color w:val="000000"/>
          <w:sz w:val="24"/>
        </w:rPr>
        <w:t>This Agreement has been duly executed and delivered by the Borrowers and constitutes, and each Collateral Agreement (at such times as the Collateral and Guarantee Requirement is required to be satisfied) has been duly executed and delivered by the Company and each Material Subsidiary party thereto and constitutes, a valid and binding obligation of the Company (and such Material Subsidiary, if applicable), enforceable in accordance with its terms, subject to applicable bankruptcy, insolvency and other similar laws affecting creditors’ rights generally, concepts of reasonableness and general principles of equity, regardless of whether considered in a proceeding in equity or at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1.0d.</w:t>
      </w:r>
      <w:r>
        <w:rPr>
          <w:rFonts w:ascii="Times New Roman;sans-serif" w:hAnsi="Times New Roman;sans-serif"/>
          <w:b w:val="false"/>
          <w:color w:val="000000"/>
          <w:sz w:val="24"/>
          <w:u w:val="single"/>
        </w:rPr>
        <w:t>Financial Information.</w:t>
      </w:r>
      <w:r>
        <w:rPr>
          <w:color w:val="000000"/>
        </w:rPr>
        <w:t xml:space="preserve"> </w:t>
      </w:r>
      <w:r>
        <w:rPr>
          <w:rFonts w:ascii="Times New Roman;sans-serif" w:hAnsi="Times New Roman;sans-serif"/>
          <w:b w:val="false"/>
          <w:color w:val="000000"/>
          <w:sz w:val="24"/>
        </w:rPr>
        <w:t>(a) The consolidated balance sheet of the Company and the Subsidiaries and the related consolidated statements of income, shareholders’ equity and cash flows as of and for (i) Fiscal Year 2020, reported on by Ernst &amp; Young LLP and set forth in the Registration Statement, a copy of which has been delivered to each of the Lenders, and (ii) the first fiscal quarter of Fiscal Year 2021, certified by a Financial Officer, in each case fairly present, in conformity with GAAP (except, in the case of the financial statements referred to in clause (ii) above, for normal year-end adjustments and the absence of footnotes), the consolidated financial position of the Company and the Subsidiaries as of such date and their consolidated results of operations and cash flows for such Fiscal Year or portion of such Fiscal Year, as applicable.</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(i)From January 30, 2021 to the date hereof or any Test Date, as applicable, there has been no material adverse change in the business, financial position or results of operations of the Company and the Consolidated Subsidiaries, considered as a whole.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1.0e.</w:t>
      </w:r>
      <w:r>
        <w:rPr>
          <w:rFonts w:ascii="Times New Roman;sans-serif" w:hAnsi="Times New Roman;sans-serif"/>
          <w:b w:val="false"/>
          <w:color w:val="000000"/>
          <w:sz w:val="24"/>
          <w:u w:val="single"/>
        </w:rPr>
        <w:t>Litigation and Environmental Matters.</w:t>
      </w:r>
      <w:r>
        <w:rPr>
          <w:color w:val="000000"/>
        </w:rPr>
        <w:t xml:space="preserve"> </w:t>
      </w:r>
      <w:r>
        <w:rPr>
          <w:rFonts w:ascii="Times New Roman;sans-serif" w:hAnsi="Times New Roman;sans-serif"/>
          <w:b w:val="false"/>
          <w:color w:val="000000"/>
          <w:sz w:val="24"/>
        </w:rPr>
        <w:t>(a) Except for the Disclosed Matters, there is no action, suit or proceeding pending against, or to the knowledge of the Company threatened against or affecting, the Company or any Consolidated Subsidiaries before any court or arbitrator or any governmental body, agency or official in which there is, in the good faith judgment of the Company (which shall be conclusive), a reasonable possibility of an adverse decision, which would reasonably be expected to have a Material Adverse Effect.</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86</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02235"/>
                <wp:effectExtent l="0" t="0" r="0" b="0"/>
                <wp:wrapNone/>
                <wp:docPr id="298" name="Frame29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(i)Except with respect to any matters that, individually or in the aggregate, are not reasonably expected in the good faith judgment of the Company (which shall be conclusive) to have a Material Adverse Effect of the type referred to in clause (a) of the definition thereof, neither the Company nor any of the Consolidated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(ii)Since the date of this Agreement, there has been no change in the status of the Disclosed Matters that, individually or in the aggregate in the good faith judgment of the Company (which shall be conclusive), has resulted in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1.0f.</w:t>
      </w:r>
      <w:r>
        <w:rPr>
          <w:rFonts w:ascii="Times New Roman;sans-serif" w:hAnsi="Times New Roman;sans-serif"/>
          <w:b w:val="false"/>
          <w:color w:val="000000"/>
          <w:sz w:val="24"/>
          <w:u w:val="single"/>
        </w:rPr>
        <w:t>Anti-Corruption Laws and Sanctions.</w:t>
      </w:r>
      <w:r>
        <w:rPr>
          <w:color w:val="000000"/>
        </w:rPr>
        <w:t xml:space="preserve"> </w:t>
      </w:r>
      <w:r>
        <w:rPr>
          <w:rFonts w:ascii="Times New Roman;sans-serif" w:hAnsi="Times New Roman;sans-serif"/>
          <w:b w:val="false"/>
          <w:color w:val="000000"/>
          <w:sz w:val="24"/>
        </w:rPr>
        <w:t>The Company has implemented and maintains in effect policies and procedures designed to promote compliance by the Company, its Subsidiaries and their respective directors, officers, employees and agents (acting in their capacity as such) with the FCPA, the U.K. Bribery Act 2010 and applicable Sanctions, and the Company and each of its Subsidiaries, to the knowledge of the Company, is in compliance with all Anti-Corruption Laws, applicable Sanctions, and, to the extent applicable, the USA Patriot Act, in all material respects. None of the Company or any Subsidiary, or, to the knowledge of the Company, any director, officer, employee or agent with respect to the facility of the Company or any Subsidiary, is a Sanctioned Person. This Section applies, other than to the extent that such representation and warranty would result in a violation of Council Regulation (EC) No 2271/96, as amended (or any implementing law or regulation in any member state of the European Union or the United Kingdom).</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1.0g.</w:t>
      </w:r>
      <w:r>
        <w:rPr>
          <w:rFonts w:ascii="Times New Roman;sans-serif" w:hAnsi="Times New Roman;sans-serif"/>
          <w:b w:val="false"/>
          <w:color w:val="000000"/>
          <w:sz w:val="24"/>
          <w:u w:val="single"/>
        </w:rPr>
        <w:t>Subsidiaries.</w:t>
      </w:r>
      <w:r>
        <w:rPr>
          <w:color w:val="000000"/>
        </w:rPr>
        <w:t xml:space="preserve"> </w:t>
      </w:r>
      <w:r>
        <w:rPr>
          <w:rFonts w:ascii="Times New Roman;sans-serif" w:hAnsi="Times New Roman;sans-serif"/>
          <w:b w:val="false"/>
          <w:color w:val="000000"/>
          <w:sz w:val="24"/>
        </w:rPr>
        <w:t>(a) Each of the Consolidated Subsidiaries is a corporation, limited liability company or partnership duly organized, validly existing and, to the extent applicable, in good standing under the laws of its jurisdiction of organization, and has all requisite power and authority required to carry on its business as now conducted except to the extent that the failure of any such Consolidated Subsidiary to be so organized, existing or in good standing or to have such power and authority is not reasonably expected by the Company to have a Material Adverse Effect.</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(i)Schedule 3.07 hereto completely and accurately sets forth the names and jurisdictions of organization of each Consolidated Subsidiary that is a Domestic Subsidiary or a Canadian Subsidiary as of the Effective Date, indicating for each such Subsidiary whether it is a Material Subsidiary as of the Effective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1.0h.</w:t>
      </w:r>
      <w:r>
        <w:rPr>
          <w:rFonts w:ascii="Times New Roman;sans-serif" w:hAnsi="Times New Roman;sans-serif"/>
          <w:b w:val="false"/>
          <w:color w:val="000000"/>
          <w:sz w:val="24"/>
          <w:u w:val="single"/>
        </w:rPr>
        <w:t>Not an Investment Company.</w:t>
      </w:r>
      <w:r>
        <w:rPr>
          <w:color w:val="000000"/>
        </w:rPr>
        <w:t xml:space="preserve"> </w:t>
      </w:r>
      <w:r>
        <w:rPr>
          <w:rFonts w:ascii="Times New Roman;sans-serif" w:hAnsi="Times New Roman;sans-serif"/>
          <w:b w:val="false"/>
          <w:color w:val="000000"/>
          <w:sz w:val="24"/>
        </w:rPr>
        <w:t>None of the Borrowers or the Subsidiary Loan Parties is required to register as an “investment company” under (and within the meaning of) the Investment Company Act of 1940, as amended.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1.0i.</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 xml:space="preserve">(a) The Company and its ERISA Affiliates (i) have fulfilled their material obligations, whether or not waived, under the minimum funding standards of Section 302 of ERISA and Section 412 of the Code with respect to each Plan, (ii) are in compliance in all material respects with the presently applicable provisions of ERISA and the Code and (iii) have not incurred any liability in excess of $100,000,000 to the PBGC or a Plan under Title IV of ERISA other than a liability to the PBGC for premiums under Section 4007 of ERISA;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this sentence shall not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87</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02235"/>
                <wp:effectExtent l="0" t="0" r="0" b="0"/>
                <wp:wrapNone/>
                <wp:docPr id="299" name="Frame29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apply to (x) any ERISA Affiliate as described in Section 414(m) of the Code (other than the Company or a Subsidiary) or any Plan maintained by such an ERISA Affiliate or (y) any Multiemployer Plan. The Company and its Subsidiaries have made all material payments to Multiemployer Plans which they have been required to make under the related collective bargaining agreement or applicable law. As of the Effective Date, the Company and its Subsidiaries do not contribute to or have an obligation to contribute to a Multiemployer Plan, nor have they contributed or had an obligation to contribute to a Multiemployer Plan in the preceding six years.</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Canadian Employee Benefit Plans</w:t>
      </w:r>
      <w:r>
        <w:rPr>
          <w:rFonts w:ascii="Times New Roman;sans-serif" w:hAnsi="Times New Roman;sans-serif"/>
          <w:b w:val="false"/>
          <w:color w:val="000000"/>
          <w:sz w:val="24"/>
        </w:rPr>
        <w:t xml:space="preserve">. As of the Effective Date, none of the Canadian Pension Plans are Canadian Defined Benefit Pension Plans. All Canadian Pension Plans are duly registered under the ITA and applicable Canadian Pension Benefits Legislation and no event has occurred which would reasonably be expected to cause the loss of such registered status where the loss of such registered status could reasonably be expected to result in a Material Adverse Effect. The Canadian Pension Plans have each been administered, funded and invested in accordance with the terms of the particular plan, all applicable laws including, where applicable, the ITA and Canadian Pension Benefits Legislation, and the terms of all applicable collective bargaining agreements and employment contracts, except where the failure to do so could not reasonably be expected to result in a Material Adverse Effect. All material obligations of each of the Loan Parties (including fiduciary, funding, investment and administration obligations) required to be performed in connection with the Canadian Pension Plans and the funding agreements therefor have been performed on a timely basis, except where the failure to do so could not reasonably be expected to result in a Material Adverse Effect. There are no outstanding disputes concerning the assets of the Canadian Pension Plans except for such disputes which would not reasonably be expected to result in a Material Adverse Effect. All employee and employer payments, contributions (including “normal cost”, “special payments” and any other payments in respect of any funding deficiencies or shortfalls) or premiums required to be withheld, made, remitted or paid to or in respect of each Canadian Pension Plan and all other amounts that are due to the pension fund of any Canadian Pension Plan from any Loan Party or any of their respective Affiliates have been withheld, made, remitted or paid on a timely basis in accordance with the terms of such plans, any applicable collective bargaining agreement or employment contract and all applicable laws, except where the failure to do so could not reasonably be expected to result in a Material Adverse Effect. There has been no improper withdrawal or application of the assets of the Canadian Pension Plans as of the Effective Date.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1.j.</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The Company and its Consolidated Subsidiaries have filed all United States federal income tax returns and all other material tax returns which, in the opinion of the Company, are required to be filed by them and have paid all taxes due pursuant to such returns or pursuant to any assessment received by the Company or any Consolidated Subsidiary, except for assessments which are being contested in good faith by appropriate proceedings. The charges, accruals and reserves on the books of the Company and its Consolidated Subsidiaries in respect of taxes or other governmental charges are, in the opinion of the Company, adequate.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1.k.</w:t>
      </w:r>
      <w:r>
        <w:rPr>
          <w:rFonts w:ascii="Times New Roman;sans-serif" w:hAnsi="Times New Roman;sans-serif"/>
          <w:b w:val="false"/>
          <w:color w:val="000000"/>
          <w:sz w:val="24"/>
          <w:u w:val="single"/>
        </w:rPr>
        <w:t>Disclosure.</w:t>
      </w:r>
      <w:r>
        <w:rPr>
          <w:color w:val="000000"/>
        </w:rPr>
        <w:t xml:space="preserve"> </w:t>
      </w:r>
      <w:r>
        <w:rPr>
          <w:rFonts w:ascii="Times New Roman;sans-serif" w:hAnsi="Times New Roman;sans-serif"/>
          <w:b w:val="false"/>
          <w:color w:val="000000"/>
          <w:sz w:val="24"/>
        </w:rPr>
        <w:t xml:space="preserve">The financial statements delivered pursuant to Section 5.01(a)(i) and (ii), the registration statements delivered pursuant to Section 5.01(a)(vii) (in each case in the form in which such registration statements were declared effective, as amended by any post-effective amendments thereto) and the reports on Forms 10-K, 10-Q and 8-K delivered pursuant to Section 5.01(a)(vii), do not, taken as a whole and in each case as of the date thereof, contain any material misstatement of fact or omit to state any material fact necessary to make the statements therein, in the light of the circumstances under which they were made, not materially misleading;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88</w:t>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02235"/>
                <wp:effectExtent l="0" t="0" r="0" b="0"/>
                <wp:wrapNone/>
                <wp:docPr id="300" name="Frame30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respect to projected financial information, the Company represents only that such information was prepared in good faith based upon assumptions believed to be reasonable at the time.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1.l.</w:t>
      </w:r>
      <w:r>
        <w:rPr>
          <w:rFonts w:ascii="Times New Roman;sans-serif" w:hAnsi="Times New Roman;sans-serif"/>
          <w:b w:val="false"/>
          <w:color w:val="000000"/>
          <w:sz w:val="24"/>
          <w:u w:val="single"/>
        </w:rPr>
        <w:t>Credit Card Agreements</w:t>
      </w:r>
      <w:r>
        <w:rPr>
          <w:rFonts w:ascii="Times New Roman;sans-serif" w:hAnsi="Times New Roman;sans-serif"/>
          <w:b w:val="false"/>
          <w:color w:val="000000"/>
          <w:sz w:val="24"/>
        </w:rPr>
        <w:t xml:space="preserve">. Schedule 3.12 (as updated from time to time as permitted by Section 5.24) sets forth a list of all Credit Card Agreements to which any Loan Party is a party. A true and complete copy of each Credit Card Agreement listed in Schedule 3.12 has been delivered to the Collateral Agent, together with all material amendments, waivers and other modifications thereto;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Private Label Credit Card Program Agreement dated as of June 1, 2018 between Victoria’s Secret Stores, LLC, Lone Mountain Factoring, LLC, L Brands Direct Marketing, Inc., L Brands Direct Fulfillment, Inc., Far West Factoring, LLC, Puerto Rico Store Operations LLC and Comenity Bank shall be delivered only to a field appraiser or examiner in connection with a field examination or Inventory appraisal conducted pursuant to Section 5.23. All such Credit Card Agreements are in full force and effect, currently binding upon each Loan Party that is a party thereto and, to the knowledge of the Loan Parties, binding upon other parties thereto in accordance with their terms. The Loan Parties are in compliance in all material respects with each such Credit Card Agreement.</w:t>
      </w:r>
    </w:p>
    <w:p>
      <w:pPr>
        <w:pStyle w:val="TextBody"/>
        <w:bidi w:val="0"/>
        <w:spacing w:lineRule="auto" w:line="240" w:before="0" w:after="240"/>
        <w:jc w:val="center"/>
        <w:rPr/>
      </w:pPr>
      <w:r>
        <w:rPr>
          <w:rFonts w:ascii="Times New Roman;sans-serif" w:hAnsi="Times New Roman;sans-serif"/>
          <w:b w:val="false"/>
          <w:color w:val="000000"/>
          <w:sz w:val="24"/>
        </w:rPr>
        <w:t>ARTICLE 4</w:t>
      </w:r>
      <w:r>
        <w:rPr>
          <w:rFonts w:ascii="Times New Roman;sans-serif" w:hAnsi="Times New Roman;sans-serif"/>
          <w:b w:val="false"/>
          <w:color w:val="000000"/>
          <w:sz w:val="24"/>
        </w:rPr>
        <w:br/>
        <w:br/>
        <w:t>Conditions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1.0a.</w:t>
      </w:r>
      <w:r>
        <w:rPr>
          <w:rFonts w:ascii="Times New Roman;sans-serif" w:hAnsi="Times New Roman;sans-serif"/>
          <w:b w:val="false"/>
          <w:color w:val="000000"/>
          <w:sz w:val="24"/>
          <w:u w:val="single"/>
        </w:rPr>
        <w:t>Conditions Precedent to Effectiveness</w:t>
      </w:r>
      <w:r>
        <w:rPr>
          <w:rFonts w:ascii="Times New Roman;sans-serif" w:hAnsi="Times New Roman;sans-serif"/>
          <w:b w:val="false"/>
          <w:color w:val="000000"/>
          <w:sz w:val="24"/>
        </w:rPr>
        <w:t>.</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(i)The Administrative Agent (or its counsel) shall have received from the Company and each Lender either (i) a counterpart of this Agreement signed on behalf of such party or (ii) written evidence satisfactory to the Administrative Agent (which may include facsimile or other electronic transmission of a signed signature page of this Agreement) that such party has signed a counterpart of this Agreement.</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(ii)The Administrative Agent (or its counsel) shall have received from the Company and each Subsidiary Loan Party either (i) a counterpart of the applicable Collateral Agreement signed on behalf of such party or (ii) written evidence satisfactory to the Administrative Agent (which may include facsimile or other electronic transmission of a signed signature page of the US Collateral Agreement) that such party has signed a counterpart of the applicable Collateral Agreement.</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(iii)The Collateral and Guarantee Requirement shall have been satisfied with respect to clauses (b) and (h) of the definition thereof.</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(iv)The Administrative Agent shall have received a completed Perfection Certificate, in the form of Exhibit II to each Collateral Agreement, dated the Effective Date and signed by an authorized officer of the Company and each Subsidiary Loan Party.</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(v)The Administrative Agent shall have received a written opinion dated the Effective Date of (i) Davis Polk &amp; Wardwell LLP, New York counsel for the Loan Parties, (ii) Morris, Nichols, Arsht &amp; Tunnell LLP, Delaware counsel for the Loan Parties, (iii) Osler Hoskin &amp; Harcourt LLP, Canadian counsel for the Loan Parties and (iv) Stewart McKelvey, Nova Scotia counsel for the Loan Parties, in each case in form and substance reasonably satisfactory to the Administrative Agent and covering such matters relating to the Loan Parties, this Agreement, the Collateral Agreements and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89</w:t>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02235"/>
                <wp:effectExtent l="0" t="0" r="0" b="0"/>
                <wp:wrapNone/>
                <wp:docPr id="301" name="Frame30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other Loan Documents in effect on the date hereof as the Administrative Agent shall reasonably request. The Company hereby requests such counsel to deliver such opinion.</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(vi)The Administrative Agent shall have received such documents and certificates as the Administrative Agent or its counsel may reasonably request relating to the organization, existence and good standing of the Loan Parties, the authorization by the Loan Parties of the transactions contemplated hereby and any other legal matters relating to the Loan Parties or the transactions contemplated hereby, all in form and substance reasonably satisfactory to the Administrative Agent and its counsel.</w:t>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(vii)The Administrative Agent shall have received a Borrowing Base Certificate, dated the Effective Date and signed and certified as accurate and complete by the President, a Vice President, a Director or a Financial Officer of the Company.</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(viii)The Administrative Agent shall have received a certificate, dated the Effective Date and signed by the President, a Vice President, a Director or a Financial Officer of the Company, confirming the representations and warranties set forth in Article 3 of this Agreement.</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(ix)The Administrative Agent shall have received all fees and other amounts due and payable on or prior to the Effective Date, including (i) for the account of each Lender, an upfront fee in an amount equal to either (x) in the case of each Lender that is a Joint Lead Arranger and Joint Bookrunner (as identified on the cover page of this Agreement), 0.30%, and (y) in the case of each other Lender, an upfront fee in an amount equal to 0.25%, in each case of the aggregate principal amount of the Commitment of such Lender as set forth on Schedule 2.01 on the Effective Date and (ii) to the extent invoiced at least one Business Day prior to the Effective Date, reimbursement or payment of all out-of-pocket expenses required to be reimbursed or paid by the Borrowers under any Loan Document.</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(x)(i) No later than three Business Days prior to the Effective Date, the Administrative Agent shall have received all documentation and other information reasonably requested by it or any Lender at least 10 Business Days prior to the Effective Date to satisfy the requirements of bank regulatory authorities under applicable “know your customer” and anti-money laundering rules and regulations, including the Patriot Act, and (ii) to the extent a Borrower qualifies as a “legal entity” under the Beneficial Ownership Regulation, no later than three Business Days prior to the Effective Date, any Lender that has requested at least 10 Business Days prior to the Effective Date a Beneficial Ownership Certification in relation to the Borrowers shall have received such Beneficial Ownership Certification.</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(xi)An Intercreditor Agreement shall have been duly executed and delivered by the Administrative Agent and the Term Loan Agent (as defined therein) and shall be in full force and effect and acknowledged by the Loan Parties.</w:t>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(xii)(x) The Pre-Closing Reorganization Transactions shall have occurred or shall occur substantially simultaneously with the initial funding of the Initial Term Loans (as defined in the Term Loan Credit Agreement) and (y) the Registration Statement shall have been declared effective by the Securities and Exchange Commission.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notify the Company and the Lenders of the Effective Date, and such notice shall be conclusive and binding.</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90</w:t>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02235"/>
                <wp:effectExtent l="0" t="0" r="0" b="0"/>
                <wp:wrapNone/>
                <wp:docPr id="302" name="Frame30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1.0b.</w:t>
      </w:r>
      <w:r>
        <w:rPr>
          <w:rFonts w:ascii="Times New Roman;sans-serif" w:hAnsi="Times New Roman;sans-serif"/>
          <w:b w:val="false"/>
          <w:color w:val="000000"/>
          <w:sz w:val="24"/>
          <w:u w:val="single"/>
        </w:rPr>
        <w:t>Each Credit Event.</w:t>
      </w:r>
      <w:r>
        <w:rPr>
          <w:color w:val="000000"/>
        </w:rPr>
        <w:t xml:space="preserve"> </w:t>
      </w:r>
      <w:r>
        <w:rPr>
          <w:rFonts w:ascii="Times New Roman;sans-serif" w:hAnsi="Times New Roman;sans-serif"/>
          <w:b w:val="false"/>
          <w:color w:val="000000"/>
          <w:sz w:val="24"/>
        </w:rPr>
        <w:t>The obligation of each Lender to make a Loan on the occasion of any Borrowing, and of any Issuing Bank to issue, amend or extend any Letter of Credit, is subject to the satisfaction of the following conditions: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(a)The representations and warranties of the Company set forth in this Agreement shall be true and correct (i) in the case of representations and warranties that are qualified by materiality, in all respects and (ii) otherwise, in all material respects, and at such times as the Collateral and Guarantee Requirement is required to be satisfied, the representations and warranties of the Loan Parties as set forth in the Collateral Agreements shall be true and correct (i) in the case of representations and warranties that are qualified by materiality, in all respects and (ii) otherwise, in all material respects, in each case on and as of the date of such Borrowing or the date of issuance, amendment or extension of such Letter of Credit, as applicable (except to the extent that any such representation or warranty expressly relates to a specified date or dates, in which case such representation or warranty shall be true and correct in all material respects as of such specified date or dates).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(b)At the time of and immediately after giving effect to such Borrowing or the issuance, amendment or extension of such Letter of Credit, as applicable, no Default shall have occurred and be continuing.</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(c)[reserved].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(d)At the time of such Borrowing or the issuance, amendment or extension of such Letter of Credit, as applicable, the Borrowing Base Certificate most recently delivered by the Company pursuant to Section 5.01(a)(iii) shall have been accurate in all material respects as of the date of such Borrowing Base Certificate.</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Each Borrowing and each issuance, amendment or extension of a Letter of Credit shall be deemed to constitute a representation and warranty by the Borrowers on the date thereof as to the matters specified in paragraphs (a), (b) and (d) of this Section.</w:t>
      </w:r>
    </w:p>
    <w:p>
      <w:pPr>
        <w:pStyle w:val="TextBody"/>
        <w:bidi w:val="0"/>
        <w:spacing w:lineRule="auto" w:line="240" w:before="0" w:after="240"/>
        <w:jc w:val="center"/>
        <w:rPr/>
      </w:pPr>
      <w:r>
        <w:rPr>
          <w:rFonts w:ascii="Times New Roman;sans-serif" w:hAnsi="Times New Roman;sans-serif"/>
          <w:b w:val="false"/>
          <w:color w:val="000000"/>
          <w:sz w:val="24"/>
        </w:rPr>
        <w:t>ARTICLE 5</w:t>
      </w:r>
      <w:r>
        <w:rPr>
          <w:rFonts w:ascii="Times New Roman;sans-serif" w:hAnsi="Times New Roman;sans-serif"/>
          <w:b w:val="false"/>
          <w:color w:val="000000"/>
          <w:sz w:val="24"/>
        </w:rPr>
        <w:br/>
        <w:br/>
        <w:t>Covenants</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agrees that, so long as any Lender has any Commitment hereunder or any amount payable hereunder remains unpaid: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1.0a.</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(a) The Company will deliver to the Administrative Agent and each of the Lenders: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(1)as soon as available and in any event within 90 days after the end of each Fiscal Year, the Annual Report of the Company on Form 10-K for such Fiscal Year, containing financial statements reported on in a manner acceptable to the Securities and Exchange Commission by Ernst &amp; Young LLP or other independent public accountants of nationally recognized standing selected by the Company (without a “going concern” or like qualification, exception or statement and without any qualification or exception as to the scope of such audit);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(2)as soon as available and in any event within 45 days after the end of each of the first three quarters of each Fiscal Year, a copy of the Company’s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91</w:t>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02235"/>
                <wp:effectExtent l="0" t="0" r="0" b="0"/>
                <wp:wrapNone/>
                <wp:docPr id="303" name="Frame30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report on Form 10-Q for such quarter with the financial statements therein contained to be certified (subject to normal year-end adjustments) as to fairness of presentation, generally accepted accounting principles (except footnotes) and consistency, by a Financial Officer;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(3)as soon as available but in any event within 15 Business Days after the end of each Fiscal Month, as of the last day of such Fiscal Month (or within three Business Days after the end of each week, as of the last day of such week, during any Enhanced Borrowing Base Reporting Period), a Borrowing Base Certificate and supporting information in connection therewith, together with any additional reports and supplemental documentation with respect to the Borrowing Base as the Collateral Agent may request in its Permitted Discretion;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(4)simultaneously with the delivery of each set of financial statements referred to in clauses (i) and (ii) above, a certificate of a Financial Officer (1) setting forth in reasonable detail the calculations required to establish whether the Company was in compliance with the requirements of Section 5.06 on the date of such financial statements, (2) stating whether, to the best knowledge of such Financial Officer, any Default exists on the date of such certificate and, if any Default then exists, setting forth the details thereof and the action which the Company is taking or proposes to take with respect thereto, (3) stating that all Material Subsidiaries have satisfied the Collateral and Guarantee Requirement and (4) unless (x) if both rating agencies shall have a Credit Rating then in effect, the Credit Ratings are BBB- and Baa3 (in each case, with stable outlook) or better or (y) if only one rating agency shall have a Credit Rating then in effect, the Credit Rating from such rating agency is BBB- or Baa3 (in each case, with stable outlook) or better, stating the aggregate amount of Investments and Restricted Payments made in reliance on Section 5.17(c) and Section 5.18(c) during the preceding fiscal quarter and confirming that the applicable Payment Conditions were satisfied with respect to each such Investment or Restricted Payment;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(5)simultaneously with the delivery of each set of financial statements referred to in clause (i) above, a statement of the firm of independent public accountants which reported on such statements whether anything has come to their attention to cause them to believe that any Default existed on the date of such statements (insofar as such pertains to accounting matters);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(6)promptly upon the mailing thereof to the stockholders of the Company generally, copies of all financial statements, reports and proxy statements so mailed;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(7)promptly upon the filing thereof, copies of all registration statements (other than the exhibits thereto and any registration statements on Form S-8 or its equivalent) and reports on Forms 10-K, 10-Q and 8-K (or their equivalents) which the Company shall have filed with the Securities and Exchange Commission;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(8)promptly following a request therefor, any documentation or other information that a Lender reasonably requests in order to comply with its ongoing obligations under applicable “know your customer” and anti-money laundering rules and regulations, including the Patriot Act and the Beneficial Ownership Regulation;</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92</w:t>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02235"/>
                <wp:effectExtent l="0" t="0" r="0" b="0"/>
                <wp:wrapNone/>
                <wp:docPr id="304" name="Frame30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(9)within four Business Days of any executive officer of the Company or any Financial Officer obtaining knowledge of any condition or event recognized by such officer to be a Default, a certificate of a Financial Officer setting forth the details thereof and the action which the Company is taking or proposes to take with respect thereto;</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(10)(1) if and when any executive officer of the Company or any Financial Officer obtains knowledge that any ERISA Affiliate (x) has given or is required to give notice to the PBGC of any “</w:t>
      </w:r>
      <w:r>
        <w:rPr>
          <w:rFonts w:ascii="Times New Roman;sans-serif" w:hAnsi="Times New Roman;sans-serif"/>
          <w:b w:val="false"/>
          <w:color w:val="000000"/>
          <w:sz w:val="24"/>
          <w:u w:val="single"/>
        </w:rPr>
        <w:t>reportable event</w:t>
      </w:r>
      <w:r>
        <w:rPr>
          <w:color w:val="000000"/>
        </w:rPr>
        <w:t xml:space="preserve">” </w:t>
      </w:r>
      <w:r>
        <w:rPr>
          <w:rFonts w:ascii="Times New Roman;sans-serif" w:hAnsi="Times New Roman;sans-serif"/>
          <w:b w:val="false"/>
          <w:color w:val="000000"/>
          <w:sz w:val="24"/>
        </w:rPr>
        <w:t>(as defined in Section 4043 of ERISA) with respect to any Plan which would reasonably be expected to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(y) has received notice of complete or partial Withdrawal Liability, a copy of such notice or (z) has received notice from the PBGC under Title IV of ERISA of an intent to terminate or appoint a trustee to administer any Plan, a copy of such notice or (2) the occurrence of any Canadian Pension Event that could reasonably be expected to have a Material Adverse Effect;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(11)from time to time such additional information regarding the financial position or business of the Company and Subsidiaries as the Administrative Agent, at the request of any Lender, may reasonably request;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(12)as soon as available and in any event within 30 days after the end of each Fiscal Year, a financial forecast for the Company and the Consolidated Subsidiaries for the subsequent Fiscal Year, including a consolidated balance sheet of the Company and its Consolidated Subsidiaries as of the end of such fiscal year and each fiscal quarter thereof and consolidated statements of income and cash flows of the Company and its Consolidated Subsidiaries for such fiscal year and each fiscal quarter thereof;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(13)promptly after the furnishing thereof and to the extent not otherwise required to be furnished to the Lenders pursuant to any clause of this Section 5.01, copies of any material requests or material notices received by the Company or any Subsidiary Loan Party (other than in the ordinary course of business) or material statements or material reports furnished by the Company or any Subsidiary Loan Party pursuant to the terms of any Permitted Non-ABL Indebtedness Documents.</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(i)Certificates delivered pursuant to this Section shall be signed manually or shall be copies of a manually signed certificate.</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(ii)The Company may provide for electronic delivery of the financial statements, certificates, reports and registration statements described in clauses (i), (ii), (iii), (iv), (v), (vi) and (vii) of paragraph (a) of this Section by posting such financial statements, certificates, reports and registration statements on Intralinks or any similar service approved by the Administrative Agent, or delivering such financial statements, certificates, reports and registration statements to the Administrative Agent for posting on Intralinks (or any such similar service). Furthermore, any items required to be furnished pursuant to Sections 5.01(a)(i), (ii), (vi) or (vii) shall be deemed to have been delivered on the date on which the Administrative Agent receives notice that the Company has filed such item with the Securities and Exchange Commission and is available on the EDGAR website on the Internet at www.sec.gov or any successor government website that is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93</w:t>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02235"/>
                <wp:effectExtent l="0" t="0" r="0" b="0"/>
                <wp:wrapNone/>
                <wp:docPr id="305" name="Frame30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freely and readily available to the Administrative Agent without charge;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give notice of any such filing to the Administrative Agent (who shall then give notice of any such filing to the Lenders). Notwithstanding the foregoing, the Company shall deliver paper or electronic copies of any such financial statement to the Administrative Agent if the Administrative Agent requests the Company to furnish such paper or electronic copies until written notice to cease delivering such paper or electronic copies is given by the Administrative Agent.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1.0b.</w:t>
      </w:r>
      <w:r>
        <w:rPr>
          <w:rFonts w:ascii="Times New Roman;sans-serif" w:hAnsi="Times New Roman;sans-serif"/>
          <w:b w:val="false"/>
          <w:color w:val="000000"/>
          <w:sz w:val="24"/>
          <w:u w:val="single"/>
        </w:rPr>
        <w:t>Maintenance of Properties.</w:t>
      </w:r>
      <w:r>
        <w:rPr>
          <w:color w:val="000000"/>
        </w:rPr>
        <w:t xml:space="preserve"> </w:t>
      </w:r>
      <w:r>
        <w:rPr>
          <w:rFonts w:ascii="Times New Roman;sans-serif" w:hAnsi="Times New Roman;sans-serif"/>
          <w:b w:val="false"/>
          <w:color w:val="000000"/>
          <w:sz w:val="24"/>
        </w:rPr>
        <w:t xml:space="preserve">The Company will, and will cause each Consolidated Subsidiary to, maintain and keep in good condition, repair and working order all properties used or useful in the conduct of its business and supply such properties with all necessary equipment and make all necessary repairs, renewals, replacements, betterments and improvements thereof, all as in the judgment of the Company may be necessary so that the business carried on in connection therewith may be properly and advantageously conducted at all times;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in this Section shall prevent the Company or any Consolidated Subsidiary from discontinuing the operation and maintenance of any of such properties if such discontinuance is, in the judgment of the Company, desirable in the conduct of the business of the Company or such Consolidated Subsidiary, as the case may be, and not disadvantageous in any material respect to the Lenders.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1.0c.</w:t>
      </w:r>
      <w:r>
        <w:rPr>
          <w:rFonts w:ascii="Times New Roman;sans-serif" w:hAnsi="Times New Roman;sans-serif"/>
          <w:b w:val="false"/>
          <w:color w:val="000000"/>
          <w:sz w:val="24"/>
          <w:u w:val="single"/>
        </w:rPr>
        <w:t>Maintenance of Insurance.</w:t>
      </w:r>
      <w:r>
        <w:rPr>
          <w:color w:val="000000"/>
        </w:rPr>
        <w:t xml:space="preserve"> </w:t>
      </w:r>
      <w:r>
        <w:rPr>
          <w:rFonts w:ascii="Times New Roman;sans-serif" w:hAnsi="Times New Roman;sans-serif"/>
          <w:b w:val="false"/>
          <w:color w:val="000000"/>
          <w:sz w:val="24"/>
        </w:rPr>
        <w:t>Subject to the grace period in clause (g) of the definition of “Collateral and Guarantee Requirement”, the Company will, and will cause each Consolidated Subsidiary to, insure and keep insured, with reputable insurance companies, so much of its properties and such of its liabilities for bodily injury or property damage, to such an extent and against such risks (including fire), as companies engaged in similar businesses customarily insure properties and liabilities of a similar character; or, in lieu thereof, the Company will maintain, or cause each Consolidated Subsidiary to maintain, a system or systems of self-insurance which will be in accord with the customary practices of companies engaged in similar businesses in maintaining such systems.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1.0d.</w:t>
      </w:r>
      <w:r>
        <w:rPr>
          <w:rFonts w:ascii="Times New Roman;sans-serif" w:hAnsi="Times New Roman;sans-serif"/>
          <w:b w:val="false"/>
          <w:color w:val="000000"/>
          <w:sz w:val="24"/>
          <w:u w:val="single"/>
        </w:rPr>
        <w:t>Preservation of Corporate Existence.</w:t>
      </w:r>
      <w:r>
        <w:rPr>
          <w:color w:val="000000"/>
        </w:rPr>
        <w:t xml:space="preserve"> </w:t>
      </w:r>
      <w:r>
        <w:rPr>
          <w:rFonts w:ascii="Times New Roman;sans-serif" w:hAnsi="Times New Roman;sans-serif"/>
          <w:b w:val="false"/>
          <w:color w:val="000000"/>
          <w:sz w:val="24"/>
        </w:rPr>
        <w:t>Except pursuant to a transaction not prohibited by Section 5.12 or 5.13, each Loan Party shall preserve and maintain its corporate existence, rights, franchises and privileges in any State of the United States which it shall select as its jurisdiction of incorporation or organization, and qualify and remain qualified as a foreign corporation or foreign organization in each jurisdiction in which such qualification is necessary, except such jurisdictions, if any, where the failure to preserve and maintain its corporate or other organizational existence, rights, franchises and privileges, or qualify or remain qualified will not have a Material Adverse Effect on the business or property of such Loan Party.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1.0e.</w:t>
      </w:r>
      <w:r>
        <w:rPr>
          <w:rFonts w:ascii="Times New Roman;sans-serif" w:hAnsi="Times New Roman;sans-serif"/>
          <w:b w:val="false"/>
          <w:color w:val="000000"/>
          <w:sz w:val="24"/>
          <w:u w:val="single"/>
        </w:rPr>
        <w:t>Inspection of Property, Books and Records.</w:t>
      </w:r>
      <w:r>
        <w:rPr>
          <w:color w:val="000000"/>
        </w:rPr>
        <w:t xml:space="preserve"> </w:t>
      </w:r>
      <w:r>
        <w:rPr>
          <w:rFonts w:ascii="Times New Roman;sans-serif" w:hAnsi="Times New Roman;sans-serif"/>
          <w:b w:val="false"/>
          <w:color w:val="000000"/>
          <w:sz w:val="24"/>
        </w:rPr>
        <w:t xml:space="preserve">The Company will, and will cause each Consolidated Subsidiary to, make and keep books, records and accounts in which transactions are recorded as necessary to (a) permit preparation of the Company’s consolidated financial statements in accordance with GAAP and (b) otherwise comply with the requirements of Section 13(b)(2) of the Securities Exchange Act of 1934 as in effect from time to time. At any reasonable time during normal business hours and from time to time, the Company will permit the Administrative Agent or any of the Lenders or any agents or representatives thereof at their expense (to the extent not in violation of applicable law) to examine and make copies of and abstracts from the records and books of account of, and visit the properties of, the Company and any Consolidated Subsidiaries and to discuss the affairs, finances and accounts of the Company and any Consolidated Subsidiaries with any of their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94</w:t>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02235"/>
                <wp:effectExtent l="0" t="0" r="0" b="0"/>
                <wp:wrapNone/>
                <wp:docPr id="306" name="Frame30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respective officers or directors. Any information obtained pursuant to this Section or Section 5.01(a) shall be subject to Section 8.12.</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1.0f.</w:t>
      </w:r>
      <w:r>
        <w:rPr>
          <w:rFonts w:ascii="Times New Roman;sans-serif" w:hAnsi="Times New Roman;sans-serif"/>
          <w:b w:val="false"/>
          <w:color w:val="000000"/>
          <w:sz w:val="24"/>
          <w:u w:val="single"/>
        </w:rPr>
        <w:t>Fixed Charge Coverage Ratio.</w:t>
      </w:r>
      <w:r>
        <w:rPr>
          <w:color w:val="000000"/>
        </w:rPr>
        <w:t xml:space="preserve"> </w:t>
      </w:r>
      <w:r>
        <w:rPr>
          <w:rFonts w:ascii="Times New Roman;sans-serif" w:hAnsi="Times New Roman;sans-serif"/>
          <w:b w:val="false"/>
          <w:color w:val="000000"/>
          <w:sz w:val="24"/>
        </w:rPr>
        <w:t>During any period (each, a “</w:t>
      </w:r>
      <w:r>
        <w:rPr>
          <w:rFonts w:ascii="Times New Roman;sans-serif" w:hAnsi="Times New Roman;sans-serif"/>
          <w:b w:val="false"/>
          <w:color w:val="000000"/>
          <w:sz w:val="24"/>
          <w:u w:val="single"/>
        </w:rPr>
        <w:t>Covenant Period</w:t>
      </w:r>
      <w:r>
        <w:rPr>
          <w:color w:val="000000"/>
        </w:rPr>
        <w:t>”</w:t>
      </w:r>
      <w:r>
        <w:rPr>
          <w:rFonts w:ascii="Times New Roman;sans-serif" w:hAnsi="Times New Roman;sans-serif"/>
          <w:b w:val="false"/>
          <w:color w:val="000000"/>
          <w:sz w:val="24"/>
        </w:rPr>
        <w:t>) (a)(i) commencing on any day when Specified Excess Availability is less than the greater of (x) $70,000,000 and (y) 10% of the Maximum Borrowing Amount and (ii) ending after Specified Excess Availability has been greater than the amount set forth in clause (i) above for 30 consecutive calendar days or (b) during which a Specified Event of Default has occurred and is continuing, the Company will not permit the ratio of Consolidated EBITDAR to Consolidated Fixed Charges for any Test Period (commencing with the Test Period ended most recently prior to the commencement of such Covenant Period for which financial statements were required to be delivered pursuant to Section 5.01) to be less than 1.00 to 1.00.</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1.0g.</w:t>
      </w:r>
      <w:r>
        <w:rPr>
          <w:rFonts w:ascii="Times New Roman;sans-serif" w:hAnsi="Times New Roman;sans-serif"/>
          <w:b w:val="false"/>
          <w:color w:val="000000"/>
          <w:sz w:val="24"/>
          <w:u w:val="single"/>
        </w:rPr>
        <w:t>[Reserved.]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1.0h.</w:t>
      </w:r>
      <w:r>
        <w:rPr>
          <w:rFonts w:ascii="Times New Roman;sans-serif" w:hAnsi="Times New Roman;sans-serif"/>
          <w:b w:val="false"/>
          <w:color w:val="000000"/>
          <w:sz w:val="24"/>
          <w:u w:val="single"/>
        </w:rPr>
        <w:t>Limitation on Liens.</w:t>
      </w:r>
      <w:r>
        <w:rPr>
          <w:color w:val="000000"/>
        </w:rPr>
        <w:t xml:space="preserve"> </w:t>
      </w:r>
      <w:r>
        <w:rPr>
          <w:rFonts w:ascii="Times New Roman;sans-serif" w:hAnsi="Times New Roman;sans-serif"/>
          <w:b w:val="false"/>
          <w:color w:val="000000"/>
          <w:sz w:val="24"/>
        </w:rPr>
        <w:t>(a) [Reserved.]</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(i)The Company will not, and will not permit any Subsidiary Loan Party to, create, incur, assume or permit to exist any Lien on any Collateral now owned or hereafter acquired by it, or assign or sell any income or revenues (including accounts receivable) or rights in respect of any thereof, except: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(1)Permitted Encumbrances;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(2)any Lien on any property or asset of the Company or any Subsidiary Loan Party existing on the Effective Date and set forth in Schedule 5.08;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such Lien shall not apply to any other property or asset of the Company or any Subsidiary Loan Party and (ii) such Lien shall secure only those obligations which it secures on the Effective Date and extensions, renewals and replacements thereof that do not increase the outstanding principal amount thereof;</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(3)Liens on fixed or capital assets acquired, constructed or improved by the Company or any Subsidiary Loan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such security interests secure Indebtedness permitted by clause (i) of Section 5.10, (ii) such security interests and the Indebtedness secured thereby are incurred prior to or within 120 days after such acquisition or the completion of such construction or improvement (or are incurred to extend, renew or replace security interests and Indebtedness previously incurred in compliance with this clause), (iii) the Indebtedness secured thereby does not exceed the cost of acquiring, constructing or improving such fixed or capital assets and (iv) such security interests shall not apply to any other property or assets of the Company or any Subsidiary Loan Party;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(4)Liens granted on the Collateral pursuant to the Collateral Documents;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(5)precautionary or purported Liens evidenced by the filing of UCC financing statements or similar financing statements under applicable law relating solely to the sale of Receivables Facility Assets and related assets in connection with any Specified Receivables Facility;</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95</w:t>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02235"/>
                <wp:effectExtent l="0" t="0" r="0" b="0"/>
                <wp:wrapNone/>
                <wp:docPr id="307" name="Frame30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(6)Liens (including any precautionary UCC financing statements or similar financing statements under applicable law) on Receivables Facility Assets securing Specified Receivables Facilities;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(7)licenses or sublicenses of, covenants not to sue under, or other rights to use any Intellectual Property granted in the ordinary course of business (including licenses or sublicenses by the Company or any Subsidiary Loan Party to any Foreign Subsidiary);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(8)Liens securing Indebtedness incurred pursuant to Section 5.10(l);</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(9)other Liens on Non-ABL Priority Collateral securing Permitted Non-ABL Indebtedness in an aggregate principal amount not exceeding $600,000,000; and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(10)second priority Liens on ABL Priority Collateral securing Permitted Non-ABL 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second priority Liens are subject to an Intercreditor Agreement providing that such Liens rank junior in priority to the Liens on the ABL Priority Collateral securing the Obligations.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1.0i.</w:t>
      </w:r>
      <w:r>
        <w:rPr>
          <w:rFonts w:ascii="Times New Roman;sans-serif" w:hAnsi="Times New Roman;sans-serif"/>
          <w:b w:val="false"/>
          <w:color w:val="000000"/>
          <w:sz w:val="24"/>
          <w:u w:val="single"/>
        </w:rPr>
        <w:t>Compliance with Laws.</w:t>
      </w:r>
      <w:r>
        <w:rPr>
          <w:color w:val="000000"/>
        </w:rPr>
        <w:t xml:space="preserve"> </w:t>
      </w:r>
      <w:r>
        <w:rPr>
          <w:rFonts w:ascii="Times New Roman;sans-serif" w:hAnsi="Times New Roman;sans-serif"/>
          <w:b w:val="false"/>
          <w:color w:val="000000"/>
          <w:sz w:val="24"/>
        </w:rPr>
        <w:t>The Company will, and will cause each Consolidated Subsidiary to, comply in all material respects with all applicable laws, ordinances, rules, regulations and requirements of governmental authorities (including ERISA and the rules and regulations thereunder), except to the extent that (a) the necessity of compliance therewith is contested in good faith by appropriate proceedings or (b) the failure to so comply would not result in any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1.j.</w:t>
      </w:r>
      <w:r>
        <w:rPr>
          <w:rFonts w:ascii="Times New Roman;sans-serif" w:hAnsi="Times New Roman;sans-serif"/>
          <w:b w:val="false"/>
          <w:color w:val="000000"/>
          <w:sz w:val="24"/>
          <w:u w:val="single"/>
        </w:rPr>
        <w:t>Limitations on Indebtedness.</w:t>
      </w:r>
      <w:r>
        <w:rPr>
          <w:color w:val="000000"/>
        </w:rPr>
        <w:t xml:space="preserve"> </w:t>
      </w:r>
      <w:r>
        <w:rPr>
          <w:rFonts w:ascii="Times New Roman;sans-serif" w:hAnsi="Times New Roman;sans-serif"/>
          <w:b w:val="false"/>
          <w:color w:val="000000"/>
          <w:sz w:val="24"/>
        </w:rPr>
        <w:t>The Company will not, and will not permit any Consolidated Subsidiary to, create, incur, assume or suffer to exist any Indebtedness except:</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 xml:space="preserve">(i)Indebtedness of any Consolidated Subsidiary which is, or the direct or indirect parent of which is, acquired by the Company or any other Consolidated Subsidiary after March 22, 2006, which Indebtedness is in existence at the time such Consolidated Subsidiary (or parent) is so acquired;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Indebtedness was not created at the request or with the consent of the Company or any Subsidiary, and such Indebtedness may not be extended other than pursuant to the terms thereof as in existence at the time such Consolidated Subsidiary (or parent) was acquired; </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(ii)Indebtedness created under the Loan Documents; </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(iii)Indebtedness existing on the Effective Date and set forth on Schedule 5.10 and extensions, renewals and replacements of any such Indebtedness that do not increase the outstanding principal amount thereof or result in an earlier maturity date or decreased weighted average life thereof;</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 xml:space="preserve">(iv)Indebtedness of the Company to any Consolidated Subsidiary and of any Consolidated Subsidiary to the Company or any other Consolidated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such Indebtedness shall not have been transferred to any Person other than the Company or any other Consolidated Subsidiary, (ii) any such Indebtedness owing by any Loan Party to a non-Loan Party shall be unsecured and subordinated in right of payment to the Obligations on terms customary for intercompany subordinated Indebtedness, as reasonably determined by the Administrative Agent, and (iii) any such Indebtedness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96</w:t>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02235"/>
                <wp:effectExtent l="0" t="0" r="0" b="0"/>
                <wp:wrapNone/>
                <wp:docPr id="308" name="Frame30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owing by any Consolidated Subsidiary that is not a Loan Party to any Loan Party shall be incurred in compliance with Section 5.17;</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(v)Guarantees incurred in compliance with Section 5.17;</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(vi)the incurrence of Indebtedness under Hedging Agreements that are incurred for the bona fide purpose of hedging the interest rate, commodity, or foreign currency risks associated with the operations of the Company or such Consolidated Subsidiary and not for speculative purposes;</w:t>
      </w:r>
    </w:p>
    <w:p>
      <w:pPr>
        <w:pStyle w:val="TextBody"/>
        <w:bidi w:val="0"/>
        <w:spacing w:lineRule="auto" w:line="240" w:before="0" w:after="240"/>
        <w:ind w:left="0" w:right="0" w:firstLine="1027"/>
        <w:jc w:val="left"/>
        <w:rPr/>
      </w:pPr>
      <w:r>
        <w:rPr>
          <w:rFonts w:ascii="Times New Roman;sans-serif" w:hAnsi="Times New Roman;sans-serif"/>
          <w:b w:val="false"/>
          <w:color w:val="000000"/>
          <w:sz w:val="24"/>
        </w:rPr>
        <w:t xml:space="preserve">(vii)Indebtedness owed in respect of any overdrafts and related liabilities arising from treasury, depository and cash management services or in connection with any automated clearing-house transfers of funds;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Indebtedness shall be repaid in full within five Business Days of the incurrence thereof; </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(viii)Indebtedness in respect of letters of credit, bank guarantees and similar instruments issued for the account of the Company or any Consolidated Subsidiary in the ordinary course of business supporting obligations under (i) workers’ compensation unemployment insurance and other social security laws and (ii) bids, trade contracts, leases, statutory obligations, surety and appeal bonds, performance bonds and obligations of a like nature (other than in respect of other obligations for borrowed money), which obligations in each case shall not be secured except by Permitted Encumbrances; </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 xml:space="preserve">(ix)Indebtedness to finance the acquisition, construction or improvements of any fixed or capital assets, including Capital Lease Obligations and any Indebtedness assumed in connection with the acquisition of any such assets or secured by a Lien on any such assets prior to the acquisition thereof, and extensions, renewals and replacements of such Indebtedness that do not increase the outstanding principal amount thereof or result in an earlier maturity date or decreased weighted average life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aggregate principal amount of such Indebtedness shall not exceed $300,000,000 at any time outstanding; </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(x)other Indebtedness of any Subsidiary (other than any Subsidiary Loan Party) in an aggregate principal amount not exceeding $400,000,000; </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(xi)other Indebtedness of the Company or any Subsidiary Loan Party in an aggregate principal amount not exceeding $600,000,000; </w:t>
      </w:r>
    </w:p>
    <w:p>
      <w:pPr>
        <w:pStyle w:val="TextBody"/>
        <w:bidi w:val="0"/>
        <w:spacing w:lineRule="auto" w:line="240" w:before="0" w:after="240"/>
        <w:ind w:left="0" w:right="0" w:firstLine="1027"/>
        <w:jc w:val="left"/>
        <w:rPr/>
      </w:pPr>
      <w:r>
        <w:rPr>
          <w:rFonts w:ascii="Times New Roman;sans-serif" w:hAnsi="Times New Roman;sans-serif"/>
          <w:b w:val="false"/>
          <w:color w:val="000000"/>
          <w:sz w:val="24"/>
        </w:rPr>
        <w:t xml:space="preserve">(xii)other Indebtedness of the Company or any Subsidiary Loan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after giving pro forma effect thereto, the ratio of Consolidated Debt to Consolidated EBITDAR for the most recently completed Test Period is less than 4.00 to 1.00;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the Administrative Agent shall have received a certificate, dated the date such Indebtedness is incurred and signed by a Financial Officer of the Company, confirming compliance with the requirements set forth in this clause (l) and setting forth a reasonably detailed calculation of such ratio of Consolidated Debt to Consolidated EBITDAR; </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(xiii)other unsecured Indebtedness of the Company or any Consolidated Subsidiary; and</w:t>
      </w:r>
    </w:p>
    <w:p>
      <w:pPr>
        <w:pStyle w:val="TextBody"/>
        <w:bidi w:val="0"/>
        <w:spacing w:lineRule="auto" w:line="240" w:before="0" w:after="240"/>
        <w:ind w:left="0" w:right="0" w:firstLine="974"/>
        <w:jc w:val="left"/>
        <w:rPr>
          <w:rFonts w:ascii="Times New Roman;sans-serif" w:hAnsi="Times New Roman;sans-serif"/>
          <w:b w:val="false"/>
          <w:color w:val="000000"/>
          <w:sz w:val="24"/>
        </w:rPr>
      </w:pPr>
      <w:r>
        <w:rPr>
          <w:rFonts w:ascii="Times New Roman;sans-serif" w:hAnsi="Times New Roman;sans-serif"/>
          <w:b w:val="false"/>
          <w:color w:val="000000"/>
          <w:sz w:val="24"/>
        </w:rPr>
        <w:t>(xiv)Indebtedness of Receivables Subsidiaries arising under Specified Receivables Facilities.</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97</w:t>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02235"/>
                <wp:effectExtent l="0" t="0" r="0" b="0"/>
                <wp:wrapNone/>
                <wp:docPr id="309" name="Frame30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1.k.</w:t>
      </w:r>
      <w:r>
        <w:rPr>
          <w:rFonts w:ascii="Times New Roman;sans-serif" w:hAnsi="Times New Roman;sans-serif"/>
          <w:b w:val="false"/>
          <w:color w:val="000000"/>
          <w:sz w:val="24"/>
          <w:u w:val="single"/>
        </w:rPr>
        <w:t>Transactions with Affiliates.</w:t>
      </w:r>
      <w:r>
        <w:rPr>
          <w:color w:val="000000"/>
        </w:rPr>
        <w:t xml:space="preserve"> </w:t>
      </w:r>
      <w:r>
        <w:rPr>
          <w:rFonts w:ascii="Times New Roman;sans-serif" w:hAnsi="Times New Roman;sans-serif"/>
          <w:b w:val="false"/>
          <w:color w:val="000000"/>
          <w:sz w:val="24"/>
        </w:rPr>
        <w:t>The Company will not, and will not permit any of its Consolidated Subsidiaries to, sell, lease or otherwise transfer any property or assets to, or purchase, lease or otherwise acquire any property or assets from, or otherwise engage in any other transactions with, any of its Affiliates, except (a) at prices and on terms and conditions not less favorable to the Company or such Consolidated Subsidiary than could be obtained on an arm’s-length basis from unrelated third parties, (b) any transaction determined by a majority of the disinterested directors of the Company’s board of directors to be fair to the Company and its Subsidiaries, (c) transactions between or among the Company and its Consolidated Subsidiaries not involving any other Affiliate, (d) any transaction with respect to which neither the fair market value of the related property or assets, nor the consideration therefor, exceeds $5,000,000, (e) any transaction contemplated by the Registration Statement, including, for the avoidance of doubt, any such transaction consummated after the Effective Date, (f) the VS Transactions, (g) any transitional arrangement with BBW or its subsidiaries related to the VS Transactions, including pursuant to the L Brands to VS Transition Services Agreement or the VS to L Brands Transition Services Agreement (each as defined in the Registration Statement), (h) any Investment permitted under Section 5.17 and (i) any Restricted Payment permitted under Section 5.18.</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1.l.</w:t>
      </w:r>
      <w:r>
        <w:rPr>
          <w:rFonts w:ascii="Times New Roman;sans-serif" w:hAnsi="Times New Roman;sans-serif"/>
          <w:b w:val="false"/>
          <w:color w:val="000000"/>
          <w:sz w:val="24"/>
          <w:u w:val="single"/>
        </w:rPr>
        <w:t>Consolidations, Mergers.</w:t>
      </w:r>
      <w:r>
        <w:rPr>
          <w:color w:val="000000"/>
        </w:rPr>
        <w:t xml:space="preserve"> </w:t>
      </w:r>
      <w:r>
        <w:rPr>
          <w:rFonts w:ascii="Times New Roman;sans-serif" w:hAnsi="Times New Roman;sans-serif"/>
          <w:b w:val="false"/>
          <w:color w:val="000000"/>
          <w:sz w:val="24"/>
        </w:rPr>
        <w:t xml:space="preserve">The Company will not (a) consolidate or merge with or into any other Person or (b) liquidate or dissolve; provided that the Company may consolidate or merge with another Person if (i) the corporation surviving the merger is the Company or a corporation organized under the laws of a State of the United States into which the Company desires to consolidate or merge for the purpose of becoming incorporated in such State (in which case such corporation shall assume all of the Company’s obligations under this Agreement by an agreement reasonably satisfactory to the Required Lenders (and the Required Lenders shall not unreasonably withhold their consent to the form of such agreement) and shall deliver to the Administrative Agent and the Lenders such legal opinions and other documents as the Administrative Agent may reasonably request to evidence the due authorization, validity and binding effect thereof) and (ii) immediately after giving effect to such consolidation or merger, no Default shall have occurred and be continuing;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this Section 5.12 shall not apply to any VS Transaction.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1.m.</w:t>
      </w:r>
      <w:r>
        <w:rPr>
          <w:rFonts w:ascii="Times New Roman;sans-serif" w:hAnsi="Times New Roman;sans-serif"/>
          <w:b w:val="false"/>
          <w:color w:val="000000"/>
          <w:sz w:val="24"/>
          <w:u w:val="single"/>
        </w:rPr>
        <w:t>Sales of Assets.</w:t>
      </w:r>
      <w:r>
        <w:rPr>
          <w:color w:val="000000"/>
        </w:rPr>
        <w:t xml:space="preserve"> </w:t>
      </w:r>
      <w:r>
        <w:rPr>
          <w:rFonts w:ascii="Times New Roman;sans-serif" w:hAnsi="Times New Roman;sans-serif"/>
          <w:b w:val="false"/>
          <w:color w:val="000000"/>
          <w:sz w:val="24"/>
        </w:rPr>
        <w:t xml:space="preserve">The Company will not, and will not permit any Consolidated Subsidiary to, sell, lease or otherwise transfer any property or assets, including any Equity Interest owned by it, except: </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(i)the consummation of the VS Transaction (including, for the avoidance of doubt, any sales or distributions of all or a portion of the equity interests in, or assets of, the Spin Business (as defined in the Registration Statement));</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(ii)sales, transfers, leases and other dispositions of Inventory or used or surplus equipment or of cash and permitted Investments, in each case in the ordinary course of business;</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(iii)sales in the ordinary course of business of immaterial assets;</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(iv)sales, transfers or other dispositions of accounts receivable in connection with the compromise or collection thereof in the ordinary course of business consistent with past practice and not as part of any accounts receivables financing transaction;</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(v)[reserved];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98</w:t>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02235"/>
                <wp:effectExtent l="0" t="0" r="0" b="0"/>
                <wp:wrapNone/>
                <wp:docPr id="310" name="Frame31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 xml:space="preserve">(vi)(A) sales, transfers, leases and other dispositions of assets pursuant to this clause (A) with an aggregate fair market value not to exceed (I) $25,000,000 in any single transaction or series of related transactions and (II) $100,000,000 in the aggregate in any 12-month period and (B) sales, transfers and other dispositions of assets if, after giving effect to any adjustment to the Borrowing Base arising from such sale, transfer or other disposition and for the previous 90 consecutive days, Specified Excess Availability is greater than the greater of (x) $200,000,000 and (y) 30% of the Maximum Borrowing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all such sales, transfers and other dispositions shall be made for fair value and at least 75% cash consideration, (II) no Default shall have occurred and be continuing at the time of, or would result from, any such sale, transfer or other disposition, (III) the Company shall have given the Administrative Agent written notice advising of such sale, transfer, lease or other disposition, together with such information as shall be required for the Administrative Agent to adjust the Borrowing Base to reflect such disposition, to the extent required by the definition of the term “Borrowing Base”, and (IV) after giving effect to any adjustment to the Borrowing Base arising from such sale, transfer or other disposition, the Aggregate Credit Exposure at the time shall not exceed the Borrowing Base as so adjusted; </w:t>
      </w:r>
    </w:p>
    <w:p>
      <w:pPr>
        <w:pStyle w:val="TextBody"/>
        <w:bidi w:val="0"/>
        <w:spacing w:lineRule="auto" w:line="240" w:before="0" w:after="240"/>
        <w:ind w:left="0" w:right="0" w:firstLine="1027"/>
        <w:jc w:val="left"/>
        <w:rPr/>
      </w:pPr>
      <w:r>
        <w:rPr>
          <w:rFonts w:ascii="Times New Roman;sans-serif" w:hAnsi="Times New Roman;sans-serif"/>
          <w:b w:val="false"/>
          <w:color w:val="000000"/>
          <w:sz w:val="24"/>
        </w:rPr>
        <w:t xml:space="preserve">(vii)sales, transfers or other dispositions of Receivables Facility Assets or participations therein, directly or indirectly, to Receivables Subsidiaries in connection with any Specified Receivables Facility permitted pursuant to Section 5.10(n); </w:t>
      </w:r>
      <w:r>
        <w:rPr>
          <w:rFonts w:ascii="Times New Roman;sans-serif" w:hAnsi="Times New Roman;sans-serif"/>
          <w:b w:val="false"/>
          <w:color w:val="000000"/>
          <w:sz w:val="24"/>
          <w:u w:val="single"/>
        </w:rPr>
        <w:t xml:space="preserve">provided </w:t>
      </w:r>
      <w:r>
        <w:rPr>
          <w:rFonts w:ascii="Times New Roman;sans-serif" w:hAnsi="Times New Roman;sans-serif"/>
          <w:b w:val="false"/>
          <w:color w:val="000000"/>
          <w:sz w:val="24"/>
        </w:rPr>
        <w:t xml:space="preserve">that, any such disposition of Receivables Facility Assets by a Loan Party shall be made in exchange for fair market value consideration consisting only of cash; </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(viii)licenses or sublicenses of, covenants not to sue under, or other rights to use any Intellectual Property or assignments thereof in the ordinary course of business;</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(ix)sales, transfers or other dispositions or the lapse or abandonment (including failure to maintain) in the ordinary course of business of any Intellectual Property determined in the reasonable good faith judgment of the Company or any Consolidated Subsidiary to be no longer useful, necessary, otherwise not material in the operation of the business of the Company or any Consolidated Subsidiary or no longer economical to maintain; </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(x)transfers by the Company or any Subsidiary Loan Party to any Foreign Subsidiary of any Intellectual Property that is usable primarily, or for use primarily, outside of the United States and Canada; </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(xi)sales, transfers or other dispositions (i) from any Loan Party to any other Loan Party, (ii) from any Consolidated Subsidiary that is not a Loan Party to any other Consolidated Subsidiary that is not a Loan Party and (iii) from any Consolidated Subsidiary that is not a Loan Party to any Loan Party provided that such sale, transfer or other disposition (x) is made for fair market value (as determined by such Loan Party in good faith) or (y) the excess (if any) of the consideration in respect of such sale, transfer or other disposition over fair market value (as determined by such Loan Party in good faith) is treated as an Investment and is otherwise made in compliance with Section 5.17; and</w:t>
      </w:r>
    </w:p>
    <w:p>
      <w:pPr>
        <w:pStyle w:val="TextBody"/>
        <w:bidi w:val="0"/>
        <w:spacing w:lineRule="auto" w:line="240" w:before="0" w:after="240"/>
        <w:ind w:left="0" w:right="0" w:firstLine="1027"/>
        <w:jc w:val="left"/>
        <w:rPr/>
      </w:pPr>
      <w:r>
        <w:rPr>
          <w:rFonts w:ascii="Times New Roman;sans-serif" w:hAnsi="Times New Roman;sans-serif"/>
          <w:b w:val="false"/>
          <w:color w:val="000000"/>
          <w:sz w:val="24"/>
        </w:rPr>
        <w:t xml:space="preserve">(xii)sales, transfers, leases or other dispositions that constitute Investments permitted pursuant to Section 5.17 (other than Section 5.17(b)), Liens permitted pursuant to Section 5.08, and Restricted Payments permitted by Section 5.18;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in connection with any such sale, transfer, lease or other disposition of assets with a fair market value in excess of $10,000,000, the Company shall have given the Administrative Agent written notice advising of such sale, transfer, lease or other disposition, together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99</w:t>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02235"/>
                <wp:effectExtent l="0" t="0" r="0" b="0"/>
                <wp:wrapNone/>
                <wp:docPr id="311" name="Frame31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such information as shall be required for the Administrative Agent to adjust the Borrowing Base to reflect such disposition, to the extent required by the definition of the term “Borrowing Base”, and (ii) after giving effect to any adjustment to the Borrowing Base arising from such sale, transfer or other disposition, the Aggregate Credit Exposure at the time shall not exceed the Borrowing Base as so adjusted.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1.n.</w:t>
      </w:r>
      <w:r>
        <w:rPr>
          <w:rFonts w:ascii="Times New Roman;sans-serif" w:hAnsi="Times New Roman;sans-serif"/>
          <w:b w:val="false"/>
          <w:color w:val="000000"/>
          <w:sz w:val="24"/>
          <w:u w:val="single"/>
        </w:rPr>
        <w:t>Use of Proceeds.</w:t>
      </w:r>
      <w:r>
        <w:rPr>
          <w:color w:val="000000"/>
        </w:rPr>
        <w:t xml:space="preserve"> </w:t>
      </w:r>
      <w:r>
        <w:rPr>
          <w:rFonts w:ascii="Times New Roman;sans-serif" w:hAnsi="Times New Roman;sans-serif"/>
          <w:b w:val="false"/>
          <w:color w:val="000000"/>
          <w:sz w:val="24"/>
        </w:rPr>
        <w:t>The Borrowers will use the proceeds of the Loans and issuance of Letters of Credit for general corporate purposes (including, without limitation, repurchases of, and dividends on, its equity securities). None of the Company, any Subsidiary or director, officer, employee or agent of the Company or any Subsidiary will directly or knowingly indirectly use the proceeds of the Loans or lend, contribute or otherwise make available such proceeds to any subsidiary, joint venture partner or other Person for the purpose of (a) financing any payments to any governmental official or employee, political party, official of a political party, candidate for political office, or anyone else acting in an official governmental capacity in material violation of any Anti-Corruption Laws or (b) financing the activities of or any transactions with any Sanctioned Person or in any Sanctioned Country, except to the extent licensed or otherwise authorized under U.S. law. This Section applies, other than to the extent that such covenant would result in a violation of Council Regulation (EC) No 2271/96, as amended (or any implementing law or regulation in any member state of the European Union or the United Kingdom).</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1.o.</w:t>
      </w:r>
      <w:r>
        <w:rPr>
          <w:rFonts w:ascii="Times New Roman;sans-serif" w:hAnsi="Times New Roman;sans-serif"/>
          <w:b w:val="false"/>
          <w:color w:val="000000"/>
          <w:sz w:val="24"/>
          <w:u w:val="single"/>
        </w:rPr>
        <w:t>Information Regarding Collateral; Deposit and Securities Accounts.</w:t>
      </w:r>
      <w:r>
        <w:rPr>
          <w:color w:val="000000"/>
        </w:rPr>
        <w:t xml:space="preserve"> </w:t>
      </w:r>
      <w:r>
        <w:rPr>
          <w:rFonts w:ascii="Times New Roman;sans-serif" w:hAnsi="Times New Roman;sans-serif"/>
          <w:b w:val="false"/>
          <w:color w:val="000000"/>
          <w:sz w:val="24"/>
        </w:rPr>
        <w:t>(a) The Company will furnish to the Collateral Agent prompt written notice of any change in (i) the legal name of any Loan Party, as set forth in its organizational documents, (ii) the jurisdiction of organization or the form of organization of any Loan Party (including as a result of any merger, amalgamation or consolidation), (iii) the location of the chief executive office of any Loan Party or (iv) the organizational identification number, if any, or, with respect to any Loan Party organized under the laws of a jurisdiction that requires such information to be set forth on the face of a UCC financing statement, the Federal Taxpayer Identification Number of such Loan Party. The Company agrees not to effect or permit any change referred to in the preceding sentence unless all filings have been made under the UCC or otherwise that are required in order for the Collateral Agent to continue at all times following such change to have a valid, legal and perfected security interest in all the Collateral.</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(xiii)The Company will furnish to the Collateral Agent prompt written notice of the acquisition by any Loan Party of any (i) Mortgaged Property or any material assets after the Effective Date of the type that constitute, or are intended to constitute, Collateral, other than any assets constituting Collateral under the Collateral Documents in which the Collateral Agent shall have a valid, legal and perfected security interest (with the priority contemplated by the applicable Collateral Document) upon the acquisition thereof and (ii) material Intellectual Property.</w:t>
      </w:r>
    </w:p>
    <w:p>
      <w:pPr>
        <w:pStyle w:val="TextBody"/>
        <w:bidi w:val="0"/>
        <w:spacing w:lineRule="auto" w:line="240" w:before="0" w:after="240"/>
        <w:ind w:left="0" w:right="0" w:firstLine="974"/>
        <w:jc w:val="left"/>
        <w:rPr>
          <w:rFonts w:ascii="Times New Roman;sans-serif" w:hAnsi="Times New Roman;sans-serif"/>
          <w:b w:val="false"/>
          <w:color w:val="000000"/>
          <w:sz w:val="24"/>
        </w:rPr>
      </w:pPr>
      <w:r>
        <w:rPr>
          <w:rFonts w:ascii="Times New Roman;sans-serif" w:hAnsi="Times New Roman;sans-serif"/>
          <w:b w:val="false"/>
          <w:color w:val="000000"/>
          <w:sz w:val="24"/>
        </w:rPr>
        <w:t>(xiv)The Company will furnish to the Collateral Agent prompt written notice of the disposition of a Loan Party, or any disposition outside the ordinary course of business of, or any casualty or condemnation event affecting, assets reflected in the then-current Borrowing Base having a fair market value of $5,000,000 or more, and such notice shall include such information as shall be required for the Collateral Agent to adjust the Borrowing Base to reflect such disposition.</w:t>
      </w:r>
    </w:p>
    <w:p>
      <w:pPr>
        <w:pStyle w:val="TextBody"/>
        <w:bidi w:val="0"/>
        <w:spacing w:lineRule="auto" w:line="240" w:before="0" w:after="240"/>
        <w:ind w:left="0" w:right="0" w:firstLine="10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(xv)The Company will, in each case as promptly as practicable, notify the Collateral Agent of the existence of any deposit account or securities account maintained by a Loan Party in respect of which a Control Agreement is required to be in effect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100</w:t>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02235"/>
                <wp:effectExtent l="0" t="0" r="0" b="0"/>
                <wp:wrapNone/>
                <wp:docPr id="312" name="Frame31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definition of the term “Collateral and Guarantee Requirement” but is not yet in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1.p.</w:t>
      </w:r>
      <w:r>
        <w:rPr>
          <w:rFonts w:ascii="Times New Roman;sans-serif" w:hAnsi="Times New Roman;sans-serif"/>
          <w:b w:val="false"/>
          <w:color w:val="000000"/>
          <w:sz w:val="24"/>
          <w:u w:val="single"/>
        </w:rPr>
        <w:t>Collateral and Guarantee Requirement</w:t>
      </w:r>
      <w:r>
        <w:rPr>
          <w:rFonts w:ascii="Times New Roman;sans-serif" w:hAnsi="Times New Roman;sans-serif"/>
          <w:b w:val="false"/>
          <w:color w:val="000000"/>
          <w:sz w:val="24"/>
        </w:rPr>
        <w:t>. (a) If (i) any Material Subsidiary is formed or acquired after the Effective Date or (ii) any Consolidated Subsidiary shall become a Material Subsidiary after the Effective Date, in each case other than an Excluded Subsidiary, then the Company will promptly, but in no event later than 15 days after such formation or acquisition (in the case of clause (i)) or 15 days after any executive officer or Financial Officer of the Company obtains knowledge thereof (in the case of clause (ii), but in each case of clause (i) and (ii), as such period may be extended by the Administrative Agent in its reasonable discretion), notify the Administrative Agent and the Lenders thereof and cause the Collateral and Guarantee Requirement to be satisfied with respect to such Material Subsidiary.</w:t>
      </w:r>
    </w:p>
    <w:p>
      <w:pPr>
        <w:pStyle w:val="TextBody"/>
        <w:bidi w:val="0"/>
        <w:spacing w:lineRule="auto" w:line="240" w:before="0" w:after="240"/>
        <w:ind w:left="0" w:right="0" w:firstLine="974"/>
        <w:jc w:val="left"/>
        <w:rPr>
          <w:rFonts w:ascii="Times New Roman;sans-serif" w:hAnsi="Times New Roman;sans-serif"/>
          <w:b w:val="false"/>
          <w:color w:val="000000"/>
          <w:sz w:val="24"/>
        </w:rPr>
      </w:pPr>
      <w:r>
        <w:rPr>
          <w:rFonts w:ascii="Times New Roman;sans-serif" w:hAnsi="Times New Roman;sans-serif"/>
          <w:b w:val="false"/>
          <w:color w:val="000000"/>
          <w:sz w:val="24"/>
        </w:rPr>
        <w:t>(xvi)The Company will, and the Company will cause each of the Material Subsidiaries to, execute any and all further documents, financing statements, agreements and instruments, and take all such further actions (including the filing and recording of financing statements), that may be required under any applicable law, or that the Collateral Agent or the Required Lenders may reasonably request, to cause the Collateral and Guarantee Requirement to be and remain satisfied, all at the expense of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1.q.</w:t>
      </w:r>
      <w:r>
        <w:rPr>
          <w:rFonts w:ascii="Times New Roman;sans-serif" w:hAnsi="Times New Roman;sans-serif"/>
          <w:b w:val="false"/>
          <w:color w:val="000000"/>
          <w:sz w:val="24"/>
          <w:u w:val="single"/>
        </w:rPr>
        <w:t>Investments</w:t>
      </w:r>
      <w:r>
        <w:rPr>
          <w:rFonts w:ascii="Times New Roman;sans-serif" w:hAnsi="Times New Roman;sans-serif"/>
          <w:b w:val="false"/>
          <w:color w:val="000000"/>
          <w:sz w:val="24"/>
        </w:rPr>
        <w:t>. The Company will not, nor will the Company permit any Subsidiary Loan Party to, purchase, hold or acquire (including pursuant to any consolidation, amalgamation or merger with any Person that was not a Loan Party prior to such consolidation, amalgamation or merger, it being understood that any consolidation, amalgamation or merger of a Subsidiary Loan Party with any Subsidiary that is not a Loan Party shall be treated as an investment in such Subsidiary if the survivor of such consolidation, amalgamation or merger is not a Subsidiary Loan Party) any Equity Interests in or evidences of Indebtedness or other securities of, make or permit to exist any loans or advances to, Guarantee any Indebtedness of, or make or permit to exist any other investment in, any Subsidiary that is not a Subsidiary Loan Party (each of the foregoing being an “</w:t>
      </w:r>
      <w:r>
        <w:rPr>
          <w:rFonts w:ascii="Times New Roman;sans-serif" w:hAnsi="Times New Roman;sans-serif"/>
          <w:b w:val="false"/>
          <w:color w:val="000000"/>
          <w:sz w:val="24"/>
          <w:u w:val="single"/>
        </w:rPr>
        <w:t>Investment</w:t>
      </w:r>
      <w:r>
        <w:rPr>
          <w:color w:val="000000"/>
        </w:rPr>
        <w:t>”</w:t>
      </w:r>
      <w:r>
        <w:rPr>
          <w:rFonts w:ascii="Times New Roman;sans-serif" w:hAnsi="Times New Roman;sans-serif"/>
          <w:b w:val="false"/>
          <w:color w:val="000000"/>
          <w:sz w:val="24"/>
        </w:rPr>
        <w:t>), except:</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(i)Investments by the Company or any Subsidiary Loan Party in any Subsidiary that is not a Loan Party, in an aggregate amount not to exceed $50,000,000 at any one time outstanding;</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(ii)Investments in existence on the Effective Date;</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(iii)any other Investment if, at the time thereof and after giving effect thereto, the Payment Conditions are satisfied (for the avoidance of doubt, an Investment made pursuant to this clause (c) shall be permitted notwithstanding that the conditions set forth in this clause (c) shall thereafter cease to be satisfied); </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(iv)Investments in any Receivables Subsidiary in the form of (i) deferred purchase consideration for Receivables Facility Assets sold pursuant to a Specified Receivables Facility or (ii) a subordinated loan representing deferred consideration owed in respect of Receivables Facility Assets sold by the Company or any Consolidated Subsidiary participating as a seller in a Specified Receivables Facility in an amount required to meet any true sale and risk retention requirements applicable in respect of the sale of Receivables Facility Assets by the Company or such Consolidated Subsidiary;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101</w:t>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02235"/>
                <wp:effectExtent l="0" t="0" r="0" b="0"/>
                <wp:wrapNone/>
                <wp:docPr id="313" name="Frame31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(v)contributions by the Company or any Subsidiary Loan Party of Equity Interests in any Foreign Subsidiary to any other Foreign Subsidiary;</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(vi)licenses by the Company or any Subsidiary Loan Party to any Consolidated Subsidiary that is not a Loan Party of intellectual property in the ordinary course of business;</w:t>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(vii)transfers or licenses by the Company or any Subsidiary Loan Party to any Foreign Subsidiary of any intellectual property that is usable primarily, or for use primarily, outside of the United States; and</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(viii)accounts receivable held by a Loan Party arising out of the sale of inventory or provision of services, in each case in the ordinary course of business, to a Subsidiary that is not a Loan Party.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1.r.</w:t>
      </w:r>
      <w:r>
        <w:rPr>
          <w:rFonts w:ascii="Times New Roman;sans-serif" w:hAnsi="Times New Roman;sans-serif"/>
          <w:b w:val="false"/>
          <w:color w:val="000000"/>
          <w:sz w:val="24"/>
          <w:u w:val="single"/>
        </w:rPr>
        <w:t>Restricted Payments</w:t>
      </w:r>
      <w:r>
        <w:rPr>
          <w:rFonts w:ascii="Times New Roman;sans-serif" w:hAnsi="Times New Roman;sans-serif"/>
          <w:b w:val="false"/>
          <w:color w:val="000000"/>
          <w:sz w:val="24"/>
        </w:rPr>
        <w:t>. The Company will not, and will not permit any Consolidated Subsidiary to, declare or make, or agree to pay or make, directly or indirectly, any Restricted Payment, except:</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any wholly-owned Consolidated Subsidiary may distribute any cash, property or assets to the Company or any other Consolidated Subsidiary that is its direct or indirect parent; </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(ii)any Consolidated Subsidiary may declare and pay dividends ratably with respect to its Equity Interests; </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(iii)the Company may make any Restricted Payment in cash if, at the time thereof and after giving effect thereto, the Payment Conditions are satisfied; and </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(iv)the Closing Date Payment, the Closing Date Distribution and any distribution, as a dividend, cash payment or otherwise, of all or any portion of the equity interest of the Spin Business (as defined in the Registration Statement) or assets thereof.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a Restricted Payment made pursuant to Section 5.18(c) shall be permitted notwithstanding that the conditions set forth in Section 5.18(c) shall thereafter cease to be satisfied.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1.s.</w:t>
      </w:r>
      <w:r>
        <w:rPr>
          <w:rFonts w:ascii="Times New Roman;sans-serif" w:hAnsi="Times New Roman;sans-serif"/>
          <w:b w:val="false"/>
          <w:color w:val="000000"/>
          <w:sz w:val="24"/>
          <w:u w:val="single"/>
        </w:rPr>
        <w:t>Restrictive Agreements</w:t>
      </w:r>
      <w:r>
        <w:rPr>
          <w:rFonts w:ascii="Times New Roman;sans-serif" w:hAnsi="Times New Roman;sans-serif"/>
          <w:b w:val="false"/>
          <w:color w:val="000000"/>
          <w:sz w:val="24"/>
        </w:rPr>
        <w:t xml:space="preserve">. The Company will not, nor will it permit any Consolidated Subsidiary that is a wholly-owned Material Subsidiary that is a Domestic Subsidiary or a Canadian Subsidiary, other than an Excluded Subsidiary, to, directly or indirectly, enter into, incur or permit to exist any agreement or other arrangement that prohibits, restricts or imposes any condition upon the ability of the Company or any Consolidated Subsidiary that is a Domestic Subsidiary or a Canadian Subsidiary to create, incur or permit to exist any Lien upon any of its property or assets to secure, or the ability of any Consolidated Subsidiary that is a Domestic Subsidiary or a Canadian Subsidiary to Guarantee, the Obligations (or the obligations under any credit facility that refinances or replaces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the foregoing shall not apply to restrictions and conditions imposed by law, any Loan Document or any Permitted Non-ABL Indebtedness, (b) the foregoing shall not apply to restrictions and conditions existing on the Effective Date contained in any of the instruments, indentures and other agreements identified on Schedule 5.19 or any extension, renewal, supplement, amendment or other modification of any thereof or any additional such instrument, indenture or other agreement so long as, in each case, any such prohibition, restriction or condition contained therein is not, taken as a whole, more restrictive in any material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102</w:t>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02235"/>
                <wp:effectExtent l="0" t="0" r="0" b="0"/>
                <wp:wrapNone/>
                <wp:docPr id="314" name="Frame31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respect than the prohibitions, restrictions and conditions contained in the instruments, indentures and other agreements identified on Schedule 5.19 as in effect on the Effective Date, (c) the foregoing shall not apply to customary restrictions and conditions contained in agreements relating to the sale of a Subsidiary or any assets pending such sale, provided that such restrictions and conditions apply only to the Subsidiary or assets to be sold, (d) the foregoing shall not apply to exclusive licenses or exclusivity covenants permitted under the Loan Documents with respect to Intellectual Property, (e) the foregoing provisions relating to Liens shall not apply to restrictions or conditions imposed by any agreement relating to secured Indebtedness permitted by this Agreement if such restrictions or conditions apply only to the property or assets securing such Indebtedness, (f) the foregoing provisions relating to Liens shall not apply to customary provisions in leases restricting the assignment thereof and (g) the foregoing shall not apply to restrictions and conditions imposed on Receivables Subsidiaries pursuant to any Specified Receivables Facility.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1.t.</w:t>
      </w:r>
      <w:r>
        <w:rPr>
          <w:rFonts w:ascii="Times New Roman;sans-serif" w:hAnsi="Times New Roman;sans-serif"/>
          <w:b w:val="false"/>
          <w:color w:val="000000"/>
          <w:sz w:val="24"/>
          <w:u w:val="single"/>
        </w:rPr>
        <w:t>Credit Ratings</w:t>
      </w:r>
      <w:r>
        <w:rPr>
          <w:rFonts w:ascii="Times New Roman;sans-serif" w:hAnsi="Times New Roman;sans-serif"/>
          <w:b w:val="false"/>
          <w:color w:val="000000"/>
          <w:sz w:val="24"/>
        </w:rPr>
        <w:t>. The Company will use commercially reasonable efforts to maintain Credit Ratings from each of S&amp;P and Moody’s at all times.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1.u.</w:t>
      </w:r>
      <w:r>
        <w:rPr>
          <w:rFonts w:ascii="Times New Roman;sans-serif" w:hAnsi="Times New Roman;sans-serif"/>
          <w:b w:val="false"/>
          <w:color w:val="000000"/>
          <w:sz w:val="24"/>
          <w:u w:val="single"/>
        </w:rPr>
        <w:t>Prepayment Avoidance.</w:t>
      </w:r>
      <w:r>
        <w:rPr>
          <w:color w:val="000000"/>
        </w:rPr>
        <w:t xml:space="preserve"> </w:t>
      </w:r>
      <w:r>
        <w:rPr>
          <w:rFonts w:ascii="Times New Roman;sans-serif" w:hAnsi="Times New Roman;sans-serif"/>
          <w:b w:val="false"/>
          <w:color w:val="000000"/>
          <w:sz w:val="24"/>
        </w:rPr>
        <w:t>The Company will, and will cause each Consolidated Subsidiary to, either repay or prepay Loans, or make investments in assets to be used in their businesses, in each case as necessary to avoid any mandatory redemption, repurchase or prepayment (i) referred to in the proviso to clause (c) of the definition of “Disqualified Equity Interest” or (ii) pursuant to the terms of any Permitted Non-ABL Indebtedness.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1.v.</w:t>
      </w:r>
      <w:r>
        <w:rPr>
          <w:rFonts w:ascii="Times New Roman;sans-serif" w:hAnsi="Times New Roman;sans-serif"/>
          <w:b w:val="false"/>
          <w:color w:val="000000"/>
          <w:sz w:val="24"/>
          <w:u w:val="single"/>
        </w:rPr>
        <w:t>Control Agreements.</w:t>
      </w:r>
      <w:r>
        <w:rPr>
          <w:color w:val="000000"/>
        </w:rPr>
        <w:t xml:space="preserve"> </w:t>
      </w:r>
      <w:r>
        <w:rPr>
          <w:rFonts w:ascii="Times New Roman;sans-serif" w:hAnsi="Times New Roman;sans-serif"/>
          <w:b w:val="false"/>
          <w:color w:val="000000"/>
          <w:sz w:val="24"/>
        </w:rPr>
        <w:t>Subject to the grace period in clause (c) of the definition of “Collateral and Guarantee Requirement”, the Loan Parties shall at all times (except as agreed by the Collateral Agent pursuant to its authority as set forth herein or in any other Loan Document) (a) cause the available amount in each deposit account (other than an Excluded Deposit Account) of the Loan Parties to be swept to the Concentration Account at the end of each Business Day (whether directly or through local concentration accounts that are in turn swept to the Concentration Account on such Business Day) and (b) cause to be deposited directly into the Concentration Account (i) all payments in respect of Credit Card Receivables, (ii) all proceeds of Accounts and (iii) all cash swept from all Accounts of the Loan Parties.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1.w.</w:t>
      </w:r>
      <w:r>
        <w:rPr>
          <w:rFonts w:ascii="Times New Roman;sans-serif" w:hAnsi="Times New Roman;sans-serif"/>
          <w:b w:val="false"/>
          <w:color w:val="000000"/>
          <w:sz w:val="24"/>
          <w:u w:val="single"/>
        </w:rPr>
        <w:t>Field Examinations and Appraisals</w:t>
      </w:r>
      <w:r>
        <w:rPr>
          <w:rFonts w:ascii="Times New Roman;sans-serif" w:hAnsi="Times New Roman;sans-serif"/>
          <w:b w:val="false"/>
          <w:i/>
          <w:color w:val="000000"/>
          <w:sz w:val="24"/>
          <w:u w:val="single"/>
        </w:rPr>
        <w:t>.</w:t>
      </w:r>
      <w:r>
        <w:rPr>
          <w:color w:val="000000"/>
        </w:rPr>
        <w:t xml:space="preserve"> </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(i)On not more than one occasion during any 12-month period, at the request of the Collateral Agent, the Loan Parties will permit, upon reasonable notice and during normal business hours, the Collateral Agent (or its designee) to conduct a field examination of the Collateral included in the Borrowing Base and related reporting and control systems. Notwithstanding the foregoing, (i) an additional field exam may be conducted during any 12-month period in which Specified Excess Availability for three consecutive business days has been less than or equal to the lesser of (x) $70,000,000 and (y) 10% of the Maximum Borrowing Amount and (ii) if a Specified Event of Default has occurred and is continuing, there shall be no limitation on the number or frequency of field examinations and the number and frequency of field examinations shall be at the Permitted Discretion of the Collateral Agent. For purposes of this Section 5.23, it is understood and agreed that a single field examination may be conducted at multiple relevant sites and involve one or more Loan Parties and their assets. All such field examinations by the Collateral Agent (or its designee) shall be at the sole expense of the Loan Parties.</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103</w:t>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02235"/>
                <wp:effectExtent l="0" t="0" r="0" b="0"/>
                <wp:wrapNone/>
                <wp:docPr id="315" name="Frame31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(ii)On one occasion during each 12-month period, the Loan Parties will provide the Collateral Agent with an appraisal of their Inventory (or update thereof) from an appraiser selected and engaged by the Collateral Agent, and prepared on a basis reasonably satisfactory to the Collateral Agent, such appraisal or update to include, without limitation, information required by applicable law and regulations. Notwithstanding the foregoing, (i) an additional inventory appraisal may be conducted during any 12-month period in which Specified Excess Availability for three consecutive business days has been less than or equal to the lesser of (x) $70,000,000 and (y) 10% of the Maximum Borrowing Amount and (ii) if a Specified Event of Default has occurred and is continuing, there shall be no limitation on the number or frequency of appraisals (or updates thereof) and the number and frequency of appraisals (or updates thereof) shall be at the Permitted Discretion of the Collateral Agent. For purposes of this Section 5.23, it is understood and agreed that a single appraisal (or update thereof) may be conducted at multiple relevant sites and involve one or more Loan Parties and their assets. All such appraisals and updates thereof shall be at the sole expense of the Loan Parties.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1.x.</w:t>
      </w:r>
      <w:r>
        <w:rPr>
          <w:rFonts w:ascii="Times New Roman;sans-serif" w:hAnsi="Times New Roman;sans-serif"/>
          <w:b w:val="false"/>
          <w:color w:val="000000"/>
          <w:sz w:val="24"/>
          <w:u w:val="single"/>
        </w:rPr>
        <w:t>Credit Card Agreements and Notifications</w:t>
      </w:r>
      <w:r>
        <w:rPr>
          <w:rFonts w:ascii="Times New Roman;sans-serif" w:hAnsi="Times New Roman;sans-serif"/>
          <w:b w:val="false"/>
          <w:color w:val="000000"/>
          <w:sz w:val="24"/>
        </w:rPr>
        <w:t xml:space="preserve">. Subject to the grace period in clause (d) of the definition of “Collateral and Guarantee Requirement”, each Loan Party will (a) comply in all material respects with all its obligations under each Credit Card Agreement to which it is party and (b) maintain credit card arrangements solely with the credit card issuers and credit card processors identified in Schedule 3.12;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may amend Schedule 3.12 to remove any credit card issuer or credit card processor identified in such Schedule or to add additional credit card issuers and credit card processors that are satisfactory to the Collateral Agent in its reasonable discretion, and concurrently with the making of any such amendment the Company shall provide to the Collateral Agent evidence that a Credit Card Notification shall have been delivered to any credit card issuer or credit card processor added to such Schedule.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1.y.</w:t>
      </w:r>
      <w:r>
        <w:rPr>
          <w:rFonts w:ascii="Times New Roman;sans-serif" w:hAnsi="Times New Roman;sans-serif"/>
          <w:b w:val="false"/>
          <w:color w:val="000000"/>
          <w:sz w:val="24"/>
          <w:u w:val="single"/>
        </w:rPr>
        <w:t>Canadian Defined Benefit Pension Plan</w:t>
      </w:r>
      <w:r>
        <w:rPr>
          <w:rFonts w:ascii="Times New Roman;sans-serif" w:hAnsi="Times New Roman;sans-serif"/>
          <w:b w:val="false"/>
          <w:color w:val="000000"/>
          <w:sz w:val="24"/>
        </w:rPr>
        <w:t>. The Company will not, nor will it permit any other Loan Party to, contribute to, or assume, incur or have any liability under, any Canadian Defined Benefit Pension Plan without the prior written consent of the Administrative Agent.</w:t>
      </w:r>
    </w:p>
    <w:p>
      <w:pPr>
        <w:pStyle w:val="TextBody"/>
        <w:bidi w:val="0"/>
        <w:spacing w:lineRule="auto" w:line="240" w:before="0" w:after="240"/>
        <w:jc w:val="center"/>
        <w:rPr/>
      </w:pPr>
      <w:r>
        <w:rPr>
          <w:rFonts w:ascii="Times New Roman;sans-serif" w:hAnsi="Times New Roman;sans-serif"/>
          <w:b w:val="false"/>
          <w:color w:val="000000"/>
          <w:sz w:val="24"/>
        </w:rPr>
        <w:t>ARTICLE 6</w:t>
      </w:r>
      <w:r>
        <w:rPr>
          <w:rFonts w:ascii="Times New Roman;sans-serif" w:hAnsi="Times New Roman;sans-serif"/>
          <w:b w:val="false"/>
          <w:color w:val="000000"/>
          <w:sz w:val="24"/>
        </w:rPr>
        <w:br/>
        <w:br/>
        <w:t>Events of Default and Remedies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1.0a.</w:t>
      </w:r>
      <w:r>
        <w:rPr>
          <w:rFonts w:ascii="Times New Roman;sans-serif" w:hAnsi="Times New Roman;sans-serif"/>
          <w:b w:val="false"/>
          <w:color w:val="000000"/>
          <w:sz w:val="24"/>
          <w:u w:val="single"/>
        </w:rPr>
        <w:t>Events of Default.</w:t>
      </w:r>
      <w:r>
        <w:rPr>
          <w:color w:val="000000"/>
        </w:rPr>
        <w:t xml:space="preserve"> </w:t>
      </w:r>
      <w:r>
        <w:rPr>
          <w:rFonts w:ascii="Times New Roman;sans-serif" w:hAnsi="Times New Roman;sans-serif"/>
          <w:b w:val="false"/>
          <w:color w:val="000000"/>
          <w:sz w:val="24"/>
        </w:rPr>
        <w:t>Any of the following shall be an “</w:t>
      </w:r>
      <w:r>
        <w:rPr>
          <w:rFonts w:ascii="Times New Roman;sans-serif" w:hAnsi="Times New Roman;sans-serif"/>
          <w:b w:val="false"/>
          <w:color w:val="000000"/>
          <w:sz w:val="24"/>
          <w:u w:val="single"/>
        </w:rPr>
        <w:t>Event of Default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(i)any Borrower shall fail to make any payment of principal of or interest on any Loan or any obligation in respect of any LC Disbursement when due or to pay any fees or other amounts payable by it hereunder when due, and such failure remains unremedied for three Business Days after the applicable Borrower’s actual receipt of notice of such failure from the Administrative Agent at the request of any Lender;</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(ii)any statement of fact or representation made or deemed to be made by (i) any Borrower in this Agreement or by any Borrower or any of its officers in any certificate delivered pursuant to this Agreement or (ii) at such times as the Collateral and Guarantee Requirement is required to be satisfied, any Loan Party in any Loan Document or by any Loan Party or any of its respective officers in any certificate delivered pursuant to any Loan Document, shall prove to have been incorrect in any material respect when made or deemed made, and, if the consequences of such representation or statement being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104</w:t>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02235"/>
                <wp:effectExtent l="0" t="0" r="0" b="0"/>
                <wp:wrapNone/>
                <wp:docPr id="316" name="Frame31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incorrect shall be susceptible of remedy in all material respects, such consequences shall not be remedied in all material respects within 30 days after any executive officer of any Borrower or any Financial Officer first becomes aware of or is advised that such representation or statement was incorrect in a material respect; </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(iii)(i) any Borrower shall fail to observe or perform any covenant, condition or agreement contained in Sections 5.04 (with respect to the existence of any Borrower), 5.08, 5.10, 5.11, 5.12, 5.13, 5.17, 5.18, 5.19, 5.21, 5.23 and 5.24 and, if the consequences of such failure shall be susceptible of remedy in all material respects, such consequences shall not be remedied in all material respects within 20 days after any executive officer of any Borrower or any Financial Officer first becomes aware or is advised of such failure or (ii) any Borrower shall fail to observe or perform any covenant, condition or agreement contained in Section 5.06 or 5.22;</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(iv)(i) any event or condition shall occur which enables the holder of any Material Indebtedness or any Person acting on such holder’s behalf to accelerate the maturity thereof or (ii) the Company or any Consolidated Subsidiary shall fail to pay the principal of any Material Indebtedness;</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(v)the Company or any Material Subsidiary shall (i) make an assignment or general assignment for the benefit of creditors, (ii) apply for or consent (by admission of material allegations of a petition or otherwise) to the appointment of or the taking of possession by a receiver, interim receiver, receiver and manager, administrator, custodian, trustee or liquidator of the Company or any Material Subsidiary or for all or any substantial part of the properties of the Company or any Material Subsidiary or authorize such application or consent, or proceedings seeking such appointment shall be commenced (including the filing of any notice of intention in respect thereof) without such authorization, consent or application against the Company or any Material Subsidiary and continue undismissed for 30 days (or if such dismissal of such unauthorized proceedings cannot reasonably be obtained within such 30-day period, the Company or any Material Subsidiary shall fail either to proceed with due diligence to seek to obtain dismissal within such 30-day period or to obtain dismissal within 60 days), (iii) authorize or file a voluntary petition in bankruptcy, suffer an order for relief under any Insolvency Law, or apply for or consent (by admission of material allegations of a petition or otherwise) to the application of any Insolvency Law or other bankruptcy, reorganization, arrangement, readjustment of debt, insolvency, dissolution, liquidation or other similar law of any jurisdiction, or authorize such application or consent, or proceedings to such end shall be instituted (including the filing of any notice of intention in respect thereof) against the Company or any Material Subsidiary without such authorization, application or consent which are not vacated within 30-days from the date thereof (or if such vacation cannot reasonably be obtained within such 30-day period, the Company shall fail either to proceed with due diligence to seek to obtain vacation within such 30-day period or to obtain vacation within 60 days), (iv) permit or suffer all or any substantial part of its properties to be sequestered, attached, or subjected to a Lien (other than a Lien expressly permitted by the exceptions in Section 5.08) through any legal proceeding or distraint which is not vacated within 30-days from the date thereof (or if such vacation cannot reasonably be obtained within such 30-day period, the Company shall fail either to proceed with due diligence to seek to obtain vacation within such 30 day period or to obtain vacation within 60 days), (v) generally not pay its debts as such debts become due or admit in writing its inability to do so, or is otherwise insolvent, or (vi) conceal, remove, or permit to be concealed or removed, any material part of its property, with intent to hinder, delay or defraud its creditors or any of them;</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105</w:t>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02235"/>
                <wp:effectExtent l="0" t="0" r="0" b="0"/>
                <wp:wrapNone/>
                <wp:docPr id="317" name="Frame31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(vi)(i) the Company or any ERISA Affiliate shall fail to pay when due an amount or amounts aggregating in excess of $100,000,000 which it shall have become liable to pay to the PBGC or to a Plan under Title IV of ERISA; or notice of intent to terminate a Plan or Plans having aggregate Unfunded Liabilities in excess of $100,000,000 (collectively “</w:t>
      </w:r>
      <w:r>
        <w:rPr>
          <w:rFonts w:ascii="Times New Roman;sans-serif" w:hAnsi="Times New Roman;sans-serif"/>
          <w:b w:val="false"/>
          <w:color w:val="000000"/>
          <w:sz w:val="24"/>
          <w:u w:val="single"/>
        </w:rPr>
        <w:t>Material Plans</w:t>
      </w:r>
      <w:r>
        <w:rPr>
          <w:color w:val="000000"/>
        </w:rPr>
        <w:t>”</w:t>
      </w:r>
      <w:r>
        <w:rPr>
          <w:rFonts w:ascii="Times New Roman;sans-serif" w:hAnsi="Times New Roman;sans-serif"/>
          <w:b w:val="false"/>
          <w:color w:val="000000"/>
          <w:sz w:val="24"/>
        </w:rPr>
        <w:t>) shall be filed under Title IV of ERISA by the Company or any ERISA Affiliate,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Company or any ERISA Affiliate to enforce Section 515 of ERISA or 4219(c)(5) of ERISA and such proceeding shall not have been dismissed within 30 days thereafter; or a condition shall exist by reason of which the PBGC would be entitled to obtain a decree adjudicating that any Material Plan must be terminated or (ii) the occurrence of any Canadian Pension Event that has a Material Adverse Effect;</w:t>
      </w:r>
    </w:p>
    <w:p>
      <w:pPr>
        <w:pStyle w:val="TextBody"/>
        <w:bidi w:val="0"/>
        <w:spacing w:lineRule="auto" w:line="240" w:before="0" w:after="240"/>
        <w:ind w:left="0" w:right="0" w:firstLine="1027"/>
        <w:jc w:val="left"/>
        <w:rPr>
          <w:rFonts w:ascii="Times New Roman;sans-serif" w:hAnsi="Times New Roman;sans-serif"/>
          <w:b w:val="false"/>
          <w:color w:val="000000"/>
          <w:sz w:val="24"/>
        </w:rPr>
      </w:pPr>
      <w:r>
        <w:rPr>
          <w:rFonts w:ascii="Times New Roman;sans-serif" w:hAnsi="Times New Roman;sans-serif"/>
          <w:b w:val="false"/>
          <w:color w:val="000000"/>
          <w:sz w:val="24"/>
        </w:rPr>
        <w:t>(vii)any Borrower shall fail to perform or observe in any material respect any other term, covenant or agreement contained in any Loan Document (including without limitation Section 5.01 of this Agreement) on its part to be performed or observed and any such failure remains unremedied for 30 days after the applicable Borrower shall have received written notice thereof from the Administrative Agent at the request of any Lender;</w:t>
      </w:r>
    </w:p>
    <w:p>
      <w:pPr>
        <w:pStyle w:val="TextBody"/>
        <w:bidi w:val="0"/>
        <w:spacing w:lineRule="auto" w:line="240" w:before="0" w:after="240"/>
        <w:ind w:left="0" w:right="0" w:firstLine="961"/>
        <w:jc w:val="left"/>
        <w:rPr>
          <w:rFonts w:ascii="Times New Roman;sans-serif" w:hAnsi="Times New Roman;sans-serif"/>
          <w:b w:val="false"/>
          <w:color w:val="000000"/>
          <w:sz w:val="24"/>
        </w:rPr>
      </w:pPr>
      <w:r>
        <w:rPr>
          <w:rFonts w:ascii="Times New Roman;sans-serif" w:hAnsi="Times New Roman;sans-serif"/>
          <w:b w:val="false"/>
          <w:color w:val="000000"/>
          <w:sz w:val="24"/>
        </w:rPr>
        <w:t>(viii)a Change in Control shall occur; or</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 xml:space="preserve">(ix)one or more judgments for the payment of money in an aggregate amount in excess of $100,000,000, exclusive of amounts covered by third party insurance, shall be rendered against the Company, any Consolidated Subsidiary or any combination thereof and the same shall remain undischarged for a period of 60 consecutive days during which execution shall not be effectively stayed, or any action shall be legally taken by a judgment creditor to attach or levy upon any assets of the Company or any Consolidated Subsidiary to enforce any such judgment;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calculating the amounts covered by third party insurance, amounts covered by third party insurance shall not include amounts for which the third party insurer has denied liability.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1.0b.</w:t>
      </w:r>
      <w:r>
        <w:rPr>
          <w:rFonts w:ascii="Times New Roman;sans-serif" w:hAnsi="Times New Roman;sans-serif"/>
          <w:b w:val="false"/>
          <w:color w:val="000000"/>
          <w:sz w:val="24"/>
          <w:u w:val="single"/>
        </w:rPr>
        <w:t>Remedies.</w:t>
      </w:r>
      <w:r>
        <w:rPr>
          <w:color w:val="000000"/>
        </w:rPr>
        <w:t xml:space="preserve"> </w:t>
      </w:r>
      <w:r>
        <w:rPr>
          <w:rFonts w:ascii="Times New Roman;sans-serif" w:hAnsi="Times New Roman;sans-serif"/>
          <w:b w:val="false"/>
          <w:color w:val="000000"/>
          <w:sz w:val="24"/>
        </w:rPr>
        <w:t xml:space="preserve">If any Event of Default shall occur and be continuing, the Administrative Agent shall (a) if requested by the Required Lenders, by notice to the Borrowers terminate the Commitments and they shall thereupon terminate, and (b) if requested by Lenders holding more than 50% of the aggregate unpaid principal amount of the Loans, by notice to the Borrowers declare the Loans (together with accrued interest thereon and all other amounts payable by the Borrowers hereunder) to be, and the Loans (together with accrued interest thereon and all other amounts payable by the Borrowers hereunder) shall thereupon become, immediately due and payable without presentment, demand, protest or other notice of any kind, all of which are hereby waived by the Borrowers;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any of the bankruptcy Events of Default specified in Section 6.01(e) with respect to the Borrowers, without any notice to the Borrowers or any other act by the Administrative Agent or the Lenders, the Commitments shall thereupon terminate and the Loans (together with accrued interest thereon and all other amounts payable by the Borrowers hereunder) shall become immediately due and payable without presentment, demand, protest or other notice of any kind, all of which are hereby waived by the Borrowers.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1.0c.</w:t>
      </w:r>
      <w:r>
        <w:rPr>
          <w:rFonts w:ascii="Times New Roman;sans-serif" w:hAnsi="Times New Roman;sans-serif"/>
          <w:b w:val="false"/>
          <w:color w:val="000000"/>
          <w:sz w:val="24"/>
          <w:u w:val="single"/>
        </w:rPr>
        <w:t>Notice of Default.</w:t>
      </w:r>
      <w:r>
        <w:rPr>
          <w:color w:val="000000"/>
        </w:rPr>
        <w:t xml:space="preserve"> </w:t>
      </w:r>
      <w:r>
        <w:rPr>
          <w:rFonts w:ascii="Times New Roman;sans-serif" w:hAnsi="Times New Roman;sans-serif"/>
          <w:b w:val="false"/>
          <w:color w:val="000000"/>
          <w:sz w:val="24"/>
        </w:rPr>
        <w:t>The Administrative Agent shall give notice to the Borrowers under Section 6.01(a) or 6.01(g) promptly upon being requested to do so by any Lender and shall thereupon notify all the Lenders thereof.</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106</w:t>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02235"/>
                <wp:effectExtent l="0" t="0" r="0" b="0"/>
                <wp:wrapNone/>
                <wp:docPr id="318" name="Frame31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pPr>
      <w:r>
        <w:rPr>
          <w:rFonts w:ascii="Times New Roman;sans-serif" w:hAnsi="Times New Roman;sans-serif"/>
          <w:b w:val="false"/>
          <w:color w:val="000000"/>
          <w:sz w:val="24"/>
        </w:rPr>
        <w:t>ARTICLE 7</w:t>
      </w:r>
      <w:r>
        <w:rPr>
          <w:rFonts w:ascii="Times New Roman;sans-serif" w:hAnsi="Times New Roman;sans-serif"/>
          <w:b w:val="false"/>
          <w:color w:val="000000"/>
          <w:sz w:val="24"/>
        </w:rPr>
        <w:br/>
        <w:br/>
        <w:t>The Agents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1.0a.</w:t>
      </w:r>
      <w:r>
        <w:rPr>
          <w:rFonts w:ascii="Times New Roman;sans-serif" w:hAnsi="Times New Roman;sans-serif"/>
          <w:b w:val="false"/>
          <w:color w:val="000000"/>
          <w:sz w:val="24"/>
          <w:u w:val="single"/>
        </w:rPr>
        <w:t>The Agents.</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Each of the Lenders and each Issuing Bank hereby irrevocably appoints each of the Administrative Agent and the Collateral Agent as its agent and authorizes such Agent to take such actions on its behalf and to exercise such powers as are delegated to such Agent by the terms of the Loan Documents, together with such actions and powers as are reasonably incidental thereto. In addition, to the extent required under the laws of any jurisdiction, each of the Lenders hereby grants to the Collateral Agent any required powers of attorney to execute and enforce any Collateral Document governed by the laws of such jurisdiction on such Lender’s behalf. </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of the banks serving as an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Company or any Subsidiary or other Affiliate thereof as if it were not an Agent under the Loan Documents.</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Agents shall not have any duties or obligations except those expressly set forth in the Loan Documents.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except discretionary rights and powers expressly contemplated by the Loan Documents that the applicable Agent is required to exercise in writing by the Required Lenders (or such other number or percentage of the Lenders as shall be necessary under the circumstances as provided in Section 8.02 or Section 8.02A) or, in the case of the Collateral Documents, the Required Secured Parties, and (c) except as expressly set forth in the Loan Documents, the Agents shall not have any duty to disclose, and shall not be liable for the failure to disclose, any information relating to the Company or any of its Subsidiaries that is communicated to or obtained by the banks serving as Agents or any of their respective Affiliates in any capacity. No Agent shall be liable for any action taken or not taken by it with the consent or at the request of the Required Lenders (or such other number or percentage of the Lenders as shall be necessary under the circumstances as provided in Section 8.02 or Section 8.02A) or, in the case of the Collateral Documents, the Required Secured Parties, or in the absence of its own gross negligence or willful misconduct. Each Agent shall be deemed not to have knowledge of any Default unless and until written notice thereof is given to such Agent by the Company or a Lender, and the Agents shall not be responsible for or have any duty to ascertain or inquire into (i) any statement, warranty or representation made in or in connection with this Agreement, (ii) the contents of any certificate (including any Borrowing Base Certificate), report or other document delivered hereunder or in connection with any Loan Document, (iii) qualification of (or lapse of any qualification of) any Account, Credit Card Receivable, Inventory or real property under the eligibility criteria set forth herein, other than eligibility criteria expressly referring to the matters described therein being acceptable or satisfactory to, or being determined by, the Collateral Agent, (iv) the performance or observance of any of the covenants, agreements or other terms or conditions set forth in any Loan Document, (v) the validity, enforceability, effectiveness or genuineness of any Loan Document or any other agreement, instrument or document or (vi) the satisfaction of any condition set forth in Article IV or elsewhere in any Loan Document, other than to confirm receipt of items expressly required to be delivered to the applicable Agent. Notwithstanding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107</w:t>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02235"/>
                <wp:effectExtent l="0" t="0" r="0" b="0"/>
                <wp:wrapNone/>
                <wp:docPr id="319" name="Frame31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anything herein to the contrary, the Agents shall not be liable for, or be responsible for any loss, cost or expense suffered by the Borrowers, any Lender or any Issuing Bank as a result of, any such determination of the Credit Exposure, Excess Availability, the Borrowing Base or the component amounts of any thereof.</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Agent shall be entitled to rely upon, and shall not incur any liability for relying upon, any notice, request, certificate (including any Borrowing Base Certificate), consent, statement, instrument, document or other writing believed by it to be genuine and to have been signed or sent by the proper Person. Each of the Agents also may rely upon any statement made to it orally or by telephone and believed by it to be made by the proper Person, and shall not incur any liability for relying thereon. Each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Lender and Issuing Bank hereby agrees that (a) it has requested a copy of each Report prepared by or on behalf of any Agent; (b) the Agents (i) make no representation or warranty, express or implied, as to the completeness or accuracy of any Report or any of the information contained therein or any inaccuracy or omission contained in or relating to any Report and (ii) shall not be liable for any information contained in any Report; (c) the Reports are not comprehensive audits or examinations, and any Person performing any field examination will inspect only specific information regarding the Loan Parties and will rely significantly upon the Loan Parties’ books and records, as well as on representations of the Loan Parties’ personnel, and that the Agents undertake no obligation to update, correct or supplement the Reports; (d) it will keep all Reports confidential and strictly for its internal use and not share any Report with any other Person except as otherwise permitted pursuant to this Agreement; and (e) without limiting the generality of any other indemnification provision contained in this Agreement, it will pay and protect, and indemnify, defend and hold the Agents, each other Person preparing a Report and the Related Parties of any of the foregoing harmless from and against, the claims, actions, proceedings, damages, costs, expenses and other amounts (including reasonable attorney fees) incurred by any of them as the direct or indirect result of any third parties who obtain all or part of any Report through the indemnifying Lender.</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of the Agents may perform any and all of its duties and exercise its rights and powers by or through any one or more sub-agents appointed by such Agent. Each of the Agents and any such sub-agent may perform any and all of its duties and exercise its rights and powers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an Agent.</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appointment and acceptance of a successor Agent as provided in this paragraph, either Agent may resign at any time by notifying the Lenders, the Issuing Banks and the Company. Upon any such resignation, the Required Lenders (or, in the case of the Collateral Agent, the Required Secured Parties) shall have the right, in consultation with the Company, to appoint a successor. In addition, if either Agent is a Defaulting Lender due to it having had a receiver, conservator, trustee, administrator, assignee for the benefit of creditors or similar Person charged with the reorganization or liquidation of its business or custodian appointed for it, the Required Lenders shall have the right, by notice in writing to the Company and such Agent, to remove such Agent in its capacity as such and, with the consent of the Company (not to be unreasonably withheld and except during the continuance of an Event of Default hereunder, when no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108</w:t>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02235"/>
                <wp:effectExtent l="0" t="0" r="0" b="0"/>
                <wp:wrapNone/>
                <wp:docPr id="320" name="Frame32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consent shall be required), to appoint a successor. If no successor shall have been so appointed by the Required Lenders (or, in the case of the Collateral Agent, the Required Secured Parties) and shall have accepted such appointment within 30 days after the retiring Agent gives notice of its resignation, then the retiring Agent may, on behalf of the Lenders and the Issuing Banks, appoint a successor Agent which shall be a bank with an office in New York, New York, or an Affiliate of any such bank. Upon the acceptance of its appointment as an Agent by a successor, such successor shall succeed to and become vested with all the rights, powers, privileges and duties of the retiring Agent, and the retiring Agent shall be discharged from its duties and obligations under the Loan Documents. The fees payable by the Company to a successor Agent shall be the same as those payable to its predecessor unless otherwise agreed between the Company and such successor. After such Agent’s resignation hereunder, the provisions of this Article and Section 8.03 shall continue in effect for the benefit of such retiring Agent, its sub-agents and their respective Related Parties in respect of any actions taken or omitted to be taken by any of them while it was acting as an Agent.</w:t>
      </w:r>
    </w:p>
    <w:p>
      <w:pPr>
        <w:pStyle w:val="TextBody"/>
        <w:bidi w:val="0"/>
        <w:spacing w:lineRule="auto" w:line="240" w:before="0" w:after="120"/>
        <w:ind w:left="0" w:right="0" w:firstLine="1440"/>
        <w:jc w:val="left"/>
        <w:rPr/>
      </w:pPr>
      <w:r>
        <w:rPr>
          <w:rFonts w:ascii="Times New Roman;sans-serif" w:hAnsi="Times New Roman;sans-serif"/>
          <w:b w:val="false"/>
          <w:color w:val="000000"/>
          <w:sz w:val="24"/>
        </w:rPr>
        <w:t>Each Lender acknowledges that it has, independently and without reliance upon the Agents or any other Lender and any of their Related Parties and based on such documents and information as it has deemed appropriate, made its own credit analysis and decision to enter into this Agreement. Each Lender also acknowledges that it will, independently and without reliance upon the Agents or any other Lender and any of their Related Parties and based on such documents and information as it shall from time to time deem appropriate, continue to make its own decisions in taking or not taking action under or based upon any Loan Document, any related agreement or any document furnished hereunder or thereunder. The Joint Lead Arrangers and Joint Bookrunners, the Co-Syndication Agents and the Co-Documentation Agents (each as identified on the cover page of this Agreement) (each of the foregoing, in its capacity as such, a “</w:t>
      </w:r>
      <w:r>
        <w:rPr>
          <w:rFonts w:ascii="Times New Roman;sans-serif" w:hAnsi="Times New Roman;sans-serif"/>
          <w:b w:val="false"/>
          <w:color w:val="000000"/>
          <w:sz w:val="24"/>
          <w:u w:val="single"/>
        </w:rPr>
        <w:t>Titled Person</w:t>
      </w:r>
      <w:r>
        <w:rPr>
          <w:color w:val="000000"/>
        </w:rPr>
        <w:t>”</w:t>
      </w:r>
      <w:r>
        <w:rPr>
          <w:rFonts w:ascii="Times New Roman;sans-serif" w:hAnsi="Times New Roman;sans-serif"/>
          <w:b w:val="false"/>
          <w:color w:val="000000"/>
          <w:sz w:val="24"/>
        </w:rPr>
        <w:t>), in their capacities as such, shall have no rights, powers, duties, liabilities, fiduciary relationships or obligations under any Loan Document or any of the other documents related hereto.</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of the Lenders hereby (a) agrees to be bound by the provisions of the Collateral Documents, including those terms thereof applicable to the Collateral Agent and the provisions thereof authorizing the Required Secured Parties to approve amendments or modifications thereto or waivers thereof, and to control remedies thereunder, and (b) irrevocably authorizes the Collateral Agent to (i) release any Liens on any Non-ABL Priority Collateral in accordance with an Intercreditor Agreement and (ii) release any Liens on any Collateral in accordance with the Collateral Documents, including any Liens on real property following the delivery of a Real Property Exclusion Notice.</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of the Lenders hereby (a) authorizes and instructs the Collateral Agent to enter into an Intercreditor Agreement if Indebtedness is incurred that is secured by Liens contemplated by clause (b)(ix) or (b)(x) of Section 5.08 and (b) agrees that it will be bound by and will take no actions contrary to the provisions of such Intercreditor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It is understood and agreed by the parties hereto, that as part of its duties and functions, the Collateral Agent shall serve as the hypothecary representative for itself and for all present and future Secured Parties, as contemplated by Article 2692 of the Civil Code of Québec (the “</w:t>
      </w:r>
      <w:r>
        <w:rPr>
          <w:rFonts w:ascii="Times New Roman;sans-serif" w:hAnsi="Times New Roman;sans-serif"/>
          <w:b w:val="false"/>
          <w:color w:val="000000"/>
          <w:sz w:val="24"/>
          <w:u w:val="single"/>
        </w:rPr>
        <w:t>CCQ</w:t>
      </w:r>
      <w:r>
        <w:rPr>
          <w:color w:val="000000"/>
        </w:rPr>
        <w:t>”</w:t>
      </w:r>
      <w:r>
        <w:rPr>
          <w:rFonts w:ascii="Times New Roman;sans-serif" w:hAnsi="Times New Roman;sans-serif"/>
          <w:b w:val="false"/>
          <w:color w:val="000000"/>
          <w:sz w:val="24"/>
        </w:rPr>
        <w:t xml:space="preserve">). For greater certainty, and without limiting the powers of the Collateral Agent, each of the Lenders and the Issuing Banks hereby irrevocably appoints the Collateral Agent as hypothecary representative for all present and future Lenders, Issuing Banks and any other Secured Parties as contemplated under Article 2692 of the CCQ in order to hold the hypothecs granted under any Loan Document pursuant to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109</w:t>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02235"/>
                <wp:effectExtent l="0" t="0" r="0" b="0"/>
                <wp:wrapNone/>
                <wp:docPr id="321" name="Frame32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laws of the Province of Quebec to secure performance of all or part of the Obligations (as defined in each such Loan Document) and to exercise such powers and duties which are conferred upon the hypothecary representative thereunder. The appointment of the Collateral Agent as hypothecary representative shall be deemed to have been ratified and confirmed by each Person that accedes or has acceded to this Agreement as a Lender or Issuing Bank after the date hereof. The Loan Parties hereby acknowledge the appointment of the Collateral Agent as the hypothecary representative of the Secured Parties as contemplated under Article 2692 of the CCQ. In the event of the resignation of the Collateral Agent and appointment of a successor Collateral Agent, such successor Collateral Agent shall also act as hypothecary representative without further act or formality being required to appoint such successor Collateral Agent as the successor hypothecary representative for the purposes of any then existing deeds of hypothec. The execution by the Collateral Agent as the hypothecary representative of the relevant deeds of hypothec or other relevant documentation prior to the date hereof is hereby ratified and confirmed by each Lender and Issuing Bank. In its capacity of hypothecary representative, the Collateral Agent shall (a) have the sole and exclusive right and authority to exercise, except as may be otherwise specifically restricted hereunder, all rights and remedies given to the hypothecary representative pursuant to any hypothec, applicable law or otherwise, (b) benefit from and be subject to all provisions hereof with respect to the Collateral Agent, mutatis mutandis, including, without limitation, all such provisions with respect to the liability or responsibility to and indemnification by the Lenders and the Issuing Banks, and (c) be entitled to delegate from time to time any of its powers or duties under any deed of hypothec or other Loan Document, on such terms and conditions as it may determine from time to time.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1.0b.</w:t>
      </w:r>
      <w:r>
        <w:rPr>
          <w:rFonts w:ascii="Times New Roman;sans-serif" w:hAnsi="Times New Roman;sans-serif"/>
          <w:b w:val="false"/>
          <w:color w:val="000000"/>
          <w:sz w:val="24"/>
          <w:u w:val="single"/>
        </w:rPr>
        <w:t>Certain ERISA Matters.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Each of the Lenders hereby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at least one of the following is and will be true:</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Commitments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110</w:t>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02235"/>
                <wp:effectExtent l="0" t="0" r="0" b="0"/>
                <wp:wrapNone/>
                <wp:docPr id="322" name="Frame32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and this Agreement, (iii) the entrance into, participation in, administration of and performance of the Loans, the Commitments and this 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such other representation, warranty and covenant as may be agreed in writing between the Administrative Agent, in its sole discretion, and such Lender.</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unless either (1) clause (a) in the immediately preceding paragraph is true with respect to a Lender or (2) a Lender has provided another representation, warranty and covenant in accordance with clause (d)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1.0c.</w:t>
      </w:r>
      <w:r>
        <w:rPr>
          <w:rFonts w:ascii="Times New Roman;sans-serif" w:hAnsi="Times New Roman;sans-serif"/>
          <w:b w:val="false"/>
          <w:color w:val="000000"/>
          <w:sz w:val="24"/>
          <w:u w:val="single"/>
        </w:rPr>
        <w:t>Erroneous Payments</w:t>
      </w:r>
      <w:r>
        <w:rPr>
          <w:rFonts w:ascii="Times New Roman;sans-serif" w:hAnsi="Times New Roman;sans-serif"/>
          <w:b w:val="false"/>
          <w:color w:val="000000"/>
          <w:sz w:val="24"/>
        </w:rPr>
        <w:t>. (a) Each Lender (which term shall for the purposes of this and the succeeding paragraphs of this Section 7.03 include the Issuing Banks)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ans-serif" w:hAnsi="Times New Roman;sans-serif"/>
          <w:b w:val="false"/>
          <w:color w:val="000000"/>
          <w:sz w:val="24"/>
          <w:u w:val="single"/>
        </w:rPr>
        <w:t>Payment</w:t>
      </w:r>
      <w:r>
        <w:rPr>
          <w:color w:val="000000"/>
        </w:rPr>
        <w:t>”</w:t>
      </w:r>
      <w:r>
        <w:rPr>
          <w:rFonts w:ascii="Times New Roman;sans-serif" w:hAnsi="Times New Roman;sans-serif"/>
          <w:b w:val="false"/>
          <w:color w:val="000000"/>
          <w:sz w:val="24"/>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7.03 shall be conclusive, absent manifest error.</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(i)Each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ans-serif" w:hAnsi="Times New Roman;sans-serif"/>
          <w:b w:val="false"/>
          <w:color w:val="000000"/>
          <w:sz w:val="24"/>
          <w:u w:val="single"/>
        </w:rPr>
        <w:t>Payment Notice</w:t>
      </w:r>
      <w:r>
        <w:rPr>
          <w:color w:val="000000"/>
        </w:rPr>
        <w:t>”</w:t>
      </w:r>
      <w:r>
        <w:rPr>
          <w:rFonts w:ascii="Times New Roman;sans-serif" w:hAnsi="Times New Roman;sans-serif"/>
          <w:b w:val="false"/>
          <w:color w:val="000000"/>
          <w:sz w:val="24"/>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111</w:t>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02235"/>
                <wp:effectExtent l="0" t="0" r="0" b="0"/>
                <wp:wrapNone/>
                <wp:docPr id="323" name="Frame32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lineRule="auto" w:line="240" w:before="0" w:after="240"/>
        <w:ind w:left="0" w:right="0" w:firstLine="1147"/>
        <w:jc w:val="left"/>
        <w:rPr/>
      </w:pPr>
      <w:r>
        <w:rPr>
          <w:rFonts w:ascii="Times New Roman;sans-serif" w:hAnsi="Times New Roman;sans-serif"/>
          <w:b w:val="false"/>
          <w:color w:val="000000"/>
          <w:sz w:val="24"/>
        </w:rPr>
        <w:t xml:space="preserve">(ii)Each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to the maximum extent permitted by law and (y) an erroneous Payment shall not pay, prepay, repay, discharge or otherwise satisfy any Obligations owed by the Borrower or any other Loan Party;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this clause (c) shall not be interpreted to increase (or accelerate the due date for), or have the effect of increasing (or accelerating the due date for), any Obligations of the Loan Parties in respect of principal and interest hereunder relative to the amount (and/or timing for payment) of the Obligations of the Loan Parties in respect of principal and interest hereunder that would have been payable had such erroneous Payment not been made by the Administrative Agent;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for the avoidance of doubt, this clause (c) shall not apply to the extent any such Payment is, and solely with respect to the amount of such Payment that is, comprised of funds received by the Administrative Agent from any Borrower or any other Loan Party for the purpose of making such Payment, satisfying Obligations or from the proceeds of Collateral.</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(iii)Each party’s obligations under this Section 7.03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lineRule="auto" w:line="240" w:before="0" w:after="240"/>
        <w:jc w:val="center"/>
        <w:rPr/>
      </w:pPr>
      <w:r>
        <w:rPr>
          <w:rFonts w:ascii="Times New Roman;sans-serif" w:hAnsi="Times New Roman;sans-serif"/>
          <w:b w:val="false"/>
          <w:color w:val="000000"/>
          <w:sz w:val="24"/>
        </w:rPr>
        <w:t>ARTICLE 8</w:t>
      </w:r>
      <w:r>
        <w:rPr>
          <w:rFonts w:ascii="Times New Roman;sans-serif" w:hAnsi="Times New Roman;sans-serif"/>
          <w:b w:val="false"/>
          <w:color w:val="000000"/>
          <w:sz w:val="24"/>
        </w:rPr>
        <w:br/>
        <w:br/>
        <w:t>Miscellaneous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1.0a.</w:t>
      </w:r>
      <w:r>
        <w:rPr>
          <w:rFonts w:ascii="Times New Roman;sans-serif" w:hAnsi="Times New Roman;sans-serif"/>
          <w:b w:val="false"/>
          <w:color w:val="000000"/>
          <w:sz w:val="24"/>
          <w:u w:val="single"/>
        </w:rPr>
        <w:t>Notices.</w:t>
      </w:r>
      <w:r>
        <w:rPr>
          <w:color w:val="000000"/>
        </w:rPr>
        <w:t xml:space="preserve"> </w:t>
      </w:r>
      <w:r>
        <w:rPr>
          <w:rFonts w:ascii="Times New Roman;sans-serif" w:hAnsi="Times New Roman;sans-serif"/>
          <w:b w:val="false"/>
          <w:color w:val="000000"/>
          <w:sz w:val="24"/>
        </w:rPr>
        <w:t>Except in the case of notices and other communications expressly permitted to be given by telephone (and subject to the last paragraph of this Section), all notices and other communications provided for herein shall be in writing and shall be delivered by hand or overnight courier service, mailed by certified or registered mail or sent by telecopy, as follows:</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 xml:space="preserve">(i)if to the Borrowers, to the Company at </w:t>
      </w:r>
      <w:r>
        <w:rPr>
          <w:rFonts w:ascii="Times New Roman;sans-serif" w:hAnsi="Times New Roman;sans-serif"/>
          <w:b w:val="false"/>
          <w:strike/>
          <w:color w:val="FF0000"/>
          <w:sz w:val="24"/>
        </w:rPr>
        <w:t>Three</w:t>
      </w:r>
      <w:r>
        <w:rPr>
          <w:rFonts w:ascii="Times New Roman;sans-serif" w:hAnsi="Times New Roman;sans-serif"/>
          <w:b/>
          <w:color w:val="0000FF"/>
          <w:sz w:val="24"/>
          <w:u w:val="single"/>
        </w:rPr>
        <w:t>4</w:t>
      </w:r>
      <w:r>
        <w:rPr>
          <w:color w:val="000000"/>
        </w:rPr>
        <w:t xml:space="preserve"> </w:t>
      </w:r>
      <w:r>
        <w:rPr>
          <w:rFonts w:ascii="Times New Roman;sans-serif" w:hAnsi="Times New Roman;sans-serif"/>
          <w:b w:val="false"/>
          <w:color w:val="000000"/>
          <w:sz w:val="24"/>
        </w:rPr>
        <w:t xml:space="preserve">Limited Parkway, </w:t>
      </w:r>
      <w:r>
        <w:rPr>
          <w:rFonts w:ascii="Times New Roman;sans-serif" w:hAnsi="Times New Roman;sans-serif"/>
          <w:b w:val="false"/>
          <w:strike/>
          <w:color w:val="FF0000"/>
          <w:sz w:val="24"/>
        </w:rPr>
        <w:t>P.O. Box 16000, Columbus, Ohio 43216</w:t>
      </w:r>
      <w:r>
        <w:rPr>
          <w:rFonts w:ascii="Times New Roman;sans-serif" w:hAnsi="Times New Roman;sans-serif"/>
          <w:b/>
          <w:color w:val="0000FF"/>
          <w:sz w:val="24"/>
          <w:u w:val="single"/>
        </w:rPr>
        <w:t>Reynoldsburg, OH 43068</w:t>
      </w:r>
      <w:r>
        <w:rPr>
          <w:rFonts w:ascii="Times New Roman;sans-serif" w:hAnsi="Times New Roman;sans-serif"/>
          <w:b w:val="false"/>
          <w:color w:val="000000"/>
          <w:sz w:val="24"/>
        </w:rPr>
        <w:t xml:space="preserve">, Attention of </w:t>
      </w:r>
      <w:r>
        <w:rPr>
          <w:rFonts w:ascii="Times New Roman;sans-serif" w:hAnsi="Times New Roman;sans-serif"/>
          <w:b w:val="false"/>
          <w:strike/>
          <w:color w:val="FF0000"/>
          <w:sz w:val="24"/>
        </w:rPr>
        <w:t>Treasurer (Telecopy No. </w:t>
      </w:r>
      <w:r>
        <w:rPr>
          <w:rFonts w:ascii="Times New Roman;sans-serif" w:hAnsi="Times New Roman;sans-serif"/>
          <w:b w:val="false"/>
          <w:color w:val="000000"/>
          <w:sz w:val="24"/>
        </w:rPr>
        <w:t>[*****]</w:t>
      </w:r>
      <w:r>
        <w:rPr>
          <w:rFonts w:ascii="Times New Roman;sans-serif" w:hAnsi="Times New Roman;sans-serif"/>
          <w:b w:val="false"/>
          <w:strike/>
          <w:color w:val="FF0000"/>
          <w:sz w:val="24"/>
        </w:rPr>
        <w:t xml:space="preserve">, email: </w:t>
      </w:r>
      <w:r>
        <w:rPr>
          <w:rFonts w:ascii="Times New Roman;sans-serif" w:hAnsi="Times New Roman;sans-serif"/>
          <w:b w:val="false"/>
          <w:color w:val="000000"/>
          <w:sz w:val="24"/>
        </w:rPr>
        <w:t>Treasury</w:t>
      </w:r>
      <w:r>
        <w:rPr>
          <w:color w:val="0000FF"/>
          <w:u w:val="single"/>
        </w:rPr>
        <w:t xml:space="preserve"> </w:t>
      </w:r>
      <w:r>
        <w:rPr>
          <w:rFonts w:ascii="Times New Roman;sans-serif" w:hAnsi="Times New Roman;sans-serif"/>
          <w:b/>
          <w:color w:val="0000FF"/>
          <w:sz w:val="24"/>
          <w:u w:val="single"/>
        </w:rPr>
        <w:t xml:space="preserve">Department (Email: </w:t>
      </w:r>
      <w:r>
        <w:rPr>
          <w:rFonts w:ascii="Times New Roman;sans-serif" w:hAnsi="Times New Roman;sans-serif"/>
          <w:b w:val="false"/>
          <w:color w:val="000000"/>
          <w:sz w:val="24"/>
        </w:rPr>
        <w:t xml:space="preserve">[*****]) with copy to </w:t>
      </w:r>
      <w:r>
        <w:rPr>
          <w:rFonts w:ascii="Times New Roman;sans-serif" w:hAnsi="Times New Roman;sans-serif"/>
          <w:b w:val="false"/>
          <w:strike/>
          <w:color w:val="FF0000"/>
          <w:sz w:val="24"/>
        </w:rPr>
        <w:t xml:space="preserve">General Counsel (Telecopy No. </w:t>
      </w:r>
      <w:r>
        <w:rPr>
          <w:rFonts w:ascii="Times New Roman;sans-serif" w:hAnsi="Times New Roman;sans-serif"/>
          <w:b w:val="false"/>
          <w:color w:val="000000"/>
          <w:sz w:val="24"/>
        </w:rPr>
        <w:t>[*****]</w:t>
      </w:r>
      <w:r>
        <w:rPr>
          <w:rFonts w:ascii="Times New Roman;sans-serif" w:hAnsi="Times New Roman;sans-serif"/>
          <w:b w:val="false"/>
          <w:strike/>
          <w:color w:val="FF0000"/>
          <w:sz w:val="24"/>
        </w:rPr>
        <w:t>, email: generalcounsel</w:t>
      </w:r>
      <w:r>
        <w:rPr>
          <w:rFonts w:ascii="Times New Roman;sans-serif" w:hAnsi="Times New Roman;sans-serif"/>
          <w:b/>
          <w:color w:val="0000FF"/>
          <w:sz w:val="24"/>
          <w:u w:val="single"/>
        </w:rPr>
        <w:t xml:space="preserve">Chief Legal Officer (Email: </w:t>
      </w:r>
      <w:r>
        <w:rPr>
          <w:rFonts w:ascii="Times New Roman;sans-serif" w:hAnsi="Times New Roman;sans-serif"/>
          <w:b w:val="false"/>
          <w:color w:val="000000"/>
          <w:sz w:val="24"/>
        </w:rPr>
        <w:t>[*****]);</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(ii)[reserved;]</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(iii)if to either Agent for any other purpose, to JPMorgan Chase Bank, N.A., Loan and Agency Services Group, Attention of [*****], 500 Stanton Christiana Rd, NCCS, Floor 01, Newark, DE 19713 (Telecopy No. [*****], email: [*****]); and</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112</w:t>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02235"/>
                <wp:effectExtent l="0" t="0" r="0" b="0"/>
                <wp:wrapNone/>
                <wp:docPr id="324" name="Frame32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(iv)if to an Issuing Bank, as applicable, to it at (i) JPMorgan Chase Bank, N.A., Attention of [*****], 500 Stanton Christiana Rd, NCCS, Floor 01, Newark, DE 19713 (Telecopy No. [*****], email: [*****]), (ii) Citibank, N.A., Attention of [*****], 388 Greenwich Street, New York, NY 10013 (Email: [*****]; Telecopy No. [*****]) with a copy to Citibank, N.A., Attention Bank Loans Syndications Department, 1615 Brett Road #3, New Castle, DE 19720 (Email: [*****]; Telecopy No. [*****]), (iii) Bank of America, N.A., Attention of [*****], Standby L/C Department, MC: PA6-580-02-30, One Fleet Way, Scranton, PA 18507-1999 (Telecopy No. [*****])</w:t>
      </w:r>
      <w:r>
        <w:rPr>
          <w:rFonts w:ascii="Times New Roman;sans-serif" w:hAnsi="Times New Roman;sans-serif"/>
          <w:b w:val="false"/>
          <w:strike/>
          <w:color w:val="FF0000"/>
          <w:sz w:val="24"/>
        </w:rPr>
        <w:t>,</w:t>
      </w:r>
      <w:r>
        <w:rPr>
          <w:color w:val="000000"/>
        </w:rPr>
        <w:t xml:space="preserve"> </w:t>
      </w:r>
      <w:r>
        <w:rPr>
          <w:rFonts w:ascii="Times New Roman;sans-serif" w:hAnsi="Times New Roman;sans-serif"/>
          <w:b/>
          <w:color w:val="0000FF"/>
          <w:sz w:val="24"/>
          <w:u w:val="single"/>
        </w:rPr>
        <w:t xml:space="preserve">with a copy to Bank of America, N.A., Attention of </w:t>
      </w:r>
      <w:r>
        <w:rPr>
          <w:rFonts w:ascii="Times New Roman;sans-serif" w:hAnsi="Times New Roman;sans-serif"/>
          <w:b w:val="false"/>
          <w:color w:val="000000"/>
          <w:sz w:val="24"/>
          <w:u w:val="single"/>
        </w:rPr>
        <w:t>[*****]</w:t>
      </w:r>
      <w:r>
        <w:rPr>
          <w:rFonts w:ascii="Times New Roman;sans-serif" w:hAnsi="Times New Roman;sans-serif"/>
          <w:b/>
          <w:color w:val="0000FF"/>
          <w:sz w:val="24"/>
          <w:u w:val="single"/>
        </w:rPr>
        <w:t xml:space="preserve">, MA5-100-04-10, 100 Federal Street, Boston, MA 02110 (Telecopy No. </w:t>
      </w:r>
      <w:r>
        <w:rPr>
          <w:rFonts w:ascii="Times New Roman;sans-serif" w:hAnsi="Times New Roman;sans-serif"/>
          <w:b w:val="false"/>
          <w:color w:val="000000"/>
          <w:sz w:val="24"/>
        </w:rPr>
        <w:t>[*****]</w:t>
      </w:r>
      <w:r>
        <w:rPr>
          <w:rFonts w:ascii="Times New Roman;sans-serif" w:hAnsi="Times New Roman;sans-serif"/>
          <w:b/>
          <w:color w:val="0000FF"/>
          <w:sz w:val="24"/>
          <w:u w:val="single"/>
        </w:rPr>
        <w:t xml:space="preserve">, </w:t>
      </w:r>
      <w:r>
        <w:rPr>
          <w:rFonts w:ascii="Times New Roman;sans-serif" w:hAnsi="Times New Roman;sans-serif"/>
          <w:b w:val="false"/>
          <w:color w:val="000000"/>
          <w:sz w:val="24"/>
        </w:rPr>
        <w:t>[*****]</w:t>
      </w:r>
      <w:r>
        <w:rPr>
          <w:rFonts w:ascii="Times New Roman;sans-serif" w:hAnsi="Times New Roman;sans-serif"/>
          <w:b/>
          <w:color w:val="0000FF"/>
          <w:sz w:val="24"/>
          <w:u w:val="single"/>
        </w:rPr>
        <w:t>),</w:t>
      </w:r>
      <w:r>
        <w:rPr>
          <w:color w:val="000000"/>
        </w:rPr>
        <w:t xml:space="preserve"> </w:t>
      </w:r>
      <w:r>
        <w:rPr>
          <w:rFonts w:ascii="Times New Roman;sans-serif" w:hAnsi="Times New Roman;sans-serif"/>
          <w:b w:val="false"/>
          <w:color w:val="000000"/>
          <w:sz w:val="24"/>
        </w:rPr>
        <w:t>(iv) Wells Fargo Bank, National Association, Attention of [*****], 90 South 7th Street, Minneapolis, MN, 55402 (Telecopy No. [*****]), (v) HSBC Bank USA, N.A., Attention of Head of SBDC Operations- GTRF, 2 Hanson Place, 14th Floor, Brooklyn, NY 11217 (Telecopy No. [*****], [*****]) or (vi) its address (or telecopy number) specified in writing to the Company and the Administrative Agent in accordance with this Section 8.01.</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Any party hereto may change its address or telecopy number for notices and other communications hereunder by notice to the other parties hereto.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the immediately subsequent paragraph below, shall be effective as provided in said paragraph.</w:t>
      </w:r>
    </w:p>
    <w:p>
      <w:pPr>
        <w:pStyle w:val="TextBody"/>
        <w:bidi w:val="0"/>
        <w:spacing w:lineRule="auto" w:line="240" w:before="0" w:after="120"/>
        <w:ind w:left="0" w:right="0" w:firstLine="1440"/>
        <w:jc w:val="left"/>
        <w:rPr/>
      </w:pPr>
      <w:r>
        <w:rPr>
          <w:rFonts w:ascii="Times New Roman;sans-serif" w:hAnsi="Times New Roman;sans-serif"/>
          <w:b w:val="false"/>
          <w:color w:val="000000"/>
          <w:sz w:val="24"/>
        </w:rPr>
        <w:t xml:space="preserve">Notices and other communications to the Lenders hereunder may be delivered or furnished by electronic communications pursuant to procedures approved by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apply to notices pursuant to Article II unless otherwise agreed by the Administrative Agent and the applicable Lender. Either Agent or the Company may, in its discretion, agree to accept notices and other communications to it hereunder by electronic communications pursuant to procedures approved by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provided 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1.0b.</w:t>
      </w:r>
      <w:r>
        <w:rPr>
          <w:rFonts w:ascii="Times New Roman;sans-serif" w:hAnsi="Times New Roman;sans-serif"/>
          <w:b w:val="false"/>
          <w:color w:val="000000"/>
          <w:sz w:val="24"/>
          <w:u w:val="single"/>
        </w:rPr>
        <w:t>Waivers; Amendments.</w:t>
      </w:r>
      <w:r>
        <w:rPr>
          <w:color w:val="000000"/>
        </w:rPr>
        <w:t xml:space="preserve"> </w:t>
      </w:r>
      <w:r>
        <w:rPr>
          <w:rFonts w:ascii="Times New Roman;sans-serif" w:hAnsi="Times New Roman;sans-serif"/>
          <w:b w:val="false"/>
          <w:color w:val="000000"/>
          <w:sz w:val="24"/>
        </w:rPr>
        <w:t xml:space="preserve">(a)  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any Issuing Bank and the Lenders hereunder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113</w:t>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02235"/>
                <wp:effectExtent l="0" t="0" r="0" b="0"/>
                <wp:wrapNone/>
                <wp:docPr id="325" name="Frame32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 xml:space="preserve">(i)Neither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such agreement shall (i) increase the Commitment of any Lender without the written consent of such Lender, (ii) reduce the principal amount of any Loan or LC Disbursement or reduce the rate of interest thereon, or reduce any fees payable by the Borrowers hereunder, without the written consent of each Lender affected thereby, (iii) postpone the scheduled date of payment of the principal amount of any Loan or LC Disbursement, or any interest thereon, or any fees payable by the Borrowers hereunder, or reduce the amount of, waive or excuse any such payment, or postpone the scheduled date of expiration of any Commitment, without the written consent of each Lender affected thereby, (iv) change Section 2.17(b) or (c) in a manner that would alter the pro rata sharing of payments required thereby, without the written consent of each Lender, or (v) change any of the provisions of this Section or the definition of “Required Lenders” or any other provision hereof to reduce the number or percentage of Lenders (or Lenders of any Class) required to waive, amend or modify any rights hereunder or make any determination or grant any consent hereunder, without the written consent of each Lender (or each Lender of such Class, as the case may be);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(i) no such agreement shall amend, modify or otherwise affect the rights or duties of the Administrative Agent or any Issuing Bank hereunder without the prior written consent of the Administrative Agent or any Issuing Bank, as the case may be, and (ii) any waiver, amendment or modification of this Agreement that by its terms affects the rights or duties under this Agreement of the Lenders of any Class (but not the Lenders of other Classes) may be effected by an agreement or agreements in writing entered into by the Company and requisite percentage in interest of the affected Class of Lenders. Notwithstanding the foregoing, any provision of this Agreement may be amended by an agreement in writing entered into by the Borrowers, the Required Lenders and the Administrative Agent (and, if their rights or obligations are affected thereby, any Issuing Bank) if (i) by the terms of such agreement the Commitment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by it and all other amounts owing to it or accrued for its account under this Agreement.</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(ii)Notwithstanding the foregoing, if the Administrative Agent and the Company acting together identify any ambiguity, omission, mistake, typographical error or other defect in any provision of this Agreement or any other Loan Document, then the Administrative Agent and the Company shall be permitted to amend, modify or supplement such provision to cure such ambiguity, omission, mistake, typographical error or other defect, and such amendment shall become effective without any further action by or consent of any other party to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8.02A.    </w:t>
      </w:r>
      <w:r>
        <w:rPr>
          <w:rFonts w:ascii="Times New Roman;sans-serif" w:hAnsi="Times New Roman;sans-serif"/>
          <w:b w:val="false"/>
          <w:color w:val="000000"/>
          <w:sz w:val="24"/>
          <w:u w:val="single"/>
        </w:rPr>
        <w:t>Certain ABL Amendments</w:t>
      </w:r>
      <w:r>
        <w:rPr>
          <w:rFonts w:ascii="Times New Roman;sans-serif" w:hAnsi="Times New Roman;sans-serif"/>
          <w:b w:val="false"/>
          <w:color w:val="000000"/>
          <w:sz w:val="24"/>
        </w:rPr>
        <w:t xml:space="preserve">. (a) Notwithstanding anything herein to the contrary, no agreement or agreements entered into by the Borrowers and the Required Lenders or by the Borrowers and the Administrative Agent with the consent of the Required Lenders shall (i) change any of the provisions of this Section, the definition of “Borrowing Base” or any of the component definitions thereof,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114</w:t>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02235"/>
                <wp:effectExtent l="0" t="0" r="0" b="0"/>
                <wp:wrapNone/>
                <wp:docPr id="326" name="Frame32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or increase any advance rate used in computing the Borrowing Base, or add any new asset class to the Borrowing Base, in each case, in a manner that could result in increased borrowing availability, it being understood that changes in Reserves implemented by the Collateral Agent in its Permitted Discretion in accordance with the terms hereof shall not be subject to the consent of the Supermajority Lenders, (ii) release the Company or all or substantially all the value of the Guarantees provided by the Subsidiary Loan Parties (including, in each case, by limiting liability in respect thereof) under the Collateral Documents (except for any such release by the Collateral Agent in connection with any sale or other disposition of any Subsidiary Loan Party permitted hereunder), it being understood that an amendment or other modification of the types of obligations guaranteed under the Collateral Documents shall not be deemed to be a release or limitation of any Guarantee or (iii) release all or substantially all the Collateral from the Liens created under the Collateral Documents, or subordinate any such Liens (except as expressly provided in Article VII or Section 8.23 and except for any such release by the Collateral Agent in connection with any sale or other disposition of the Collateral upon the exercise of remedies under the Collateral Documents), it being understood that an amendment or other modification of the types of obligations secured by the Collateral Documents shall not be deemed to be a release of the Collateral from the Liens created thereunder, in each case of clauses (i), (ii) and (iii), without the written consent of the Supermajority Lenders.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Notwithstanding anything herein to the contrary, no agreement or agreements entered into by the Borrowers and the Required Lenders or by the Borrowers and the Administrative Agent with the consent of the Required Lenders shall change the definition of “Supermajority Lenders”, without the written consent of each Lender.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1.0c.</w:t>
      </w:r>
      <w:r>
        <w:rPr>
          <w:rFonts w:ascii="Times New Roman;sans-serif" w:hAnsi="Times New Roman;sans-serif"/>
          <w:b w:val="false"/>
          <w:color w:val="000000"/>
          <w:sz w:val="24"/>
          <w:u w:val="single"/>
        </w:rPr>
        <w:t>Expenses; Indemnity; Damage Waiver.</w:t>
      </w:r>
      <w:r>
        <w:rPr>
          <w:color w:val="000000"/>
        </w:rPr>
        <w:t xml:space="preserve"> </w:t>
      </w:r>
      <w:r>
        <w:rPr>
          <w:rFonts w:ascii="Times New Roman;sans-serif" w:hAnsi="Times New Roman;sans-serif"/>
          <w:b w:val="false"/>
          <w:color w:val="000000"/>
          <w:sz w:val="24"/>
        </w:rPr>
        <w:t>(a)  The Company shall pay (i) all reasonable out-of-pocket expenses incurred by the Agents and their respective Affiliates, including the reasonable fees, charges and disbursements of a single counsel for the Agents, as applicable, in connection with the syndication of the credit facilities provided for herein, the preparation and administration of the Loan Documents or any amendments, modifications or waivers of the provisions thereof (whether or not the transactions contemplated hereby or thereby shall be consummated), (ii) all reasonable out-of-pocket expenses incurred by the Agents in connection with field examinations and appraisals conducted in connection with the establishment of the credit facilities provided for herein or provided for in the Loan Documents and/or any internally allocated charges relating to any field examinations or appraisals conducted by either Agent and (iii) if an Event of Default occurs, all reasonable out-of-pocket expenses incurred by either Agent, any Issuing Bank or any Lender, including the fees, charges and disbursements of any counsel for either Agent, any Issuing Bank or any Lender, in connection with the enforcement or protection of its rights in connection with the Loan Documents.</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(i)The Company shall indemnify each Agent, any Issuing Bank and each Lender, and each Related Party of any of the foregoing Persons (each such Person being called an “</w:t>
      </w:r>
      <w:r>
        <w:rPr>
          <w:rFonts w:ascii="Times New Roman;sans-serif" w:hAnsi="Times New Roman;sans-serif"/>
          <w:b w:val="false"/>
          <w:color w:val="000000"/>
          <w:sz w:val="24"/>
          <w:u w:val="single"/>
        </w:rPr>
        <w:t>Indemnitee</w:t>
      </w:r>
      <w:r>
        <w:rPr>
          <w:color w:val="000000"/>
        </w:rPr>
        <w:t>”</w:t>
      </w:r>
      <w:r>
        <w:rPr>
          <w:rFonts w:ascii="Times New Roman;sans-serif" w:hAnsi="Times New Roman;sans-serif"/>
          <w:b w:val="false"/>
          <w:color w:val="000000"/>
          <w:sz w:val="24"/>
        </w:rPr>
        <w:t xml:space="preserve">) against, and hold each Indemnitee harmless from, any and all Liabilities and related expenses, including the reasonable fees, charges and disbursements of any counsel for any Indemnitee in connection with any investigative, administrative or judicial proceeding, whether or not such Indemnitee shall be designated a party thereto, which may be incurred by any Indemnitee, relating to or arising out of any actual or proposed use of proceeds of Loans hereunder for the purpose of acquiring equity securities of any Person or any exercise of remedies under the Loan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Indemnitee shall have the right to be indemnified hereunder (i) with respect to the acquisition of equity securities of a wholly-owned Subsidiary, or of a Person who prior to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115</w:t>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02235"/>
                <wp:effectExtent l="0" t="0" r="0" b="0"/>
                <wp:wrapNone/>
                <wp:docPr id="327" name="Frame32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such acquisition did not conduct any business or (ii) for its own gross negligence or willful misconduct determined by a final non appealable decision of a court of competent jurisdiction. This Section 8.03(b) shall not apply with respect to Taxes other than any Taxes that represent losses, claims, damages, etc. arising from any non-Tax claim.</w:t>
      </w:r>
    </w:p>
    <w:p>
      <w:pPr>
        <w:pStyle w:val="TextBody"/>
        <w:bidi w:val="0"/>
        <w:spacing w:lineRule="auto" w:line="240" w:before="0" w:after="240"/>
        <w:ind w:left="0" w:right="0" w:firstLine="1147"/>
        <w:jc w:val="left"/>
        <w:rPr/>
      </w:pPr>
      <w:r>
        <w:rPr>
          <w:rFonts w:ascii="Times New Roman;sans-serif" w:hAnsi="Times New Roman;sans-serif"/>
          <w:b w:val="false"/>
          <w:color w:val="000000"/>
          <w:sz w:val="24"/>
        </w:rPr>
        <w:t xml:space="preserve">(ii)To the extent that the Company fails to pay any amount required to be paid by it to either Agent or any Issuing Bank under paragraph (a) or (b) of this Section, (i) each Lender, in the case of this Agreement, severally agrees to pay to the Administrative Agent or Issuing Bank, as the case may be, such Lender’s ratable share (determined in accordance with such Lender’s share of the Aggregate Commitments or, if the Commitments have terminated, the Aggregate Credit Exposure, in each case as of the time that the applicable unreimbursed expense or indemnity payment is sought) of such unpaid amount and (ii) each Secured Party, in the case of the Collateral Agreements, severally agrees to pay to the Collateral Agent such Secured Party’s ratable share (determined in accordance with such Secured Party’s share of the Obligations) of such unpaid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unreimbursed expense or indemnified loss, claim, damage, liability or related expense, as the case may be, was incurred by or asserted against such Agent or Issuing Bank in its capacity as such.</w:t>
      </w:r>
    </w:p>
    <w:p>
      <w:pPr>
        <w:pStyle w:val="TextBody"/>
        <w:bidi w:val="0"/>
        <w:spacing w:lineRule="auto" w:line="240" w:before="0" w:after="240"/>
        <w:ind w:left="0" w:right="0" w:firstLine="1081"/>
        <w:jc w:val="left"/>
        <w:rPr/>
      </w:pPr>
      <w:r>
        <w:rPr>
          <w:rFonts w:ascii="Times New Roman;sans-serif" w:hAnsi="Times New Roman;sans-serif"/>
          <w:b w:val="false"/>
          <w:color w:val="000000"/>
          <w:sz w:val="24"/>
        </w:rPr>
        <w:t>(iii)To the extent permitted by applicable law, (i) no Loan Party shall assert, and each Loan Party hereby waives, any claim against any Agent, any Joint Lead Arranger, any Issuing Bank, any Lender, and any Related Party of any of the foregoing Persons (each such Person being called a “</w:t>
      </w:r>
      <w:r>
        <w:rPr>
          <w:rFonts w:ascii="Times New Roman;sans-serif" w:hAnsi="Times New Roman;sans-serif"/>
          <w:b w:val="false"/>
          <w:color w:val="000000"/>
          <w:sz w:val="24"/>
          <w:u w:val="single"/>
        </w:rPr>
        <w:t>Lender-Related Person</w:t>
      </w:r>
      <w:r>
        <w:rPr>
          <w:color w:val="000000"/>
        </w:rPr>
        <w:t>”</w:t>
      </w:r>
      <w:r>
        <w:rPr>
          <w:rFonts w:ascii="Times New Roman;sans-serif" w:hAnsi="Times New Roman;sans-serif"/>
          <w:b w:val="false"/>
          <w:color w:val="000000"/>
          <w:sz w:val="24"/>
        </w:rPr>
        <w:t xml:space="preserve">) for any Liabilities arising from the use by others of information or other materials (including, without limitation, any personal data) obtained through telecommunications, electronic or other information transmission systems (including the Internet);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such waiver shall not apply to any claims against a Lender-Related Person attributable to the gross negligence or willful misconduct of such Lender-Related Person and (ii) no Loan Party shall assert, and each Loan Party hereby waives, any claim against any Lender-Related Person, on any theory of liability, for special, indirect, consequential or punitive damages (as opposed to direct or actual damages) arising out of, in connection with, or as a result of, the Loan Documents or any agreement or instrument contemplated hereby, the Transactions, any Loan or Letter of Credit or the use of the proceeds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the waiver set forth in this clause (ii) shall not apply to special, indirect or consequential damages (but shall apply to punitive damages) attributable to the failure of a Lender to fund Loans, when required to do so hereunder, promptly after the receipt of notice of such failure and (B) nothing in this Section 8.03(d) shall relieve any Loan Party of any obligation it may have to indemnify an Indemnitee, as provided in Section 8.03(b), against any special, indirect, consequential or punitive damages asserted against such Indemnitee by a third party.</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(iv)All amounts due under this Section shall be payable promptly after written demand therefor.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1.0d.</w:t>
      </w:r>
      <w:r>
        <w:rPr>
          <w:rFonts w:ascii="Times New Roman;sans-serif" w:hAnsi="Times New Roman;sans-serif"/>
          <w:b w:val="false"/>
          <w:color w:val="000000"/>
          <w:sz w:val="24"/>
          <w:u w:val="single"/>
        </w:rPr>
        <w:t>Successors and Assigns.</w:t>
      </w:r>
      <w:r>
        <w:rPr>
          <w:color w:val="000000"/>
        </w:rPr>
        <w:t xml:space="preserve"> </w:t>
      </w:r>
      <w:r>
        <w:rPr>
          <w:rFonts w:ascii="Times New Roman;sans-serif" w:hAnsi="Times New Roman;sans-serif"/>
          <w:b w:val="false"/>
          <w:color w:val="000000"/>
          <w:sz w:val="24"/>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other than pursuant to a merger permitted under Section 5.12,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116</w:t>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02235"/>
                <wp:effectExtent l="0" t="0" r="0" b="0"/>
                <wp:wrapNone/>
                <wp:docPr id="328" name="Frame32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Agents, any Issuing Bank and the Lenders) any legal or equitable right, remedy or claim under or by reason of this Agreement.</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(i)(i) Subject to the conditions set forth in paragraph (b)(ii)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(1)the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consent of the Company shall be required for an assignment to a Lender, an Affiliate of a Lender, an Approved Fund or, if an Event of Default has occurred and is continuing, any other assignee;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Company shall be deemed to have consented to any such assignment unless it shall object thereto by written notice to the Administrative Agent within ten (10) Business Days after having received notice thereof;</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(2)the Administrative Agent;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(3)in the case of any assignment of all or a portion of the Commitments of any Class under which Letters of Credit may be issued hereunder, each Issuing Bank of such Class.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(1)Assignments shall be subject to the following additional conditions: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(1)except in the case of an assignment to a Lender or an Affiliate of a Lender or an assignment of the entire remaining amount of the assigning Lender’s Commitment or Loans of any Class, the amount of the Commitment or Loans of any Class of the assigning Lender subject to each such assignment (determined as of the date the Assignment and Assumption with respect to such assignment is delivered to the Administrative Agent) shall not be less than $10,000,000 unless each of the Company and the Administrative Agent otherwise consents;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consent of the Company shall be required if an Event of Default has occurred and is continuing;</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(2)each partial assignment shall be made as an assignment of a proportionate part of all the assigning Lender’s rights and obligations under this Agreement as such rights and obligations relate to the Class of Loans or Commitments being assigned;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(3)the parties to each assignment shall execute and deliver to the Administrative Agent an Assignment and Assumption, together with a processing and recordation fee of $3,500;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(4)the assignee, if it shall not be a Lender, shall deliver to the Administrative Agent an Administrative Questionnaire;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(5)no assignment shall be made to the Company or any of its Affiliates.</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117</w:t>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02235"/>
                <wp:effectExtent l="0" t="0" r="0" b="0"/>
                <wp:wrapNone/>
                <wp:docPr id="329" name="Frame32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2.21 and 8.03). Any assignment or transfer by a Lender of rights or obligations under this Agreement that does not comply with this Section 8.04 shall be treated for purposes of this Agreement as a sale by such Lender of a participation in such rights and obligations in accordance with paragraph (c) of this Section.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(3)The Administrative Agent, acting for this purpose as an agent of the Company,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The entries in the Register shall be conclusive, in the absence of manifest error, and the Borrowers, the Administrative Agent, any Issuing Bank and the Lenders may treat each Person whose name is recorded in the Register pursuant to the terms hereof as a Lender hereunder for all purposes of this Agreement, notwithstanding notice to the contrary. The Register shall be available for inspection by the Borrowers, any Issuing Bank and any Lender, at any reasonable time and from time to time upon reasonable prior notice.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lineRule="auto" w:line="240" w:before="0" w:after="240"/>
        <w:ind w:left="0" w:right="0" w:firstLine="1147"/>
        <w:jc w:val="left"/>
        <w:rPr/>
      </w:pPr>
      <w:r>
        <w:rPr>
          <w:rFonts w:ascii="Times New Roman;sans-serif" w:hAnsi="Times New Roman;sans-serif"/>
          <w:b w:val="false"/>
          <w:color w:val="000000"/>
          <w:sz w:val="24"/>
        </w:rPr>
        <w:t>(ii)(i) Any Lender may, without the consent of the Borrowers, the Administrative Agent or any Issuing Bank, sell participations to one or more banks or other entities (a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xml:space="preserve">) in all or a portion of such Lender’s rights and obligations under this Agreement (including all or a portion of its Commitment and the Loans owing to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such Lender’s obligations under this Agreement shall remain unchanged, (B) such Lender shall remain solely responsible to the other parties hereto for the performance of such obligations and (C) the Borrowers, the Administrative Agent, any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agreement or instrument may provide that such Lender will not, without the consent of the Participant, agree to any amendment,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118</w:t>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02235"/>
                <wp:effectExtent l="0" t="0" r="0" b="0"/>
                <wp:wrapNone/>
                <wp:docPr id="330" name="Frame33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modification or waiver described in clause (i), (ii), (iii) or (iv) of the first proviso to Section 8.02(b) that affects such Participant. Subject to paragraph (c)(ii) of this Section, the Borrowers agree that each Participant shall be entitled to the benefits of Sections 2.14, 2.15, 2.16 (subject to the requirements and limitations therein) and 2.21 to the same extent as if it were a Lender and had acquired its interest by assignment pursuant to paragraph (b) of this Section. To the extent permitted by law, each Participant also shall be entitled to the benefits of Section 8.08 as though it were a Lender, provided such Participant agrees to be subject to Section 2.17(c) as though it were a Lender.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(1)A Participant shall not be entitled to receive any greater payment under Section 2.14, 2.16 or 2.21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Section 2.16 unless the Company is notified of the participation sold to such Participant and such Participant agrees, for the benefit of the Borrowers, to comply with Section 2.16(e) as though it were a Lender.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4"/>
          <w:u w:val="single"/>
        </w:rPr>
        <w:t>Participant Register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1081"/>
        <w:jc w:val="left"/>
        <w:rPr/>
      </w:pPr>
      <w:r>
        <w:rPr>
          <w:rFonts w:ascii="Times New Roman;sans-serif" w:hAnsi="Times New Roman;sans-serif"/>
          <w:b w:val="false"/>
          <w:color w:val="000000"/>
          <w:sz w:val="24"/>
        </w:rPr>
        <w:t xml:space="preserve">(iii)Any Lender may at any time pledge or assign a security interest in all or any portion of its rights under this Agreement to secure obligations of such Lender, including any pledge or assignment to secure obligations to a Federal Reserve Bank or other central banking authority, and this Section shall not apply to any such pledge or assignment of a security interest;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1.0e.</w:t>
      </w:r>
      <w:r>
        <w:rPr>
          <w:rFonts w:ascii="Times New Roman;sans-serif" w:hAnsi="Times New Roman;sans-serif"/>
          <w:b w:val="false"/>
          <w:color w:val="000000"/>
          <w:sz w:val="24"/>
          <w:u w:val="single"/>
        </w:rPr>
        <w:t>Survival.</w:t>
      </w:r>
      <w:r>
        <w:rPr>
          <w:color w:val="000000"/>
        </w:rPr>
        <w:t xml:space="preserve"> </w:t>
      </w:r>
      <w:r>
        <w:rPr>
          <w:rFonts w:ascii="Times New Roman;sans-serif" w:hAnsi="Times New Roman;sans-serif"/>
          <w:b w:val="false"/>
          <w:color w:val="000000"/>
          <w:sz w:val="24"/>
        </w:rPr>
        <w:t xml:space="preserve">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119</w:t>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02235"/>
                <wp:effectExtent l="0" t="0" r="0" b="0"/>
                <wp:wrapNone/>
                <wp:docPr id="331" name="Frame33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2.14, 2.15, 2.16, 2.21 and 8.03 and Article VII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1.0f.</w:t>
      </w:r>
      <w:r>
        <w:rPr>
          <w:rFonts w:ascii="Times New Roman;sans-serif" w:hAnsi="Times New Roman;sans-serif"/>
          <w:b w:val="false"/>
          <w:color w:val="000000"/>
          <w:sz w:val="24"/>
          <w:u w:val="single"/>
        </w:rPr>
        <w:t>Counterparts; Integration; Effectiveness; Electronic Execution.</w:t>
      </w:r>
      <w:r>
        <w:rPr>
          <w:color w:val="000000"/>
        </w:rPr>
        <w:t xml:space="preserve"> </w:t>
      </w:r>
      <w:r>
        <w:rPr>
          <w:rFonts w:ascii="Times New Roman;sans-serif" w:hAnsi="Times New Roman;sans-serif"/>
          <w:b w:val="false"/>
          <w:color w:val="000000"/>
          <w:sz w:val="24"/>
        </w:rPr>
        <w:t>(a)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and the initial Lenders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 xml:space="preserve">(i)Delivery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or any other Loan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or the </w:t>
      </w:r>
      <w:r>
        <w:rPr>
          <w:rFonts w:ascii="Times New Roman;sans-serif" w:hAnsi="Times New Roman;sans-serif"/>
          <w:b w:val="false"/>
          <w:i/>
          <w:color w:val="000000"/>
          <w:sz w:val="24"/>
        </w:rPr>
        <w:t>Electronic Commerce Act</w:t>
      </w:r>
      <w:r>
        <w:rPr>
          <w:color w:val="000000"/>
        </w:rPr>
        <w:t xml:space="preserve"> </w:t>
      </w:r>
      <w:r>
        <w:rPr>
          <w:rFonts w:ascii="Times New Roman;sans-serif" w:hAnsi="Times New Roman;sans-serif"/>
          <w:b w:val="false"/>
          <w:color w:val="000000"/>
          <w:sz w:val="24"/>
        </w:rPr>
        <w:t xml:space="preserve">(Ontario) or other similar provincial legislation;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herein shall require any Agent to accept electronic signatures in any form or format without its prior written consent. Without limiting the generality of the foregoing, the Company hereby (i) agrees that, for all purposes, including without limitation, in connection with any workout, restructuring, enforcement of remedies, bankruptcy proceedings or litigation among the Agents, the Lenders and the Loan Parties, electronic images of this Agreement or any other Loan Documents (in each case, including with respect to any signature pages thereto) shall have the same legal effect, validity and enforceability as any paper original, and (ii) waives any argument, defense or right to contest the validity or enforceability of the Loan Documents based solely on the lack of paper original copies of any Loan Documents, including with respect to any signature pages thereto.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1.0g.</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rPr>
        <w:t xml:space="preserve">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120</w:t>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02235"/>
                <wp:effectExtent l="0" t="0" r="0" b="0"/>
                <wp:wrapNone/>
                <wp:docPr id="332" name="Frame33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invalidity of a particular provision in a particular jurisdiction shall not invalidate such provision in any other jurisdiction.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1.0h.</w:t>
      </w:r>
      <w:r>
        <w:rPr>
          <w:rFonts w:ascii="Times New Roman;sans-serif" w:hAnsi="Times New Roman;sans-serif"/>
          <w:b w:val="false"/>
          <w:color w:val="000000"/>
          <w:sz w:val="24"/>
          <w:u w:val="single"/>
        </w:rPr>
        <w:t>Right of Setoff.</w:t>
      </w:r>
      <w:r>
        <w:rPr>
          <w:color w:val="000000"/>
        </w:rPr>
        <w:t xml:space="preserve"> </w:t>
      </w:r>
      <w:r>
        <w:rPr>
          <w:rFonts w:ascii="Times New Roman;sans-serif" w:hAnsi="Times New Roman;sans-serif"/>
          <w:b w:val="false"/>
          <w:color w:val="000000"/>
          <w:sz w:val="24"/>
        </w:rPr>
        <w:t>If any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Borrower against any and all the obligations then due of such Borrower now or hereafter existing under this Agreement held by such Lender. The rights of each Lender under this Section are in addition to other rights and remedies (including other rights of setoff) which such Lender may have.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1.0i.</w:t>
      </w:r>
      <w:r>
        <w:rPr>
          <w:rFonts w:ascii="Times New Roman;sans-serif" w:hAnsi="Times New Roman;sans-serif"/>
          <w:b w:val="false"/>
          <w:color w:val="000000"/>
          <w:sz w:val="24"/>
          <w:u w:val="single"/>
        </w:rPr>
        <w:t>Governing Law; Jurisdiction; Consent to Service of Process.</w:t>
      </w:r>
      <w:r>
        <w:rPr>
          <w:color w:val="000000"/>
        </w:rPr>
        <w:t xml:space="preserve"> </w:t>
      </w:r>
      <w:r>
        <w:rPr>
          <w:rFonts w:ascii="Times New Roman;sans-serif" w:hAnsi="Times New Roman;sans-serif"/>
          <w:b w:val="false"/>
          <w:color w:val="000000"/>
          <w:sz w:val="24"/>
        </w:rPr>
        <w:t>(a) This Agreement and any Letters of Credit issued hereunder shall be construed in accordance with and governed by the law of the State of New York.</w:t>
      </w:r>
    </w:p>
    <w:p>
      <w:pPr>
        <w:pStyle w:val="TextBody"/>
        <w:bidi w:val="0"/>
        <w:spacing w:lineRule="auto" w:line="240" w:before="0" w:after="240"/>
        <w:ind w:left="0" w:right="0" w:firstLine="1214"/>
        <w:jc w:val="left"/>
        <w:rPr>
          <w:rFonts w:ascii="Times New Roman;sans-serif" w:hAnsi="Times New Roman;sans-serif"/>
          <w:b w:val="false"/>
          <w:color w:val="000000"/>
          <w:sz w:val="24"/>
        </w:rPr>
      </w:pPr>
      <w:r>
        <w:rPr>
          <w:rFonts w:ascii="Times New Roman;sans-serif" w:hAnsi="Times New Roman;sans-serif"/>
          <w:b w:val="false"/>
          <w:color w:val="000000"/>
          <w:sz w:val="24"/>
        </w:rPr>
        <w:t>(i)Each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suit, action, proceeding, claim or counterclaim arising out of or relating to any Loan Document, or for recognition or enforcement of any judgment, and each of the parties hereto hereby irrevocably and unconditionally agrees, to the fullest extent permitted under applicable law, that all claims in respect of any such suit, action, proceeding, claim or counterclaim may be heard and determined in such New York State or Federal court. Each of the parties hereto agrees that a final judgment in any such suit, action, proceeding, claim or counterclaim shall be conclusive and may be enforced in other jurisdictions by suit on the judgment or in any other manner provided by law. Nothing in any Loan Document shall affect any right that either Agent, any Issuing Bank or any Lender may otherwise have to bring any suit, action, proceeding, claim or counterclaim relating to any Loan Document against any Borrower or its properties in the courts of any jurisdiction.</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(ii)Each Borrower hereby irrevocably and unconditionally waives, to the fullest extent it may legally and effectively do so, any objection which it may now or hereafter have to the laying of venue of any suit, action, proceeding, claim or counterclaim arising out of or relating to any Loan Document in any court referred to in paragraph (b) of this Section. Each of the parties hereto hereby irrevocably waives, to the fullest extent permitted by law, the defense of an inconvenient forum to the maintenance of such suit, action, proceeding, claim or counterclaim in any such court.</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(iii)Each party to this Agreement irrevocably consents to service of process in the manner provided for notices in Section 8.01. Nothing in any Loan Document will affect the right of any party to this Agreement to serve process in any other manner permitted by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1.j.</w:t>
      </w:r>
      <w:r>
        <w:rPr>
          <w:rFonts w:ascii="Times New Roman;sans-serif" w:hAnsi="Times New Roman;sans-serif"/>
          <w:b w:val="false"/>
          <w:color w:val="000000"/>
          <w:sz w:val="24"/>
          <w:u w:val="single"/>
        </w:rPr>
        <w:t>WAIVER OF JURY TRIAL.</w:t>
      </w:r>
      <w:r>
        <w:rPr>
          <w:color w:val="000000"/>
        </w:rPr>
        <w:t xml:space="preserve"> </w:t>
      </w:r>
      <w:r>
        <w:rPr>
          <w:rFonts w:ascii="Times New Roman;sans-serif" w:hAnsi="Times New Roman;sans-serif"/>
          <w:b w:val="false"/>
          <w:color w:val="000000"/>
          <w:sz w:val="24"/>
        </w:rPr>
        <w:t xml:space="preserve">EACH PARTY HERETO HEREBY WAIVES, TO THE FULLEST EXTENT PERMITTED BY APPLICABLE LAW, ANY RIGHT IT MAY HAVE TO A TRIAL BY JURY IN ANY SUIT, ACTION, PROCEEDING, CLAIM OR COUNTERCLAIM DIRECTLY OR INDIRECTLY ARISING OUT OF OR RELATING TO ANY LOAN DOCUMENT OR THE TRANSACTIONS CONTEMPLATED THEREBY (WHETHER BASED ON CONTRACT, TORT OR ANY OTHER THEORY). EACH PARTY HERETO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121</w:t>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02235"/>
                <wp:effectExtent l="0" t="0" r="0" b="0"/>
                <wp:wrapNone/>
                <wp:docPr id="333" name="Frame33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1.k.</w:t>
      </w:r>
      <w:r>
        <w:rPr>
          <w:rFonts w:ascii="Times New Roman;sans-serif" w:hAnsi="Times New Roman;sans-serif"/>
          <w:b w:val="false"/>
          <w:color w:val="000000"/>
          <w:sz w:val="24"/>
          <w:u w:val="single"/>
        </w:rPr>
        <w:t>Headings.</w:t>
      </w:r>
      <w:r>
        <w:rPr>
          <w:color w:val="000000"/>
        </w:rPr>
        <w:t xml:space="preserve"> </w:t>
      </w:r>
      <w:r>
        <w:rPr>
          <w:rFonts w:ascii="Times New Roman;sans-serif" w:hAnsi="Times New Roman;sans-serif"/>
          <w:b w:val="false"/>
          <w:color w:val="000000"/>
          <w:sz w:val="24"/>
        </w:rPr>
        <w:t>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1.l.</w:t>
      </w:r>
      <w:r>
        <w:rPr>
          <w:rFonts w:ascii="Times New Roman;sans-serif" w:hAnsi="Times New Roman;sans-serif"/>
          <w:b w:val="false"/>
          <w:color w:val="000000"/>
          <w:sz w:val="24"/>
          <w:u w:val="single"/>
        </w:rPr>
        <w:t>Confidentiality.</w:t>
      </w:r>
      <w:r>
        <w:rPr>
          <w:color w:val="000000"/>
        </w:rPr>
        <w:t xml:space="preserve"> </w:t>
      </w:r>
      <w:r>
        <w:rPr>
          <w:rFonts w:ascii="Times New Roman;sans-serif" w:hAnsi="Times New Roman;sans-serif"/>
          <w:b w:val="false"/>
          <w:color w:val="000000"/>
          <w:sz w:val="24"/>
        </w:rPr>
        <w:t>Each of the Agents, any Issuing Bank and the Lenders agrees to maintain the confidentiality of the Information (as defined below), except that Information may be disclosed (a) to its and its Affiliates’ directors, officers, employees and agents, including accountants, legal counsel, insurers, insurance brokers, service providers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or to any rating agency in connection with rating any Loan Party in connection with this Agreement or the Loans, (e) in connection with the exercise of any remedies under any Loan Document or any suit, action or proceeding relating to any Loan Document or the enforcement of rights thereunder, (f) subject to an agreement containing provisions substantially the same as those of this Section, to any assignee of or Participant in, or any prospective assignee of or Participant in, any of its rights or obligations under this Agreement (or any of its agents or professional advisors), (g) on a confidential basis to the CUSIP Service Bureau or any similar agency in connection with the issuance and monitoring of CUSIP numbers with respect to the credit facilities provided for herein, (h) in the case of information with respect to this Agreement that is of the type routinely provided by arrangers to such providers, to data service providers, including league table providers, that serve the lending industry, (i) with the consent of the Company or (j) to the extent such Information (i) becomes publicly available other than as a result of a breach of this Section or (ii) becomes available to either Agent, any Issuing Bank or any Lender on a nonconfidential basis from a source other than the Company or the Subsidiaries. For the purposes of this Section, “</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means all information received from the Company or any Subsidiary relating to the Company, the Company’s business, a Subsidiary or a Subsidiary’s business, other than any such information that is available to either Agent, any Issuing Bank or any Lender on a nonconfidential basis prior to disclosure by the Company or the Subsidiaries.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1.m.</w:t>
      </w:r>
      <w:r>
        <w:rPr>
          <w:rFonts w:ascii="Times New Roman;sans-serif" w:hAnsi="Times New Roman;sans-serif"/>
          <w:b w:val="false"/>
          <w:color w:val="000000"/>
          <w:sz w:val="24"/>
          <w:u w:val="single"/>
        </w:rPr>
        <w:t>Interest Rate Limitation.</w:t>
      </w:r>
      <w:r>
        <w:rPr>
          <w:color w:val="000000"/>
        </w:rPr>
        <w:t xml:space="preserve"> </w:t>
      </w:r>
      <w:r>
        <w:rPr>
          <w:rFonts w:ascii="Times New Roman;sans-serif" w:hAnsi="Times New Roman;sans-serif"/>
          <w:b w:val="false"/>
          <w:color w:val="000000"/>
          <w:sz w:val="24"/>
        </w:rPr>
        <w:t>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val="false"/>
          <w:color w:val="000000"/>
          <w:sz w:val="24"/>
          <w:u w:val="single"/>
        </w:rPr>
        <w:t>Charges</w:t>
      </w:r>
      <w:r>
        <w:rPr>
          <w:color w:val="000000"/>
        </w:rPr>
        <w:t>”</w:t>
      </w:r>
      <w:r>
        <w:rPr>
          <w:rFonts w:ascii="Times New Roman;sans-serif" w:hAnsi="Times New Roman;sans-serif"/>
          <w:b w:val="false"/>
          <w:color w:val="000000"/>
          <w:sz w:val="24"/>
        </w:rPr>
        <w:t>), shall exceed the maximum lawful rate (the “</w:t>
      </w:r>
      <w:r>
        <w:rPr>
          <w:rFonts w:ascii="Times New Roman;sans-serif" w:hAnsi="Times New Roman;sans-serif"/>
          <w:b w:val="false"/>
          <w:color w:val="000000"/>
          <w:sz w:val="24"/>
          <w:u w:val="single"/>
        </w:rPr>
        <w:t>Maximum Rate</w:t>
      </w:r>
      <w:r>
        <w:rPr>
          <w:color w:val="000000"/>
        </w:rPr>
        <w:t>”</w:t>
      </w:r>
      <w:r>
        <w:rPr>
          <w:rFonts w:ascii="Times New Roman;sans-serif" w:hAnsi="Times New Roman;sans-serif"/>
          <w:b w:val="false"/>
          <w:color w:val="000000"/>
          <w:sz w:val="24"/>
        </w:rPr>
        <w:t xml:space="preserve">) which may be contracted for, charged, taken, received or reserved by the Lender holding such Loan in accordance with applicable law, the rate of interest payable in respect of such Loan hereunder, together with all Charges payable in respect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122</w:t>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02235"/>
                <wp:effectExtent l="0" t="0" r="0" b="0"/>
                <wp:wrapNone/>
                <wp:docPr id="334" name="Frame33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1.n.</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Each of the Lenders represents to the Agents and each of the other Lenders that it in good faith is not relying upon any “</w:t>
      </w:r>
      <w:r>
        <w:rPr>
          <w:rFonts w:ascii="Times New Roman;sans-serif" w:hAnsi="Times New Roman;sans-serif"/>
          <w:b w:val="false"/>
          <w:color w:val="000000"/>
          <w:sz w:val="24"/>
          <w:u w:val="single"/>
        </w:rPr>
        <w:t>margin stock</w:t>
      </w:r>
      <w:r>
        <w:rPr>
          <w:color w:val="000000"/>
        </w:rPr>
        <w:t xml:space="preserve">” </w:t>
      </w:r>
      <w:r>
        <w:rPr>
          <w:rFonts w:ascii="Times New Roman;sans-serif" w:hAnsi="Times New Roman;sans-serif"/>
          <w:b w:val="false"/>
          <w:color w:val="000000"/>
          <w:sz w:val="24"/>
        </w:rPr>
        <w:t>(as defined in Regulation U of the Board) as collateral in the extension or maintenance of the credit provided for in this Agreement. In addition, no Borrower will use or permit any proceeds of the Loans to be used in any manner which would violate or cause any Lender to be in violation of Regulation U of the Board.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1.o.</w:t>
      </w:r>
      <w:r>
        <w:rPr>
          <w:rFonts w:ascii="Times New Roman;sans-serif" w:hAnsi="Times New Roman;sans-serif"/>
          <w:b w:val="false"/>
          <w:color w:val="000000"/>
          <w:sz w:val="24"/>
          <w:u w:val="single"/>
        </w:rPr>
        <w:t>USA Patriot Act and Beneficial Ownership Regulation.</w:t>
      </w:r>
      <w:r>
        <w:rPr>
          <w:color w:val="000000"/>
        </w:rPr>
        <w:t xml:space="preserve"> </w:t>
      </w:r>
      <w:r>
        <w:rPr>
          <w:rFonts w:ascii="Times New Roman;sans-serif" w:hAnsi="Times New Roman;sans-serif"/>
          <w:b w:val="false"/>
          <w:color w:val="000000"/>
          <w:sz w:val="24"/>
        </w:rPr>
        <w:t>Each Lender hereby notifies the Borrowers that pursuant to the requirements of the USA Patriot Act (Title III of Pub. L. 107-56 (signed into law October 26, 2001)) (the “</w:t>
      </w:r>
      <w:r>
        <w:rPr>
          <w:rFonts w:ascii="Times New Roman;sans-serif" w:hAnsi="Times New Roman;sans-serif"/>
          <w:b w:val="false"/>
          <w:color w:val="000000"/>
          <w:sz w:val="24"/>
          <w:u w:val="single"/>
        </w:rPr>
        <w:t>Patriot Act</w:t>
      </w:r>
      <w:r>
        <w:rPr>
          <w:color w:val="000000"/>
        </w:rPr>
        <w:t>”</w:t>
      </w:r>
      <w:r>
        <w:rPr>
          <w:rFonts w:ascii="Times New Roman;sans-serif" w:hAnsi="Times New Roman;sans-serif"/>
          <w:b w:val="false"/>
          <w:color w:val="000000"/>
          <w:sz w:val="24"/>
        </w:rPr>
        <w:t>) and/or the Beneficial Ownership Regulation, it is required to obtain, verify and record information that identifies each Borrower, which information includes the name and address of each Borrower and other information that will allow such Lender to identify each Borrower in accordance with the Patriot Act and the Beneficial Ownership Regulation.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1.p.</w:t>
      </w:r>
      <w:r>
        <w:rPr>
          <w:rFonts w:ascii="Times New Roman;sans-serif" w:hAnsi="Times New Roman;sans-serif"/>
          <w:b w:val="false"/>
          <w:color w:val="000000"/>
          <w:sz w:val="24"/>
          <w:u w:val="single"/>
        </w:rPr>
        <w:t>Canadian Anti-Money Laundering Legislation</w:t>
      </w:r>
      <w:r>
        <w:rPr>
          <w:rFonts w:ascii="Times New Roman;sans-serif" w:hAnsi="Times New Roman;sans-serif"/>
          <w:b w:val="false"/>
          <w:color w:val="000000"/>
          <w:sz w:val="24"/>
        </w:rPr>
        <w:t>.</w:t>
      </w:r>
    </w:p>
    <w:p>
      <w:pPr>
        <w:pStyle w:val="TextBody"/>
        <w:bidi w:val="0"/>
        <w:spacing w:lineRule="auto" w:line="240" w:before="0" w:after="240"/>
        <w:ind w:left="0" w:right="0" w:firstLine="1214"/>
        <w:jc w:val="left"/>
        <w:rPr/>
      </w:pPr>
      <w:r>
        <w:rPr>
          <w:rFonts w:ascii="Times New Roman;sans-serif" w:hAnsi="Times New Roman;sans-serif"/>
          <w:b w:val="false"/>
          <w:color w:val="000000"/>
          <w:sz w:val="24"/>
        </w:rPr>
        <w:t xml:space="preserve">(i)The Loan Parties acknowledge that, pursuant to the </w:t>
      </w:r>
      <w:r>
        <w:rPr>
          <w:rFonts w:ascii="Times New Roman;sans-serif" w:hAnsi="Times New Roman;sans-serif"/>
          <w:b w:val="false"/>
          <w:i/>
          <w:color w:val="000000"/>
          <w:sz w:val="24"/>
        </w:rPr>
        <w:t>Proceeds of Crime (Money Laundering) and Terrorist Financing Act</w:t>
      </w:r>
      <w:r>
        <w:rPr>
          <w:color w:val="000000"/>
        </w:rPr>
        <w:t xml:space="preserve"> </w:t>
      </w:r>
      <w:r>
        <w:rPr>
          <w:rFonts w:ascii="Times New Roman;sans-serif" w:hAnsi="Times New Roman;sans-serif"/>
          <w:b w:val="false"/>
          <w:color w:val="000000"/>
          <w:sz w:val="24"/>
        </w:rPr>
        <w:t>(Canada) and other applicable anti-money laundering, anti-terrorist financing, government sanction and “know your client” laws (collectively, including any guidelines or orders thereunder, “</w:t>
      </w:r>
      <w:r>
        <w:rPr>
          <w:rFonts w:ascii="Times New Roman;sans-serif" w:hAnsi="Times New Roman;sans-serif"/>
          <w:b w:val="false"/>
          <w:color w:val="000000"/>
          <w:sz w:val="24"/>
          <w:u w:val="single"/>
        </w:rPr>
        <w:t>AML Legislation</w:t>
      </w:r>
      <w:r>
        <w:rPr>
          <w:color w:val="000000"/>
        </w:rPr>
        <w:t>”</w:t>
      </w:r>
      <w:r>
        <w:rPr>
          <w:rFonts w:ascii="Times New Roman;sans-serif" w:hAnsi="Times New Roman;sans-serif"/>
          <w:b w:val="false"/>
          <w:color w:val="000000"/>
          <w:sz w:val="24"/>
        </w:rPr>
        <w:t>), the Lenders may be required to obtain, verify and record information regarding the Loan Parties, their directors, authorized signing officers, direct or indirect shareholders or other Persons in control of the Loan Parties, and the transactions contemplated hereby. The Loan Parties shall promptly provide all such information in their possession, including supporting documentation and other evidence, as may be reasonably requested by any Lenders, or any prospective assignee or participant of a Lender, in order to comply with any applicable AML Legislation, whether now or hereafter in existence.</w:t>
      </w:r>
    </w:p>
    <w:p>
      <w:pPr>
        <w:pStyle w:val="TextBody"/>
        <w:bidi w:val="0"/>
        <w:spacing w:lineRule="auto" w:line="240" w:before="0" w:after="240"/>
        <w:ind w:left="0" w:right="0" w:firstLine="1147"/>
        <w:jc w:val="left"/>
        <w:rPr>
          <w:rFonts w:ascii="Times New Roman;sans-serif" w:hAnsi="Times New Roman;sans-serif"/>
          <w:b w:val="false"/>
          <w:color w:val="000000"/>
          <w:sz w:val="24"/>
        </w:rPr>
      </w:pPr>
      <w:r>
        <w:rPr>
          <w:rFonts w:ascii="Times New Roman;sans-serif" w:hAnsi="Times New Roman;sans-serif"/>
          <w:b w:val="false"/>
          <w:color w:val="000000"/>
          <w:sz w:val="24"/>
        </w:rPr>
        <w:t>(ii)If the Administrative Agent has ascertained the identity of any Loan Party or any authorized signatories of any Loan Party for the purposes of applicable AML Legislation, then the Administrative Agent: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(1)shall be deemed to have done so as an agent for each Lender, and this Agreement shall constitute a “written agreement” in such regard between the Administrative Agent and each other Lender within the meaning of the applicable AML Legislation;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(2)shall provide to each Lender copies of all information obtained in such regard without any representation or warranty as to its accuracy or completeness.</w:t>
      </w:r>
    </w:p>
    <w:p>
      <w:pPr>
        <w:pStyle w:val="TextBody"/>
        <w:bidi w:val="0"/>
        <w:spacing w:lineRule="auto" w:line="240" w:before="0" w:after="240"/>
        <w:ind w:left="0" w:right="0" w:firstLine="108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(iii)Notwithstanding the preceding sentence and except as may otherwise be agreed in writing, each of the Lenders agrees that the Administrative Agent has no obligation to ascertain the identity of any Loan Party or any authorized signatories of any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123</w:t>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02235"/>
                <wp:effectExtent l="0" t="0" r="0" b="0"/>
                <wp:wrapNone/>
                <wp:docPr id="335" name="Frame33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Loan Party on behalf of any Credit Party, or to confirm the completeness or accuracy of any information it obtains from any Loan Party or any such authorized signatory in doing so.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1.q.</w:t>
      </w:r>
      <w:r>
        <w:rPr>
          <w:rFonts w:ascii="Times New Roman;sans-serif" w:hAnsi="Times New Roman;sans-serif"/>
          <w:b w:val="false"/>
          <w:color w:val="000000"/>
          <w:sz w:val="24"/>
          <w:u w:val="single"/>
        </w:rPr>
        <w:t>[Reserved.]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1.r.</w:t>
      </w:r>
      <w:r>
        <w:rPr>
          <w:rFonts w:ascii="Times New Roman;sans-serif" w:hAnsi="Times New Roman;sans-serif"/>
          <w:b w:val="false"/>
          <w:color w:val="000000"/>
          <w:sz w:val="24"/>
          <w:u w:val="single"/>
        </w:rPr>
        <w:t>Judgment Currency</w:t>
      </w:r>
      <w:r>
        <w:rPr>
          <w:rFonts w:ascii="Times New Roman;sans-serif" w:hAnsi="Times New Roman;sans-serif"/>
          <w:b w:val="false"/>
          <w:color w:val="000000"/>
          <w:sz w:val="24"/>
        </w:rPr>
        <w:t>. (a) If, for the purpose of obtaining judgment in any court, it is necessary to convert a sum owing hereunder in US Dollars into another currency, each party hereto agrees, to the fullest extent that it may effectively do so, that the rate of exchange used shall be that at which in accordance with normal banking procedures in the relevant jurisdiction US Dollars could be purchased with such other currency on the Business Day immediately preceding the day on which final judgment is given.</w:t>
      </w:r>
    </w:p>
    <w:p>
      <w:pPr>
        <w:pStyle w:val="TextBody"/>
        <w:bidi w:val="0"/>
        <w:spacing w:lineRule="auto" w:line="240" w:before="0" w:after="240"/>
        <w:ind w:left="0" w:right="0" w:firstLine="1094"/>
        <w:jc w:val="left"/>
        <w:rPr/>
      </w:pPr>
      <w:r>
        <w:rPr>
          <w:rFonts w:ascii="Times New Roman;sans-serif" w:hAnsi="Times New Roman;sans-serif"/>
          <w:b w:val="false"/>
          <w:color w:val="000000"/>
          <w:sz w:val="24"/>
        </w:rPr>
        <w:t>(iv)The obligations of each party hereto in respect of any sum due to any other party hereto or any holder of the obligations owing hereunder (the “</w:t>
      </w:r>
      <w:r>
        <w:rPr>
          <w:rFonts w:ascii="Times New Roman;sans-serif" w:hAnsi="Times New Roman;sans-serif"/>
          <w:b w:val="false"/>
          <w:color w:val="000000"/>
          <w:sz w:val="24"/>
          <w:u w:val="single"/>
        </w:rPr>
        <w:t>Applicable Creditor</w:t>
      </w:r>
      <w:r>
        <w:rPr>
          <w:color w:val="000000"/>
        </w:rPr>
        <w:t>”</w:t>
      </w:r>
      <w:r>
        <w:rPr>
          <w:rFonts w:ascii="Times New Roman;sans-serif" w:hAnsi="Times New Roman;sans-serif"/>
          <w:b w:val="false"/>
          <w:color w:val="000000"/>
          <w:sz w:val="24"/>
        </w:rPr>
        <w:t>) shall, notwithstanding any judgment in a currency (the “</w:t>
      </w:r>
      <w:r>
        <w:rPr>
          <w:rFonts w:ascii="Times New Roman;sans-serif" w:hAnsi="Times New Roman;sans-serif"/>
          <w:b w:val="false"/>
          <w:color w:val="000000"/>
          <w:sz w:val="24"/>
          <w:u w:val="single"/>
        </w:rPr>
        <w:t>Judgment Currency</w:t>
      </w:r>
      <w:r>
        <w:rPr>
          <w:color w:val="000000"/>
        </w:rPr>
        <w:t>”</w:t>
      </w:r>
      <w:r>
        <w:rPr>
          <w:rFonts w:ascii="Times New Roman;sans-serif" w:hAnsi="Times New Roman;sans-serif"/>
          <w:b w:val="false"/>
          <w:color w:val="000000"/>
          <w:sz w:val="24"/>
        </w:rPr>
        <w:t>) other than US Dollars, be discharged only to the extent that, on the Business Day following receipt by the Applicable Creditor of any sum adjudged to be so due in the Judgment Currency, the Applicable Creditor may in accordance with normal banking procedures in the relevant jurisdiction purchase US Dollars with the Judgment Currency; if the amount of US Dollars so purchased is less than the sum originally due to the Applicable Creditor in US Dollars, such party agrees, as a separate obligation and notwithstanding any such judgment, to indemnify the Applicable Creditor against such deficiency. The obligations of the parties contained in this Section shall survive the termination of this Agreement and the payment of all other amounts owing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1.s.</w:t>
      </w:r>
      <w:r>
        <w:rPr>
          <w:rFonts w:ascii="Times New Roman;sans-serif" w:hAnsi="Times New Roman;sans-serif"/>
          <w:b w:val="false"/>
          <w:color w:val="000000"/>
          <w:sz w:val="24"/>
          <w:u w:val="single"/>
        </w:rPr>
        <w:t>Intercreditor Agreement.</w:t>
      </w:r>
      <w:r>
        <w:rPr>
          <w:color w:val="000000"/>
        </w:rPr>
        <w:t xml:space="preserve"> </w:t>
      </w:r>
      <w:r>
        <w:rPr>
          <w:rFonts w:ascii="Times New Roman;sans-serif" w:hAnsi="Times New Roman;sans-serif"/>
          <w:b w:val="false"/>
          <w:color w:val="000000"/>
          <w:sz w:val="24"/>
        </w:rPr>
        <w:t>(a) Each of the Lenders, the Issuing Banks and the other Secured Parties acknowledges that obligations of the Company and the other Loan Parties under the Permitted Non-ABL Indebtedness, upon incurrence thereof, may be secured by Liens on assets of the Company and the Subsidiary Loan Parties that constitute Collateral (and by fee-owned real property of the Company and the Subsidiary Loan Parties, whether or not such fee-owned real property constitutes Collateral), and that the relative Lien priority and other creditor rights of the Secured Parties and the secured parties in respect of Permitted Non-ABL Indebtedness will be set forth in an Intercreditor Agreement. Each of the Lenders, the Issuing Banks and the other Secured Parties hereby irrevocably authorizes and directs the Collateral Agent to execute and deliver, in each case on behalf of such Secured Party and without any further consent, authorization or other action by such Secured Party, (i) from time to time upon the request of the Company, in connection with the establishment, incurrence, amendment, refinancing or replacement of any Permitted Non-ABL Indebtedness, any Intercreditor Agreement (it being understood and agreed that the Collateral Agent is hereby authorized and directed to determine the terms and conditions of each Intercreditor Agreement as contemplated by the definition of the term “Intercreditor Agreement”, and that notwithstanding anything herein to the contrary, the Collateral Agent shall not be liable for, or be responsible for any loss, cost or expense suffered by any Lender, any Issuing Bank or any other Secured Party, or by any Loan Party, as a result of, any such determination) and (ii) any documents relating thereto.</w:t>
      </w:r>
    </w:p>
    <w:p>
      <w:pPr>
        <w:pStyle w:val="TextBody"/>
        <w:bidi w:val="0"/>
        <w:spacing w:lineRule="auto" w:line="240" w:before="0" w:after="240"/>
        <w:ind w:left="0" w:right="0" w:firstLine="1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(v)Each of the Lenders, the Issuing Banks and the other Secured Parties hereby irrevocably (i) consents to the subordination of the Liens on the Non-ABL Priority Collateral securing the Obligations on the terms set forth in each Intercreditor Agreement, (ii) agrees that, upon the execution and delivery thereof, such Secured Party will be bound by the provisions of each Intercreditor Agreement as if it were a signatory thereto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124</w:t>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02235"/>
                <wp:effectExtent l="0" t="0" r="0" b="0"/>
                <wp:wrapNone/>
                <wp:docPr id="336" name="Frame33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will take no actions contrary to the provisions thereof, (iii) agrees that no Secured Party shall have any right of action whatsoever against the Collateral Agent as a result of any action taken by the Collateral Agent pursuant to this Section or in accordance with the terms of any Intercreditor Agreement and (iv) authorizes and directs the Collateral Agent to carry out the provisions and intent of each such document.</w:t>
      </w:r>
    </w:p>
    <w:p>
      <w:pPr>
        <w:pStyle w:val="TextBody"/>
        <w:bidi w:val="0"/>
        <w:spacing w:lineRule="auto" w:line="240" w:before="0" w:after="240"/>
        <w:ind w:left="0" w:right="0" w:firstLine="1094"/>
        <w:jc w:val="both"/>
        <w:rPr>
          <w:rFonts w:ascii="Times New Roman;sans-serif" w:hAnsi="Times New Roman;sans-serif"/>
          <w:b w:val="false"/>
          <w:color w:val="000000"/>
          <w:sz w:val="24"/>
        </w:rPr>
      </w:pPr>
      <w:r>
        <w:rPr>
          <w:rFonts w:ascii="Times New Roman;sans-serif" w:hAnsi="Times New Roman;sans-serif"/>
          <w:b w:val="false"/>
          <w:color w:val="000000"/>
          <w:sz w:val="24"/>
        </w:rPr>
        <w:t>(vi)Each of the Lenders, the Issuing Banks and the other Secured Parties hereby irrevocably further authorizes and directs the Collateral Agent to execute and deliver, in each case on behalf of such Secured Party and without any further consent, authorization or other action by such Secured Party, any amendments, supplements or other modifications of each Intercreditor Agreement that the Company may from time to time request (i) to give effect to any establishment, incurrence, amendment, extension, renewal, refinancing or replacement of any Permitted Non-ABL Indebtedness, (ii) to confirm for any party that each Intercreditor Agreement is effective and binding upon the Collateral Agent on behalf of the Secured Parties or (iii) to effect any other amendment, supplement or modification so long as the resulting agreement has terms and conditions consistent with the then existing market practice (it being understood and agreed that the Collateral Agent is hereby authorized and directed to determine the terms and conditions of any such amendments, supplements or modifications to each Intercreditor Agreement, and that notwithstanding anything herein to the contrary, the Collateral Agent shall not be liable for, or be responsible for any loss, cost or expense suffered by any Lender, any Issuing Bank or any other Secured Party, or by any Loan Party, as a result of, any such determination).</w:t>
      </w:r>
    </w:p>
    <w:p>
      <w:pPr>
        <w:pStyle w:val="TextBody"/>
        <w:bidi w:val="0"/>
        <w:spacing w:lineRule="auto" w:line="240" w:before="0" w:after="240"/>
        <w:ind w:left="0" w:right="0" w:firstLine="1027"/>
        <w:jc w:val="both"/>
        <w:rPr>
          <w:rFonts w:ascii="Times New Roman;sans-serif" w:hAnsi="Times New Roman;sans-serif"/>
          <w:b w:val="false"/>
          <w:color w:val="000000"/>
          <w:sz w:val="24"/>
        </w:rPr>
      </w:pPr>
      <w:r>
        <w:rPr>
          <w:rFonts w:ascii="Times New Roman;sans-serif" w:hAnsi="Times New Roman;sans-serif"/>
          <w:b w:val="false"/>
          <w:color w:val="000000"/>
          <w:sz w:val="24"/>
        </w:rPr>
        <w:t>(vii)Each of the Lenders, the Issuing Banks and the other Secured Parties hereby irrevocably further authorizes and directs the Collateral Agent to execute and deliver, in each case on behalf of such Secured Party and without any further consent, authorization or other action by such Secured Party, any amendments, supplements or other modifications of any Collateral Document to add or remove any legend that may be required pursuant to any Intercreditor Agreement.</w:t>
      </w:r>
    </w:p>
    <w:p>
      <w:pPr>
        <w:pStyle w:val="TextBody"/>
        <w:bidi w:val="0"/>
        <w:spacing w:lineRule="auto" w:line="240" w:before="0" w:after="240"/>
        <w:ind w:left="0" w:right="0" w:firstLine="961"/>
        <w:jc w:val="both"/>
        <w:rPr>
          <w:rFonts w:ascii="Times New Roman;sans-serif" w:hAnsi="Times New Roman;sans-serif"/>
          <w:b w:val="false"/>
          <w:color w:val="000000"/>
          <w:sz w:val="24"/>
        </w:rPr>
      </w:pPr>
      <w:r>
        <w:rPr>
          <w:rFonts w:ascii="Times New Roman;sans-serif" w:hAnsi="Times New Roman;sans-serif"/>
          <w:b w:val="false"/>
          <w:color w:val="000000"/>
          <w:sz w:val="24"/>
        </w:rPr>
        <w:t>(viii)Each of the Lenders, the Issuing Banks and the other Secured Parties acknowledges and agrees that JPMorgan Chase Bank, N.A., or one or more of its Affiliates may (but is not obligated to) act as Collateral Agent, collateral agent or a similar representative for the holders of any Permitted Non-ABL Indebtedness (and may itself be a holder of any Permitted Non-ABL Indebtedness) and, in any such capacity, may be a party to any Intercreditor Agreement. Each of the Lenders, the Issuing Banks and the other Secured Parties waives any conflict of interest in connection therewith and agrees not to assert against JPMorgan Chase Bank, N.A. or any of its Affiliates any claims, causes of action, damages or liabilities of whatever kind or nature relating thereto.</w:t>
      </w:r>
    </w:p>
    <w:p>
      <w:pPr>
        <w:pStyle w:val="TextBody"/>
        <w:bidi w:val="0"/>
        <w:spacing w:lineRule="auto" w:line="240" w:before="0" w:after="240"/>
        <w:ind w:left="0" w:right="0" w:firstLine="1094"/>
        <w:jc w:val="both"/>
        <w:rPr>
          <w:rFonts w:ascii="Times New Roman;sans-serif" w:hAnsi="Times New Roman;sans-serif"/>
          <w:b w:val="false"/>
          <w:color w:val="000000"/>
          <w:sz w:val="24"/>
        </w:rPr>
      </w:pPr>
      <w:r>
        <w:rPr>
          <w:rFonts w:ascii="Times New Roman;sans-serif" w:hAnsi="Times New Roman;sans-serif"/>
          <w:b w:val="false"/>
          <w:color w:val="000000"/>
          <w:sz w:val="24"/>
        </w:rPr>
        <w:t>(ix)The Collateral Agent shall have the benefit of the provisions of Article VII and Section 8.03 with respect to all actions taken by it pursuant to this Section or in accordance with the terms of any Intercreditor Agreement to the full extent thereof.</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(x)Each Secured Party, whether or not a party hereto, will be deemed, by its acceptance of the benefits of the Collateral and of the Guarantees of the Obligations provided under the Loan Documents, to have agreed to the provisions of this Section 8.19.</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1.t.</w:t>
      </w:r>
      <w:r>
        <w:rPr>
          <w:rFonts w:ascii="Times New Roman;sans-serif" w:hAnsi="Times New Roman;sans-serif"/>
          <w:b w:val="false"/>
          <w:color w:val="000000"/>
          <w:sz w:val="24"/>
          <w:u w:val="single"/>
        </w:rPr>
        <w:t>Acknowledgement and Consent to Bail-In of Affected Financial Institutions</w:t>
      </w:r>
      <w:r>
        <w:rPr>
          <w:rFonts w:ascii="Times New Roman;sans-serif" w:hAnsi="Times New Roman;sans-serif"/>
          <w:b w:val="false"/>
          <w:color w:val="000000"/>
          <w:sz w:val="24"/>
        </w:rPr>
        <w:t xml:space="preserve">. Notwithstanding anything to the contrary in any Loan Document or in any other agreement, arrangement or understanding among the parties hereto, each party hereto acknowledges that any liability of any Affected Financial Institution arising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125</w:t>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02235"/>
                <wp:effectExtent l="0" t="0" r="0" b="0"/>
                <wp:wrapNone/>
                <wp:docPr id="337" name="Frame33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under any Loan Document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1214"/>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lineRule="auto" w:line="240" w:before="0" w:after="240"/>
        <w:ind w:left="0" w:right="0" w:firstLine="1147"/>
        <w:jc w:val="both"/>
        <w:rPr>
          <w:rFonts w:ascii="Times New Roman;sans-serif" w:hAnsi="Times New Roman;sans-serif"/>
          <w:b w:val="false"/>
          <w:color w:val="000000"/>
          <w:sz w:val="24"/>
        </w:rPr>
      </w:pPr>
      <w:r>
        <w:rPr>
          <w:rFonts w:ascii="Times New Roman;sans-serif" w:hAnsi="Times New Roman;sans-serif"/>
          <w:b w:val="false"/>
          <w:color w:val="000000"/>
          <w:sz w:val="24"/>
        </w:rPr>
        <w:t>(ii)the effects of any Bail-In Action on any such liability, including, if applicable: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(1)a reduction in full or in part or cancellation of any such liability;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(2)a conversion of all, or a portion of, such liability into shares or other instruments of ownership in an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1.u.</w:t>
      </w:r>
      <w:r>
        <w:rPr>
          <w:rFonts w:ascii="Times New Roman;sans-serif" w:hAnsi="Times New Roman;sans-serif"/>
          <w:b w:val="false"/>
          <w:color w:val="000000"/>
          <w:sz w:val="24"/>
          <w:u w:val="single"/>
        </w:rPr>
        <w:t>Acknowledgement Regarding Any Supported QFCs</w:t>
      </w:r>
      <w:r>
        <w:rPr>
          <w:rFonts w:ascii="Times New Roman;sans-serif" w:hAnsi="Times New Roman;sans-serif"/>
          <w:b w:val="false"/>
          <w:color w:val="000000"/>
          <w:sz w:val="24"/>
        </w:rPr>
        <w:t>. (a) To the extent that the Loan Documents provide support, through a guarantee or otherwise, for Hedging Agreements or any other agreement or instrument that is a QFC (such support, “</w:t>
      </w:r>
      <w:r>
        <w:rPr>
          <w:rFonts w:ascii="Times New Roman;sans-serif" w:hAnsi="Times New Roman;sans-serif"/>
          <w:b w:val="false"/>
          <w:color w:val="000000"/>
          <w:sz w:val="24"/>
          <w:u w:val="single"/>
        </w:rPr>
        <w:t>QFC Credit Support</w:t>
      </w:r>
      <w:r>
        <w:rPr>
          <w:color w:val="000000"/>
        </w:rPr>
        <w:t xml:space="preserve">” </w:t>
      </w:r>
      <w:r>
        <w:rPr>
          <w:rFonts w:ascii="Times New Roman;sans-serif" w:hAnsi="Times New Roman;sans-serif"/>
          <w:b w:val="false"/>
          <w:color w:val="000000"/>
          <w:sz w:val="24"/>
        </w:rPr>
        <w:t>and each such QFC, a “</w:t>
      </w:r>
      <w:r>
        <w:rPr>
          <w:rFonts w:ascii="Times New Roman;sans-serif" w:hAnsi="Times New Roman;sans-serif"/>
          <w:b w:val="false"/>
          <w:color w:val="000000"/>
          <w:sz w:val="24"/>
          <w:u w:val="single"/>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4"/>
          <w:u w:val="single"/>
        </w:rPr>
        <w:t>U.S. Special Resolution Regimes</w:t>
      </w:r>
      <w:r>
        <w:rPr>
          <w:color w:val="000000"/>
        </w:rPr>
        <w:t>”</w:t>
      </w:r>
      <w:r>
        <w:rPr>
          <w:rFonts w:ascii="Times New Roman;sans-serif" w:hAnsi="Times New Roman;sans-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40" w:before="0" w:after="240"/>
        <w:ind w:left="0" w:right="0" w:firstLine="1081"/>
        <w:jc w:val="left"/>
        <w:rPr/>
      </w:pPr>
      <w:r>
        <w:rPr>
          <w:rFonts w:ascii="Times New Roman;sans-serif" w:hAnsi="Times New Roman;sans-serif"/>
          <w:b w:val="false"/>
          <w:color w:val="000000"/>
          <w:sz w:val="24"/>
        </w:rPr>
        <w:t>(iii)In the event a Covered Entity that is party to a Supported QFC (each, a “</w:t>
      </w:r>
      <w:r>
        <w:rPr>
          <w:rFonts w:ascii="Times New Roman;sans-serif" w:hAnsi="Times New Roman;sans-serif"/>
          <w:b w:val="false"/>
          <w:color w:val="000000"/>
          <w:sz w:val="24"/>
          <w:u w:val="single"/>
        </w:rPr>
        <w:t>Covered Party</w:t>
      </w:r>
      <w:r>
        <w:rPr>
          <w:color w:val="000000"/>
        </w:rPr>
        <w:t>”</w:t>
      </w:r>
      <w:r>
        <w:rPr>
          <w:rFonts w:ascii="Times New Roman;sans-serif" w:hAnsi="Times New Roman;sans-serif"/>
          <w:b w:val="false"/>
          <w:color w:val="000000"/>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126</w:t>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02235"/>
                <wp:effectExtent l="0" t="0" r="0" b="0"/>
                <wp:wrapNone/>
                <wp:docPr id="338" name="Frame33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a Defaulting Lender shall in no event affect the rights of any Covered Party with respect to a Supported QFC or any QFC Credit Support.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1.v.</w:t>
      </w:r>
      <w:r>
        <w:rPr>
          <w:rFonts w:ascii="Times New Roman;sans-serif" w:hAnsi="Times New Roman;sans-serif"/>
          <w:b w:val="false"/>
          <w:color w:val="000000"/>
          <w:sz w:val="24"/>
          <w:u w:val="single"/>
        </w:rPr>
        <w:t>MIRE Events</w:t>
      </w:r>
      <w:r>
        <w:rPr>
          <w:rFonts w:ascii="Times New Roman;sans-serif" w:hAnsi="Times New Roman;sans-serif"/>
          <w:b w:val="false"/>
          <w:color w:val="000000"/>
          <w:sz w:val="24"/>
        </w:rPr>
        <w:t>. Each of the parties hereto acknowledges and agrees that, if there are any Mortgaged Properties, any increase, extension or renewal of any of the Commitments or Loans (including the provision of Incremental Revolving Loans) or any other incremental or additional credit facilities hereunder, but excluding (a) any continuation or conversion of borrowings, (b) the making of any Revolving Loans or (c) the issuance, renewal or extension of Letters of Credit shall be subject to and conditioned upon: (i) the prior delivery of all flood hazard determination certifications, acknowledgements and evidence of flood insurance and other flood-related documentation with respect to such Mortgaged Properties as required by the Flood Insurance Laws and as otherwise reasonably required by the Administrative Agent and (ii) the Administrative Agent shall have received written confirmation from the Lenders that flood insurance due diligence and flood insurance compliance have been completed by the Lenders (such written confirmation not to be unreasonably conditioned, withheld or delayed).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1.w.</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(a) Notwithstanding anything in </w:t>
      </w:r>
      <w:r>
        <w:rPr>
          <w:rFonts w:ascii="Times New Roman;sans-serif" w:hAnsi="Times New Roman;sans-serif"/>
          <w:b w:val="false"/>
          <w:color w:val="000000"/>
          <w:sz w:val="24"/>
          <w:u w:val="single"/>
        </w:rPr>
        <w:t>Section 8.02(b)</w:t>
      </w:r>
      <w:r>
        <w:rPr>
          <w:color w:val="000000"/>
        </w:rPr>
        <w:t xml:space="preserve"> </w:t>
      </w:r>
      <w:r>
        <w:rPr>
          <w:rFonts w:ascii="Times New Roman;sans-serif" w:hAnsi="Times New Roman;sans-serif"/>
          <w:b w:val="false"/>
          <w:color w:val="000000"/>
          <w:sz w:val="24"/>
        </w:rPr>
        <w:t xml:space="preserve">to the contrary, (i) any Subsidiary Loan Party shall automatically be released from its obligations hereunder (and its Guarantee of the Obligations and any Liens on its property constituting Collateral shall be automatically released) (x) upon the consummation of any permitted transaction or series of related transactions or the occurrence of any other permitted event or circumstance if as a result thereof such Subsidiary Loan Party ceases to be a wholly-owned Material Subsidiary or becomes an Excluded Subsidiary (including by merger or dissolution) as a result of a single transaction or series of related transactions or other event or circumstance permitted hereunder, or (y) upon the termination of the Commitments, payment in full of the Obligations (other than contingent indemnification and expense reimbursement obligations for which no claim or demand has been made), and expiration, termination or cash collateralization of all Letters of Credit and/or (ii) any Subsidiary Loan Party that qualifies as an “Excluded Subsidiary” shall be released from its obligations hereunder (and its Guarantee of the Obligations and any Liens on its property constituting Collateral shall be automatically released) by the Administrative Agent promptly following the request therefor by the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each case of clauses (i)(x) and (ii), (A) if any Material Subsidiary becomes an Excluded Subsidiary solely as a result of becoming a non-wholly-owned Consolidated Subsidiary, such release shall only be permitted if the transaction or event resulting in such Material Subsidiary becoming a non-wholly-owned Consolidated Subsidiary is with an unaffiliated third party (other than a bona fide joint venture) for a bona fide business purpose and was not entered into with the primary purpose of evading the Collateral and Guarantee Requirement (as determined by the Company in good faith) and (B) after giving pro forma effect thereto, such release does not result in the Aggregate Credit Exposure exceeding the lesser of (1) the sum of (II) the Borrowing Base then in effect and (II) the Protective Advance Exposures and (2) the Aggregate Commitments then in effect.</w:t>
      </w:r>
    </w:p>
    <w:p>
      <w:pPr>
        <w:pStyle w:val="TextBody"/>
        <w:bidi w:val="0"/>
        <w:spacing w:lineRule="auto" w:line="240" w:before="0" w:after="240"/>
        <w:ind w:left="0" w:right="0" w:firstLine="109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(iv)Notwithstanding anything in Section 8.02(b) to the contrary, any Lien on any asset or property granted to or held by the Administrative Agent under any Loan Document shall be automatically released without the need for further action by any Person (i) upon the termination of the Commitments, payment in full of the Obligations (other than contingent indemnification and expense reimbursement obligations for which no claim or demand has been made), and expiration, termination or cash collateralization of all Letters of Credit, (ii) upon the sale or other transfer of such asset or property as part of or in connection with any disposition or Investment permitted under the Loan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127</w:t>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02235"/>
                <wp:effectExtent l="0" t="0" r="0" b="0"/>
                <wp:wrapNone/>
                <wp:docPr id="339" name="Frame33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Documents to a Person that is not a Loan Party, (iii) upon such asset or property becoming an Excluded Property (as defined in the Collateral Agreements) or if such asset or property does not constitute (or ceases to constitute) Collateral, (iv) if the property subject to such Lien is owned by a Subsidiary Loan Party, upon the release of such Subsidiary Loan Party from its Guarantee of the Obligations otherwise in accordance with the Loan Documents, (v) as provided for under Article VII or as provided for in any other Loan Document or (vi) if approved, authorized or ratified in writing by the Required Lenders (or such other number or percentage of Lenders as shall be necessary under the relevant circumstances as provided in Section 8.02A) in accordance with Section 8.02A;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each case of clauses (ii), (iii), (iv) and (v), after giving pro forma effect thereto, such release does not result in the Aggregate Credit Exposure exceeding the lesser of (A) the sum of (1) the Borrowing Base then in effect and (2) the Protective Advance Exposures and (B) the Aggregate Commitments then in effect. Without limiting the foregoing, in the event that Receivables Facility Assets become subject to a Specified Receivables Facility, whether by transfer or conveyance or by placing a security interest, trust or other encumbrance required by a Specified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Each Secured Party hereby consents to any release or re-assignment contemplated by this Section 8.23 and any steps any Agent may take or request to give effect to such release or re-assignment under the governing law of such Lien.</w:t>
      </w:r>
    </w:p>
    <w:p>
      <w:pPr>
        <w:pStyle w:val="TextBody"/>
        <w:bidi w:val="0"/>
        <w:spacing w:lineRule="auto" w:line="240" w:before="0" w:after="240"/>
        <w:ind w:left="0" w:right="0" w:firstLine="1160"/>
        <w:jc w:val="left"/>
        <w:rPr>
          <w:rFonts w:ascii="Times New Roman;sans-serif" w:hAnsi="Times New Roman;sans-serif"/>
          <w:b w:val="false"/>
          <w:color w:val="000000"/>
          <w:sz w:val="24"/>
        </w:rPr>
      </w:pPr>
      <w:r>
        <w:rPr>
          <w:rFonts w:ascii="Times New Roman;sans-serif" w:hAnsi="Times New Roman;sans-serif"/>
          <w:b w:val="false"/>
          <w:color w:val="000000"/>
          <w:sz w:val="24"/>
        </w:rPr>
        <w:t>(v)In connection with any such release described in this Section, the Administrative Agent shall promptly execute and deliver to the relevant Loan Party, at such Loan Party’s expense, all documents that such Loan Party shall reasonably request to evidence termination or release. Any execution and delivery of any document pursuant to the preceding sentence of this Section 8.23 shall be without recourse to or warranty by the Administrative Agent (other than as to the Administrative Agent’s authority to execute and deliver such documents).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1.x.</w:t>
      </w:r>
      <w:r>
        <w:rPr>
          <w:rFonts w:ascii="Times New Roman;sans-serif" w:hAnsi="Times New Roman;sans-serif"/>
          <w:b w:val="false"/>
          <w:color w:val="000000"/>
          <w:sz w:val="24"/>
          <w:u w:val="single"/>
        </w:rPr>
        <w:t>No Advisory or Fiduciary Responsibility</w:t>
      </w:r>
      <w:r>
        <w:rPr>
          <w:rFonts w:ascii="Times New Roman;sans-serif" w:hAnsi="Times New Roman;sans-serif"/>
          <w:b w:val="false"/>
          <w:color w:val="000000"/>
          <w:sz w:val="24"/>
        </w:rPr>
        <w:t xml:space="preserve">. In connection with all aspects of the transactions contemplated hereby (including in connection with any amendment, waiver or other modification hereof or of any other Loan Document), each Loan Party acknowledges and agrees, and acknowledges its subsidiaries’ understanding, that: (a) (i) the arranging and other services regarding this Agreement provided by the Administrative Agent, the Joint Lead Arrangers and the Lenders (which term shall for the purposes of this Section include the Issuing Banks) are arm’s-length commercial transactions between such Loan Party and its Affiliates, on the one hand, and the Administrative Agent, the Joint Lead Arrangers and the Lenders, on the other hand, (ii) such Loan Party has consulted its own legal, accounting, regulatory and tax advisors to the extent it has deemed appropriate, and (iii) such Loan Party is capable of evaluating, and understands and accepts, the terms, risks and conditions of the transactions contemplated hereby and by the other Loan Documents; (b) (i) each of the Administrative Agent, the Joint Lead Arrangers and the Lenders is and has been acting solely as a principal and, except as expressly agreed in writing by the relevant parties, has not been, is not, and will not be acting as an advisor, agent or fiduciary for any Loan Party or any of its subsidiaries, or any other Person and (ii) none of the Administrative Agent, any Joint Lead Arranger or any Lender has any obligation to any Loan Party or any of its Affiliates with respect to the transactions contemplated hereby except those obligations expressly set forth herein and in the other Loan Documents; and (c) the Administrative Agent, the Joint Lead Arrangers and the Lenders and their respective Affiliates may be engaged in a broad range of transactions that involve interests that differ from those of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128</w:t>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02235"/>
                <wp:effectExtent l="0" t="0" r="0" b="0"/>
                <wp:wrapNone/>
                <wp:docPr id="340" name="Frame34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such Loan Party and its Affiliates, and neither the Administrative Agent, any Joint Lead Arrangers nor any Lender has any obligation to disclose any of such interests to such Loan Party or its Affiliates.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02235"/>
                <wp:effectExtent l="0" t="0" r="0" b="0"/>
                <wp:wrapNone/>
                <wp:docPr id="341" name="Frame34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duly executed by their respective authorized officers as of the day and year first above written.</w:t>
      </w:r>
    </w:p>
    <w:tbl>
      <w:tblPr>
        <w:tblW w:w="4633" w:type="dxa"/>
        <w:jc w:val="left"/>
        <w:tblInd w:w="0" w:type="dxa"/>
        <w:tblLayout w:type="fixed"/>
        <w:tblCellMar>
          <w:top w:w="28" w:type="dxa"/>
          <w:left w:w="28" w:type="dxa"/>
          <w:bottom w:w="28" w:type="dxa"/>
          <w:right w:w="28" w:type="dxa"/>
        </w:tblCellMar>
      </w:tblPr>
      <w:tblGrid>
        <w:gridCol w:w="804"/>
        <w:gridCol w:w="704"/>
        <w:gridCol w:w="704"/>
        <w:gridCol w:w="704"/>
        <w:gridCol w:w="704"/>
        <w:gridCol w:w="1013"/>
      </w:tblGrid>
      <w:tr>
        <w:trPr/>
        <w:tc>
          <w:tcPr>
            <w:tcW w:w="8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463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VICTORIA’S SECRET &amp; CO., as the Company</w:t>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3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463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lineRule="auto" w:line="240" w:before="0" w:after="240"/>
        <w:ind w:left="0" w:right="0" w:firstLine="720"/>
        <w:jc w:val="both"/>
        <w:rPr>
          <w:color w:val="000000"/>
        </w:rPr>
      </w:pPr>
      <w:r>
        <w:rPr>
          <w:color w:val="000000"/>
        </w:rPr>
        <w:t>                    </w:t>
      </w:r>
    </w:p>
    <w:p>
      <w:pPr>
        <w:pStyle w:val="TextBody"/>
        <w:bidi w:val="0"/>
        <w:spacing w:lineRule="auto" w:line="240" w:before="0" w:after="240"/>
        <w:ind w:left="0" w:right="0" w:firstLine="720"/>
        <w:jc w:val="left"/>
        <w:rPr>
          <w:color w:val="000000"/>
        </w:rPr>
      </w:pPr>
      <w:r>
        <w:rPr>
          <w:color w:val="000000"/>
        </w:rPr>
        <w:t>                    </w:t>
      </w:r>
    </w:p>
    <w:p>
      <w:pPr>
        <w:pStyle w:val="TextBody"/>
        <w:bidi w:val="0"/>
        <w:spacing w:before="0" w:after="240"/>
        <w:ind w:left="0" w:right="0" w:firstLine="720"/>
        <w:jc w:val="both"/>
        <w:rPr/>
      </w:pPr>
      <w:r>
        <w:rPr/>
      </w:r>
    </w:p>
    <w:tbl>
      <w:tblPr>
        <w:tblW w:w="5831" w:type="dxa"/>
        <w:jc w:val="left"/>
        <w:tblInd w:w="0" w:type="dxa"/>
        <w:tblLayout w:type="fixed"/>
        <w:tblCellMar>
          <w:top w:w="28" w:type="dxa"/>
          <w:left w:w="28" w:type="dxa"/>
          <w:bottom w:w="28" w:type="dxa"/>
          <w:right w:w="28" w:type="dxa"/>
        </w:tblCellMar>
      </w:tblPr>
      <w:tblGrid>
        <w:gridCol w:w="1011"/>
        <w:gridCol w:w="890"/>
        <w:gridCol w:w="890"/>
        <w:gridCol w:w="890"/>
        <w:gridCol w:w="890"/>
        <w:gridCol w:w="1260"/>
      </w:tblGrid>
      <w:tr>
        <w:trPr/>
        <w:tc>
          <w:tcPr>
            <w:tcW w:w="10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Administrative Agent</w:t>
            </w:r>
          </w:p>
        </w:tc>
      </w:tr>
      <w:tr>
        <w:trPr/>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58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2189" w:type="dxa"/>
        <w:jc w:val="left"/>
        <w:tblInd w:w="0" w:type="dxa"/>
        <w:tblLayout w:type="fixed"/>
        <w:tblCellMar>
          <w:top w:w="28" w:type="dxa"/>
          <w:left w:w="28" w:type="dxa"/>
          <w:bottom w:w="28" w:type="dxa"/>
          <w:right w:w="28" w:type="dxa"/>
        </w:tblCellMar>
      </w:tblPr>
      <w:tblGrid>
        <w:gridCol w:w="379"/>
        <w:gridCol w:w="334"/>
        <w:gridCol w:w="334"/>
        <w:gridCol w:w="334"/>
        <w:gridCol w:w="334"/>
        <w:gridCol w:w="47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189" w:type="dxa"/>
            <w:gridSpan w:val="6"/>
            <w:tcBorders/>
            <w:tcMar>
              <w:top w:w="0" w:type="dxa"/>
              <w:left w:w="0" w:type="dxa"/>
              <w:bottom w:w="0" w:type="dxa"/>
              <w:right w:w="0" w:type="dxa"/>
            </w:tcMar>
            <w:vAlign w:val="center"/>
          </w:tcPr>
          <w:p>
            <w:pPr>
              <w:pStyle w:val="TableContents"/>
              <w:bidi w:val="0"/>
              <w:spacing w:lineRule="auto" w:line="240" w:before="0" w:after="480"/>
              <w:jc w:val="left"/>
              <w:rPr/>
            </w:pPr>
            <w:r>
              <w:rPr>
                <w:rFonts w:ascii="Times New Roman;sans-serif" w:hAnsi="Times New Roman;sans-serif"/>
                <w:b/>
                <w:color w:val="000000"/>
                <w:sz w:val="22"/>
              </w:rPr>
              <w:t>[</w:t>
            </w:r>
            <w:r>
              <w:rPr>
                <w:rFonts w:ascii="Times New Roman;sans-serif" w:hAnsi="Times New Roman;sans-serif"/>
                <w:b/>
                <w:i/>
                <w:color w:val="000000"/>
                <w:sz w:val="22"/>
              </w:rPr>
              <w:t>ADD BANK NAME</w:t>
            </w:r>
            <w:r>
              <w:rPr>
                <w:rFonts w:ascii="Times New Roman;sans-serif" w:hAnsi="Times New Roman;sans-serif"/>
                <w:b/>
                <w:color w:val="000000"/>
                <w:sz w:val="22"/>
              </w:rPr>
              <w:t>]</w:t>
            </w:r>
          </w:p>
        </w:tc>
      </w:tr>
      <w:tr>
        <w:trPr/>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1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218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21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6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277495"/>
                <wp:effectExtent l="0" t="0" r="0" b="0"/>
                <wp:wrapNone/>
                <wp:docPr id="342" name="Frame34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Revolving Credit Agreement]</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Revolving Credit Agreement]</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[[6065579]]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Martin Waters,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Victoria’s Secret &amp; Co.;</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3"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Timothy Johnson,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Victoria’s Secret &amp; Co.;</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956" w:type="dxa"/>
        <w:jc w:val="left"/>
        <w:tblInd w:w="0" w:type="dxa"/>
        <w:tblLayout w:type="fixed"/>
        <w:tblCellMar>
          <w:top w:w="28" w:type="dxa"/>
          <w:left w:w="28" w:type="dxa"/>
          <w:bottom w:w="28" w:type="dxa"/>
          <w:right w:w="28" w:type="dxa"/>
        </w:tblCellMar>
      </w:tblPr>
      <w:tblGrid>
        <w:gridCol w:w="124"/>
        <w:gridCol w:w="109"/>
        <w:gridCol w:w="109"/>
        <w:gridCol w:w="1059"/>
        <w:gridCol w:w="1059"/>
        <w:gridCol w:w="1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and Administrative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w:t>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4"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Section 906 Certification</w:t>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Martin Waters, the Chief Executive Officer, and Timothy Johnson, the Chief Financial and Administrative Officer, of Victoria’s Secret &amp; Co. (the “Company”), each certifies that, to the best of his knowledge: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(i)the Quarterly Report of the Company on Form 10-Q dated September 1, 2023 for the period ended July 29, 2023 (the “Form 10-Q”), fully complies with the requirements of Section 13(a) or 15(d) of the Securities Exchange Act of 1934;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results of operations of the Company.</w:t>
      </w:r>
    </w:p>
    <w:tbl>
      <w:tblPr>
        <w:tblW w:w="3956" w:type="dxa"/>
        <w:jc w:val="left"/>
        <w:tblInd w:w="0" w:type="dxa"/>
        <w:tblLayout w:type="fixed"/>
        <w:tblCellMar>
          <w:top w:w="28" w:type="dxa"/>
          <w:left w:w="28" w:type="dxa"/>
          <w:bottom w:w="28" w:type="dxa"/>
          <w:right w:w="28" w:type="dxa"/>
        </w:tblCellMar>
      </w:tblPr>
      <w:tblGrid>
        <w:gridCol w:w="124"/>
        <w:gridCol w:w="109"/>
        <w:gridCol w:w="109"/>
        <w:gridCol w:w="1055"/>
        <w:gridCol w:w="1055"/>
        <w:gridCol w:w="1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and Administrative Officer</w:t>
            </w:r>
          </w:p>
        </w:tc>
      </w:tr>
    </w:tbl>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20"/>
        </w:rPr>
        <w:t>Date: September 1, 2023</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5"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Book Antiqua">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856437/000114036121026649/nt10026698x8_ex3-1.htm" TargetMode="External"/><Relationship Id="rId3" Type="http://schemas.openxmlformats.org/officeDocument/2006/relationships/hyperlink" Target="http://www.sec.gov/Archives/edgar/data/1856437/000185643723000013/vsco-1282023x10k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311</Pages>
  <Words>203937</Words>
  <Characters>1091253</Characters>
  <CharactersWithSpaces>1293104</CharactersWithSpaces>
  <Paragraphs>5957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