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doc4.xml.htm"/>
      <w:bookmarkStart w:id="1" w:name="ksdoc4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McAfee Melinda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Compliance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14"/>
        <w:gridCol w:w="783"/>
        <w:gridCol w:w="607"/>
        <w:gridCol w:w="346"/>
        <w:gridCol w:w="833"/>
        <w:gridCol w:w="441"/>
        <w:gridCol w:w="982"/>
        <w:gridCol w:w="1179"/>
        <w:gridCol w:w="98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1,354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99.6012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161,763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4,946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98.8536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156,817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shares occurred automatically pursuant to a Rule 10b5-1 trading plan adopted by Ms. McAfee on July 1, 2026.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represents a weighted average of the sale price. Shares were sold at prices ranging from $97.785 to $97.955. Upon the request by the SEC staff, the Issuer, or a security holder of the Issuer, the reporting person willprovide the full information about the number of shares sold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Total includes 664 shares acquired under the Victoria's Secret &amp; Co. Associate Stock Purchase Plan that were exempt pursuant to Rule 16b-3.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represents a weighted average of the sale price. Shares were sold at prices ranging from $99.23 to $100.21. Upon the request by the SEC staff, the Issuer, or a security holder of the Issuer, the reporting person willprovide the full information about the number of shares sold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represents a weighted average of the sale price. Shares were sold at prices ranging from $98.30 to $99.20. Upon the request by the SEC staff, the Issuer, or a security holder of the Issuer, the reporting person willprovide the full information about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Melinda McAfee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6977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795</Words>
  <Characters>4214</Characters>
  <CharactersWithSpaces>4922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