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0" w:lineRule="exact"/>
        <w:rPr>
          <w:sz w:val="24"/>
          <w:szCs w:val="24"/>
          <w:color w:val="auto"/>
        </w:rPr>
      </w:pPr>
    </w:p>
    <w:p>
      <w:pPr>
        <w:ind w:left="380"/>
        <w:spacing w:after="0" w:line="24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-246380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ind w:left="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b w:val="1"/>
          <w:bCs w:val="1"/>
          <w:color w:val="auto"/>
        </w:rPr>
        <w:t>UNITED STATES SECURITIES AND EXCHANGE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5184140</wp:posOffset>
            </wp:positionH>
            <wp:positionV relativeFrom="paragraph">
              <wp:posOffset>1905</wp:posOffset>
            </wp:positionV>
            <wp:extent cx="59690" cy="6692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92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3913505</wp:posOffset>
            </wp:positionH>
            <wp:positionV relativeFrom="paragraph">
              <wp:posOffset>1905</wp:posOffset>
            </wp:positionV>
            <wp:extent cx="59690" cy="66929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92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43"/>
        </w:trPr>
        <w:tc>
          <w:tcPr>
            <w:tcW w:w="6180" w:type="dxa"/>
            <w:vAlign w:val="bottom"/>
            <w:vMerge w:val="restart"/>
          </w:tcPr>
          <w:p>
            <w:pPr>
              <w:jc w:val="center"/>
              <w:ind w:right="265"/>
              <w:spacing w:after="0" w:line="2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8"/>
              </w:rPr>
              <w:t>COMMISSION</w:t>
            </w:r>
          </w:p>
        </w:tc>
        <w:tc>
          <w:tcPr>
            <w:tcW w:w="4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top w:val="single" w:sz="8" w:color="808080"/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61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300"/>
              <w:spacing w:after="0" w:line="17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6180" w:type="dxa"/>
            <w:vAlign w:val="bottom"/>
            <w:vMerge w:val="restart"/>
          </w:tcPr>
          <w:p>
            <w:pPr>
              <w:jc w:val="center"/>
              <w:ind w:right="26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1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61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jc w:val="right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6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180" w:type="dxa"/>
            <w:vAlign w:val="bottom"/>
            <w:vMerge w:val="restart"/>
          </w:tcPr>
          <w:p>
            <w:pPr>
              <w:jc w:val="center"/>
              <w:ind w:right="26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1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5" w:lineRule="exact"/>
        <w:rPr>
          <w:sz w:val="24"/>
          <w:szCs w:val="24"/>
          <w:color w:val="auto"/>
        </w:rPr>
      </w:pPr>
    </w:p>
    <w:p>
      <w:pPr>
        <w:jc w:val="center"/>
        <w:ind w:right="2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Filed pursuant to Section 16(a) of the Securities Exchange Act of 1934</w:t>
      </w:r>
    </w:p>
    <w:p>
      <w:pPr>
        <w:jc w:val="center"/>
        <w:ind w:right="2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-1708785</wp:posOffset>
            </wp:positionH>
            <wp:positionV relativeFrom="paragraph">
              <wp:posOffset>13970</wp:posOffset>
            </wp:positionV>
            <wp:extent cx="6987540" cy="517588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7540" cy="51758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40" w:space="440"/>
            <w:col w:w="8400"/>
          </w:cols>
          <w:pgMar w:left="460" w:top="226" w:right="359" w:bottom="1440" w:gutter="0" w:footer="0" w:header="0"/>
        </w:sectPr>
      </w:pP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Hernandez Jacqueline</w:t>
        </w:r>
      </w:hyperlink>
    </w:p>
    <w:p>
      <w:pPr>
        <w:spacing w:after="0" w:line="308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5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3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</w:tr>
      <w:tr>
        <w:trPr>
          <w:trHeight w:val="28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3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4 LIMITED PARKWAY EAST</w:t>
            </w: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1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270"/>
        </w:trPr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3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REYNOLDSBURG OH</w:t>
            </w:r>
          </w:p>
        </w:tc>
        <w:tc>
          <w:tcPr>
            <w:tcW w:w="1300" w:type="dxa"/>
            <w:vAlign w:val="bottom"/>
          </w:tcPr>
          <w:p>
            <w:pPr>
              <w:jc w:val="right"/>
              <w:ind w:right="56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43068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5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3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2.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</w:t>
            </w:r>
          </w:p>
        </w:tc>
        <w:tc>
          <w:tcPr>
            <w:tcW w:w="30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60" w:type="dxa"/>
            <w:vAlign w:val="bottom"/>
            <w:gridSpan w:val="3"/>
          </w:tcPr>
          <w:p>
            <w:pPr>
              <w:spacing w:after="0" w:line="143" w:lineRule="exact"/>
              <w:rPr>
                <w:rFonts w:ascii="Arial" w:cs="Arial" w:eastAsia="Arial" w:hAnsi="Arial"/>
                <w:sz w:val="16"/>
                <w:szCs w:val="16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6"/>
                  <w:szCs w:val="16"/>
                  <w:color w:val="0000EE"/>
                </w:rPr>
                <w:t xml:space="preserve">Victoria's Secret &amp; Co. </w:t>
              </w:r>
            </w:hyperlink>
            <w:r>
              <w:rPr>
                <w:rFonts w:ascii="Arial" w:cs="Arial" w:eastAsia="Arial" w:hAnsi="Arial"/>
                <w:sz w:val="16"/>
                <w:szCs w:val="16"/>
                <w:color w:val="000000"/>
              </w:rPr>
              <w:t>[</w:t>
            </w:r>
            <w:r>
              <w:rPr>
                <w:rFonts w:ascii="Arial" w:cs="Arial" w:eastAsia="Arial" w:hAnsi="Arial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VSCO</w:t>
            </w:r>
            <w:r>
              <w:rPr>
                <w:rFonts w:ascii="Arial" w:cs="Arial" w:eastAsia="Arial" w:hAnsi="Arial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6"/>
                <w:szCs w:val="16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60"/>
              <w:spacing w:after="0" w:line="17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142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6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3.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4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05/25/2023</w:t>
            </w: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4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4.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</w:t>
            </w:r>
          </w:p>
        </w:tc>
        <w:tc>
          <w:tcPr>
            <w:tcW w:w="30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9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00"/>
        <w:spacing w:after="0" w:line="223" w:lineRule="auto"/>
        <w:tabs>
          <w:tab w:leader="none" w:pos="44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94" w:lineRule="exact"/>
        <w:rPr>
          <w:sz w:val="24"/>
          <w:szCs w:val="24"/>
          <w:color w:val="auto"/>
        </w:rPr>
      </w:pPr>
    </w:p>
    <w:p>
      <w:pPr>
        <w:ind w:left="4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142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Rule 10b5-1(c) Transaction Indication</w:t>
      </w:r>
    </w:p>
    <w:p>
      <w:pPr>
        <w:spacing w:after="0" w:line="219" w:lineRule="exact"/>
        <w:rPr>
          <w:sz w:val="24"/>
          <w:szCs w:val="24"/>
          <w:color w:val="auto"/>
        </w:rPr>
      </w:pPr>
    </w:p>
    <w:p>
      <w:pPr>
        <w:ind w:left="340" w:right="340"/>
        <w:spacing w:after="0" w:line="26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that is intended to satisfy the affirmative defense conditions of Rule 10b5-1(c). See Instruction 10.</w:t>
      </w:r>
    </w:p>
    <w:p>
      <w:pPr>
        <w:spacing w:after="0" w:line="18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26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2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4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6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8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4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 (I)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2C2C2C"/>
            </w:tcBorders>
            <w:gridSpan w:val="3"/>
            <w:vMerge w:val="restart"/>
          </w:tcPr>
          <w:p>
            <w:pPr>
              <w:ind w:left="140"/>
              <w:spacing w:after="0" w:line="2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 xml:space="preserve">(A) or  </w:t>
            </w: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vertAlign w:val="subscript"/>
              </w:rPr>
              <w:t>Price</w:t>
            </w: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</w:tcPr>
          <w:p>
            <w:pPr>
              <w:ind w:left="60"/>
              <w:spacing w:after="0" w:line="8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 V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9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05/25/2023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6,199</w:t>
            </w:r>
          </w:p>
        </w:tc>
        <w:tc>
          <w:tcPr>
            <w:tcW w:w="40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8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8"/>
              </w:rPr>
              <w:t>0.0000</w:t>
            </w:r>
          </w:p>
        </w:tc>
        <w:tc>
          <w:tcPr>
            <w:tcW w:w="1180" w:type="dxa"/>
            <w:vAlign w:val="bottom"/>
            <w:gridSpan w:val="4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11,658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4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60" w:type="dxa"/>
            <w:vAlign w:val="bottom"/>
            <w:gridSpan w:val="11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10.</w:t>
            </w:r>
          </w:p>
        </w:tc>
        <w:tc>
          <w:tcPr>
            <w:tcW w:w="84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10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4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10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0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3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3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3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3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20" w:type="dxa"/>
            <w:vAlign w:val="bottom"/>
            <w:gridSpan w:val="4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40" w:type="dxa"/>
            <w:vAlign w:val="bottom"/>
            <w:tcBorders>
              <w:bottom w:val="single" w:sz="8" w:color="auto"/>
            </w:tcBorders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Robert J. Tannous, by Power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40" w:type="dxa"/>
            <w:vAlign w:val="bottom"/>
            <w:gridSpan w:val="7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8"/>
              </w:rPr>
              <w:t>of Attorney for Jacqueline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160"/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06/07/2023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auto"/>
              <w:bottom w:val="single" w:sz="8" w:color="auto"/>
            </w:tcBorders>
            <w:gridSpan w:val="3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Hernandez</w:t>
            </w:r>
          </w:p>
        </w:tc>
        <w:tc>
          <w:tcPr>
            <w:tcW w:w="5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4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9"/>
              </w:rPr>
              <w:t>** Signature of Reporting Person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-2630170</wp:posOffset>
            </wp:positionV>
            <wp:extent cx="29845" cy="1913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913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22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2"/>
          <w:szCs w:val="12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6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848064" TargetMode="External"/><Relationship Id="rId13" Type="http://schemas.openxmlformats.org/officeDocument/2006/relationships/hyperlink" Target="http://www.sec.gov/cgi-bin/browse-edgar?action=getcompany&amp;CIK=000185643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2023-06-07T16:12:43Z</dcterms:created>
  <dcterms:modified xsi:type="dcterms:W3CDTF">2023-06-07T16:12:43Z</dcterms:modified>
</cp:coreProperties>
</file>