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32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bidi w:val="0"/>
        <w:spacing w:lineRule="auto" w:line="288" w:before="0" w:after="3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CURRENT REPORT PURSUANT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TO SECTION 13 OR 15(d) OF THE</w:t>
      </w:r>
    </w:p>
    <w:p>
      <w:pPr>
        <w:pStyle w:val="TextBody"/>
        <w:bidi w:val="0"/>
        <w:spacing w:lineRule="auto" w:line="288" w:before="0" w:after="240"/>
        <w:jc w:val="center"/>
        <w:rPr>
          <w:rFonts w:ascii="Times New Roman;sans-serif" w:hAnsi="Times New Roman;sans-serif"/>
          <w:b/>
          <w:color w:val="000000"/>
          <w:sz w:val="32"/>
        </w:rPr>
      </w:pPr>
      <w:r>
        <w:rPr>
          <w:rFonts w:ascii="Times New Roman;sans-serif" w:hAnsi="Times New Roman;sans-serif"/>
          <w:b/>
          <w:color w:val="000000"/>
          <w:sz w:val="32"/>
        </w:rPr>
        <w:t>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August 30, 2023 (August 29, 2023)</w:t>
      </w:r>
    </w:p>
    <w:tbl>
      <w:tblPr>
        <w:tblW w:w="9043" w:type="dxa"/>
        <w:jc w:val="center"/>
        <w:tblInd w:w="0" w:type="dxa"/>
        <w:tblLayout w:type="fixed"/>
        <w:tblCellMar>
          <w:top w:w="28" w:type="dxa"/>
          <w:left w:w="28" w:type="dxa"/>
          <w:bottom w:w="28" w:type="dxa"/>
          <w:right w:w="28" w:type="dxa"/>
        </w:tblCellMar>
      </w:tblPr>
      <w:tblGrid>
        <w:gridCol w:w="576"/>
        <w:gridCol w:w="506"/>
        <w:gridCol w:w="508"/>
        <w:gridCol w:w="442"/>
        <w:gridCol w:w="442"/>
        <w:gridCol w:w="450"/>
        <w:gridCol w:w="1074"/>
        <w:gridCol w:w="1074"/>
        <w:gridCol w:w="1076"/>
        <w:gridCol w:w="845"/>
        <w:gridCol w:w="845"/>
        <w:gridCol w:w="1205"/>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Victoria's Secret &amp; Co.</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w:t>
              <w:br/>
              <w:t>as Specified in Its Charter)</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Delaware</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001-40515</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(614) 577-7000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83" w:type="dxa"/>
        <w:jc w:val="left"/>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VSCO</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2023, Victoria's Secret &amp; Co. (the “Company”) issued a press release setting forth its second quarter 2023 results and its third quarter 2023 and full year 2023 earnings guidance. A copy of the press release is attached hereto as Exhibit 99.1 and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29, 2023, the Board of Directors (the “Board”) of Victoria’s Secret &amp; Co. increased the size of the Board from eight to nine directors and appointed Rod R. Little to fill the resulting vacancy, effective immediately, to hold office until his successor shall have been duly elected and qualified or until his earlier death, resignation or removal. The Board has determined that Mr. Little is independent based on the New York Stock Exchange listing standards. Mr. Little will also serve as a member of the Human Capital and Compensation Committee.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Mr. Little’s compensation will be consistent with that provided to all non-employee directors in accordance with the Company’s compensation plan for non-employee directors described in the Company’s Annual Proxy Statement filed with the Securities and Exchange Commission on April 14, 2023.</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Nominating and Corporate Governance Committee had recommended and nominated Mr. Little as a director candidate. There is no arrangement or understanding pursuant to which Mr. Little was appointed to the Board, and Mr. Little has no direct or indirect material interest in any transaction or proposed transaction required to be disclosed pursuant to Item 404(a) of Regulation S-K.</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Mr. Little will also enter into the Company’s standard form of indemnification agreement, the form of which was filed as Exhibit 10.1 to the Company’s Current Report on Form 8-K filed on August 10,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Item 2.02 of this Current Report on Form 8-K is hereby incorporated by reference. A copy of the press release announcing Mr. Little’s appointment to the Board is furnished hereto as Exhibit 99.2 and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00"/>
        <w:jc w:val="left"/>
        <w:rPr/>
      </w:pPr>
      <w:hyperlink w:anchor="ex991vsco-20232qearningsre.htm">
        <w:r>
          <w:rPr>
            <w:rStyle w:val="InternetLink"/>
            <w:rFonts w:ascii="Times New Roman;sans-serif" w:hAnsi="Times New Roman;sans-serif"/>
            <w:b w:val="false"/>
            <w:color w:val="0000FF"/>
            <w:sz w:val="20"/>
            <w:u w:val="single"/>
          </w:rPr>
          <w:t>Exhibit 99.1</w:t>
        </w:r>
      </w:hyperlink>
      <w:r>
        <w:rPr>
          <w:color w:val="000000"/>
        </w:rPr>
        <w:t>    </w:t>
      </w:r>
      <w:r>
        <w:rPr>
          <w:rFonts w:ascii="Times New Roman;sans-serif" w:hAnsi="Times New Roman;sans-serif"/>
          <w:b w:val="false"/>
          <w:color w:val="000000"/>
          <w:sz w:val="20"/>
        </w:rPr>
        <w:t>Press Release of Victoria’s Secret &amp; Co., dated August 30, 2023.</w:t>
      </w:r>
    </w:p>
    <w:p>
      <w:pPr>
        <w:pStyle w:val="TextBody"/>
        <w:bidi w:val="0"/>
        <w:spacing w:lineRule="auto" w:line="288" w:before="0" w:after="200"/>
        <w:jc w:val="left"/>
        <w:rPr/>
      </w:pPr>
      <w:hyperlink w:anchor="ex992rodlittleboardappoint.htm">
        <w:r>
          <w:rPr>
            <w:rStyle w:val="InternetLink"/>
            <w:rFonts w:ascii="Times New Roman;sans-serif" w:hAnsi="Times New Roman;sans-serif"/>
            <w:b w:val="false"/>
            <w:color w:val="0000FF"/>
            <w:sz w:val="20"/>
            <w:u w:val="single"/>
          </w:rPr>
          <w:t>Exhibit 99.2</w:t>
        </w:r>
      </w:hyperlink>
      <w:r>
        <w:rPr>
          <w:color w:val="000000"/>
        </w:rPr>
        <w:t>    </w:t>
      </w:r>
      <w:r>
        <w:rPr>
          <w:rFonts w:ascii="Times New Roman;sans-serif" w:hAnsi="Times New Roman;sans-serif"/>
          <w:b w:val="false"/>
          <w:color w:val="000000"/>
          <w:sz w:val="20"/>
        </w:rPr>
        <w:t>Press Release of Victoria’s Secret &amp; Co. for Board Appointment, dated August 29,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Cover Page Interactive Data File (embedded within the Inline XBRL document)</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027" w:type="dxa"/>
        <w:jc w:val="righ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056"/>
        <w:gridCol w:w="1056"/>
        <w:gridCol w:w="15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30,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10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8"/>
        </w:rPr>
      </w:pPr>
      <w:r>
        <w:rPr>
          <w:rFonts w:ascii="Times New Roman;sans-serif" w:hAnsi="Times New Roman;sans-serif"/>
          <w:b w:val="false"/>
          <w:color w:val="000000"/>
          <w:sz w:val="28"/>
        </w:rPr>
        <w:t>Exhibit 99.1</w:t>
      </w:r>
    </w:p>
    <w:p>
      <w:pPr>
        <w:pStyle w:val="TextBody"/>
        <w:bidi w:val="0"/>
        <w:spacing w:before="0" w:after="0"/>
        <w:jc w:val="center"/>
        <w:rPr/>
      </w:pPr>
      <w:r>
        <w:rPr/>
        <w:drawing>
          <wp:inline distT="0" distB="0" distL="0" distR="0">
            <wp:extent cx="5105400" cy="1381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105400" cy="1381125"/>
                    </a:xfrm>
                    <a:prstGeom prst="rect">
                      <a:avLst/>
                    </a:prstGeom>
                  </pic:spPr>
                </pic:pic>
              </a:graphicData>
            </a:graphic>
          </wp:inline>
        </w:drawing>
      </w:r>
    </w:p>
    <w:p>
      <w:pPr>
        <w:pStyle w:val="TextBody"/>
        <w:bidi w:val="0"/>
        <w:spacing w:lineRule="auto" w:line="268" w:before="0" w:after="180"/>
        <w:jc w:val="center"/>
        <w:rPr>
          <w:rFonts w:ascii="Times New Roman;sans-serif" w:hAnsi="Times New Roman;sans-serif"/>
          <w:b/>
          <w:color w:val="000000"/>
          <w:sz w:val="32"/>
        </w:rPr>
      </w:pPr>
      <w:r>
        <w:rPr>
          <w:rFonts w:ascii="Times New Roman;sans-serif" w:hAnsi="Times New Roman;sans-serif"/>
          <w:b/>
          <w:color w:val="000000"/>
          <w:sz w:val="32"/>
        </w:rPr>
        <w:t>Victoria’s Secret &amp; Co. Reports second quarter 2023 results within previous guidance range</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Expects improving sales trends in the third and fourth quarter with adjusted operating income rate of 5% to 6% for full year 2023</w:t>
      </w:r>
    </w:p>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val="false"/>
          <w:color w:val="000000"/>
          <w:sz w:val="24"/>
        </w:rPr>
        <w:t>Reynoldsburg, Ohio (August 30, 2023)</w:t>
      </w:r>
      <w:r>
        <w:rPr>
          <w:color w:val="000000"/>
        </w:rPr>
        <w:t>—</w:t>
      </w:r>
      <w:r>
        <w:rPr>
          <w:rFonts w:ascii="Times New Roman;sans-serif" w:hAnsi="Times New Roman;sans-serif"/>
          <w:b w:val="false"/>
          <w:color w:val="000000"/>
          <w:sz w:val="24"/>
        </w:rPr>
        <w:t xml:space="preserve">Victoria’s Secret &amp; Co. (“Victoria’s Secret” or the “Company”) (NYSE: VSCO) today reported 2023 financial results for the second quarter ended July 29, 2023.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Martin Waters commented, “We delivered second quarter sales, adjusted operating income and adjusted diluted earnings per share within our guidance range while the macro environment continues to put pressure on our customer base and our core intimates categories. As anticipated, and what was a continuation of first quarter trends, sales performance in the second quarter was particularly challenging in the overall stores and digital intimates market in North America which impacted both our Victoria’s Secret and PINK businesses in the quarter. In contrast, our international business experienced sales growth in excess of 25% compared to last year and strong profit flow thru, and our recently acquired Adore Me brand also grew sales during the quarter highlighting the strength of the business model and unique digital strategies. Our teams were resiliently focused on what was within our control, managing selling margins, diligently controlling costs, and delivering inventory levels at our Victoria’s Secret and PINK businesses down low-double digits compared to last year.”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Martin continued, “With our second quarter results in-line with our guidance, our outlook calls for improving sales trends throughout the fall season. We entered the third quarter with relatively lean inventory levels, and I am encouraged by August sales trends which were better than July, second quarter and the entirety of the spring season. The teams have been working tirelessly on multiple growth initiatives designed to change our sales trends in the third quarter and the all-important holiday season. Initiatives such as our new multi-tender loyalty program, a reimagined merchandise strategy for our PINK brand, new technology to enhance the customer experience, the launch of our Victoria’s Secret ICON bra, and coming in September the Victoria’s Secret World Tour ’23 which will be our largest marketing investment in the last five years. These are only a portion of our initiatives for growing our business over the longer-term, and I believe we have the right leadership team in place at the right time for our business to be successful. We remain confident in our brand repositioning efforts and our strategic plans for growth and are committed to delivering our long-term financial targets and returning value to our shareholders.”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Second Quarter Results</w:t>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reported a net loss of $1 million, or $0.02 per diluted share for the second quarter of 2023. This result compares to net income of $70 million, or $0.83 per diluted share for the second quarter of 2022. Second quarter 2023 operating income was $26 million compared to operating income of $98 million in the second quarter of 2022.</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Excluding the impact of the items described at the conclusion of this press release, second quarter 2023 adjusted net income was $19 million, or $0.24 per diluted share, and adjusted operating income was $49 million. These results were near the midpoint of the previously communicated guidance range for adjusted net income of $0.10 to $0.40 per diluted share and adjusted operating income of $35 million to $65 million. Second quarter 2022 adjusted net income was $92 million, or $1.09 per diluted share, and adjusted operating income was $127 million.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sales of $1.427 billion for the second quarter of 2023, a decrease of 6% compared to net sales of $1.521 billion in the prior year second quarter. Total comparable sales for the second quarter of 2023 decreased 11% compared to the second quarter of 2022.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Adjusted net income and adjusted operating income are non-GAAP financial measures. At the conclusion of this press release, we have included more information regarding these non-GAAP financial measures, including a reconciliation of each non-GAAP financial measure to the most directly comparable financial measure reported in accordance with GAAP.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Capital Allocation</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January 2023, the Company announced a new share repurchase program (“January 2023 Share Repurchase Program”) providing for the repurchase of up to $250 million of the Company’s common stock through the end of fiscal year 2023. As a component of the January 2023 Share Repurchase Program, the Company entered into an accelerated share repurchase agreement (“ASR”) with Goldman Sachs &amp; Co. LLC (“Goldman Sachs”) to repurchase $125 million of the Company’s common stock. Under the terms of the ASR, the Company made a payment of $125 million to Goldman Sachs on February 2, 2023 and received an initial delivery of approximately 2.4 million shares of the Company’s common stock. In the second quarter of 2023, the ASR was completed, and the Company received an additional approximately 1.3 million shares of the Company’s common stock. The total approximately 3.7 million shares repurchased under the ASR was based on the volume-weighted average price of the Company’s common stock during the term of the ASR, less a discount and subject to adjustments pursuant to the terms of the ASR.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Third Quarter and Full Year 2023 Outlook</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forecasting third quarter 2023 net sales to decrease in the low- to mid-single digit range compared to last year’s third quarter net sales of $1.318 billion. At this forecasted level of sales, adjusted operating loss for the third quarter of 2023 is expected to be in the range of $45 million to $75 million. Adjusted net loss for the third quarter of 2023 is estimated to be in the range of $0.70 to $1.00 per diluted share. </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forecasting full year 2023 net sales to decrease in the low-single digit range compared to last year and we expect the adjusted operating income rate to be in the range of 5% to 6% of net sales, consistent with the current analyst consensus estimate which reflects a net sales decrease of approximately 2% compared to full year 2022 and an adjusted operating income rate of approximately 5.5% of net sales.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analyst consensus estimate represents the average of third-party analyst estimates and is current as of August 30, 2023. The Company has not independently verified, makes no representation as to the reliability or accuracy of, and disclaims any potential liability associated with such data. Analyst estimates of sales and operating margin may be calculated differently from how the Company calculates such measures and may include or exclude certain material adjustments that may be required by generally accepted accounting principles. Forecasted adjusted operating income (loss) and adjusted net income (loss) per diluted share for the full year and third quarter 2023 excludes the financial impact of purchase accounting items related to the Adore Me acquisition, including recognition in gross profit of purchase accounting fair value adjustments to acquired inventories as it is sold and expense (income) related to changes in the estimated fair value of contingent consideration and performance-based payments, as well as the amortization of intangible assets. The Company is not able to provide a reconciliation of forward-looking adjusted operating income (loss) or adjusted net income (loss)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Victoria’s Secret &amp; Co. will conduct its second quarter earnings call at 8:00 a.m. Eastern on Thursday, August 31, 2023. To listen, call 1-800-619-9066 (international dial-in number: 1-212-519-0836); conference ID 5358727. For an audio replay, call 1-800-839-1151 (international replay number: 1-203-369-3392); conference ID 5358727 or log onto </w:t>
      </w:r>
      <w:r>
        <w:rPr>
          <w:rFonts w:ascii="Times New Roman;sans-serif" w:hAnsi="Times New Roman;sans-serif"/>
          <w:b w:val="false"/>
          <w:color w:val="0563C1"/>
          <w:sz w:val="24"/>
        </w:rPr>
        <w:t>www.victoriassecretandco.com</w:t>
      </w:r>
      <w:r>
        <w:rPr>
          <w:rFonts w:ascii="Times New Roman;sans-serif" w:hAnsi="Times New Roman;sans-serif"/>
          <w:b w:val="false"/>
          <w:color w:val="000000"/>
          <w:sz w:val="24"/>
        </w:rPr>
        <w:t>. The materials accompanying the earnings call have been posted on the Investors section of the Company’s website. The audio replay will be available approximately two hours after the conclusion of the call.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About Victoria’s Secret &amp; Co.</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1,350 retail stores in nearly 70 countries. We provide our customers with products and experiences that make them feel good inside and out while driving positive change through the power of our products, platform and advocacy.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the spin-off from Bath &amp; Body Works, Inc. (f/k/a L Brands, Inc.) may not be tax-free for U.S. federal income tax purposes;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may not realize all of the expected benefits of the spin-off;</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novel coronavirus (COVID-19) global pandemic has had and may continue to have an adverse effect on our business and results of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difficulties arising from turnover in company leadership or other key positions;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develop and retain qualified associates and manage labor-related costs;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dependence on mall traffic and the availability of suitable store locations on appropriate terms;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expand internationally and related risks;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independent franchise, license, wholesale and joint venture partners;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direct channel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protect our reputation and the image of our brands;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customers with marketing, advertising and promotional programs;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highly competitive nature of the retail industry and the segments in which we operate;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consumer acceptance of our products and our ability to manage the life cycle of our brands, keep up with fashion trends, develop new merchandise and launch new product lines successfully;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realize the potential benefits and synergies sought with the acquisition of AdoreMe, Inc.;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source, distribute and sell goods and materials on a global basis, including risks related to:</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political instability, environmental hazards or natural disasters;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health hazards or pandemics;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legal and regulatory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delays or disruptions in shipping and transportation and related pricing impacts;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disruption due to labor disputes;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geographic concentration of vendor and distribution facilities in central Ohio and Southeast Asia;</w:t>
      </w:r>
    </w:p>
    <w:p>
      <w:pPr>
        <w:pStyle w:val="TextBody"/>
        <w:bidi w:val="0"/>
        <w:spacing w:lineRule="auto" w:line="268"/>
        <w:ind w:left="0" w:right="0" w:hanging="360"/>
        <w:jc w:val="both"/>
        <w:rPr/>
      </w:pPr>
      <w:r>
        <w:rPr>
          <w:color w:val="000000"/>
        </w:rPr>
        <w:t>•</w:t>
      </w:r>
      <w:r>
        <w:rPr>
          <w:rFonts w:ascii="Times New Roman;sans-serif" w:hAnsi="Times New Roman;sans-serif"/>
          <w:b w:val="false"/>
          <w:color w:val="000000"/>
          <w:sz w:val="24"/>
        </w:rPr>
        <w:t>the ability of our vendors to deliver products in a timely manner, meet quality standards and comply with applicable laws and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8"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fluctuations in freight, product input and energy costs, including those caused by inflation;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and our third-party service providers’ ability to implement and maintain information technology systems and to protect associated data and system availability;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the security of customer, associate, third-party and company information;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stock price volatility;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shareholder activism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our credit rating;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comply with regulatory requirements;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legal, tax, trade and other regulatory matters.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further information, please contact:</w:t>
      </w:r>
    </w:p>
    <w:p>
      <w:pPr>
        <w:pStyle w:val="TextBody"/>
        <w:bidi w:val="0"/>
        <w:spacing w:before="0" w:after="0"/>
        <w:jc w:val="left"/>
        <w:rPr/>
      </w:pPr>
      <w:r>
        <w:rPr/>
      </w:r>
    </w:p>
    <w:tbl>
      <w:tblPr>
        <w:tblW w:w="6959" w:type="dxa"/>
        <w:jc w:val="left"/>
        <w:tblInd w:w="0" w:type="dxa"/>
        <w:tblLayout w:type="fixed"/>
        <w:tblCellMar>
          <w:top w:w="28" w:type="dxa"/>
          <w:left w:w="28" w:type="dxa"/>
          <w:bottom w:w="28" w:type="dxa"/>
          <w:right w:w="28" w:type="dxa"/>
        </w:tblCellMar>
      </w:tblPr>
      <w:tblGrid>
        <w:gridCol w:w="1105"/>
        <w:gridCol w:w="976"/>
        <w:gridCol w:w="980"/>
        <w:gridCol w:w="269"/>
        <w:gridCol w:w="269"/>
        <w:gridCol w:w="269"/>
        <w:gridCol w:w="894"/>
        <w:gridCol w:w="894"/>
        <w:gridCol w:w="1303"/>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6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Victoria's Secret &amp; Co.:</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Investor Relations: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Media Relations:</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Wynk</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Brooke Wilson</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investorrelations@victoria.com</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communications@victoria.com</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9" name="Frame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Total Sales (Millions):</w:t>
      </w:r>
    </w:p>
    <w:tbl>
      <w:tblPr>
        <w:tblW w:w="10082" w:type="dxa"/>
        <w:jc w:val="left"/>
        <w:tblInd w:w="0" w:type="dxa"/>
        <w:tblLayout w:type="fixed"/>
        <w:tblCellMar>
          <w:top w:w="28" w:type="dxa"/>
          <w:left w:w="28" w:type="dxa"/>
          <w:bottom w:w="28" w:type="dxa"/>
          <w:right w:w="28" w:type="dxa"/>
        </w:tblCellMar>
      </w:tblPr>
      <w:tblGrid>
        <w:gridCol w:w="732"/>
        <w:gridCol w:w="644"/>
        <w:gridCol w:w="648"/>
        <w:gridCol w:w="211"/>
        <w:gridCol w:w="766"/>
        <w:gridCol w:w="109"/>
        <w:gridCol w:w="109"/>
        <w:gridCol w:w="109"/>
        <w:gridCol w:w="109"/>
        <w:gridCol w:w="211"/>
        <w:gridCol w:w="766"/>
        <w:gridCol w:w="109"/>
        <w:gridCol w:w="109"/>
        <w:gridCol w:w="109"/>
        <w:gridCol w:w="109"/>
        <w:gridCol w:w="285"/>
        <w:gridCol w:w="286"/>
        <w:gridCol w:w="331"/>
        <w:gridCol w:w="109"/>
        <w:gridCol w:w="109"/>
        <w:gridCol w:w="109"/>
        <w:gridCol w:w="233"/>
        <w:gridCol w:w="847"/>
        <w:gridCol w:w="121"/>
        <w:gridCol w:w="109"/>
        <w:gridCol w:w="109"/>
        <w:gridCol w:w="109"/>
        <w:gridCol w:w="233"/>
        <w:gridCol w:w="847"/>
        <w:gridCol w:w="121"/>
        <w:gridCol w:w="109"/>
        <w:gridCol w:w="109"/>
        <w:gridCol w:w="109"/>
        <w:gridCol w:w="285"/>
        <w:gridCol w:w="286"/>
        <w:gridCol w:w="376"/>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Inc/</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Inc/</w:t>
              <w:br/>
              <w:t>(Dec)</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Stores - North America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Direct</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76" w:before="0" w:after="0"/>
        <w:ind w:left="0" w:right="0" w:hanging="225"/>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Results in 2023 include Adore Me sales.</w:t>
      </w:r>
    </w:p>
    <w:p>
      <w:pPr>
        <w:pStyle w:val="TextBody"/>
        <w:bidi w:val="0"/>
        <w:spacing w:lineRule="auto" w:line="276" w:before="0" w:after="0"/>
        <w:ind w:left="0" w:right="0" w:hanging="225"/>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 Results include consolidated joint venture sales in China, royalties associated with franchised stores and wholesale sales.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Comparable Sales Increase (Decrease):</w:t>
      </w:r>
    </w:p>
    <w:tbl>
      <w:tblPr>
        <w:tblW w:w="6595" w:type="dxa"/>
        <w:jc w:val="left"/>
        <w:tblInd w:w="0" w:type="dxa"/>
        <w:tblLayout w:type="fixed"/>
        <w:tblCellMar>
          <w:top w:w="28" w:type="dxa"/>
          <w:left w:w="28" w:type="dxa"/>
          <w:bottom w:w="28" w:type="dxa"/>
          <w:right w:w="28" w:type="dxa"/>
        </w:tblCellMar>
      </w:tblPr>
      <w:tblGrid>
        <w:gridCol w:w="570"/>
        <w:gridCol w:w="501"/>
        <w:gridCol w:w="504"/>
        <w:gridCol w:w="265"/>
        <w:gridCol w:w="265"/>
        <w:gridCol w:w="266"/>
        <w:gridCol w:w="109"/>
        <w:gridCol w:w="109"/>
        <w:gridCol w:w="109"/>
        <w:gridCol w:w="265"/>
        <w:gridCol w:w="265"/>
        <w:gridCol w:w="266"/>
        <w:gridCol w:w="109"/>
        <w:gridCol w:w="109"/>
        <w:gridCol w:w="109"/>
        <w:gridCol w:w="400"/>
        <w:gridCol w:w="400"/>
        <w:gridCol w:w="401"/>
        <w:gridCol w:w="109"/>
        <w:gridCol w:w="109"/>
        <w:gridCol w:w="109"/>
        <w:gridCol w:w="365"/>
        <w:gridCol w:w="365"/>
        <w:gridCol w:w="516"/>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Year-to-Date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Stores and Direct</w:t>
            </w:r>
            <w:r>
              <w:rPr>
                <w:rFonts w:ascii="Times New Roman;sans-serif" w:hAnsi="Times New Roman;sans-serif"/>
                <w:b w:val="false"/>
                <w:color w:val="000000"/>
                <w:sz w:val="13"/>
              </w:rPr>
              <w:t>1</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Stores Only</w:t>
            </w:r>
            <w:r>
              <w:rPr>
                <w:rFonts w:ascii="Times New Roman;sans-serif" w:hAnsi="Times New Roman;sans-serif"/>
                <w:b w:val="false"/>
                <w:color w:val="000000"/>
                <w:sz w:val="13"/>
              </w:rPr>
              <w:t>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 xml:space="preserve">NOTE: </w:t>
      </w:r>
      <w:r>
        <w:rPr>
          <w:rFonts w:ascii="Times New Roman;sans-serif" w:hAnsi="Times New Roman;sans-serif"/>
          <w:b w:val="false"/>
          <w:color w:val="212529"/>
          <w:sz w:val="20"/>
          <w:shd w:fill="FFFFFF" w:val="clear"/>
        </w:rPr>
        <w:t>Please refer to our filings with the Securities and Exchange Commission for further discussion regarding our comparable sales calculation.</w:t>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Results include company-operated stores in the U.S. and Canada, consolidated joint venture stores in China and direct sales.</w:t>
      </w:r>
    </w:p>
    <w:p>
      <w:pPr>
        <w:pStyle w:val="TextBody"/>
        <w:bidi w:val="0"/>
        <w:spacing w:lineRule="auto" w:line="276"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Results include company-operated stores in the U.S. and Canada and consolidated joint venture stores in China.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Total Stores:</w:t>
      </w:r>
    </w:p>
    <w:tbl>
      <w:tblPr>
        <w:tblW w:w="5825" w:type="dxa"/>
        <w:jc w:val="center"/>
        <w:tblInd w:w="0" w:type="dxa"/>
        <w:tblLayout w:type="fixed"/>
        <w:tblCellMar>
          <w:top w:w="28" w:type="dxa"/>
          <w:left w:w="28" w:type="dxa"/>
          <w:bottom w:w="28" w:type="dxa"/>
          <w:right w:w="28" w:type="dxa"/>
        </w:tblCellMar>
      </w:tblPr>
      <w:tblGrid>
        <w:gridCol w:w="901"/>
        <w:gridCol w:w="793"/>
        <w:gridCol w:w="795"/>
        <w:gridCol w:w="346"/>
        <w:gridCol w:w="285"/>
        <w:gridCol w:w="281"/>
        <w:gridCol w:w="250"/>
        <w:gridCol w:w="250"/>
        <w:gridCol w:w="251"/>
        <w:gridCol w:w="225"/>
        <w:gridCol w:w="225"/>
        <w:gridCol w:w="226"/>
        <w:gridCol w:w="350"/>
        <w:gridCol w:w="281"/>
        <w:gridCol w:w="366"/>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Stores at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1/28/23</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Opened</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Closed</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7/29/23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Beauty &amp; Accessories</w:t>
            </w:r>
            <w:r>
              <w:rPr>
                <w:rFonts w:ascii="Times New Roman;sans-serif" w:hAnsi="Times New Roman;sans-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1,350</w:t>
            </w:r>
            <w:r>
              <w:rPr>
                <w:color w:val="000000"/>
              </w:rPr>
              <w:t>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Includes fifteen partner-operated stores at 7/29/23.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0"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52"/>
        <w:gridCol w:w="1832"/>
        <w:gridCol w:w="1403"/>
        <w:gridCol w:w="343"/>
        <w:gridCol w:w="1588"/>
        <w:gridCol w:w="176"/>
        <w:gridCol w:w="176"/>
        <w:gridCol w:w="176"/>
        <w:gridCol w:w="176"/>
        <w:gridCol w:w="343"/>
        <w:gridCol w:w="1588"/>
        <w:gridCol w:w="252"/>
      </w:tblGrid>
      <w:tr>
        <w:trPr/>
        <w:tc>
          <w:tcPr>
            <w:tcW w:w="215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(LOSS)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 JULY 29, 2023 AND JULY 30, 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r>
      <w:tr>
        <w:trPr/>
        <w:tc>
          <w:tcPr>
            <w:tcW w:w="5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1,521,208 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(985,957)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535,251 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(460,528)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(437,739)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97,512 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67,211 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Victoria's Secret &amp; Co.</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Diluted Share Attributable to Victoria's Secret &amp; Co.</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Shares Outstanding</w:t>
            </w:r>
            <w:r>
              <w:rPr>
                <w:rFonts w:ascii="Times New Roman;sans-serif" w:hAnsi="Times New Roman;sans-serif"/>
                <w:b w:val="false"/>
                <w:color w:val="000000"/>
                <w:sz w:val="13"/>
              </w:rPr>
              <w:t>1</w:t>
            </w:r>
          </w:p>
        </w:tc>
        <w:tc>
          <w:tcPr>
            <w:tcW w:w="19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77,310 </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84,292 </w:t>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Reported Weighted Average Shares Outstanding in the second quarter of 2023 reflects basic shares due to the Net Loss.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1"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36"/>
        <w:gridCol w:w="1815"/>
        <w:gridCol w:w="1331"/>
        <w:gridCol w:w="350"/>
        <w:gridCol w:w="1622"/>
        <w:gridCol w:w="179"/>
        <w:gridCol w:w="179"/>
        <w:gridCol w:w="179"/>
        <w:gridCol w:w="179"/>
        <w:gridCol w:w="350"/>
        <w:gridCol w:w="1622"/>
        <w:gridCol w:w="263"/>
      </w:tblGrid>
      <w:tr>
        <w:trPr/>
        <w:tc>
          <w:tcPr>
            <w:tcW w:w="213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(LOSS)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 JULY 29, 2023 AND JULY 30, 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r>
      <w:tr>
        <w:trPr/>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2,834,251 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3,005,014 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(1,845,283)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(1,948,257)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988,968 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1,056,757 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(865,122)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191,635 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w:t>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143,355 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Victoria's Secret &amp; Co.</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Diluted Share Attributable to Victoria's Secret &amp; Co.</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Shares Outstanding</w:t>
            </w:r>
            <w:r>
              <w:rPr>
                <w:rFonts w:ascii="Times New Roman;sans-serif" w:hAnsi="Times New Roman;sans-serif"/>
                <w:b w:val="false"/>
                <w:color w:val="000000"/>
                <w:sz w:val="13"/>
              </w:rPr>
              <w:t>1</w:t>
            </w:r>
          </w:p>
        </w:tc>
        <w:tc>
          <w:tcPr>
            <w:tcW w:w="197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77,756 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85,674 </w:t>
            </w:r>
          </w:p>
        </w:tc>
        <w:tc>
          <w:tcPr>
            <w:tcW w:w="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Reported Weighted Average Shares Outstanding in 2023 reflects basic shares due to the Net Loss.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2"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98"/>
        <w:gridCol w:w="186"/>
        <w:gridCol w:w="186"/>
        <w:gridCol w:w="327"/>
        <w:gridCol w:w="1080"/>
        <w:gridCol w:w="182"/>
        <w:gridCol w:w="182"/>
        <w:gridCol w:w="182"/>
        <w:gridCol w:w="182"/>
        <w:gridCol w:w="327"/>
        <w:gridCol w:w="1231"/>
        <w:gridCol w:w="182"/>
        <w:gridCol w:w="182"/>
        <w:gridCol w:w="182"/>
        <w:gridCol w:w="182"/>
        <w:gridCol w:w="327"/>
        <w:gridCol w:w="1231"/>
        <w:gridCol w:w="182"/>
        <w:gridCol w:w="182"/>
        <w:gridCol w:w="182"/>
        <w:gridCol w:w="182"/>
        <w:gridCol w:w="327"/>
        <w:gridCol w:w="1231"/>
        <w:gridCol w:w="270"/>
      </w:tblGrid>
      <w:tr>
        <w:trPr/>
        <w:tc>
          <w:tcPr>
            <w:tcW w:w="12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VICTORIA'S SECRET &amp; CO.</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NON-GAAP FINANCIAL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68" w:before="0" w:after="100"/>
              <w:jc w:val="left"/>
              <w:rPr>
                <w:rFonts w:ascii="Times New Roman;sans-serif" w:hAnsi="Times New Roman;sans-serif"/>
                <w:b w:val="false"/>
                <w:i/>
                <w:color w:val="000000"/>
                <w:sz w:val="18"/>
              </w:rPr>
            </w:pPr>
            <w:r>
              <w:rPr>
                <w:rFonts w:ascii="Times New Roman;sans-serif" w:hAnsi="Times New Roman;sans-serif"/>
                <w:b w:val="false"/>
                <w:i/>
                <w:color w:val="000000"/>
                <w:sz w:val="18"/>
              </w:rPr>
              <w:t>In addition to our results provided in accordance with GAAP above and throughout this press release,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 Quarter</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Year-to-Date</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Operating Income</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Operating Income - GAAP</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191,635 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 (c)</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126,860 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242,662 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Net Income (Loss) Attributable to Victoria's Secret &amp; Co.</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Net Income (Loss) Attributable to Victoria's Secret &amp; Co. - GAAP</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150,749 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 (c)</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Adjusted Items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Attributable to Victoria's Secret &amp; Co.</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91,996 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189,021 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Net Income (Loss) Per Diluted Share Attributable to Victoria's Secret &amp; Co.</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Net Income (Loss) Per Diluted Share Attributable to Victoria's Secret &amp; Co. - GAAP</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 (c)</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Diluted Share Attributable to Victoria's Secret &amp; Co.</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(a) In the second quarter of 2023, we recognized a $17.5 million charge ($15.6 million net of tax of $1.9 million), $9.7 million included in general, administrative and store operating expense, $6.7 million included in costs of goods sold and $1.1 million included in interest expense, related to the financial impact of purchase accounting items related to the acquisition of Adore Me. Year-to-date 2023, we recognized charges of $27.9 million ($23.8 million net of tax of $4.1 million), $15.3 million included in costs of goods sold, $10.4 million included in general, administrative and store operating expense and $2.2 million included in interest expense, related to the financial impact of purchase accounting items and professional service costs related to the acquisition of Adore Me.</w: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(b) In the second quarter of 2023, we recognized $6.3 million of amortization expense ($4.7 million net of tax of $1.6 million) included in general, administrative and store operating expense related to the acquisition of Adore Me. Year-to-date 2023, we recognized $12.6 million of amortization expense ($9.3 million net of tax of $3.3 million) included in general, administrative and store operating expense related to the acquisition of Adore Me.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13360"/>
                <wp:effectExtent l="0" t="0" r="0" b="0"/>
                <wp:wrapNone/>
                <wp:docPr id="13"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(c) In the first quarter of 2023, we recognized a $11.1 million pre-tax charge ($8.4 million net of tax of $2.7 million), $7.8 million included in general, administrative and store operating expense and $3.3 million included in buying and occupancy expense, related to restructuring activities to continue to reorganize and improve our organizational structure. In the second quarter of 2022, we recognized a $29.3 million charge ($22.1 million net of tax of $7.2 million), $16.2 million included in general, administrative and store operating expense and $13.1 million included in buying and occupancy expense, related to restructuring activities to reorganize our leadership structure.</w: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(d) 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pStyle w:val="TextBody"/>
        <w:bidi w:val="0"/>
        <w:spacing w:before="10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13360"/>
                <wp:effectExtent l="0" t="0" r="0" b="0"/>
                <wp:wrapNone/>
                <wp:docPr id="14"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8"/>
        </w:rPr>
      </w:pPr>
      <w:r>
        <w:rPr>
          <w:rFonts w:ascii="Times New Roman;sans-serif" w:hAnsi="Times New Roman;sans-serif"/>
          <w:b w:val="false"/>
          <w:color w:val="000000"/>
          <w:sz w:val="28"/>
        </w:rPr>
        <w:t>Exhibit 99.2</w:t>
      </w:r>
    </w:p>
    <w:p>
      <w:pPr>
        <w:pStyle w:val="TextBody"/>
        <w:bidi w:val="0"/>
        <w:spacing w:before="0" w:after="0"/>
        <w:jc w:val="center"/>
        <w:rPr/>
      </w:pPr>
      <w:r>
        <w:rPr/>
        <w:drawing>
          <wp:inline distT="0" distB="0" distL="0" distR="0">
            <wp:extent cx="5105400" cy="138112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5105400" cy="1381125"/>
                    </a:xfrm>
                    <a:prstGeom prst="rect">
                      <a:avLst/>
                    </a:prstGeom>
                  </pic:spPr>
                </pic:pic>
              </a:graphicData>
            </a:graphic>
          </wp:inline>
        </w:drawing>
      </w:r>
    </w:p>
    <w:p>
      <w:pPr>
        <w:pStyle w:val="TextBody"/>
        <w:bidi w:val="0"/>
        <w:spacing w:lineRule="auto" w:line="268" w:before="0" w:after="180"/>
        <w:jc w:val="center"/>
        <w:rPr>
          <w:rFonts w:ascii="Times New Roman;sans-serif" w:hAnsi="Times New Roman;sans-serif"/>
          <w:b/>
          <w:color w:val="000000"/>
          <w:sz w:val="32"/>
        </w:rPr>
      </w:pPr>
      <w:r>
        <w:rPr>
          <w:rFonts w:ascii="Times New Roman;sans-serif" w:hAnsi="Times New Roman;sans-serif"/>
          <w:b/>
          <w:color w:val="000000"/>
          <w:sz w:val="32"/>
        </w:rPr>
        <w:t>Rod Little Joins Victoria’s Secret and Co. Board of Directors</w:t>
      </w:r>
    </w:p>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val="false"/>
          <w:color w:val="000000"/>
          <w:sz w:val="24"/>
        </w:rPr>
        <w:t>Reynoldsburg, Ohio (August 29, 2023)</w:t>
      </w:r>
      <w:r>
        <w:rPr>
          <w:color w:val="000000"/>
        </w:rPr>
        <w:t>—</w:t>
      </w:r>
      <w:r>
        <w:rPr>
          <w:rFonts w:ascii="Times New Roman;sans-serif" w:hAnsi="Times New Roman;sans-serif"/>
          <w:b w:val="false"/>
          <w:color w:val="000000"/>
          <w:sz w:val="24"/>
        </w:rPr>
        <w:t>Victoria’s Secret &amp; Co. (“Victoria’s Secret” or the “Company”) (NYSE: VSCO) announced today that Rod Little has been appointed to its Board.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Mr. Little is a transformational leader in the consumer products industry. He currently serves as Chief Executive Officer of Edgewell Personal Care where he is leading the business to become a more agile and modern consumer products company with a focus on technology and innovation.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Donna James, Chair of the Board, said, “We are honored to welcome Rod to the VS&amp;Co Board of Directors. His decades of financial, global consumer goods and public company experience will benefit VS&amp;Co as we continue to advance the Company’s strategy and deliver value to Victoria’s Secret shareholders. We look forward to Rod’s insight and expertise as we progress in our VS&amp;Co transformation journey.”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Mr. Little said, “I’m impressed with the positive transformation of the brand over the last several years and am energized by VS&amp;Co’s strategy to accelerate profitable growth. I’m honored to join this accomplished board at a time when there is so much potential for the company and I look forward to lending my expertise to advance the work already underway.”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Victoria’s Secret Board now comprises nine directors, eight of whom are independent and seven of whom are women.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About Rod Little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Mr. Little is Chief Executive Officer of Edgewell Personal Care, a multinational consumer products company. Prior to serving as CEO of Edgewell, Mr. Little was the company’s CFO and before that was with HSN, Inc. where he accelerated growth and margin expansion of a highly profitable business. Earlier in his career, Mr. Little was Executive Vice President and CFO of Elizabeth Arden and spent 16 years at Procter &amp; Gamble.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Mr. Little served in the United States Air Force for five years and serves on the Air Force Academy Foundation’s Board of Directors. He earned a Master of Business Administration in Finance from the University of Pittsburgh, and a Bachelor of Science in Management from the United States Air Force Academy.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13360"/>
                <wp:effectExtent l="0" t="0" r="0" b="0"/>
                <wp:wrapNone/>
                <wp:docPr id="16" name="Frame1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the spin-off from Bath &amp; Body Works, Inc. (f/k/a L Brands, Inc.) may not be tax-free for U.S. federal income tax purposes;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may not realize all of the expected benefits of the spin-off;</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novel coronavirus (COVID-19) global pandemic has had and may continue to have an adverse effect on our business and results of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difficulties arising from turnover in company leadership or other key positions;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develop and retain qualified associates and manage labor-related costs;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dependence on mall traffic and the availability of suitable store locations on appropriate terms;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expand internationally and related risks;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independent franchise, license, wholesale and joint venture partners;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direct channel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protect our reputation and the image of our brands;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customers with marketing, advertising and promotional programs;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highly competitive nature of the retail industry and the segments in which we operate;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consumer acceptance of our products and our ability to manage the life cycle of our brands, keep up with fashion trends, develop new merchandise and launch new product lines successfully;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realize the potential benefits and synergies sought with the acquisition of AdoreMe, Inc.;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source, distribute and sell goods and materials on a global basis, including risks related to:</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political instability, environmental hazards or natural disasters;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health hazards or pandemics;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legal and regulatory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delays or disruptions in shipping and transportation and related pricing impacts;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disruption due to labor disputes;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geographic concentration of vendor and distribution facilities in central Ohio and Southeast Asia;</w:t>
      </w:r>
    </w:p>
    <w:p>
      <w:pPr>
        <w:pStyle w:val="TextBody"/>
        <w:bidi w:val="0"/>
        <w:spacing w:lineRule="auto" w:line="268"/>
        <w:ind w:left="0" w:right="0" w:hanging="360"/>
        <w:jc w:val="both"/>
        <w:rPr/>
      </w:pPr>
      <w:r>
        <w:rPr>
          <w:color w:val="000000"/>
        </w:rPr>
        <w:t>•</w:t>
      </w:r>
      <w:r>
        <w:rPr>
          <w:rFonts w:ascii="Times New Roman;sans-serif" w:hAnsi="Times New Roman;sans-serif"/>
          <w:b w:val="false"/>
          <w:color w:val="000000"/>
          <w:sz w:val="24"/>
        </w:rPr>
        <w:t>the ability of our vendors to deliver products in a timely manner, meet quality standards and comply with applicable laws and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13360"/>
                <wp:effectExtent l="0" t="0" r="0" b="0"/>
                <wp:wrapNone/>
                <wp:docPr id="17" name="Frame1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fluctuations in freight, product input and energy costs, including those caused by inflation;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and our third-party service providers’ ability to implement and maintain information technology systems and to protect associated data and system availability;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the security of customer, associate, third-party and company information;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stock price volatility;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shareholder activism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our credit rating;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comply with regulatory requirements;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legal, tax, trade and other regulatory matters.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About Victoria’s Secret</w:t>
      </w:r>
    </w:p>
    <w:p>
      <w:pPr>
        <w:pStyle w:val="TextBody"/>
        <w:bidi w:val="0"/>
        <w:spacing w:lineRule="auto" w:line="268" w:before="0" w:after="0"/>
        <w:jc w:val="left"/>
        <w:rPr/>
      </w:pPr>
      <w:r>
        <w:rPr>
          <w:rFonts w:ascii="Times New Roman;sans-serif" w:hAnsi="Times New Roman;sans-serif"/>
          <w:b/>
          <w:color w:val="000000"/>
          <w:sz w:val="24"/>
        </w:rPr>
        <w:t>Victoria’s Secret &amp; Co. (NYSE: VSCO)</w:t>
      </w:r>
      <w:r>
        <w:rPr>
          <w:color w:val="000000"/>
        </w:rPr>
        <w:t xml:space="preserve"> </w:t>
      </w:r>
      <w:r>
        <w:rPr>
          <w:rFonts w:ascii="Times New Roman;sans-serif" w:hAnsi="Times New Roman;sans-serif"/>
          <w:b w:val="false"/>
          <w:color w:val="000000"/>
          <w:sz w:val="24"/>
        </w:rPr>
        <w:t>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1,350 retail stores in approximately 70 countries. We provide our customers with products and experiences that make them feel good inside and out while driving positive change through the power of our products, platform and advocacy.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further information, please contact:</w:t>
      </w:r>
    </w:p>
    <w:p>
      <w:pPr>
        <w:pStyle w:val="TextBody"/>
        <w:bidi w:val="0"/>
        <w:spacing w:before="0" w:after="0"/>
        <w:jc w:val="left"/>
        <w:rPr/>
      </w:pPr>
      <w:r>
        <w:rPr/>
      </w:r>
    </w:p>
    <w:tbl>
      <w:tblPr>
        <w:tblW w:w="6959" w:type="dxa"/>
        <w:jc w:val="left"/>
        <w:tblInd w:w="0" w:type="dxa"/>
        <w:tblLayout w:type="fixed"/>
        <w:tblCellMar>
          <w:top w:w="28" w:type="dxa"/>
          <w:left w:w="28" w:type="dxa"/>
          <w:bottom w:w="28" w:type="dxa"/>
          <w:right w:w="28" w:type="dxa"/>
        </w:tblCellMar>
      </w:tblPr>
      <w:tblGrid>
        <w:gridCol w:w="1105"/>
        <w:gridCol w:w="976"/>
        <w:gridCol w:w="980"/>
        <w:gridCol w:w="269"/>
        <w:gridCol w:w="269"/>
        <w:gridCol w:w="269"/>
        <w:gridCol w:w="894"/>
        <w:gridCol w:w="894"/>
        <w:gridCol w:w="1303"/>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6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Victoria's Secret &amp; Co.:</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Investor Relations: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Media Relations:</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Wynk</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Brooke Wilson</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investorrelations@victoria.com</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communications@victoria.com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13360"/>
                <wp:effectExtent l="0" t="0" r="0" b="0"/>
                <wp:wrapNone/>
                <wp:docPr id="18" name="Frame1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5550</Words>
  <Characters>31070</Characters>
  <CharactersWithSpaces>36254</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