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28, 2023</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4"/>
        </w:trPr>
        <w:tc>
          <w:tcPr>
            <w:tcW w:w="4980" w:type="dxa"/>
            <w:vAlign w:val="bottom"/>
            <w:gridSpan w:val="2"/>
          </w:tcPr>
          <w:p>
            <w:pPr>
              <w:jc w:val="center"/>
              <w:ind w:right="25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spacing w:after="0"/>
              <w:rPr>
                <w:sz w:val="16"/>
                <w:szCs w:val="16"/>
                <w:color w:val="auto"/>
              </w:rPr>
            </w:pPr>
          </w:p>
        </w:tc>
        <w:tc>
          <w:tcPr>
            <w:tcW w:w="37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2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4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2" w:lineRule="exact"/>
        <w:rPr>
          <w:sz w:val="24"/>
          <w:szCs w:val="24"/>
          <w:color w:val="auto"/>
        </w:rPr>
      </w:pPr>
    </w:p>
    <w:p>
      <w:pPr>
        <w:ind w:right="3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ind w:right="2420"/>
        <w:spacing w:after="0" w:line="27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24, 2023, the number of outstanding shares of the Registrant’s common stock was 77,434,945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20" w:type="dxa"/>
            <w:vAlign w:val="bottom"/>
            <w:gridSpan w:val="8"/>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20" w:type="dxa"/>
            <w:vAlign w:val="bottom"/>
            <w:gridSpan w:val="8"/>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4"/>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Income (Loss) for the Thirteen-Weeks and Thirty-Nine-Weeks Ended October 28, 2023 and October</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8"/>
          </w:tcPr>
          <w:p>
            <w:pPr>
              <w:ind w:left="20"/>
              <w:spacing w:after="0" w:line="142" w:lineRule="exact"/>
              <w:rPr>
                <w:sz w:val="20"/>
                <w:szCs w:val="20"/>
                <w:color w:val="auto"/>
              </w:rPr>
            </w:pPr>
            <w:r>
              <w:rPr>
                <w:rFonts w:ascii="Times New Roman" w:cs="Times New Roman" w:eastAsia="Times New Roman" w:hAnsi="Times New Roman"/>
                <w:sz w:val="16"/>
                <w:szCs w:val="16"/>
                <w:color w:val="0000FF"/>
              </w:rPr>
              <w:t>29, 2022 (Unaudited)</w:t>
            </w:r>
          </w:p>
        </w:tc>
        <w:tc>
          <w:tcPr>
            <w:tcW w:w="7700" w:type="dxa"/>
            <w:vAlign w:val="bottom"/>
            <w:tcBorders>
              <w:top w:val="single" w:sz="8" w:color="0000FF"/>
            </w:tcBorders>
            <w:gridSpan w:val="12"/>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2"/>
            <w:vMerge w:val="restart"/>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Thirteen-Weeks and Thirty-Nine-Weeks Ended October 28,</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80" w:type="dxa"/>
            <w:vAlign w:val="bottom"/>
            <w:tcBorders>
              <w:top w:val="single" w:sz="8" w:color="0000FF"/>
            </w:tcBorders>
            <w:gridSpan w:val="14"/>
          </w:tcPr>
          <w:p>
            <w:pPr>
              <w:ind w:left="20"/>
              <w:spacing w:after="0" w:line="142" w:lineRule="exact"/>
              <w:rPr>
                <w:sz w:val="20"/>
                <w:szCs w:val="20"/>
                <w:color w:val="auto"/>
              </w:rPr>
            </w:pPr>
            <w:r>
              <w:rPr>
                <w:rFonts w:ascii="Times New Roman" w:cs="Times New Roman" w:eastAsia="Times New Roman" w:hAnsi="Times New Roman"/>
                <w:sz w:val="16"/>
                <w:szCs w:val="16"/>
                <w:color w:val="0000FF"/>
              </w:rPr>
              <w:t>2023 and October 29, 2022 (Unaudited)</w:t>
            </w:r>
          </w:p>
        </w:tc>
        <w:tc>
          <w:tcPr>
            <w:tcW w:w="2780" w:type="dxa"/>
            <w:vAlign w:val="bottom"/>
            <w:tcBorders>
              <w:top w:val="single" w:sz="8" w:color="0000FF"/>
            </w:tcBorders>
            <w:gridSpan w:val="3"/>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360" w:type="dxa"/>
            <w:vAlign w:val="bottom"/>
            <w:gridSpan w:val="2"/>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October 28, 2023 (Unaudited), January 28, 2023 and October 29, 2022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and Thirty-Nine-Weeks Ended October 28, 2023 and October 29, 2022</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380" w:type="dxa"/>
            <w:vAlign w:val="bottom"/>
            <w:tcBorders>
              <w:top w:val="single" w:sz="8" w:color="0000FF"/>
            </w:tcBorders>
            <w:gridSpan w:val="16"/>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Thirty-Nine-Weeks Ended October 28, 2023 and October 29, 2022 (Unaudited)</w:t>
            </w:r>
          </w:p>
        </w:tc>
        <w:tc>
          <w:tcPr>
            <w:tcW w:w="340" w:type="dxa"/>
            <w:vAlign w:val="bottom"/>
            <w:gridSpan w:val="3"/>
          </w:tcPr>
          <w:p>
            <w:pPr>
              <w:spacing w:after="0"/>
              <w:rPr>
                <w:sz w:val="23"/>
                <w:szCs w:val="23"/>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080" w:type="dxa"/>
            <w:vAlign w:val="bottom"/>
            <w:gridSpan w:val="5"/>
          </w:tcPr>
          <w:p>
            <w:pPr>
              <w:spacing w:after="0"/>
              <w:rPr>
                <w:sz w:val="22"/>
                <w:szCs w:val="22"/>
                <w:color w:val="auto"/>
              </w:rPr>
            </w:pPr>
          </w:p>
        </w:tc>
        <w:tc>
          <w:tcPr>
            <w:tcW w:w="340" w:type="dxa"/>
            <w:vAlign w:val="bottom"/>
            <w:gridSpan w:val="3"/>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21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21"/>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460" w:right="160" w:hanging="434"/>
        <w:spacing w:after="0" w:line="22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“third quarter of 2023” and “third quarter of 2022” refer to the thirteen-week periods ended October 28, 2023 and October 29, 2022, respectively. “Year-to-date 2023” and “year-to-date 2022” refer to the thirty-nine-week periods ended October 28, 2023 and October 29, 2022, respectively, and “fiscal year 2023” and “fiscal year 2022” refer to the fifty-three-week period ending February 3, 2024 and the fifty-two-week period ended January 28, 2023,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700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gridSpan w:val="7"/>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77, 80, and 81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2023</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8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29,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 to Noncontrolling</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28,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30, 2022</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w w:val="99"/>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w w:val="99"/>
              </w:rPr>
              <w:t>24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29, 2022</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52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9"/>
                <w:szCs w:val="9"/>
                <w:color w:val="auto"/>
              </w:rPr>
            </w:pPr>
          </w:p>
        </w:tc>
        <w:tc>
          <w:tcPr>
            <w:tcW w:w="980" w:type="dxa"/>
            <w:vAlign w:val="bottom"/>
            <w:gridSpan w:val="4"/>
            <w:vMerge w:val="restart"/>
          </w:tcPr>
          <w:p>
            <w:pPr>
              <w:jc w:val="center"/>
              <w:ind w:right="380"/>
              <w:spacing w:after="0" w:line="11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360" w:type="dxa"/>
            <w:vAlign w:val="bottom"/>
            <w:gridSpan w:val="6"/>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5"/>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7"/>
                <w:szCs w:val="17"/>
                <w:color w:val="auto"/>
              </w:rPr>
            </w:pPr>
          </w:p>
        </w:tc>
        <w:tc>
          <w:tcPr>
            <w:tcW w:w="9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3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 to Noncontrolling</w:t>
            </w:r>
          </w:p>
        </w:tc>
        <w:tc>
          <w:tcPr>
            <w:tcW w:w="3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28, 2023</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Year-to-Date 2022</w:t>
            </w: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0" w:type="dxa"/>
            <w:vAlign w:val="bottom"/>
            <w:gridSpan w:val="9"/>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left="108"/>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lef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4"/>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29, 2022</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Noncontrolling Interest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29, 2022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Fair Value Adjustment to Acquired Inventories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Frankies Bikinis, LLC</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Noncontrolling Interest Partner</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more than 900 stores in the United States (“U.S.”), Canada and China as well as its own websites, www.VictoriasSecret.com, www.PINK.com and www.AdoreMe.com and other online channels worldwide. Additionally, the Company has more than 440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online channels.</w:t>
      </w:r>
    </w:p>
    <w:p>
      <w:pPr>
        <w:spacing w:after="0" w:line="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AdoreMe, Inc. (“Adore Me”), a digitally-native intimates brand. For additional information, see Note 2, “Acquisition.”</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In the fourth quarter of 2022 and in the first quarter of 2023, the Company implemented additional restructuring actions to continue to reorganize and improve its organizational structure. For additional information, see Note 4, “Restructuring Activities.”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“third quarter of 2023” and “third quarter of 2022” refer to the thirteen-week periods ended October 28, 2023 and October 29, 2022, respectively. “Year-to-date 2023” and “year-to-date 2022” refer to the thirty-nine-week periods ended October 28, 2023 and October 29, 2022, respectively, and “fiscal year 2023” and “fiscal year 2022” refer to the fifty-three-week period ending February 3, 2024 and the fifty-two-week period ended January 28,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October 28, 2023 and October 29, 2022 are unaudited. These Consolidated Financial Statements should be read in conjunction with the audited Consolidated Financial Statements and Notes thereto included in our Annual Report on Form 10-K filed with the Securities and Exchange Commission (“SEC”) on March 17, 2023.</w:t>
      </w:r>
    </w:p>
    <w:p>
      <w:pPr>
        <w:spacing w:after="0" w:line="4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and thirty-nine week periods ended October 28, 2023 are not necessarily indicative of the results expected for any other interim period or the full fiscal year ending February 3,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(Loss), and the Company's share of net income or loss from all other unconsolidated entities is included in General, Administrative and Store Operating Expenses in the Consolidated Statements of Income (Loss). The Company’s equity method investments are required to be reviewed for impairment when it is determined there may be an other-than-temporary loss in value.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March 2022, the Company acquired a minority interest in swimwear brand Frankies Bikinis, LLC (“Frankies Bikinis”) in exchange for $18 million. The investment in Frankies Bikinis is accounted for using the equity method of accounting.</w:t>
      </w:r>
    </w:p>
    <w:p>
      <w:pPr>
        <w:spacing w:after="0" w:line="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$56 million as of October 28, 2023, $56 million as of January 28, 2023 and $52 million as of October 29, 2022. These investments are recorded in Other Assets on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(Loss) Attributable to Noncontrolling Interest in the Consolidated Statements of Income (Loss). Noncontrolling interest represents the portion of equity interests in a joint venture in China that is not owned by the Company. For additional information, see Note 4, “Restructuring Activities.”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October 28, 2023, the Company's investment portfolio is primarily comprised of bank deposits.</w:t>
      </w:r>
    </w:p>
    <w:p>
      <w:pPr>
        <w:spacing w:after="0" w:line="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$154 million as of October 28, 2023, $213 million as of January 28, 2023 and $140 million as of October 29,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third quarter of 2023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30, 2022, the Company completed the acquisition of 100% of Adore Me. Adore Me is a direct-to-consumer lingerie and apparel brand with technology driven commerce service and a series of innovation-driven products. The acquisition creates the opportunity for the Company to leverage Adore Me's expertise and technology to continue to improve the Victoria's Secret and PINK customer shopping experience and accelerate the modernization of the Company's digital platform.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terms of the definitive agreement setting forth the terms and conditions of the acquisition (the “Merger Agreement”), the Company made an upfront cash payment of $391 million at closing and will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are recognized as compensation expense within General, Administrative and Store Operating Expenses in the Consolidated Statements of Income (Loss) if and when earned in future periods.</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total consideration when applying the acquisition method of accounting was initially $537 million, net of $22 million of cash acquired. The gross consideration as of the acquisition date of $559 million consisted of $391 million in cash paid at closing, $98 million which represented the fair value of the contingent cash consideration as of the acquisition date and $70 million which represented the fair value of the future fixed payment as of the acquisition date. During the second quarter of 2023, the Company received $1 million in cash for the final working capital settlement, which decreased the total consideration of the acquisition to $536 million.</w:t>
      </w:r>
    </w:p>
    <w:p>
      <w:pPr>
        <w:spacing w:after="0" w:line="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Adore Me using the acquisition method of accounting. Assets acquired and liabilities assumed have been recorded based on their preliminary fair values, and as a result, the estimates and assumptions are subject to change. The Company is still in the process of finalizing the valuation estimates and final purchase price allocation which includes potential adjustments related to amounts allocated to intangible assets. The Company expects to complete this process no later than twelve months after the closing of the acquisition. Year-to-date 2023, the Company recorded certain measurement period adjustments based on additional information, primarily related to assumed deferred income tax liabilities, assumed accrued expenses and other liabilities and acquired accounts receivable, resulting in a $2 million increase to Deferred Income Tax Liabilities, a $2 million decrease to Accrued Expenses and Other and a $1 million decrease to Accounts Receivable. The measurement period adjustments had an offsetting impact to Goodwill.</w:t>
      </w:r>
    </w:p>
    <w:p>
      <w:pPr>
        <w:spacing w:after="0" w:line="7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is a preliminary purchase price allocation of assets acquired and liabilities assumed as of December 30, 2022 related to the Adore Me acquisition: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Initial Allocation</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Allocation</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 and Liabilities Assumed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definite-lived intangible assets acquired, the preliminary fair values and respective useful lives: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6"/>
                <w:szCs w:val="16"/>
                <w:color w:val="auto"/>
              </w:rPr>
            </w:pPr>
          </w:p>
        </w:tc>
        <w:tc>
          <w:tcPr>
            <w:tcW w:w="17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r>
      <w:tr>
        <w:trPr>
          <w:trHeight w:val="23"/>
        </w:trPr>
        <w:tc>
          <w:tcPr>
            <w:tcW w:w="7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years</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Definite-Lived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0"/>
        </w:trPr>
        <w:tc>
          <w:tcPr>
            <w:tcW w:w="7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used the multi-period excess earnings method to value the customer relationships intangible assets and the relief from royalty method to value the developed technology and trade name intangible assets. The significant assumptions used to estimate the fair value of customer relationships included forecasted revenues, customer attrition rates and a discount rate. The significant assumptions used to estimate the fair value of developed technology and the trade name included forecasted revenues, royalty rates and a discount rate. These significant assumptions are forward-looking and could be affected by future economic and market conditions. The estimated weighted-average useful life was 7.4 years for definite-lived intangible assets.</w:t>
      </w:r>
    </w:p>
    <w:p>
      <w:pPr>
        <w:spacing w:after="0" w:line="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net assets recognized for Adore Me, and represents the future economic benefits, including synergies, and assembled workforce, that are expected to be achieved as a result of the consummation of the acquisition of Adore Me. The goodwill arising from the acquisition is not expected to be deductible for tax purposes.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consolidates Adore Me's financial information on an approximate one-month reporting lag. Accordingly, given the acquisition closing date of December 30, 2022, the operating results of Adore Me for the period subsequent to the acquisition date are recorded in the Company's consolidated financial statements beginning in 2023.</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third quarter and year-to-date 2023, the Company recognized the financial impact of purchase accounting items and additional acquisition-related costs, including recognition in gross profit of the fair value adjustment to acquired inventories as it is sold, recognition of changes in the estimated fair value of contingent consideration and Contingent Compensation Payments, as well as amortization of acquired intangible assets. During the third quarter of 2023, the Company recognized total related costs of $8 million, including $7 million in Costs of Goods Sold, Buying and Occupancy and $1 million in Interest Expense. Year-to-date 2023, the Company recognized total related costs of $49 million, including $22 million in Costs of Goods Sold, Buying and Occupancy, $24 million in General, Administrative and Store Operating Expenses and $3 million in Interest Expense. See Note 12, “Fair Value of Financial Instruments” for further information on the contingent consideration. The deferred consideration liability for the future fixed payment is included within Other Long-term Liabilities in the Consolidated Balance Sheets and was $74 million as of October 28, 2023 and $71 million as of January 28,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from revenue-generating activities were $102 million as of October 28, 2023, $101 million as of January 28,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 million as of October 29, 2022. Accounts receivable primarily relate to amounts due from the Company's franchise, license and wholesale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arrangements, payment terms are typically 60 to 90 days.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$283 million as of October 28, 2023, $309 million as of January 28, 2023 and $229 million as of October 29, 2022. The Company recognized $109 million as revenue year-to-date 2023 from amounts recorded as deferred revenue at the beginning of the year. As of October 28, 2023, the Company recorded deferred revenue of $267 million within Accrued Expenses and Other, and $16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third quarter and year-to-date 2023 and 2022:</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 (a)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Direct (a)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(b)</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4,323</w:t>
            </w:r>
          </w:p>
        </w:tc>
      </w:tr>
      <w:tr>
        <w:trPr>
          <w:trHeight w:val="21"/>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2023 include Adore Me sales.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Net Sales of $20 million and $29 million in the third quarter of 2023 and 2022, respectively, related to revenue earned in connection with its credit card arrangements. The Company recognized Net Sales of $66 million and $85 million year-to-date 2023 and 2022, respectively, related to revenue earned in connection with its credit card arrangements.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$205 million and $211 million for the third quarter of 2023 and 2022, respectively. The Company’s net sales outside of the U.S. totaled $637 million and $594 million year-to-date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w:t>
      </w:r>
    </w:p>
    <w:p>
      <w:pPr>
        <w:spacing w:after="0" w:line="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first quarter of 2023, the Company implemented additional restructuring actions to continue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Year-to-Date 2023 Consolidated Statement of Loss.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second quarter and fourth quarter of 2022, the Company implemented restructuring actions to reorganize and improve its organizational structure. As a result of the restructuring actions in the second quarter of 2022, the Company incurred pre-tax severance and related costs of $29 million, of which $16 million are included in General, Administrative and Store Operating Expenses and $13 million are included in Costs of Goods Sold, Buying and Occupancy in the 2022 Consolidated Statements of Income. As a result of the restructuring actions in the fourth quarter of 2022, the Company incurred pre-tax severance and related costs of $6 million, of which $5 million are included in General, Administrative and Store Operating Expenses and $1 million are included in Costs of Goods Sold, Buying and Occupancy.</w:t>
      </w:r>
    </w:p>
    <w:p>
      <w:pPr>
        <w:spacing w:after="0" w:line="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Year-to-date 2023, the Company made payments of $14 million related to severance and related costs associated with these reductions. As of October 28, 2023, liabilities, after accrual adjustments, related to these restructuring activities of $9 million are included in the October 28, 2023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China</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2022, the Company announced the completion of the joint venture agreement with Regina Miracle International (Holdings) Limited (“Regina Miracle”), a company listed on the Hong Kong Stock Exchange, related to its existing Company-owned business in China. The Company and Regina Miracle formed a joint venture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Sheets and in Net Income (Loss) Attributable to Noncontrolling Interest in the Consolidated Statements of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Earnings (loss) per basic share is computed based on the weighted-average number of common shares outstanding. Earnings (loss) per diluted share include the weighted-average effect of dilutive restricted stock units, performance share units and options (collectively, “Dilutive Awards”) on the weighted-average shares outstanding.</w:t>
      </w:r>
    </w:p>
    <w:p>
      <w:pPr>
        <w:spacing w:after="0" w:line="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(loss) per share for the third quarter and year-to-date 2023 and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13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(a)(b)</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5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diluted earnings per share because their inclusion would have been anti-dilutive.</w:t>
      </w:r>
    </w:p>
    <w:p>
      <w:pPr>
        <w:ind w:left="660" w:right="64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and year-to-date 2023, shares underlying outstanding restricted stock units, performance share units and options were excluded from dilutive shares as a result of the Company's net loss for the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 &amp; Treasury Stock Retirements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Year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January 2023, the Company's Board of Directors approved a share repurchase program (“January 2023 Share Repurchase Program”), authorizing the repurchase of up to $250 million of the Company's common stock. The $250 million authorization is expected to be utilized to repurchase shares in the open market or as otherwise authorized by the Board of Directors, subject to market conditions and other factors. The January 2023 Share Repurchase Program began upon completion of the March 2022 Share Repurchase Program and will continue until exhausted, but no later than the end of fiscal year 2023.</w:t>
      </w:r>
    </w:p>
    <w:p>
      <w:pPr>
        <w:spacing w:after="0" w:line="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January 2023 Share Repurchase Program during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October 28, 2023, the Company was authorized to repurchase up to $125 million of the Company's common stock under the January 2023 Share Repurchase Program.</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repurchased under the January 2023 Share Repurchase Program were immediately retired. As a result, the Company retired the 3.7 million shares repurchased in connection with the settlement of the ASR Agreement year-to-date 2023. The retirement resulted in a reduction of $126 million in Treasury Stock, less than $1 million in the par value of Common Stock, $9 million in Paid-in Capital and $117 million in Retained Earnings (Accumulated Deficit) year-to-date 2023.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Year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2022 Share Repurchase Program</w:t>
      </w:r>
    </w:p>
    <w:p>
      <w:pPr>
        <w:spacing w:after="0" w:line="1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approved a share repurchase program (“March 2022 Share Repurchase Program”), providing for the repurchase of up to $250 million of the Company's common stock. The $250 million authorization was utilized in fiscal year 2022 to repurchase shares in the open market, subject to market conditions and other factors.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March 2022 Share Repurchase Program during year-to-date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bl>
    <w:p>
      <w:pPr>
        <w:spacing w:after="0" w:line="15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the Company's common stock repurchased under the March 2022 Share Repurchase Program were retired upon repurchase. As a result, year-to-date 2022 the Company retired 5.1 million shares repurchased under the March 2022 Share Repurchase Program, which resulted in reductions of less than $1 million in the par value of Common Stock, $10 million in Paid-in Capital and $204 million in Retained Earnings.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2021 Accelerated Share Repurchase Agreement</w:t>
      </w:r>
    </w:p>
    <w:p>
      <w:pPr>
        <w:spacing w:after="0" w:line="10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February 2022, upon final settlement of the Company's December 2021 accelerated share repurchase agreement (“December 2021 ASR Agreement”) with Goldman Sachs, the Company received an additional 0.3 million shares of the Company's common stock from Goldman Sachs.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the Company immediately retired the additional 0.3 million shares repurchased in connection with the settlement of the December 2021 ASR Agreement. The retirement resulted in a reduction of</w:t>
      </w:r>
    </w:p>
    <w:p>
      <w:pPr>
        <w:spacing w:after="0" w:line="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$50 million in Treasury Stock, less than $1 million in the par value of Common Stock, less than $1 million in Paid-in Capital and nearly $50 million in Retained Earnings.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October 28, 2023, January 28, 2023 and October 29,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October 28, 2023, January 28, 2023 and October 29,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6"/>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Depreciation expense was $65 million and $68 million for the third quarter of 2023 and 2022, respectively. Depreciation expense was $197 million and $208 million for year-to-date 2023 and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goodwill was established as a result of the acquisition of Adore Me on December 30, 2022. For additional information, see Note 2, “Acquisition.” Prior to the acquisition of Adore Me, the Company did not have any goodwill.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the carrying value of goodwill: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(a)</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jc w:val="right"/>
              <w:ind w:right="8390"/>
              <w:spacing w:after="0"/>
              <w:rPr>
                <w:sz w:val="20"/>
                <w:szCs w:val="20"/>
                <w:color w:val="auto"/>
              </w:rPr>
            </w:pPr>
            <w:r>
              <w:rPr>
                <w:rFonts w:ascii="Times New Roman" w:cs="Times New Roman" w:eastAsia="Times New Roman" w:hAnsi="Times New Roman"/>
                <w:sz w:val="18"/>
                <w:szCs w:val="18"/>
                <w:color w:val="auto"/>
              </w:rPr>
              <w:t>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offsetting measurement period adjustments related to the acquisition of Adore Me. For additional information, see Note 2, “Acquisition.”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 - Indefinite-Lived</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Victoria's Secret trade name, an indefinite-lived intangible asset, was $246 million as of October 28, 2023, January 28, 2023 and October 29, 2022,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definite-lived intangible assets were established as a result of the acquisition of Adore Me. Prior to the acquisition of Adore Me, the Company did not have any definite-lived intangible assets.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the gross carrying amount and accumulated amortization of the Company's definite-lived intangible assets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2023 and January 28,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00" w:type="dxa"/>
            <w:vAlign w:val="bottom"/>
          </w:tcPr>
          <w:p>
            <w:pPr>
              <w:spacing w:after="0"/>
              <w:rPr>
                <w:sz w:val="13"/>
                <w:szCs w:val="13"/>
                <w:color w:val="auto"/>
              </w:rPr>
            </w:pP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6"/>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Definite-Lived Intangible Assets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Adore Me Trade Name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Definite-Lived Intangible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7"/>
        </w:trPr>
        <w:tc>
          <w:tcPr>
            <w:tcW w:w="8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Adore Me Trade Name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Definite-Lived Intangible Assets,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$6 million and $19 million for the third quarter of 2023 and year-to-date 2023, respectively. There was no amortization expense recorded related to these definite-lived intangible assets in fiscal year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October 28, 2023, January 28,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2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6740" w:type="dxa"/>
            <w:vAlign w:val="bottom"/>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is based on the current estimate of the annual effective tax rate and is adjusted as necessary for quarterly events.</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third quarter of 2023, the Company’s effective tax rate was 24.1% compared to 25.0% in the third quarter of 2022. The third quarter of 2023 rate differed from the Company’s combined estimated federal and state statutory rate primarily due to foreign earnings taxed at a lower rate than the Company’s combined federal and state statutory rate. The third quarter of 2022 rate was consistent with the Company’s combined federal and state statutory rate.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year-to-date 2023, the Company’s effective tax rate was 20.6% compared to 13.2% for year-to-date 2022. The year-to-date 2023 rate differed from the Company's combined estimated federal and state statutory rate primarily due to non-deductible liabilities related to contingent consideration and Contingent Compensation Payments. The year-to-date 2022 rate was lower than the Company’s combined estimated federal and state statutory rate primarily due to the recognition of excess tax benefits related to share-based compensation awards that vested in the respective period.</w:t>
      </w:r>
    </w:p>
    <w:p>
      <w:pPr>
        <w:spacing w:after="0" w:line="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paid income taxes in the amount of $6 million and $18 million for the third quarter of 2023 and 2022, respectively. Year-to-date income taxes paid were $65 million and $158 million for 2023 and 2022,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October 28, 2023, January 28, 2023 and October 29,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$392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$54 million and $29 million for year-to-date 2023 and year-to-date 2022,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2023, the Company entered into a delayed draw term loan, secured by certain real estate assets owned by the Company, to increase available liquidity in consideration of potential seasonal working capital needs. The delayed draw term loan has a maximum borrowing capacity of $75 million and any amounts borrowed will mature in December 2023. As of December 1, 2023, the Company has not drawn any amounts under this term loan. During the third quarter of 2023 and year-to-date 2023, fees incurred in relation to this delayed draw term loan were $1 million and are being amortized over the life of the delayed draw term loan through the maturity date.</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On August 2, 2021, the Company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the Company is required to make quarterly principal payments on the Term Loan Facility in an amount equal to 0.25% of the original principal amount of $400 million. The Company made principal payments for the Term Loan Facility of $1 million during both the third quarter of 2023 and the third quarter of 2022 and $3 million during both year-to-date 2023 and year-to-date 2022.</w:t>
      </w:r>
    </w:p>
    <w:p>
      <w:pPr>
        <w:spacing w:after="0" w:line="4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May 2023, the Company amended its Term Loan Facility to allow for an early transition to using the Term Secured Overnight Financing Rate (“Term SOFR”) as the applicable reference rate to calculate interest instead of the London Interbank Offered Rate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October 28, 2023, the interest rate on the loans under the Term Loan Facility was 8.90%.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 May 2023, the Company amended its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Year-to-date 2023, the Company borrowed $405 million and made payments of $145 million under the ABL Facility. As of October 28, 2023, there were borrowings of $555 million outstanding under the ABL Facility and the interest rate on the borrowings was 7.58%. The Company had $19 million of outstanding letters of credit as of October 28, 2023 that further reduced its availability under the ABL Facility. As of October 28, 2023, the Company's remaining availability under the ABL Facility was $176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end of the third quarter of 2023 and as of November 30, 2023, borrowings of $464 million remained outstanding under the ABL Facility.</w:t>
      </w:r>
    </w:p>
    <w:p>
      <w:pPr>
        <w:spacing w:after="0" w:line="104"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October 28, 2023, the Company was in compliance with all covenants under its long-term debt and borrowing facilities.</w:t>
      </w:r>
    </w:p>
    <w:p>
      <w:pPr>
        <w:spacing w:after="0" w:line="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Company elected the optional expedient under Accounting Standards Update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in connection with amending its Term Loan Facility and ABL Facility agreements to replace the reference rate from LIBOR to Term SOFR to consider the amendments as a continuation of the existing contract without having to perform an assessment that would otherwise be required under GAAP.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October 28,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2023 and October 29,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0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6800" w:type="dxa"/>
            <w:vAlign w:val="bottom"/>
          </w:tcPr>
          <w:p>
            <w:pPr>
              <w:spacing w:after="0"/>
              <w:rPr>
                <w:sz w:val="16"/>
                <w:szCs w:val="16"/>
                <w:color w:val="auto"/>
              </w:rPr>
            </w:pPr>
          </w:p>
        </w:tc>
        <w:tc>
          <w:tcPr>
            <w:tcW w:w="10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830</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0" w:lineRule="exact"/>
        <w:rPr>
          <w:sz w:val="20"/>
          <w:szCs w:val="20"/>
          <w:color w:val="auto"/>
        </w:rPr>
      </w:pPr>
    </w:p>
    <w:p>
      <w:pPr>
        <w:ind w:left="340" w:right="280" w:hanging="332"/>
        <w:spacing w:after="0" w:line="266"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October 28, 2023 based on the terms of the borrowings from the ABL Facility.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2023 and January 28, 2023 (in millions):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w:t>
            </w:r>
          </w:p>
        </w:tc>
        <w:tc>
          <w:tcPr>
            <w:tcW w:w="2160" w:type="dxa"/>
            <w:vAlign w:val="bottom"/>
          </w:tcPr>
          <w:p>
            <w:pPr>
              <w:jc w:val="right"/>
              <w:ind w:right="1888"/>
              <w:spacing w:after="0"/>
              <w:rPr>
                <w:sz w:val="20"/>
                <w:szCs w:val="20"/>
                <w:color w:val="auto"/>
              </w:rPr>
            </w:pPr>
            <w:r>
              <w:rPr>
                <w:rFonts w:ascii="Times New Roman" w:cs="Times New Roman" w:eastAsia="Times New Roman" w:hAnsi="Times New Roman"/>
                <w:sz w:val="14"/>
                <w:szCs w:val="14"/>
                <w:b w:val="1"/>
                <w:bCs w:val="1"/>
                <w:color w:val="auto"/>
              </w:rPr>
              <w:t>28,</w:t>
            </w:r>
          </w:p>
        </w:tc>
        <w:tc>
          <w:tcPr>
            <w:tcW w:w="15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0" w:type="dxa"/>
            <w:vAlign w:val="bottom"/>
          </w:tcPr>
          <w:p>
            <w:pPr>
              <w:spacing w:after="0"/>
              <w:rPr>
                <w:sz w:val="1"/>
                <w:szCs w:val="1"/>
                <w:color w:val="auto"/>
              </w:rPr>
            </w:pPr>
          </w:p>
        </w:tc>
      </w:tr>
      <w:tr>
        <w:trPr>
          <w:trHeight w:val="190"/>
        </w:trPr>
        <w:tc>
          <w:tcPr>
            <w:tcW w:w="3480" w:type="dxa"/>
            <w:vAlign w:val="bottom"/>
            <w:vMerge w:val="continue"/>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3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00" w:type="dxa"/>
            <w:vAlign w:val="bottom"/>
          </w:tcPr>
          <w:p>
            <w:pPr>
              <w:spacing w:after="0"/>
              <w:rPr>
                <w:sz w:val="24"/>
                <w:szCs w:val="24"/>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4"/>
                <w:szCs w:val="24"/>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24"/>
                <w:szCs w:val="24"/>
                <w:color w:val="auto"/>
              </w:rPr>
            </w:pPr>
          </w:p>
        </w:tc>
        <w:tc>
          <w:tcPr>
            <w:tcW w:w="11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on the Consolidated Statements of Income (Loss). For additional information regarding the contingent consideration, see Note 2,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Income (Loss)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year-to-date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28,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2022:</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9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29,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4, “Restructuring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Occupancy-related Legal Matter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During the first quarter of 2023, the Company paid the Landlord for the judgment amount in full.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“potential” and any similar expressions are intended to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26"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from our Former Parent may not be tax-free for U.S. federal income tax purposes;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mall traffic and the availability of suitable store locations on appropriate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wholesale,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and synergies sought with the acquisition of Adore Me;</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environmental hazards or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 including those caused by inflation;</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2022 Annual Report on Form 10-K filed with the SEC on March 17, 2023.</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Victoria’s Secret is an iconic global brand of women’s intimate and other apparel, personal care and beauty products. We sell our products through three brands, Victoria’s Secret, PINK and Adore Me. Victoria’s Secret is a category-defining global lingerie brand with a leading market position and a rich, over 45-year history of serving women across the globe. PINK is a lifestyle brand for the college-oriented customer, built around a strong intimates core. We also sell beauty products under both the Victoria’s Secret and PINK brands. Adore Me is a technology-led, digital first innovative intimates brand serving women of all sizes and budgets at all phases of life. Together, Victoria’s Secret, PINK, Victoria’s Secret Beauty and Adore Me support, inspire and celebrate women through every phase of their life.</w:t>
      </w:r>
    </w:p>
    <w:p>
      <w:pPr>
        <w:spacing w:after="0" w:line="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third quarter of 2023, our operating loss was $67 million compared to operating income of $43 million in the third quarter of 2022, and our operating income (loss) rate (expressed as a percentage of net sales) was (5.3%) compared to 3.2% last year. The operating income (loss) decrease in the third quarter of 2023 compared to the third quarter of 2022 was primarily driven by an increase in general, administrative and store operating expense and a decrease in net sales and gross profit. Net sales decreased $53 million, or 4%, to $1.265 billion compared to $1.318 billion in the third quarter of 2022 and comparable sales decreased 7% in the third quarter of 2023. Our North American store sales decreased $90 million, to $723 million compared to $813 million in the third quarter of 2022, primarily driven by a decrease in traffic, average unit retail (which we define as the average price per unit purchased) and conversion (which we define as the percentage of customers who visit our stores and make a purchase) in the quarter compared to the third quarter of 2022. Our direct channel sales increased by 12%, or $40 million, to $382 million compared to $342 million in the third quarter of 2022, driven by the inclusion of Adore Me sales in our results beginning in fiscal year 2023. On a comparable basis, our direct channel sales decrease was driven by a decrease in average unit retail and traffic compared to the third quarter of 2022.</w:t>
      </w:r>
    </w:p>
    <w:p>
      <w:pPr>
        <w:spacing w:after="0" w:line="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Despite a macro environment that remained challenging on the customer, we continue to focus on our strategic growth plan and the three priorities of our strategy: accelerating our core, igniting growth and transforming the foundation. We are committed to optimizing our performance in the current challenging environment by focusing on what is within our control, and we are confident in our strategic growth plan and remain committed to delivering long-term sustainable value for our shareholders.</w:t>
      </w:r>
    </w:p>
    <w:p>
      <w:pPr>
        <w:spacing w:after="0" w:line="45" w:lineRule="exact"/>
        <w:rPr>
          <w:sz w:val="20"/>
          <w:szCs w:val="20"/>
          <w:color w:val="auto"/>
        </w:rPr>
      </w:pPr>
    </w:p>
    <w:p>
      <w:pPr>
        <w:ind w:right="300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third quarter of 2023 financial performance, see “Results of Operations.” </w:t>
      </w:r>
      <w:r>
        <w:rPr>
          <w:rFonts w:ascii="Times New Roman" w:cs="Times New Roman" w:eastAsia="Times New Roman" w:hAnsi="Times New Roman"/>
          <w:sz w:val="18"/>
          <w:szCs w:val="18"/>
          <w:b w:val="1"/>
          <w:bCs w:val="1"/>
          <w:i w:val="1"/>
          <w:iCs w:val="1"/>
          <w:color w:val="auto"/>
        </w:rPr>
        <w:t>Financial Impacts of the Adore Me Acquisition</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consolidate Adore Me's financial information on an approximate one-month reporting lag. Accordingly, given the acquisition closing date of December 30, 2022, the operating results of Adore Me for the period subsequent to the acquisition date are recorded in our results beginning in 2023.</w:t>
      </w:r>
    </w:p>
    <w:p>
      <w:pPr>
        <w:spacing w:after="0" w:line="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third quarter and year-to-date 2023, we recognized the financial impact of purchase accounting items and additional acquisition-related costs, including recognition in gross profit of the fair value adjustment to acquired inventories as it is sold, recognition of changes in the estimated fair value of contingent consideration and Contingent Compensation Payments, as well as amortization of acquired intangible assets. For additional information, see Note 2,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Form 10-Q, provided below are non-GAAP financial measures that present operating income (loss), net income (loss) attributable to Victoria's Secret &amp; Co. and net income (loss)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6"/>
                <w:szCs w:val="16"/>
                <w:color w:val="auto"/>
              </w:rPr>
            </w:pPr>
          </w:p>
        </w:tc>
        <w:tc>
          <w:tcPr>
            <w:tcW w:w="14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7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9"/>
        </w:trPr>
        <w:tc>
          <w:tcPr>
            <w:tcW w:w="796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Operating Income (Loss)</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auto"/>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Reported Operating Income (Loss) - 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(c)</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Occupancy-related Legal Matter (d)</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79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6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auto"/>
            </w:tcBorders>
            <w:shd w:val="clear" w:color="auto" w:fill="CCEEFF"/>
          </w:tcPr>
          <w:p>
            <w:pPr>
              <w:spacing w:after="0" w:line="20" w:lineRule="exact"/>
              <w:rPr>
                <w:sz w:val="1"/>
                <w:szCs w:val="1"/>
                <w:color w:val="auto"/>
              </w:rPr>
            </w:pPr>
          </w:p>
        </w:tc>
        <w:tc>
          <w:tcPr>
            <w:tcW w:w="25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Reported Net Income (Loss) Attributable to Victoria's Secret &amp; Co. - 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(c)</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Occupancy-related Legal Matter (d)</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Adjusted Net Income (Loss) Attributable to Victoria's Secret &amp; Co.</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6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 (Loss) Per Diluted Share Attributable to Victoria's Secret &amp; Co. -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Restructuring Charges (c)</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0"/>
        </w:trPr>
        <w:tc>
          <w:tcPr>
            <w:tcW w:w="7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Occupancy-related Legal Matter (d)</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Diluted Share Attributable to Victoria's Secret &amp; Co.</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line="252"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2023, we recognized a pre-tax charge of $2 million ($1 million after-tax) within net loss, $7 million included in costs of goods sold, buying and occupancy expense and $1 million included in interest expense, partially offset by $6 million income included in general, administrative and store operating expense, related to the financial impact of purchase accounting items related to the acquisition of Adore Me. Year-to-date 2023, we recognized pre-tax charges of $30 million ($24 million after-tax) within net loss, $22 million included in costs of goods sold, buying and occupancy expense, $5 million included in general, administrative and store operating expense and $3 million included in interest expense, related to the financial impact of purchase accounting items and professional service costs related to the acquisition of Adore Me. For additional information, see Note 2, “Acquisition” included in Item 1.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40" w:hanging="652"/>
        <w:spacing w:after="0" w:line="255"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2023, we recognized $6 million of amortization expense ($5 million after-tax) included in general, administrative and store operating expense related to the acquisition of Adore Me. Year-to-date 2023, we recognized $19 million ($14 million after-tax) included in general, administrative and store operating expense related to the acquisition of Adore Me. For additional information, see Note 2, “Acquisition” and Note 8, “Intangible Assets” included in Item 1. Financial Statements.</w:t>
      </w:r>
    </w:p>
    <w:p>
      <w:pPr>
        <w:spacing w:after="0" w:line="2"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In the second quarter of 2022, we recognized a pre-tax charge of $29 million ($22 million after-tax), $16 million included in general, administrative and store operating expense and $13 million included in buying and occupancy expense, related to restructuring activities to reorganize our leadership structure. For additional information, see Note 4, “Restructuring Activities” included in Item 1. Financial Statements.</w:t>
      </w:r>
    </w:p>
    <w:p>
      <w:pPr>
        <w:spacing w:after="0" w:line="2" w:lineRule="exact"/>
        <w:rPr>
          <w:rFonts w:ascii="Times New Roman" w:cs="Times New Roman" w:eastAsia="Times New Roman" w:hAnsi="Times New Roman"/>
          <w:sz w:val="18"/>
          <w:szCs w:val="18"/>
          <w:color w:val="auto"/>
        </w:rPr>
      </w:pPr>
    </w:p>
    <w:p>
      <w:pPr>
        <w:ind w:left="660" w:right="160" w:hanging="652"/>
        <w:spacing w:after="0" w:line="255"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we recognized a pre-tax charge of $22 million ($16 million after-tax), included in buying and occupancy expense, related to a legal matter with a landlord regarding a high-profile store that we surrendered to the landlord prior to our separation from the Former Parent. For additional information, see Note 14, “Commitments and Contingencies” included in Item 1.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compares the third quarter of 2023 U.S. company-operated store data to the third quarter of 2022 and year-to-date 2023 to year-to-date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122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Pr>
          <w:p>
            <w:pPr>
              <w:spacing w:after="0"/>
              <w:rPr>
                <w:sz w:val="20"/>
                <w:szCs w:val="20"/>
                <w:color w:val="auto"/>
              </w:rPr>
            </w:pPr>
          </w:p>
        </w:tc>
        <w:tc>
          <w:tcPr>
            <w:tcW w:w="1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5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6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October 28,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5340" w:space="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Stores at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Reclassed to</w:t>
            </w: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October 29, 2022</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2860" w:type="dxa"/>
            <w:vAlign w:val="bottom"/>
            <w:tcBorders>
              <w:top w:val="single" w:sz="8" w:color="CCEEFF"/>
            </w:tcBorders>
            <w:gridSpan w:val="2"/>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0" w:type="dxa"/>
            <w:vAlign w:val="bottom"/>
          </w:tcPr>
          <w:p>
            <w:pPr>
              <w:spacing w:after="0"/>
              <w:rPr>
                <w:sz w:val="19"/>
                <w:szCs w:val="19"/>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44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0" w:type="dxa"/>
            <w:vAlign w:val="bottom"/>
          </w:tcPr>
          <w:p>
            <w:pPr>
              <w:spacing w:after="0"/>
              <w:rPr>
                <w:sz w:val="19"/>
                <w:szCs w:val="19"/>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nine partner-operated stores as of October 29,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2023 Compared to Third Quarter of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third quarter of 2023, operating income (loss) decreased $110 million, to an operating loss of $67 million, compared to operating income of $43 million in the third quarter of 2022, and the operating income (loss) rate (expressed as a percentage of net sales) decreased to (5.3%) from 3.2%. The drivers of the operating income (loss)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third quarter of 2023 in comparison to the third quarter of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5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 (a)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(a)</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(b)</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the third quarter of 2023 include Adore Me sales.</w:t>
      </w: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third quarter of 2022 to the third quarter of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 Net Sales</w:t>
            </w:r>
          </w:p>
        </w:tc>
        <w:tc>
          <w:tcPr>
            <w:tcW w:w="10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Comparable Store Sales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 (a)</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(a)(b)</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660" w:type="dxa"/>
            <w:vAlign w:val="bottom"/>
            <w:gridSpan w:val="2"/>
          </w:tcPr>
          <w:p>
            <w:pPr>
              <w:ind w:left="380"/>
              <w:spacing w:after="0" w:line="202" w:lineRule="exact"/>
              <w:rPr>
                <w:sz w:val="20"/>
                <w:szCs w:val="20"/>
                <w:color w:val="auto"/>
              </w:rPr>
            </w:pPr>
            <w:r>
              <w:rPr>
                <w:rFonts w:ascii="Times New Roman" w:cs="Times New Roman" w:eastAsia="Times New Roman" w:hAnsi="Times New Roman"/>
                <w:sz w:val="18"/>
                <w:szCs w:val="18"/>
                <w:color w:val="auto"/>
              </w:rPr>
              <w:t>Results for the third quarter of 2023 include Adore Me sales.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the third quarter of 2023 comparable sales to the third quarter of 2022: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0" w:type="dxa"/>
            <w:vAlign w:val="bottom"/>
          </w:tcPr>
          <w:p>
            <w:pPr>
              <w:spacing w:after="0"/>
              <w:rPr>
                <w:sz w:val="24"/>
                <w:szCs w:val="24"/>
                <w:color w:val="auto"/>
              </w:rPr>
            </w:pPr>
          </w:p>
        </w:tc>
        <w:tc>
          <w:tcPr>
            <w:tcW w:w="8660" w:type="dxa"/>
            <w:vAlign w:val="bottom"/>
            <w:gridSpan w:val="2"/>
          </w:tcPr>
          <w:p>
            <w:pPr>
              <w:ind w:left="8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third quarter of 2023 decreased $53 million, or 4%, to $1.265 billion compared to $1.318 billion in the third quarter of 2022.</w:t>
      </w:r>
    </w:p>
    <w:p>
      <w:pPr>
        <w:spacing w:after="0" w:line="9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$90 million, or 11%, to $723 million compared to the third quarter of 2022 driven by a decrease in traffic, average unit retail and conversion in the quarter compared to the third quarter of 2022.</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direct channel, net sales increased $40 million, or 12%, to $382 million, driven by the inclusion of Adore Me sales in our results beginning in fiscal year 2023. On a comparable basis, our direct channel sales decrease was driven by a decrease in average unit retail and traffic compared to the third quarter of 2022.</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decreased $3 million, or 2%, to $160 million compared to the third quarter of 2022. Increases in net sales in the third quarter of 2023 compared to the third quarter of 2022 related to net sales in China and royalties earned associated with franchised stores and online sales in many countries outside of North America were offset by a decrease in net sales related to sourcing sales to our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the third quarter of 2023, our gross profit decreased $30 million compared to the third quarter of 2022 to $427 million, and our gross profit rate (expressed as a percentage of net sales) decreased to 33.8% from 34.7%.</w:t>
      </w:r>
    </w:p>
    <w:p>
      <w:pPr>
        <w:spacing w:after="0" w:line="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decrease in gross profit dollars was primarily due to the decrease in merchandise margin dollars driven by the decrease in net sales and the increase in targeted promotional activity, partially offset by a decrease in supply chain costs compared to the third quarter of 2022. Buying and occupancy expenses were higher compared to the third quarter of 2022, primarily driven by the inclusion of Adore Me buying and occupancy expenses in the current year. Additionally, the decrease in gross profit dollars was driven by the partial recognition in gross profit of the inventory fair value step-up adjustment related to acquired inventory from Adore Me.</w:t>
      </w:r>
    </w:p>
    <w:p>
      <w:pPr>
        <w:spacing w:after="0" w:line="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deleverage in buying and occupancy expenses in the quarter as a result of the decrease in sales compared to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third quarter of 2023, our general, administrative and store operating expenses increased $80 million, or 19%, compared to the third quarter of 2022 to $494 million. The increase in general, administrative and store operating expenses compared to the third quarter of 2022 was primarily due to strategic marketing investments including the Victoria’s Secret World Tour, the inclusion of Adore Me general, administrative and store operating expenses beginning in fiscal year 2023 and technology investments to enhance our digital business.</w:t>
      </w:r>
    </w:p>
    <w:p>
      <w:pPr>
        <w:spacing w:after="0" w:line="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39.1% from 31.5% due to strategic marketing investments including the Victoria’s Secret World Tour, deleverage driven by the decrease in sales compared to the third quarter of 2022 and the inclusion of Adore Me general, administrative and store operating expenses beginning in fiscal year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third quarter of 2023, our interest expense increased $11 million to $26 million compared to the third quarter of 2022, primarily driven by the increase in our outstanding debt due to the borrowings from the ABL Facility and a higher average borrowing rate for our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third quarter of 2023, the Company’s effective tax rate was 24.1% compared to 25.0% in the third quarter of 2022. The third quarter of 2023 rate differed from the Company’s combined estimated federal and state statutory rate primarily due to foreign earnings taxed at a lower rate than the Company’s combined federal and state statutory rate. The third quarter of 2022 rate was consistent with the Company’s combined federal and state statutory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2023 Compared to Year-to-Date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year-to-date 2023, operating income (loss) decreased $247 million, to an operating loss of $13 million, compared to operating income of $234 million year-to-date 2022, and the operating income (loss) rate (expressed as a percentage of net sales) decreased to (0.3%) from 5.4%. The drivers of the operating income (loss)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year-to-date 2023 in comparison to year-to-date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 (a)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(a)</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(b)</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4,323</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year-to-date 2023 include Adore Me sales.</w:t>
      </w: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year-to-date 2022 to year-to-date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 Net Sales</w:t>
            </w:r>
          </w:p>
        </w:tc>
        <w:tc>
          <w:tcPr>
            <w:tcW w:w="10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Comparable Store Sales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 (a)</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(a)(b)</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640" w:type="dxa"/>
            <w:vAlign w:val="bottom"/>
            <w:gridSpan w:val="2"/>
          </w:tcPr>
          <w:p>
            <w:pPr>
              <w:ind w:left="380"/>
              <w:spacing w:after="0" w:line="202" w:lineRule="exact"/>
              <w:rPr>
                <w:sz w:val="20"/>
                <w:szCs w:val="20"/>
                <w:color w:val="auto"/>
              </w:rPr>
            </w:pPr>
            <w:r>
              <w:rPr>
                <w:rFonts w:ascii="Times New Roman" w:cs="Times New Roman" w:eastAsia="Times New Roman" w:hAnsi="Times New Roman"/>
                <w:sz w:val="18"/>
                <w:szCs w:val="18"/>
                <w:color w:val="auto"/>
              </w:rPr>
              <w:t>Results for year-to-date 2023 include Adore Me sales.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year-to-date 2023 comparable sales to year-to-date 2022: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0" w:type="dxa"/>
            <w:vAlign w:val="bottom"/>
          </w:tcPr>
          <w:p>
            <w:pPr>
              <w:spacing w:after="0"/>
              <w:rPr>
                <w:sz w:val="24"/>
                <w:szCs w:val="24"/>
                <w:color w:val="auto"/>
              </w:rPr>
            </w:pPr>
          </w:p>
        </w:tc>
        <w:tc>
          <w:tcPr>
            <w:tcW w:w="8640" w:type="dxa"/>
            <w:vAlign w:val="bottom"/>
            <w:gridSpan w:val="2"/>
          </w:tcPr>
          <w:p>
            <w:pPr>
              <w:ind w:left="8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year-to-date 2023 decreased $224 million, or 5%, to $4.099 billion compared to $4.323 billion year-to-date 2022.</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stores channel year-to-date 2023, our North America net sales decreased $386 million, or 14%, to $2.326 billion, compared to year-to-date 2022 driven by a decrease in traffic which was down compared to year-to-date 2022. Our North American store sales were also impacted by decreases in average unit retail and conversion compared to year-to-date 2022.</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direct channel, net sales increased $105 million, or 9%, to $1.281 billion, driven by the inclusion of Adore Me sales in our results beginning in fiscal year 2023. On a comparable basis, our direct channel sales decrease was driven by a decrease in average unit retail, conversion and traffic compared to year-to-date 2022.</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$57 million, or 13%, to $492 million compared to year-to-date 2022, as stores and online sales increased in many countries outside of North America driven by new full assortment store growth, comparable store sales growth driven in part by increased traffic and strong e-commerce performance, as well as positive customer acceptance of our product assortment.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year-to-date 2023, our gross profit decreased $98 million to $1.416 billion, and our gross profit rate (expressed as a percentage of net sales) decreased to 34.6% from 35.0%.</w:t>
      </w:r>
    </w:p>
    <w:p>
      <w:pPr>
        <w:spacing w:after="0" w:line="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decrease in gross profit dollars was primarily due to the decrease in merchandise margin dollars driven by the decrease in net sales and the increase in promotional activity, partially offset by a decrease in supply chain costs compared to year-to-date 2022. Buying and occupancy expenses were down compared to year-to-date 2022, primarily driven by a legal reserve of $22 million related to a landlord matter in the first quarter of 2022 and restructuring charges of $13 million in the second quarter of 2022, partially offset by the inclusion of Adore Me buying and occupancy expenses beginning in fiscal year 2023. Additionally, the decrease in gross profit dollars was driven by the partial recognition in gross profit of the inventory fair value step-up adjustment related to acquired inventory from Adore Me.</w:t>
      </w:r>
    </w:p>
    <w:p>
      <w:pPr>
        <w:spacing w:after="0" w:line="6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primarily driven by increased promotional activity and deleverage in buying and occupancy expenses as a result of the decrease in net sales compared to year-to-date 2022, partially offset by a decrease in supply chain costs compared to year-to-date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year-to-date 2023, our general, administrative and store operating expenses increased $149 million, or 12%, to $1.429 billion. The increase in general, administrative and store operating expenses compared to year-to-date 2022 was primarily due to the inclusion of Adore Me general, administrative and store operating expenses beginning in fiscal year 2023 and strategic marketing investments including the Victoria’s Secret World Tour in fiscal year 2023. The increase in general, administrative and store operating expenses in 2023 was also due to the amortization of intangible assets acquired from Adore Me of $19 million, recognition of $8 million of restructuring charges to continue to reorganize and improve our organizational structure in the first quarter of 2023, partially offset by restructuring charges of $16 million in the second quarter of 2022 and lower store selling expenses in the current year due to improvements in our labor model.</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34.9% from 29.6% due to the inclusion of Adore Me general, administrative and store operating expenses beginning in fiscal year 2023, deleverage driven by the decrease in sales compared to 2022 and strategic marketing investments including the Victoria’s Secret World Tour.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year-to-date 2023, our interest expense increased $31 million to $72 million compared to year-to-date 2022, primarily driven by the increase in our outstanding debt due to the borrowings from the ABL Facility and a higher average borrowing rate for our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 year-to-date 2023, the Company’s effective tax rate was 20.6% compared to 13.2% year-to-date 2022. The year-to-date 2023 rate differed from the Company’s combined estimated federal and state statutory rate primarily due to non-deductible liabilities related to contingent consideration and Contingent Compensation Payments. The year-to-date 2022 rate was lower than the Company’s combined estimated federal and state statutory rate primarily due to the recognition of excess tax benefits related to share-based compensation awards that vested in the respective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by (used for)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assurances that we will be able to obtain additional debt or equity financing on acceptable terms, if at all, in the future.</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and capabilities, and growth strategies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funds provided by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October 28, 2023, January 28, 2023 and October 29,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9"/>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40" w:hanging="652"/>
        <w:spacing w:after="0" w:line="250"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October 28, 2023 and October 29, 2022 amounts represent thirty-nine-week periods and the January 28, 2023 amounts represent a fifty-two-week period.</w:t>
      </w:r>
    </w:p>
    <w:p>
      <w:pPr>
        <w:ind w:left="660" w:right="220" w:hanging="652"/>
        <w:spacing w:after="0" w:line="253"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October 28, 2023, the availability under the ABL Facility was limited to the maximum aggregate commitment amount of $750 million, less outstanding borrowings of $555 million and letters of credit of $19 million. For the reporting period ended January 28, 2023, the availability was limited by our borrowing base of $596 million, less outstanding borrowings of $295 million and letters of credit of $42 million. For the reporting period ended October 29, 2022, the availability under the ABL Facility was limited to the maximum aggregate commitment amount of $750 million, less outstanding borrowings of $267 million and letters of credit of $42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year-to-date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used for operating activities reflects net income (loss) adjusted for non-cash items, including depreciation and amortization, share-based compensation expense and deferred tax expense, as well as changes in working capital. Net cash used for operating activities year-to-date 2023 was $200 million, an increase in net cash flows from operating activities of $79 million compared to year-to-date 2022. The increase in net cash flows from operating activities year-to-date 2023 was primarily driven by lower operating cash outflows associated with working capital changes, partially offset by lower net income (loss). The most significant working capital driver resulting in the increase in operating cash flows this year compared to last year was the timing of payments related to the increased inventory levels last year, which were primarily driven by modal mix changes and longer in-transit shipment times. The other significant working capital driver resulting in the increase in operating cash flows this year is related to income taxes paid of $65 million year-to-date 2023 compared to $158 million paid year-to-date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2023 was $223 million, consisting primarily of capital expenditures of $224 million. The capital expenditures were primarily related to our store capital program and investments in technology related to our strategic initiatives to drive growth and technology investments relating to separation activities from our Former Parent.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2022 was $150 million, consisting primarily of capital expenditures of $125 million and our $18 million investment in Frankies Bikinis. The capital expenditures were primarily related to our store capital program, along with investments in technology, distribution and logistics to support our retail capabilities.</w:t>
      </w:r>
    </w:p>
    <w:p>
      <w:pPr>
        <w:spacing w:after="0" w:line="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$255 million for fiscal year 2023. We expect that capital expenditures during fiscal year 2023 will be primarily focused on our store capital program along with investments in technology related to our strategic initiatives to drive growth and technology investments relating to separation activities from our Former Parent.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year-to-date 2023 was $122 million, consisting primarily of borrowings of $405 million from the ABL Facility, partially offset by $145 million of repayments under the ABL Facility and $125 million of share repurchases.</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year-to-date 2022 was $67 million, consisting primarily of $267 million of borrowings from the ABL Facility and $55 million of cash received from Regina Miracle in connection with the joint venture agreement completed in the first quarter of 2022. Those proceeds were partially offset by $214 million of share repurchases and $40 million of payments for taxes on share-based compensation awards issued.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determines share repurchase authorizations, giving consideration to our levels of profit and cash flows, capital requirements, current and forecasted liquidity, the restrictions placed upon us by our borrowing arrangements and the Tax Matters Agreement with the Former Parent, as well as financial and other conditions existing at the time. We use cash flows generated from operating activities to fund our share repurchase programs. Once authorized by our Board of Directors, the timing and amount of any share repurchases are made at our discretion, taking into account a number of factors, including market conditions.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Year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Share Repurchase Program</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2023, our Board of Directors approved the January 2023 Share Repurchase Program, authorizing the repurchase of up to $250 million of our common stock. The $250 million authorization is expected to be utilized to repurchase shares in the open market or as otherwise authorized by the Board of Directors, subject to market conditions and other factors. The January 2023 Share Repurchase Program began upon completion of the March 2022 Share Repurchase Program and will continue until exhausted, but no later than the end of fiscal year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as part of the January 2023 Share Repurchase Program, we entered into the ASR Agreement with Goldman Sachs to repurchase</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$125 million of our common stock. In February 2023, we made an initial payment of $125 million to Goldman Sachs and received an initial delivery of 2.4 million shares of our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the January 2023 Share Repurchase Program during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28, 2023, we were authorized to repurchase up to $125 million of our common stock under the January 2023 Share Repurchase Program.</w:t>
      </w:r>
    </w:p>
    <w:p>
      <w:pPr>
        <w:spacing w:after="0" w:line="10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repurchased under the January 2023 Share Repurchase Program were immediately retired. As a result, we retired the 3.7 million shares repurchased in connection with the settlement of the ASR Agreement year-to-date 2023. The retirement resulted in a reduction of $126 million in Treasury Stock, less than $1 million in the par value of Common Stock, $9 million in Paid-in Capital and $117 million in Retained Earnings (Accumulated Deficit) year-to-date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Year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Share Repurchase Program</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approved the March 2022 Share Repurchase Program, providing for the repurchase of up to $250 million of our common stock. The $250 million authorization was utilized in fiscal year 2022 to repurchase shares in the open market, subject to market conditions and other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its common stock under the March 2022 Share Repurchase Program during year-to-date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bl>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our common stock repurchased under the March 2022 Share Repurchase Program were retired upon repurchase. As a result, year-to-date 2022 we retired 5.1 million shares repurchased under the March 2022 Share Repurchase Program, which resulted in reductions of less than $1 million in the par value of Common Stock, $10 million in Paid-in Capital and $204 million in Retained Earnings.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2021 ASR Agreement</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February 2022, upon final settlement of our December 2021 ASR Agreement with Goldman Sachs, we received an additional 0.3 million shares of our common stock from Goldman Sachs.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we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2023, January 28, 2023 and October 29,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$392 million Term Loan due August 2028 (“Term Loan Facility”)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$54 million and $29 million for year-to-date 2023 and year-to-date 2022,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2023, we entered into a delayed draw term loan, secured by certain real estate assets owned by us, to increase available liquidity in consideration of potential seasonal working capital needs. The delayed draw term loan has a maximum borrowing capacity of $75 million and any amounts borrowed will mature in December 2023. As of December 1, 2023, we have not drawn any amounts under this term loan. During the third quarter of 2023 and year-to-date 2023, fees incurred in relation to this delayed draw term loan were $1 million and are being amortized over the life of the delayed draw term loan through the maturity date.</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for the Term Loan Facility of $1 million during both the third quarter of 2023 and the third quarter of 2022 and $3 million during both year-to-date 2023 and year-to-date 2022.</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2023, we amended our Term Loan Facility to allow for an early transition to using Term SOFR as the applicable reference rate to calculate interest instead of LIBOR. Prior to the amendment, interest under the Term Loan Facility was calculated by reference to the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October 28, 2023, the interest rate on the loans under the Term Loan Facility was 8.90%.</w:t>
      </w:r>
    </w:p>
    <w:p>
      <w:pPr>
        <w:spacing w:after="0" w:line="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 May 2023, we amended our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Year-to-date 2023, we borrowed $405 million and made payments of $145 million under the ABL Facility. As of October 28, 2023, there were borrowings of $555 million outstanding under the ABL Facility and the interest rate on the borrowings was 7.58%. We had $19 million of outstanding letters of credit as of October 28, 2023 that further reduced our availability under the ABL Facility. As of October 28, 2023, our remaining availability under the ABL Facility was $176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end of the third quarter of 2023 and as of November 30, 2023, borrowings of $464 million remained outstanding under the ABL Facility.</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October 28, 2023, we were in compliance with all covenants under our long-term debt and borrowing facilities.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We elected the optional expedient under Accounting Standards Update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in connection with amending our Term Loan Facility and ABL Facility agreements to replace the reference rate from LIBOR to Term SOFR to consider the amendments as a continuation of the existing contract without having to perform an assessment that would otherwise be required under GAAP.</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October 28, 2023: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6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Except with respect to the additional $260 million of outstanding borrowings under the ABL Facility, there have been no material changes in our contractual obligations since January 28, 2023, as discussed in “Contingent Liabilities and Contractual Obligations” in our 2022 Annual Report on Form 10-K filed with the SEC on March 17, 2023.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did not adopt any new accounting standards during the third quarter of 2023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2022 Annual Report on Form 10-K filed with the SEC on March 17, 2023.</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October 28, 2023, our investment portfolio is primarily comprised of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long-term debt as of October 28, 2023 consists of the 2029 Notes, which have a fixed interest rate, the $392 million in outstanding borrowing under the Term Loan Facility, which has a variable interest rate based on Term SOFR, and the $555 million in outstanding borrowing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October 28, 2023, January 28, 2023 and October 29,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80" w:type="dxa"/>
            <w:vAlign w:val="bottom"/>
          </w:tcPr>
          <w:p>
            <w:pPr>
              <w:spacing w:after="0"/>
              <w:rPr>
                <w:sz w:val="13"/>
                <w:szCs w:val="13"/>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6"/>
        </w:trPr>
        <w:tc>
          <w:tcPr>
            <w:tcW w:w="7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October 28, 2023, we believe that the carrying values of accounts receivable, accounts payable and accrued expenses approximate fair value because of their short maturity. We further believe the principal value of the outstanding debt under the ABL Facility approximates its fair value as of October 28, 2023 based on the terms of the borrowings from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October 28, 2023, our investment portfolio is primarily comprised of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As of the end of the period covered by this report, we carried out an evaluation, under the supervision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2" w:lineRule="exact"/>
        <w:rPr>
          <w:sz w:val="20"/>
          <w:szCs w:val="20"/>
          <w:color w:val="auto"/>
        </w:rPr>
      </w:pPr>
    </w:p>
    <w:p>
      <w:pPr>
        <w:ind w:right="480" w:firstLine="8"/>
        <w:spacing w:after="0" w:line="260"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to allow timely decisions regarding required disclosure.</w:t>
      </w:r>
    </w:p>
    <w:p>
      <w:pPr>
        <w:spacing w:after="0" w:line="44"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We are integrating Adore Me into our internal controls over financial reporting beginning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2023. Other than the changes with regard to Adore Me, there were no changes in our internal control over financial reporting that occurred during the third quarter of 2023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2022 Annual Report on Form 10-K filed with the SEC on March 17, 2023. There have been no material changes to the risk factors from those described in the 2022 Annual Report on Form 10-K. We wish to caution the reader that the risk factors discussed in “Item 1A. Risk Factors” in our 2022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third quarter of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2023 - August 26, 2023 (“August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27, 2023 - September 30, 2023 (“September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2023 - October 28, 2023 (“October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jc w:val="both"/>
        <w:ind w:left="660" w:right="120" w:hanging="652"/>
        <w:spacing w:after="0" w:line="255"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2023 Share Repurchase Program, which was publicly announced on January 11, 2023, authorizes the purchase of up to $250 million of our common stock, subject to market conditions and other factors. The January 2023 Share Repurchase Program will continue until exhausted, but no later than the end of fiscal year 2023.</w:t>
      </w: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shd w:val="clear" w:color="auto" w:fill="CCEEFF"/>
          </w:tcPr>
          <w:p>
            <w:pPr>
              <w:ind w:left="1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August 3, 2021).</w:t>
            </w:r>
          </w:p>
        </w:tc>
      </w:tr>
      <w:tr>
        <w:trPr>
          <w:trHeight w:val="243"/>
        </w:trPr>
        <w:tc>
          <w:tcPr>
            <w:tcW w:w="1340" w:type="dxa"/>
            <w:vAlign w:val="bottom"/>
            <w:gridSpan w:val="4"/>
          </w:tcPr>
          <w:p>
            <w:pPr>
              <w:ind w:left="14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8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63"/>
        </w:trPr>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4"/>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Administrative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pacing w:after="0" w:line="90" w:lineRule="exact"/>
        <w:rPr>
          <w:sz w:val="20"/>
          <w:szCs w:val="20"/>
          <w:color w:val="auto"/>
        </w:rPr>
      </w:pPr>
    </w:p>
    <w:p>
      <w:pPr>
        <w:ind w:left="280" w:hanging="272"/>
        <w:spacing w:after="0"/>
        <w:tabs>
          <w:tab w:leader="none" w:pos="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Johnson is the principal financial officer and the principal accounting officer and has been duly authorized to sign on behalf of the Registrant.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38</w:t>
      </w:r>
    </w:p>
    <w:p>
      <w:pPr>
        <w:sectPr>
          <w:pgSz w:w="11900" w:h="16838" w:orient="portrait"/>
          <w:cols w:equalWidth="0" w:num="1">
            <w:col w:w="10760"/>
          </w:cols>
          <w:pgMar w:left="320" w:top="118" w:right="8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Waters, certify that:</w:t>
      </w:r>
    </w:p>
    <w:p>
      <w:pPr>
        <w:spacing w:after="0" w:line="23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23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Martin Waters, the Chief Executive Officer, and Timothy Johnson, the Chief Financial and Administrative Officer, of Victoria’s Secret &amp; Co. (the “Company”), each certifies that, to the best of his knowledge:</w:t>
      </w:r>
    </w:p>
    <w:p>
      <w:pPr>
        <w:spacing w:after="0" w:line="54" w:lineRule="exact"/>
        <w:rPr>
          <w:sz w:val="20"/>
          <w:szCs w:val="20"/>
          <w:color w:val="auto"/>
        </w:rPr>
      </w:pPr>
    </w:p>
    <w:p>
      <w:pPr>
        <w:ind w:left="660" w:right="400" w:hanging="328"/>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dated December 1, 2023 for the period ended October 28, 2023 (the “Form 10-Q”),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2"/>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9" Type="http://schemas.openxmlformats.org/officeDocument/2006/relationships/hyperlink" Target="http://www.sec.gov/Archives/edgar/data/0001856437/000114036121026649/nt10026698x8_ex3-1.htm" TargetMode="External"/><Relationship Id="rId50" Type="http://schemas.openxmlformats.org/officeDocument/2006/relationships/hyperlink" Target="http://www.sec.gov/Archives/edgar/data/1856437/000185643723000013/vsco-1282023x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2023-12-01T15:28:33Z</dcterms:created>
  <dcterms:modified xsi:type="dcterms:W3CDTF">2023-12-01T15:28:33Z</dcterms:modified>
</cp:coreProperties>
</file>