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11, 2023</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11, 2023, Victoria's Secret &amp; Co. (the “Company”) issued a press release updating its fourth quarter 2022 operating income and earnings guidance and reaffirming its fourth quarter 2022 sales guidance it provided on November 30, 2022. A copy of the press release is attached hereto as Exhibit 99.1 and is hereby incorporated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January 11, 2023, the Company announced that its Board of Directors unanimously approved a new share repurchase program (“January 2023 Share Repurchase Program”) authorizing the repurchase of up to $250 million of the Company's common stock. The January 2023 Share Repurchase Program is eligible to begin upon exhaustion of the current $250 million share repurchase program which is scheduled to be completed by the end of January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Victoria's Secret &amp; Co., dated January 11, 2023.</w:t>
      </w:r>
    </w:p>
    <w:p>
      <w:pPr>
        <w:spacing w:after="0" w:line="19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 January 11,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40" w:right="60"/>
        <w:spacing w:after="0" w:line="275" w:lineRule="auto"/>
        <w:rPr>
          <w:sz w:val="20"/>
          <w:szCs w:val="20"/>
          <w:color w:val="auto"/>
        </w:rPr>
      </w:pPr>
      <w:r>
        <w:rPr>
          <w:rFonts w:ascii="Times New Roman" w:cs="Times New Roman" w:eastAsia="Times New Roman" w:hAnsi="Times New Roman"/>
          <w:sz w:val="25"/>
          <w:szCs w:val="25"/>
          <w:b w:val="1"/>
          <w:bCs w:val="1"/>
          <w:color w:val="auto"/>
        </w:rPr>
        <w:t>Victoria’s Secret &amp; Co. Announces New Share Repurchase Authorization and Provides Fourth Quarter 2022 Sales and Earnings Update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Announces New $250 Million Share Repurchase Authorization</w:t>
      </w:r>
    </w:p>
    <w:p>
      <w:pPr>
        <w:spacing w:after="0" w:line="233"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Expects Fourth Quarter 2022 Net Sales, Operating Income, and Diluted EPS Within Range of Previously Communicated Guidance</w:t>
      </w:r>
    </w:p>
    <w:p>
      <w:pPr>
        <w:spacing w:after="0" w:line="33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1"/>
          <w:szCs w:val="21"/>
          <w:color w:val="auto"/>
        </w:rPr>
        <w:t>Reynoldsburg, Ohio (January 11, 2023)</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Victoria’s Secret &amp; Co. (“Victoria’s Secret” or the “Company”) (NYSE: VSCO) today announced that its Board of Directors unanimously approved a new share repurchase program (“January 2023 Share Repurchase Program”) authorizing the repurchase of up to $250 million of the Company’s common stock. Shares repurchased under the January 2023 Share Repurchase Program will be made in the open market, subject to market conditions and other factors. The January 2023 Share Repurchase Program is eligible to begin upon exhaustion of the current $250 million share repurchase program which is scheduled to be completed by the end of January 2023. </w:t>
      </w:r>
      <w:r>
        <w:rPr>
          <w:rFonts w:ascii="Times New Roman" w:cs="Times New Roman" w:eastAsia="Times New Roman" w:hAnsi="Times New Roman"/>
          <w:sz w:val="21"/>
          <w:szCs w:val="21"/>
          <w:color w:val="1D2228"/>
        </w:rPr>
        <w:t>Shares acquired through the January 2023 Share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D2228"/>
        </w:rPr>
        <w:t>Repurchase Program will be available to meet obligations under equity compensation plans and for general corporate purposes. The January 2023 Share Repurchase Program will continue until exhausted, but no later than the end of fiscal year 2023</w:t>
      </w:r>
      <w:r>
        <w:rPr>
          <w:rFonts w:ascii="Times New Roman" w:cs="Times New Roman" w:eastAsia="Times New Roman" w:hAnsi="Times New Roman"/>
          <w:sz w:val="21"/>
          <w:szCs w:val="21"/>
          <w:color w:val="000000"/>
        </w:rPr>
        <w:t>.</w:t>
      </w:r>
    </w:p>
    <w:p>
      <w:pPr>
        <w:spacing w:after="0" w:line="20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Concurrent with the announcement of the January 2023 Share Repurchase Program, the Company is now forecasting fourth quarter 2022 operating income to be in the range of $245 million to $265 million, or approximately 12% to 13% of sales, compared to its previously communicated guidance range of $240 million to $290 million. The Company now expects net income for the fourth quarter 2022 to be in the range of $2.05 to $2.25 per diluted share, compared to its previously communicated guidance range of $2.00 to $2.45 per diluted share. Consistent with this level of profitability, the Company reaffirms the fourth quarter 2022 sales guidance provided on November 30, 2022 which forecasted a net sales decline in the high-single digit range compared to last year’s fourth quarter net sales of $2.175 billion. All updated and reaffirmed fourth quarter 2022 guidance excludes the financial impact of the recent acquisition of AdoreMe, Inc. (“Adore Me”), as well as transaction costs and purchase accounting related to this transaction.</w:t>
      </w:r>
    </w:p>
    <w:p>
      <w:pPr>
        <w:sectPr>
          <w:pgSz w:w="11900" w:h="16838" w:orient="portrait"/>
          <w:cols w:equalWidth="0" w:num="1">
            <w:col w:w="11240"/>
          </w:cols>
          <w:pgMar w:left="320" w:top="765" w:right="339" w:bottom="1440" w:gutter="0" w:footer="0" w:header="0"/>
        </w:sectPr>
      </w:pPr>
    </w:p>
    <w:bookmarkStart w:id="4" w:name="page5"/>
    <w:bookmarkEnd w:id="4"/>
    <w:p>
      <w:pPr>
        <w:ind w:right="120"/>
        <w:spacing w:after="0" w:line="244" w:lineRule="auto"/>
        <w:rPr>
          <w:sz w:val="20"/>
          <w:szCs w:val="20"/>
          <w:color w:val="auto"/>
        </w:rPr>
      </w:pPr>
      <w:r>
        <w:rPr>
          <w:rFonts w:ascii="Times New Roman" w:cs="Times New Roman" w:eastAsia="Times New Roman" w:hAnsi="Times New Roman"/>
          <w:sz w:val="21"/>
          <w:szCs w:val="21"/>
          <w:color w:val="auto"/>
        </w:rPr>
        <w:t>CEO Martin Waters commented, “We are pleased to report that we expect to deliver upon our sales and operating targets despite a challenged economic environment for our customers. We were particularly encouraged by our sales performance during peak days and weekends. Despite some significant weather challenges directly before Christmas, our sales to date have trended above plan since benefitting from both regular price merchandise selling and semi-annual sale performance. As expected, the holiday season was highly promotional and we were appropriately aggressive. Our fourth quarter margins are expected to remain within our range of expectations, our expenses continue to be very well managed, and our inventory levels are trending lower, or favorable, to our original expectations. The teams have executed well and focused on what we can control in this challenging economic environment. We expect to finish fiscal 2022 with an operating margin rate in the high-single digits demonstrating the resilience of our model and tremendous efforts of our teams and I could not be prouder of their efforts.”</w:t>
      </w:r>
    </w:p>
    <w:p>
      <w:pPr>
        <w:spacing w:after="0" w:line="20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Martin continued, “During our first 18 months as a public company, we have grown our leading market share position in the intimates category, begun the journey to reposition our brand, and stabilized our business platform. Despite a challenging economic backdrop, we have identified and executed against several long-term growth drivers, including the acquisition of Adore Me and technology-related synergies, the acceleration of our international business, the successful launch of our store of the future program, and the identification of new business development and distribution opportunities. Our market leadership position coupled with these longer-term growth initiatives, our financial stability, and cash flow potential are key competitive advantages for Victoria’s Secret &amp; Co. We believe today’s new share repurchase authorization reflects our confidence in the Company and is another step on our journey to create long-term, sustainable value for our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2"/>
          <w:szCs w:val="22"/>
          <w:color w:val="auto"/>
        </w:rPr>
        <w:t>Victoria’s Secret &amp; Co. (NYSE: VSCO)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approximately 1,350 retail stores in approximately 70 countries. We provide our customers with products and experiences that make them feel good inside and out while driving positive change through the power of our products, platform and advocacy.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ectPr>
          <w:pgSz w:w="11900" w:h="16838" w:orient="portrait"/>
          <w:cols w:equalWidth="0" w:num="1">
            <w:col w:w="11240"/>
          </w:cols>
          <w:pgMar w:left="320" w:top="760" w:right="339" w:bottom="1440" w:gutter="0" w:footer="0" w:header="0"/>
        </w:sectPr>
      </w:pPr>
    </w:p>
    <w:bookmarkStart w:id="5" w:name="page6"/>
    <w:bookmarkEnd w:id="5"/>
    <w:p>
      <w:pPr>
        <w:ind w:left="328" w:right="20" w:hanging="328"/>
        <w:spacing w:after="0" w:line="241" w:lineRule="auto"/>
        <w:tabs>
          <w:tab w:leader="none" w:pos="323"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spin-off from Bath &amp; Body Works, Inc. (f/k/a L Brands, Inc.) may not be tax-free for U.S. federal income tax purposes;</w:t>
      </w:r>
    </w:p>
    <w:p>
      <w:pPr>
        <w:ind w:left="328" w:hanging="328"/>
        <w:spacing w:after="0" w:line="230" w:lineRule="auto"/>
        <w:tabs>
          <w:tab w:leader="none" w:pos="32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may not realize all of the expected benefits of the spin-off;</w:t>
      </w:r>
    </w:p>
    <w:p>
      <w:pPr>
        <w:jc w:val="both"/>
        <w:ind w:left="328" w:hanging="328"/>
        <w:spacing w:after="0" w:line="225" w:lineRule="auto"/>
        <w:tabs>
          <w:tab w:leader="none" w:pos="323"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3" w:lineRule="exact"/>
        <w:rPr>
          <w:rFonts w:ascii="Arial" w:cs="Arial" w:eastAsia="Arial" w:hAnsi="Arial"/>
          <w:sz w:val="22"/>
          <w:szCs w:val="22"/>
          <w:color w:val="auto"/>
        </w:rPr>
      </w:pPr>
    </w:p>
    <w:p>
      <w:pPr>
        <w:ind w:left="328" w:hanging="328"/>
        <w:spacing w:after="0" w:line="230" w:lineRule="auto"/>
        <w:tabs>
          <w:tab w:leader="none" w:pos="323"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novel coronavirus (COVID-19) global pandemic has had and may continue to have an adverse effect on our business and results of operations;</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turnover in company leadership or other key positions;</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mall traffic and the availability of suitable store locations on appropriate terms;</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independent franchise, license, wholesale, and joint venture partners;</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direct channel business;</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of our brands;</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328" w:hanging="328"/>
        <w:spacing w:after="0" w:line="216"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328" w:hanging="328"/>
        <w:spacing w:after="0" w:line="230" w:lineRule="auto"/>
        <w:tabs>
          <w:tab w:leader="none" w:pos="323"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keep up with fashion trends, develop new merchandise and launch new product lines successfully;</w:t>
      </w:r>
    </w:p>
    <w:p>
      <w:pPr>
        <w:ind w:left="328" w:hanging="328"/>
        <w:spacing w:after="0" w:line="230" w:lineRule="auto"/>
        <w:tabs>
          <w:tab w:leader="none" w:pos="32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realize the potential benefits and synergies sought with the acquisition of AdoreMe, Inc.;</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distribute and sell goods and materials on a global basis, including risks related to:</w:t>
      </w:r>
    </w:p>
    <w:p>
      <w:pPr>
        <w:ind w:left="968" w:hanging="320"/>
        <w:spacing w:after="0" w:line="229" w:lineRule="auto"/>
        <w:tabs>
          <w:tab w:leader="none" w:pos="968"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environmental hazards or natural disasters;</w:t>
      </w:r>
    </w:p>
    <w:p>
      <w:pPr>
        <w:ind w:left="968" w:hanging="320"/>
        <w:spacing w:after="0" w:line="229" w:lineRule="auto"/>
        <w:tabs>
          <w:tab w:leader="none" w:pos="968"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or pandemics;</w:t>
      </w:r>
    </w:p>
    <w:p>
      <w:pPr>
        <w:ind w:left="968" w:hanging="320"/>
        <w:spacing w:after="0" w:line="229" w:lineRule="auto"/>
        <w:tabs>
          <w:tab w:leader="none" w:pos="968"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legal and regulatory matters;</w:t>
      </w:r>
    </w:p>
    <w:p>
      <w:pPr>
        <w:ind w:left="968" w:hanging="320"/>
        <w:spacing w:after="0" w:line="229" w:lineRule="auto"/>
        <w:tabs>
          <w:tab w:leader="none" w:pos="968"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 and</w:t>
      </w:r>
    </w:p>
    <w:p>
      <w:pPr>
        <w:ind w:left="968" w:hanging="320"/>
        <w:spacing w:after="0" w:line="229" w:lineRule="auto"/>
        <w:tabs>
          <w:tab w:leader="none" w:pos="968"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328" w:hanging="328"/>
        <w:spacing w:after="0" w:line="216"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vendor and distribution facilities in central Ohio and Southeast Asia;</w:t>
      </w:r>
    </w:p>
    <w:p>
      <w:pPr>
        <w:ind w:left="328" w:hanging="328"/>
        <w:spacing w:after="0" w:line="230" w:lineRule="auto"/>
        <w:tabs>
          <w:tab w:leader="none" w:pos="323"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deliver products in a timely manner, meet quality standards and comply with applicable laws and regulations;</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 including those caused by inflation;</w:t>
      </w:r>
    </w:p>
    <w:p>
      <w:pPr>
        <w:ind w:left="328" w:hanging="328"/>
        <w:spacing w:after="0" w:line="230" w:lineRule="auto"/>
        <w:tabs>
          <w:tab w:leader="none" w:pos="323"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spacing w:after="0" w:line="1" w:lineRule="exact"/>
        <w:rPr>
          <w:rFonts w:ascii="Times New Roman" w:cs="Times New Roman" w:eastAsia="Times New Roman" w:hAnsi="Times New Roman"/>
          <w:sz w:val="22"/>
          <w:szCs w:val="22"/>
          <w:color w:val="auto"/>
        </w:rPr>
      </w:pP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328" w:hanging="328"/>
        <w:spacing w:after="0" w:line="229" w:lineRule="auto"/>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328" w:hanging="328"/>
        <w:spacing w:after="0"/>
        <w:tabs>
          <w:tab w:leader="none" w:pos="3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ectPr>
          <w:pgSz w:w="11900" w:h="16838" w:orient="portrait"/>
          <w:cols w:equalWidth="0" w:num="1">
            <w:col w:w="10908"/>
          </w:cols>
          <w:pgMar w:left="652" w:top="760" w:right="339" w:bottom="1440" w:gutter="0" w:footer="0" w:header="0"/>
        </w:sectPr>
      </w:pPr>
    </w:p>
    <w:bookmarkStart w:id="6" w:name="page7"/>
    <w:bookmarkEnd w:id="6"/>
    <w:p>
      <w:pPr>
        <w:spacing w:after="0" w:line="249" w:lineRule="auto"/>
        <w:rPr>
          <w:sz w:val="20"/>
          <w:szCs w:val="20"/>
          <w:color w:val="auto"/>
        </w:rPr>
      </w:pPr>
      <w:r>
        <w:rPr>
          <w:rFonts w:ascii="Times New Roman" w:cs="Times New Roman" w:eastAsia="Times New Roman" w:hAnsi="Times New Roman"/>
          <w:sz w:val="21"/>
          <w:szCs w:val="21"/>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and Quarterly Report on Form 10-Q filed with the Securities and Exchange Commission on March 18, 2022 and December 2, 2022,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pacing w:after="0" w:line="1" w:lineRule="exact"/>
        <w:rPr>
          <w:sz w:val="20"/>
          <w:szCs w:val="20"/>
          <w:color w:val="auto"/>
        </w:rPr>
      </w:pPr>
    </w:p>
    <w:sectPr>
      <w:pgSz w:w="11900" w:h="16838" w:orient="portrait"/>
      <w:cols w:equalWidth="0" w:num="1">
        <w:col w:w="11160"/>
      </w:cols>
      <w:pgMar w:left="320" w:top="76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2023-01-11T06:30:41Z</dcterms:created>
  <dcterms:modified xsi:type="dcterms:W3CDTF">2023-01-11T06:30:41Z</dcterms:modified>
</cp:coreProperties>
</file>