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184785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SCHEDULE 14A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jc w:val="center"/>
        <w:ind w:right="19"/>
        <w:spacing w:after="0" w:line="237" w:lineRule="auto"/>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178435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98"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83"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38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5"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02"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06"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205" w:lineRule="exact"/>
        <w:rPr>
          <w:sz w:val="24"/>
          <w:szCs w:val="24"/>
          <w:color w:val="auto"/>
        </w:rPr>
      </w:pPr>
    </w:p>
    <w:p>
      <w:pPr>
        <w:ind w:left="460" w:hanging="346"/>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205" w:lineRule="exact"/>
        <w:rPr>
          <w:sz w:val="24"/>
          <w:szCs w:val="24"/>
          <w:color w:val="auto"/>
        </w:rPr>
      </w:pPr>
    </w:p>
    <w:p>
      <w:pPr>
        <w:ind w:left="460" w:hanging="346"/>
        <w:spacing w:after="0"/>
        <w:tabs>
          <w:tab w:leader="none" w:pos="4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 240.14a-12</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u w:val="single" w:color="auto"/>
          <w:color w:val="auto"/>
        </w:rPr>
        <w:t>Victoria’s Secret &amp; Co.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65"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205" w:lineRule="exact"/>
        <w:rPr>
          <w:sz w:val="24"/>
          <w:szCs w:val="24"/>
          <w:color w:val="auto"/>
        </w:rPr>
      </w:pPr>
    </w:p>
    <w:p>
      <w:pPr>
        <w:ind w:left="460" w:hanging="346"/>
        <w:spacing w:after="0"/>
        <w:tabs>
          <w:tab w:leader="none" w:pos="4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05" w:lineRule="exact"/>
        <w:rPr>
          <w:sz w:val="24"/>
          <w:szCs w:val="24"/>
          <w:color w:val="auto"/>
        </w:rPr>
      </w:pPr>
    </w:p>
    <w:p>
      <w:pPr>
        <w:ind w:left="460" w:hanging="346"/>
        <w:spacing w:after="0"/>
        <w:tabs>
          <w:tab w:leader="none" w:pos="4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4" w:lineRule="exact"/>
        <w:rPr>
          <w:rFonts w:ascii="MS PGothic" w:cs="MS PGothic" w:eastAsia="MS PGothic" w:hAnsi="MS PGothic"/>
          <w:sz w:val="14"/>
          <w:szCs w:val="14"/>
          <w:color w:val="auto"/>
        </w:rPr>
      </w:pPr>
    </w:p>
    <w:p>
      <w:pPr>
        <w:ind w:left="460" w:hanging="346"/>
        <w:spacing w:after="0"/>
        <w:tabs>
          <w:tab w:leader="none" w:pos="4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146050</wp:posOffset>
            </wp:positionV>
            <wp:extent cx="55753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180340</wp:posOffset>
            </wp:positionV>
            <wp:extent cx="55753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435" w:right="1440" w:bottom="1440" w:gutter="0" w:footer="0" w:header="0"/>
        </w:sectPr>
      </w:pPr>
    </w:p>
    <w:bookmarkStart w:id="1" w:name="page2"/>
    <w:bookmarkEnd w:id="1"/>
    <w:p>
      <w:pPr>
        <w:ind w:left="120" w:right="2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On May 20, 2026, Victoria’s Secret &amp; Co. issued the following press release and published an investor presentation, a copy of which is attached hereto as </w:t>
      </w:r>
      <w:r>
        <w:rPr>
          <w:rFonts w:ascii="Times New Roman" w:cs="Times New Roman" w:eastAsia="Times New Roman" w:hAnsi="Times New Roman"/>
          <w:sz w:val="14"/>
          <w:szCs w:val="14"/>
          <w:u w:val="single" w:color="auto"/>
          <w:color w:val="auto"/>
        </w:rPr>
        <w:t>Exhibit 1</w:t>
      </w:r>
      <w:r>
        <w:rPr>
          <w:rFonts w:ascii="Times New Roman" w:cs="Times New Roman" w:eastAsia="Times New Roman" w:hAnsi="Times New Roman"/>
          <w:sz w:val="14"/>
          <w:szCs w:val="14"/>
          <w:color w:val="auto"/>
        </w:rPr>
        <w:t xml:space="preserve"> and available on its website, VSPathtoPotential.com.</w:t>
      </w:r>
    </w:p>
    <w:p>
      <w:pPr>
        <w:spacing w:after="0" w:line="294" w:lineRule="exact"/>
        <w:rPr>
          <w:sz w:val="20"/>
          <w:szCs w:val="20"/>
          <w:color w:val="auto"/>
        </w:rPr>
      </w:pPr>
    </w:p>
    <w:p>
      <w:pPr>
        <w:jc w:val="center"/>
        <w:ind w:left="114" w:right="133"/>
        <w:spacing w:after="0" w:line="296" w:lineRule="auto"/>
        <w:rPr>
          <w:sz w:val="20"/>
          <w:szCs w:val="20"/>
          <w:color w:val="auto"/>
        </w:rPr>
      </w:pPr>
      <w:r>
        <w:rPr>
          <w:rFonts w:ascii="Times New Roman" w:cs="Times New Roman" w:eastAsia="Times New Roman" w:hAnsi="Times New Roman"/>
          <w:sz w:val="14"/>
          <w:szCs w:val="14"/>
          <w:b w:val="1"/>
          <w:bCs w:val="1"/>
          <w:color w:val="auto"/>
        </w:rPr>
        <w:t>Victoria’s Secret &amp; Co. Issues Investor Presentation Highlighting Significant Transformation, Operational Momentum and Shareholder Value Creation</w:t>
      </w:r>
    </w:p>
    <w:p>
      <w:pPr>
        <w:spacing w:after="0" w:line="119" w:lineRule="exact"/>
        <w:rPr>
          <w:sz w:val="20"/>
          <w:szCs w:val="20"/>
          <w:color w:val="auto"/>
        </w:rPr>
      </w:pPr>
    </w:p>
    <w:p>
      <w:pPr>
        <w:jc w:val="center"/>
        <w:ind w:left="114" w:right="133"/>
        <w:spacing w:after="0" w:line="296" w:lineRule="auto"/>
        <w:rPr>
          <w:sz w:val="20"/>
          <w:szCs w:val="20"/>
          <w:color w:val="auto"/>
        </w:rPr>
      </w:pPr>
      <w:r>
        <w:rPr>
          <w:rFonts w:ascii="Times New Roman" w:cs="Times New Roman" w:eastAsia="Times New Roman" w:hAnsi="Times New Roman"/>
          <w:sz w:val="14"/>
          <w:szCs w:val="14"/>
          <w:i w:val="1"/>
          <w:iCs w:val="1"/>
          <w:color w:val="auto"/>
        </w:rPr>
        <w:t>VS&amp;Co Board and Management are Delivering Significant Operational and TSR Outperformance Under New Leadership and “Path to Potential” Strategy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BBRC’s Campaign Ignores Meaningful Progress and Seeks to Disrupt Path to Potential with Self-Interested Narratives and Misleading Claims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VS&amp;Co Urges Shareholders to Vote “FOR” All Highly Qualified Directors at the 2026 Annual Meeting of Shareholders</w:t>
      </w:r>
    </w:p>
    <w:p>
      <w:pPr>
        <w:spacing w:after="0" w:line="185" w:lineRule="exact"/>
        <w:rPr>
          <w:sz w:val="20"/>
          <w:szCs w:val="20"/>
          <w:color w:val="auto"/>
        </w:rPr>
      </w:pPr>
    </w:p>
    <w:p>
      <w:pPr>
        <w:ind w:left="120" w:right="179"/>
        <w:spacing w:after="0" w:line="268" w:lineRule="auto"/>
        <w:rPr>
          <w:sz w:val="20"/>
          <w:szCs w:val="20"/>
          <w:color w:val="auto"/>
        </w:rPr>
      </w:pPr>
      <w:r>
        <w:rPr>
          <w:rFonts w:ascii="Times New Roman" w:cs="Times New Roman" w:eastAsia="Times New Roman" w:hAnsi="Times New Roman"/>
          <w:sz w:val="14"/>
          <w:szCs w:val="14"/>
          <w:color w:val="auto"/>
        </w:rPr>
        <w:t>REYNOLDSBURG, Ohio, May 20, 2026 — Victoria’s Secret &amp; Co. (“VS&amp;Co” or the “Company”) (NYSE: VSCO) today announced that it has filed a detailed investor presentation titled “Vote for Victoria’s Secret’s Board and Our Continued Momentum.” The presentation highlights the Company’s strong operational and financial momentum under its Path to Potential strategy, as well as the decisive actions taken by the Board and management to position the Company for long-term success and drive shareholder value.</w:t>
      </w:r>
    </w:p>
    <w:p>
      <w:pPr>
        <w:spacing w:after="0" w:line="142" w:lineRule="exact"/>
        <w:rPr>
          <w:sz w:val="20"/>
          <w:szCs w:val="20"/>
          <w:color w:val="auto"/>
        </w:rPr>
      </w:pPr>
    </w:p>
    <w:p>
      <w:pPr>
        <w:ind w:left="120" w:right="139"/>
        <w:spacing w:after="0" w:line="273" w:lineRule="auto"/>
        <w:rPr>
          <w:sz w:val="20"/>
          <w:szCs w:val="20"/>
          <w:color w:val="auto"/>
        </w:rPr>
      </w:pPr>
      <w:r>
        <w:rPr>
          <w:rFonts w:ascii="Times New Roman" w:cs="Times New Roman" w:eastAsia="Times New Roman" w:hAnsi="Times New Roman"/>
          <w:sz w:val="14"/>
          <w:szCs w:val="14"/>
          <w:color w:val="auto"/>
        </w:rPr>
        <w:t>VS&amp;Co today is a fundamentally different company than it was at the time of its separation in 2021. Under the leadership of CEO Hillary Super and the oversight of the Board, the Company has refreshed more than half of its senior leadership team, launched its Path to Potential strategy, accelerated comparable sales growth, expanded margins and delivered shareholder returns that have significantly outperformed peers and key retail indices since the CEO transition was announced.</w:t>
      </w:r>
      <w:r>
        <w:rPr>
          <w:rFonts w:ascii="Times New Roman" w:cs="Times New Roman" w:eastAsia="Times New Roman" w:hAnsi="Times New Roman"/>
          <w:sz w:val="21"/>
          <w:szCs w:val="21"/>
          <w:color w:val="auto"/>
          <w:vertAlign w:val="superscript"/>
        </w:rPr>
        <w:t>1</w:t>
      </w:r>
    </w:p>
    <w:p>
      <w:pPr>
        <w:spacing w:after="0" w:line="37" w:lineRule="exact"/>
        <w:rPr>
          <w:sz w:val="20"/>
          <w:szCs w:val="20"/>
          <w:color w:val="auto"/>
        </w:rPr>
      </w:pPr>
    </w:p>
    <w:p>
      <w:pPr>
        <w:jc w:val="both"/>
        <w:ind w:left="120" w:right="199"/>
        <w:spacing w:after="0" w:line="293" w:lineRule="auto"/>
        <w:rPr>
          <w:sz w:val="20"/>
          <w:szCs w:val="20"/>
          <w:color w:val="auto"/>
        </w:rPr>
      </w:pPr>
      <w:r>
        <w:rPr>
          <w:rFonts w:ascii="Times New Roman" w:cs="Times New Roman" w:eastAsia="Times New Roman" w:hAnsi="Times New Roman"/>
          <w:sz w:val="14"/>
          <w:szCs w:val="14"/>
          <w:color w:val="auto"/>
        </w:rPr>
        <w:t>Rather than acknowledge this clear momentum and the Company’s successful turnaround, BBRC International Pte Limited (“BBRC”) continues to rely on misleading and backward-looking claims that we believe are designed to distract shareholders and disrupt the Company at a critical inflection point.</w:t>
      </w:r>
    </w:p>
    <w:p>
      <w:pPr>
        <w:spacing w:after="0" w:line="123" w:lineRule="exact"/>
        <w:rPr>
          <w:sz w:val="20"/>
          <w:szCs w:val="20"/>
          <w:color w:val="auto"/>
        </w:rPr>
      </w:pPr>
    </w:p>
    <w:p>
      <w:pPr>
        <w:ind w:left="120" w:right="139"/>
        <w:spacing w:after="0" w:line="268" w:lineRule="auto"/>
        <w:rPr>
          <w:sz w:val="20"/>
          <w:szCs w:val="20"/>
          <w:color w:val="auto"/>
        </w:rPr>
      </w:pPr>
      <w:r>
        <w:rPr>
          <w:rFonts w:ascii="Times New Roman" w:cs="Times New Roman" w:eastAsia="Times New Roman" w:hAnsi="Times New Roman"/>
          <w:sz w:val="14"/>
          <w:szCs w:val="14"/>
          <w:color w:val="auto"/>
        </w:rPr>
        <w:t>BBRC has offered no credible alternative strategy, no operational plan and no path to create value for shareholders. Instead, focusing solely on the past to advance BBRC Chairman Brett Blundy’s personal agenda following the Board’s determination — after years of engagement, extensive review and good faith cooperation proposals — that his appointment to the Board would pose serious reputational, legal, conflict of interest, and governance risks for VS&amp;Co. The presentation also sets the record straight as to BBRC’s distracting campaign and addresses its distorted accounts and misleading claims.</w:t>
      </w:r>
    </w:p>
    <w:p>
      <w:pPr>
        <w:spacing w:after="0" w:line="142" w:lineRule="exact"/>
        <w:rPr>
          <w:sz w:val="20"/>
          <w:szCs w:val="20"/>
          <w:color w:val="auto"/>
        </w:rPr>
      </w:pPr>
    </w:p>
    <w:p>
      <w:pPr>
        <w:ind w:left="120" w:right="179"/>
        <w:spacing w:after="0" w:line="293" w:lineRule="auto"/>
        <w:rPr>
          <w:sz w:val="20"/>
          <w:szCs w:val="20"/>
          <w:color w:val="auto"/>
        </w:rPr>
      </w:pPr>
      <w:r>
        <w:rPr>
          <w:rFonts w:ascii="Times New Roman" w:cs="Times New Roman" w:eastAsia="Times New Roman" w:hAnsi="Times New Roman"/>
          <w:sz w:val="14"/>
          <w:szCs w:val="14"/>
          <w:color w:val="auto"/>
        </w:rPr>
        <w:t>The Board remains focused on executing the Path to Potential strategy that is working, continuing to deliver for shareholders and ensuring VS&amp;Co does not become sidetracked by a self-interested and increasingly misleading campaign.</w:t>
      </w:r>
    </w:p>
    <w:p>
      <w:pPr>
        <w:spacing w:after="0" w:line="123" w:lineRule="exact"/>
        <w:rPr>
          <w:sz w:val="20"/>
          <w:szCs w:val="20"/>
          <w:color w:val="auto"/>
        </w:rPr>
      </w:pPr>
    </w:p>
    <w:p>
      <w:pPr>
        <w:ind w:left="120" w:right="259"/>
        <w:spacing w:after="0" w:line="293" w:lineRule="auto"/>
        <w:rPr>
          <w:sz w:val="20"/>
          <w:szCs w:val="20"/>
          <w:color w:val="auto"/>
        </w:rPr>
      </w:pPr>
      <w:r>
        <w:rPr>
          <w:rFonts w:ascii="Times New Roman" w:cs="Times New Roman" w:eastAsia="Times New Roman" w:hAnsi="Times New Roman"/>
          <w:sz w:val="14"/>
          <w:szCs w:val="14"/>
          <w:color w:val="auto"/>
        </w:rPr>
        <w:t xml:space="preserve">The full investor presentation, as well as previous communications to shareholders, can be found on </w:t>
      </w:r>
      <w:r>
        <w:rPr>
          <w:rFonts w:ascii="Times New Roman" w:cs="Times New Roman" w:eastAsia="Times New Roman" w:hAnsi="Times New Roman"/>
          <w:sz w:val="14"/>
          <w:szCs w:val="14"/>
          <w:u w:val="single" w:color="auto"/>
          <w:color w:val="auto"/>
        </w:rPr>
        <w:t>VSPathtoPotential.com</w:t>
      </w:r>
      <w:r>
        <w:rPr>
          <w:rFonts w:ascii="Times New Roman" w:cs="Times New Roman" w:eastAsia="Times New Roman" w:hAnsi="Times New Roman"/>
          <w:sz w:val="14"/>
          <w:szCs w:val="14"/>
          <w:color w:val="auto"/>
        </w:rPr>
        <w:t xml:space="preserve"> and the Investor Relations section of the Company’s website.</w:t>
      </w:r>
    </w:p>
    <w:p>
      <w:pPr>
        <w:spacing w:after="0" w:line="123" w:lineRule="exact"/>
        <w:rPr>
          <w:sz w:val="20"/>
          <w:szCs w:val="20"/>
          <w:color w:val="auto"/>
        </w:rPr>
      </w:pPr>
    </w:p>
    <w:p>
      <w:pPr>
        <w:ind w:left="120" w:right="239"/>
        <w:spacing w:after="0" w:line="275" w:lineRule="auto"/>
        <w:rPr>
          <w:sz w:val="20"/>
          <w:szCs w:val="20"/>
          <w:color w:val="auto"/>
        </w:rPr>
      </w:pPr>
      <w:r>
        <w:rPr>
          <w:rFonts w:ascii="Times New Roman" w:cs="Times New Roman" w:eastAsia="Times New Roman" w:hAnsi="Times New Roman"/>
          <w:sz w:val="14"/>
          <w:szCs w:val="14"/>
          <w:color w:val="auto"/>
        </w:rPr>
        <w:t xml:space="preserve">VS&amp;Co also published a series of video interviews with three current Board members on </w:t>
      </w:r>
      <w:r>
        <w:rPr>
          <w:rFonts w:ascii="Times New Roman" w:cs="Times New Roman" w:eastAsia="Times New Roman" w:hAnsi="Times New Roman"/>
          <w:sz w:val="14"/>
          <w:szCs w:val="14"/>
          <w:u w:val="single" w:color="auto"/>
          <w:color w:val="auto"/>
        </w:rPr>
        <w:t>VSPathtoPotential.com</w:t>
      </w:r>
      <w:r>
        <w:rPr>
          <w:rFonts w:ascii="Times New Roman" w:cs="Times New Roman" w:eastAsia="Times New Roman" w:hAnsi="Times New Roman"/>
          <w:sz w:val="14"/>
          <w:szCs w:val="14"/>
          <w:color w:val="auto"/>
        </w:rPr>
        <w:t xml:space="preserve"> discussing the Board’s approach to many of its key responsibilities, including Board oversight and CEO succession, corporate governance, board composition and development, executive compensation aligned with performance, and strategic advisory grounded in deep industry insight.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60960</wp:posOffset>
            </wp:positionV>
            <wp:extent cx="6146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4680" cy="6985"/>
                    </a:xfrm>
                    <a:prstGeom prst="rect">
                      <a:avLst/>
                    </a:prstGeom>
                    <a:noFill/>
                  </pic:spPr>
                </pic:pic>
              </a:graphicData>
            </a:graphic>
          </wp:anchor>
        </w:drawing>
      </w:r>
    </w:p>
    <w:p>
      <w:pPr>
        <w:spacing w:after="0" w:line="94" w:lineRule="exact"/>
        <w:rPr>
          <w:sz w:val="20"/>
          <w:szCs w:val="20"/>
          <w:color w:val="auto"/>
        </w:rPr>
      </w:pPr>
    </w:p>
    <w:p>
      <w:pPr>
        <w:ind w:left="460" w:right="119" w:hanging="346"/>
        <w:spacing w:after="0"/>
        <w:tabs>
          <w:tab w:leader="none" w:pos="4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Source: FactSet (5/15/26). Calculations are based on price at close on unaffected day, one day prior (8/13/2024). Analyst peer group includes peers that at least one analyst references in initial coverage research reports and is comprised of Abercrombie &amp; Fitch, American Eagle, Gap, Urban Outfitters, Levi, Buckle, Carters, Torrid, Lululemon, Aritzia, Bath &amp; Body Works, Capri, Dillard’s, Genesco, J.Jill, Kohl’s, Macy’s, The Children’s Place, Tilly’s, Tapestry, Zumiez, H&amp;M, Industria de Diseno Textil and Vera Bradley. The S&amp;P 500 Consumer Discretionary Distribution &amp; Retail Index is a point of comparison referenced by BBRC in its public letter dated May 4, 2026; the index consists of S&amp;P 500 companies classified under the distribution &amp; retail sub-industry groups within the broader Consumer Discretionary sector of the GICS (Global Industry Classification Standard).</w:t>
      </w:r>
    </w:p>
    <w:p>
      <w:pPr>
        <w:sectPr>
          <w:pgSz w:w="11900" w:h="16838" w:orient="portrait"/>
          <w:cols w:equalWidth="0" w:num="1">
            <w:col w:w="9019"/>
          </w:cols>
          <w:pgMar w:left="1440" w:top="243" w:right="1440" w:bottom="1440" w:gutter="0" w:footer="0" w:header="0"/>
        </w:sectPr>
      </w:pPr>
    </w:p>
    <w:bookmarkStart w:id="2" w:name="page3"/>
    <w:bookmarkEnd w:id="2"/>
    <w:p>
      <w:pPr>
        <w:ind w:left="120" w:right="399"/>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The Company believes it has the right Board, the right Board Chair in Donna James, and the right leadership team to continue delivering value to shareholders. The Board also believes VS&amp;Co’s current leadership team and Board are best positioned to continue executing the Company’s Path to Potential strategy, sustain operational and financial momentum and deliver long-term value for all shareholders.</w:t>
      </w:r>
    </w:p>
    <w:p>
      <w:pPr>
        <w:spacing w:after="0" w:line="135" w:lineRule="exact"/>
        <w:rPr>
          <w:sz w:val="20"/>
          <w:szCs w:val="20"/>
          <w:color w:val="auto"/>
        </w:rPr>
      </w:pPr>
    </w:p>
    <w:p>
      <w:pPr>
        <w:ind w:left="120" w:right="219"/>
        <w:spacing w:after="0" w:line="293" w:lineRule="auto"/>
        <w:rPr>
          <w:sz w:val="20"/>
          <w:szCs w:val="20"/>
          <w:color w:val="auto"/>
        </w:rPr>
      </w:pPr>
      <w:r>
        <w:rPr>
          <w:rFonts w:ascii="Times New Roman" w:cs="Times New Roman" w:eastAsia="Times New Roman" w:hAnsi="Times New Roman"/>
          <w:sz w:val="14"/>
          <w:szCs w:val="14"/>
          <w:color w:val="auto"/>
        </w:rPr>
        <w:t>VS&amp;Co’s Board urges shareholders to use the WHITE proxy card to vote “FOR” all of VS&amp;Co’s nine highly qualified director nominees in connection with the Company’s upcoming Annual Meeting of Shareholders (the “Annual Meeting”) to be held at 8:30 a.m. Eastern Time on June 11, 2026.</w:t>
      </w:r>
    </w:p>
    <w:p>
      <w:pPr>
        <w:spacing w:after="0" w:line="207" w:lineRule="exact"/>
        <w:rPr>
          <w:sz w:val="20"/>
          <w:szCs w:val="20"/>
          <w:color w:val="auto"/>
        </w:rPr>
      </w:pPr>
    </w:p>
    <w:p>
      <w:pPr>
        <w:ind w:left="120" w:right="899"/>
        <w:spacing w:after="0" w:line="296" w:lineRule="auto"/>
        <w:rPr>
          <w:sz w:val="20"/>
          <w:szCs w:val="20"/>
          <w:color w:val="auto"/>
        </w:rPr>
      </w:pPr>
      <w:r>
        <w:rPr>
          <w:rFonts w:ascii="Times New Roman" w:cs="Times New Roman" w:eastAsia="Times New Roman" w:hAnsi="Times New Roman"/>
          <w:sz w:val="14"/>
          <w:szCs w:val="14"/>
          <w:b w:val="1"/>
          <w:bCs w:val="1"/>
          <w:color w:val="auto"/>
        </w:rPr>
        <w:t>VS&amp;CO’s BOARD OF DIRECTORS UNANIMOUSLY RECOMMENDS THAT SHAREHOLDERS VOTE “FOR” ALL OF THE COMPANY’S NOMINEES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more information regarding VS&amp;Co’s momentum and highly-qualified Board, please visit: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VSPathtoPotential.com</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YOUR VOTE IS IMPORTANT</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center"/>
        <w:ind w:left="120" w:right="139"/>
        <w:spacing w:after="0" w:line="296" w:lineRule="auto"/>
        <w:rPr>
          <w:sz w:val="20"/>
          <w:szCs w:val="20"/>
          <w:color w:val="auto"/>
        </w:rPr>
      </w:pPr>
      <w:r>
        <w:rPr>
          <w:rFonts w:ascii="Times New Roman" w:cs="Times New Roman" w:eastAsia="Times New Roman" w:hAnsi="Times New Roman"/>
          <w:sz w:val="14"/>
          <w:szCs w:val="14"/>
          <w:color w:val="auto"/>
        </w:rPr>
        <w:t xml:space="preserve">To ensure your shares are represented at the Annual Meeting, please submit your vote TODAY: </w:t>
      </w:r>
      <w:r>
        <w:rPr>
          <w:rFonts w:ascii="Times New Roman" w:cs="Times New Roman" w:eastAsia="Times New Roman" w:hAnsi="Times New Roman"/>
          <w:sz w:val="14"/>
          <w:szCs w:val="14"/>
          <w:b w:val="1"/>
          <w:bCs w:val="1"/>
          <w:color w:val="auto"/>
        </w:rPr>
        <w:t>Use the WHITE Proxy Card to Vote “FOR” All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VS&amp;Co’s Highly Qualified Nominees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If you have any questions or require any assistance with voting your shares, please call the Company’s proxy solicitor:</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-97790</wp:posOffset>
            </wp:positionV>
            <wp:extent cx="1851660" cy="922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922655"/>
                    </a:xfrm>
                    <a:prstGeom prst="rect">
                      <a:avLst/>
                    </a:prstGeom>
                    <a:noFill/>
                  </pic:spPr>
                </pic:pic>
              </a:graphicData>
            </a:graphic>
          </wp:anchor>
        </w:drawing>
      </w:r>
    </w:p>
    <w:p>
      <w:pPr>
        <w:spacing w:after="0" w:line="1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Shareholders, please call: (877)</w:t>
      </w:r>
    </w:p>
    <w:p>
      <w:pPr>
        <w:spacing w:after="0" w:line="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750-0831 (toll free from the U.S.</w:t>
      </w:r>
    </w:p>
    <w:p>
      <w:pPr>
        <w:spacing w:after="0" w:line="1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and Canada) or</w:t>
      </w:r>
    </w:p>
    <w:p>
      <w:pPr>
        <w:spacing w:after="0" w:line="19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+1 (412) 232-3651 (from all other</w:t>
      </w:r>
    </w:p>
    <w:p>
      <w:pPr>
        <w:spacing w:after="0" w:line="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countries)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Victoria’s Secret &amp; Co</w:t>
      </w:r>
    </w:p>
    <w:p>
      <w:pPr>
        <w:spacing w:after="0" w:line="99" w:lineRule="exact"/>
        <w:rPr>
          <w:sz w:val="20"/>
          <w:szCs w:val="20"/>
          <w:color w:val="auto"/>
        </w:rPr>
      </w:pPr>
    </w:p>
    <w:p>
      <w:pPr>
        <w:ind w:left="120" w:right="279"/>
        <w:spacing w:after="0" w:line="265" w:lineRule="auto"/>
        <w:rPr>
          <w:sz w:val="20"/>
          <w:szCs w:val="20"/>
          <w:color w:val="auto"/>
        </w:rPr>
      </w:pPr>
      <w:r>
        <w:rPr>
          <w:rFonts w:ascii="Times New Roman" w:cs="Times New Roman" w:eastAsia="Times New Roman" w:hAnsi="Times New Roman"/>
          <w:sz w:val="14"/>
          <w:szCs w:val="14"/>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Safe Harbor Statement Under the Private Securities Litigation Reform Act of 1995</w:t>
      </w:r>
    </w:p>
    <w:p>
      <w:pPr>
        <w:spacing w:after="0" w:line="99" w:lineRule="exact"/>
        <w:rPr>
          <w:sz w:val="20"/>
          <w:szCs w:val="20"/>
          <w:color w:val="auto"/>
        </w:rPr>
      </w:pPr>
    </w:p>
    <w:p>
      <w:pPr>
        <w:ind w:left="120" w:right="199"/>
        <w:spacing w:after="0" w:line="265" w:lineRule="auto"/>
        <w:rPr>
          <w:sz w:val="20"/>
          <w:szCs w:val="20"/>
          <w:color w:val="auto"/>
        </w:rPr>
      </w:pPr>
      <w:r>
        <w:rPr>
          <w:rFonts w:ascii="Times New Roman" w:cs="Times New Roman" w:eastAsia="Times New Roman" w:hAnsi="Times New Roman"/>
          <w:sz w:val="14"/>
          <w:szCs w:val="14"/>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pacing w:after="0" w:line="144" w:lineRule="exact"/>
        <w:rPr>
          <w:sz w:val="20"/>
          <w:szCs w:val="20"/>
          <w:color w:val="auto"/>
        </w:rPr>
      </w:pPr>
    </w:p>
    <w:p>
      <w:pPr>
        <w:ind w:left="120" w:right="139"/>
        <w:spacing w:after="0" w:line="262" w:lineRule="auto"/>
        <w:rPr>
          <w:sz w:val="20"/>
          <w:szCs w:val="20"/>
          <w:color w:val="auto"/>
        </w:rPr>
      </w:pPr>
      <w:r>
        <w:rPr>
          <w:rFonts w:ascii="Times New Roman" w:cs="Times New Roman" w:eastAsia="Times New Roman" w:hAnsi="Times New Roman"/>
          <w:sz w:val="14"/>
          <w:szCs w:val="14"/>
          <w:color w:val="auto"/>
        </w:rPr>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ectPr>
          <w:pgSz w:w="11900" w:h="16838" w:orient="portrait"/>
          <w:cols w:equalWidth="0" w:num="1">
            <w:col w:w="9019"/>
          </w:cols>
          <w:pgMar w:left="1440" w:top="243" w:right="1440" w:bottom="1440" w:gutter="0" w:footer="0" w:header="0"/>
        </w:sectPr>
      </w:pPr>
    </w:p>
    <w:bookmarkStart w:id="3" w:name="page4"/>
    <w:bookmarkEnd w:id="3"/>
    <w:p>
      <w:pPr>
        <w:ind w:left="120" w:right="4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 forward-looking statements are made only as of the date of this document. Except as may be required by law, we assume no obligation to make publicly available any update or other revisions to any of the forward-looking statements contained in this document.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further information, please contact:</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Victoria’s Secret &amp; Co.:</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investorrelations@victoria.com</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Edelman Smithfield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VSCO@edelmansmithfield.com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ectPr>
          <w:pgSz w:w="11900" w:h="16838" w:orient="portrait"/>
          <w:cols w:equalWidth="0" w:num="1">
            <w:col w:w="9019"/>
          </w:cols>
          <w:pgMar w:left="1440" w:top="243" w:right="1440"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2026-05-20T16:52:02Z</dcterms:created>
  <dcterms:modified xsi:type="dcterms:W3CDTF">2026-05-20T16:52:02Z</dcterms:modified>
</cp:coreProperties>
</file>