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SCHEDULE 13D</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(Rule 13d-101)</w:t>
      </w:r>
    </w:p>
    <w:p>
      <w:pPr>
        <w:spacing w:after="0" w:line="182" w:lineRule="exact"/>
        <w:rPr>
          <w:sz w:val="24"/>
          <w:szCs w:val="24"/>
          <w:color w:val="auto"/>
        </w:rPr>
      </w:pPr>
    </w:p>
    <w:p>
      <w:pPr>
        <w:ind w:left="2180"/>
        <w:spacing w:after="0"/>
        <w:rPr>
          <w:sz w:val="20"/>
          <w:szCs w:val="20"/>
          <w:color w:val="auto"/>
        </w:rPr>
      </w:pPr>
      <w:r>
        <w:rPr>
          <w:rFonts w:ascii="Times New Roman" w:cs="Times New Roman" w:eastAsia="Times New Roman" w:hAnsi="Times New Roman"/>
          <w:sz w:val="22"/>
          <w:szCs w:val="22"/>
          <w:color w:val="auto"/>
        </w:rPr>
        <w:t>INFORMATION TO BE INCLUDED IN STATEMENTS FILED PURSUANT</w:t>
      </w:r>
    </w:p>
    <w:p>
      <w:pPr>
        <w:spacing w:after="0" w:line="4" w:lineRule="exact"/>
        <w:rPr>
          <w:sz w:val="24"/>
          <w:szCs w:val="24"/>
          <w:color w:val="auto"/>
        </w:rPr>
      </w:pPr>
    </w:p>
    <w:p>
      <w:pPr>
        <w:ind w:left="2160"/>
        <w:spacing w:after="0"/>
        <w:rPr>
          <w:sz w:val="20"/>
          <w:szCs w:val="20"/>
          <w:color w:val="auto"/>
        </w:rPr>
      </w:pPr>
      <w:r>
        <w:rPr>
          <w:rFonts w:ascii="Times New Roman" w:cs="Times New Roman" w:eastAsia="Times New Roman" w:hAnsi="Times New Roman"/>
          <w:sz w:val="22"/>
          <w:szCs w:val="22"/>
          <w:color w:val="auto"/>
        </w:rPr>
        <w:t>TO § 240.13d-1(a) AND AMENDMENTS THERETO FILED PURSUANT TO</w:t>
      </w:r>
    </w:p>
    <w:p>
      <w:pPr>
        <w:ind w:left="4780" w:right="4740" w:firstLine="202"/>
        <w:spacing w:after="0" w:line="471" w:lineRule="auto"/>
        <w:tabs>
          <w:tab w:leader="none" w:pos="5149"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240.13d-2(a) (Amendment No. )</w:t>
      </w:r>
      <w:r>
        <w:rPr>
          <w:rFonts w:ascii="Times New Roman" w:cs="Times New Roman" w:eastAsia="Times New Roman" w:hAnsi="Times New Roman"/>
          <w:sz w:val="11"/>
          <w:szCs w:val="11"/>
          <w:color w:val="auto"/>
        </w:rPr>
        <w:t>1</w:t>
      </w: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Victoria's Secret &amp; Co.</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(Name of Issuer)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Common Stock, par value $0.01 per share</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926400102</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(CUSIP Number)</w:t>
      </w:r>
    </w:p>
    <w:p>
      <w:pPr>
        <w:spacing w:after="0" w:line="1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BRETT BLUNDY</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 Phillip Street #11-01</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Royal Group Building</w:t>
      </w:r>
    </w:p>
    <w:p>
      <w:pPr>
        <w:spacing w:after="0" w:line="9" w:lineRule="exact"/>
        <w:rPr>
          <w:sz w:val="24"/>
          <w:szCs w:val="24"/>
          <w:color w:val="auto"/>
        </w:rPr>
      </w:pPr>
    </w:p>
    <w:p>
      <w:pPr>
        <w:ind w:left="4960"/>
        <w:spacing w:after="0"/>
        <w:rPr>
          <w:sz w:val="20"/>
          <w:szCs w:val="20"/>
          <w:color w:val="auto"/>
        </w:rPr>
      </w:pPr>
      <w:r>
        <w:rPr>
          <w:rFonts w:ascii="Times New Roman" w:cs="Times New Roman" w:eastAsia="Times New Roman" w:hAnsi="Times New Roman"/>
          <w:sz w:val="18"/>
          <w:szCs w:val="18"/>
          <w:color w:val="auto"/>
        </w:rPr>
        <w:t>Singapore 048693</w:t>
      </w:r>
    </w:p>
    <w:p>
      <w:pPr>
        <w:spacing w:after="0" w:line="9" w:lineRule="exact"/>
        <w:rPr>
          <w:sz w:val="24"/>
          <w:szCs w:val="24"/>
          <w:color w:val="auto"/>
        </w:rPr>
      </w:pPr>
    </w:p>
    <w:p>
      <w:pPr>
        <w:ind w:left="5020"/>
        <w:spacing w:after="0"/>
        <w:rPr>
          <w:sz w:val="20"/>
          <w:szCs w:val="20"/>
          <w:color w:val="auto"/>
        </w:rPr>
      </w:pPr>
      <w:r>
        <w:rPr>
          <w:rFonts w:ascii="Times New Roman" w:cs="Times New Roman" w:eastAsia="Times New Roman" w:hAnsi="Times New Roman"/>
          <w:sz w:val="18"/>
          <w:szCs w:val="18"/>
          <w:u w:val="single" w:color="auto"/>
          <w:color w:val="auto"/>
        </w:rPr>
        <w:t>+61 2 9285 6700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(Name, Address and Telephone Number of Person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RYAN NEBEL</w:t>
      </w:r>
    </w:p>
    <w:p>
      <w:pPr>
        <w:spacing w:after="0" w:line="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OLSHAN FROME WOLOSKY LLP</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1325 Avenue of the Americas</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New York, New York 10019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(212) 451-2300</w:t>
      </w:r>
    </w:p>
    <w:p>
      <w:pPr>
        <w:spacing w:after="0" w:line="2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January 23, 2024</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(Date of Event Which Requires Filing of This Statement)</w:t>
      </w:r>
    </w:p>
    <w:p>
      <w:pPr>
        <w:spacing w:after="0" w:line="218" w:lineRule="exact"/>
        <w:rPr>
          <w:sz w:val="24"/>
          <w:szCs w:val="24"/>
          <w:color w:val="auto"/>
        </w:rPr>
      </w:pPr>
    </w:p>
    <w:p>
      <w:pPr>
        <w:ind w:right="40"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t>
      </w:r>
    </w:p>
    <w:p>
      <w:pPr>
        <w:spacing w:after="0" w:line="128" w:lineRule="exact"/>
        <w:rPr>
          <w:sz w:val="24"/>
          <w:szCs w:val="24"/>
          <w:color w:val="auto"/>
        </w:rPr>
      </w:pPr>
    </w:p>
    <w:p>
      <w:pPr>
        <w:ind w:right="180"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Schedules filed in paper format shall include a signed original and five copies of the schedule, including all exhibits.</w:t>
      </w:r>
      <w:r>
        <w:rPr>
          <w:rFonts w:ascii="Times New Roman" w:cs="Times New Roman" w:eastAsia="Times New Roman" w:hAnsi="Times New Roman"/>
          <w:sz w:val="18"/>
          <w:szCs w:val="18"/>
          <w:i w:val="1"/>
          <w:iCs w:val="1"/>
          <w:color w:val="auto"/>
        </w:rPr>
        <w:t xml:space="preserve"> See </w:t>
      </w:r>
      <w:r>
        <w:rPr>
          <w:rFonts w:ascii="Times New Roman" w:cs="Times New Roman" w:eastAsia="Times New Roman" w:hAnsi="Times New Roman"/>
          <w:sz w:val="18"/>
          <w:szCs w:val="18"/>
          <w:color w:val="auto"/>
        </w:rPr>
        <w:t>§ 240.13d-7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438785</wp:posOffset>
            </wp:positionV>
            <wp:extent cx="178308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5" w:lineRule="exact"/>
        <w:rPr>
          <w:sz w:val="24"/>
          <w:szCs w:val="24"/>
          <w:color w:val="auto"/>
        </w:rPr>
      </w:pPr>
    </w:p>
    <w:p>
      <w:pPr>
        <w:jc w:val="both"/>
        <w:ind w:firstLine="8"/>
        <w:spacing w:after="0" w:line="244" w:lineRule="auto"/>
        <w:tabs>
          <w:tab w:leader="none" w:pos="815" w:val="left"/>
        </w:tabs>
        <w:numPr>
          <w:ilvl w:val="0"/>
          <w:numId w:val="2"/>
        </w:numPr>
        <w:rPr>
          <w:rFonts w:ascii="Times New Roman" w:cs="Times New Roman" w:eastAsia="Times New Roman" w:hAnsi="Times New Roman"/>
          <w:sz w:val="13"/>
          <w:szCs w:val="13"/>
          <w:color w:val="auto"/>
        </w:rPr>
      </w:pPr>
      <w:r>
        <w:rPr>
          <w:rFonts w:ascii="Times New Roman" w:cs="Times New Roman" w:eastAsia="Times New Roman" w:hAnsi="Times New Roman"/>
          <w:sz w:val="22"/>
          <w:szCs w:val="22"/>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2" w:lineRule="exact"/>
        <w:rPr>
          <w:sz w:val="24"/>
          <w:szCs w:val="24"/>
          <w:color w:val="auto"/>
        </w:rPr>
      </w:pPr>
    </w:p>
    <w:p>
      <w:pPr>
        <w:ind w:right="380" w:firstLine="648"/>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i w:val="1"/>
          <w:iCs w:val="1"/>
          <w:color w:val="auto"/>
        </w:rPr>
        <w:t>Notes</w:t>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243205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216"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BBFIT INVESTMENTS PTE LTD</w:t>
            </w:r>
          </w:p>
        </w:tc>
        <w:tc>
          <w:tcPr>
            <w:tcW w:w="1180" w:type="dxa"/>
            <w:vAlign w:val="bottom"/>
            <w:tcBorders>
              <w:bottom w:val="single" w:sz="8" w:color="auto"/>
              <w:right w:val="single" w:sz="8" w:color="auto"/>
            </w:tcBorders>
          </w:tcPr>
          <w:p>
            <w:pPr>
              <w:spacing w:after="0"/>
              <w:rPr>
                <w:sz w:val="24"/>
                <w:szCs w:val="24"/>
                <w:color w:val="auto"/>
              </w:rPr>
            </w:pPr>
          </w:p>
        </w:tc>
      </w:tr>
      <w:tr>
        <w:trPr>
          <w:trHeight w:val="169"/>
        </w:trPr>
        <w:tc>
          <w:tcPr>
            <w:tcW w:w="40" w:type="dxa"/>
            <w:vAlign w:val="bottom"/>
            <w:tcBorders>
              <w:right w:val="single" w:sz="8" w:color="auto"/>
            </w:tcBorders>
            <w:shd w:val="clear" w:color="auto" w:fill="000000"/>
          </w:tcPr>
          <w:p>
            <w:pPr>
              <w:spacing w:after="0"/>
              <w:rPr>
                <w:sz w:val="14"/>
                <w:szCs w:val="14"/>
                <w:color w:val="auto"/>
              </w:rPr>
            </w:pPr>
          </w:p>
        </w:tc>
        <w:tc>
          <w:tcPr>
            <w:tcW w:w="16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69"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70"/>
        </w:trPr>
        <w:tc>
          <w:tcPr>
            <w:tcW w:w="40" w:type="dxa"/>
            <w:vAlign w:val="bottom"/>
            <w:tcBorders>
              <w:bottom w:val="single" w:sz="8" w:color="auto"/>
              <w:right w:val="single" w:sz="8" w:color="auto"/>
            </w:tcBorders>
            <w:shd w:val="clear" w:color="auto" w:fill="000000"/>
          </w:tcPr>
          <w:p>
            <w:pPr>
              <w:spacing w:after="0"/>
              <w:rPr>
                <w:sz w:val="14"/>
                <w:szCs w:val="14"/>
                <w:color w:val="auto"/>
              </w:rPr>
            </w:pPr>
          </w:p>
        </w:tc>
        <w:tc>
          <w:tcPr>
            <w:tcW w:w="1680" w:type="dxa"/>
            <w:vAlign w:val="bottom"/>
            <w:tcBorders>
              <w:bottom w:val="single" w:sz="8" w:color="auto"/>
              <w:right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580" w:type="dxa"/>
            <w:vAlign w:val="bottom"/>
            <w:tcBorders>
              <w:bottom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WC</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5"/>
        </w:trPr>
        <w:tc>
          <w:tcPr>
            <w:tcW w:w="40" w:type="dxa"/>
            <w:vAlign w:val="bottom"/>
            <w:tcBorders>
              <w:right w:val="single" w:sz="8" w:color="auto"/>
            </w:tcBorders>
            <w:shd w:val="clear" w:color="auto" w:fill="000000"/>
          </w:tcPr>
          <w:p>
            <w:pPr>
              <w:spacing w:after="0"/>
              <w:rPr>
                <w:sz w:val="17"/>
                <w:szCs w:val="17"/>
                <w:color w:val="auto"/>
              </w:rPr>
            </w:pPr>
          </w:p>
        </w:tc>
        <w:tc>
          <w:tcPr>
            <w:tcW w:w="1680" w:type="dxa"/>
            <w:vAlign w:val="bottom"/>
            <w:tcBorders>
              <w:right w:val="single" w:sz="8" w:color="auto"/>
            </w:tcBorders>
          </w:tcPr>
          <w:p>
            <w:pPr>
              <w:jc w:val="center"/>
              <w:spacing w:after="0" w:line="205"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205"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18"/>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SINGAPORE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3,801,510</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3,801,510</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3,801,510</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4.9%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55"/>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147955</wp:posOffset>
            </wp:positionV>
            <wp:extent cx="35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ind w:left="580"/>
              <w:spacing w:after="0"/>
              <w:rPr>
                <w:sz w:val="20"/>
                <w:szCs w:val="20"/>
                <w:color w:val="auto"/>
              </w:rPr>
            </w:pPr>
            <w:r>
              <w:rPr>
                <w:rFonts w:ascii="Times New Roman" w:cs="Times New Roman" w:eastAsia="Times New Roman" w:hAnsi="Times New Roman"/>
                <w:sz w:val="18"/>
                <w:szCs w:val="18"/>
                <w:color w:val="auto"/>
              </w:rPr>
              <w:t>THE BB FAMILY INTERNATIONAL TRUST</w:t>
            </w: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55"/>
        </w:trPr>
        <w:tc>
          <w:tcPr>
            <w:tcW w:w="1700" w:type="dxa"/>
            <w:vAlign w:val="bottom"/>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60" w:type="dxa"/>
            <w:vAlign w:val="bottom"/>
            <w:gridSpan w:val="3"/>
          </w:tcPr>
          <w:p>
            <w:pPr>
              <w:ind w:left="14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200" w:type="dxa"/>
            <w:vAlign w:val="bottom"/>
            <w:gridSpan w:val="2"/>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17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200" w:type="dxa"/>
            <w:vAlign w:val="bottom"/>
            <w:gridSpan w:val="2"/>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170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WC, 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60" w:type="dxa"/>
            <w:vAlign w:val="bottom"/>
            <w:gridSpan w:val="3"/>
          </w:tcPr>
          <w:p>
            <w:pPr>
              <w:ind w:left="14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200" w:type="dxa"/>
            <w:vAlign w:val="bottom"/>
            <w:gridSpan w:val="2"/>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1700" w:type="dxa"/>
            <w:vAlign w:val="bottom"/>
          </w:tcPr>
          <w:p>
            <w:pPr>
              <w:spacing w:after="0"/>
              <w:rPr>
                <w:sz w:val="20"/>
                <w:szCs w:val="20"/>
                <w:color w:val="auto"/>
              </w:rPr>
            </w:pPr>
          </w:p>
        </w:tc>
        <w:tc>
          <w:tcPr>
            <w:tcW w:w="17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2"/>
          </w:tcPr>
          <w:p>
            <w:pPr>
              <w:ind w:left="580"/>
              <w:spacing w:after="0"/>
              <w:rPr>
                <w:sz w:val="20"/>
                <w:szCs w:val="20"/>
                <w:color w:val="auto"/>
              </w:rPr>
            </w:pPr>
            <w:r>
              <w:rPr>
                <w:rFonts w:ascii="Times New Roman" w:cs="Times New Roman" w:eastAsia="Times New Roman" w:hAnsi="Times New Roman"/>
                <w:sz w:val="18"/>
                <w:szCs w:val="18"/>
                <w:color w:val="auto"/>
              </w:rPr>
              <w:t>SINGAPORE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91"/>
        </w:trPr>
        <w:tc>
          <w:tcPr>
            <w:tcW w:w="170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2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2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7,603,019</w:t>
            </w:r>
          </w:p>
        </w:tc>
        <w:tc>
          <w:tcPr>
            <w:tcW w:w="11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spacing w:after="0"/>
              <w:rPr>
                <w:sz w:val="19"/>
                <w:szCs w:val="19"/>
                <w:color w:val="auto"/>
              </w:rPr>
            </w:pPr>
          </w:p>
        </w:tc>
        <w:tc>
          <w:tcPr>
            <w:tcW w:w="17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7,603,019</w:t>
            </w: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14"/>
        </w:trPr>
        <w:tc>
          <w:tcPr>
            <w:tcW w:w="17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7,603,019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9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20" w:type="dxa"/>
            <w:vAlign w:val="bottom"/>
          </w:tcPr>
          <w:p>
            <w:pPr>
              <w:spacing w:after="0"/>
              <w:rPr>
                <w:sz w:val="24"/>
                <w:szCs w:val="24"/>
                <w:color w:val="auto"/>
              </w:rPr>
            </w:pPr>
          </w:p>
        </w:tc>
      </w:tr>
      <w:tr>
        <w:trPr>
          <w:trHeight w:val="345"/>
        </w:trPr>
        <w:tc>
          <w:tcPr>
            <w:tcW w:w="1700" w:type="dxa"/>
            <w:vAlign w:val="bottom"/>
            <w:tcBorders>
              <w:bottom w:val="single" w:sz="8" w:color="auto"/>
            </w:tcBorders>
          </w:tcPr>
          <w:p>
            <w:pPr>
              <w:spacing w:after="0"/>
              <w:rPr>
                <w:sz w:val="24"/>
                <w:szCs w:val="24"/>
                <w:color w:val="auto"/>
              </w:rPr>
            </w:pPr>
          </w:p>
        </w:tc>
        <w:tc>
          <w:tcPr>
            <w:tcW w:w="836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28"/>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6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-5334635</wp:posOffset>
            </wp:positionV>
            <wp:extent cx="351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1155" cy="8890"/>
                    </a:xfrm>
                    <a:prstGeom prst="rect">
                      <a:avLst/>
                    </a:prstGeom>
                    <a:noFill/>
                  </pic:spPr>
                </pic:pic>
              </a:graphicData>
            </a:graphic>
          </wp:anchor>
        </w:drawing>
      </w:r>
    </w:p>
    <w:p>
      <w:pPr>
        <w:spacing w:after="0" w:line="159"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6785610</wp:posOffset>
            </wp:positionH>
            <wp:positionV relativeFrom="paragraph">
              <wp:posOffset>17145</wp:posOffset>
            </wp:positionV>
            <wp:extent cx="351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7" w:lineRule="exact"/>
        <w:rPr>
          <w:sz w:val="20"/>
          <w:szCs w:val="20"/>
          <w:color w:val="auto"/>
        </w:rPr>
      </w:pPr>
    </w:p>
    <w:p>
      <w:pPr>
        <w:ind w:left="2280" w:right="6900" w:hanging="1512"/>
        <w:spacing w:after="0" w:line="527" w:lineRule="auto"/>
        <w:tabs>
          <w:tab w:leader="none" w:pos="183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-294005</wp:posOffset>
            </wp:positionV>
            <wp:extent cx="8890" cy="1631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-294005</wp:posOffset>
            </wp:positionV>
            <wp:extent cx="8890" cy="1631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1085215</wp:posOffset>
            </wp:positionH>
            <wp:positionV relativeFrom="paragraph">
              <wp:posOffset>-294005</wp:posOffset>
            </wp:positionV>
            <wp:extent cx="8890" cy="1631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890" cy="163195"/>
                    </a:xfrm>
                    <a:prstGeom prst="rect">
                      <a:avLst/>
                    </a:prstGeom>
                    <a:noFill/>
                  </pic:spPr>
                </pic:pic>
              </a:graphicData>
            </a:graphic>
          </wp:anchor>
        </w:drawing>
        <w:drawing>
          <wp:anchor simplePos="0" relativeHeight="251657728" behindDoc="1" locked="0" layoutInCell="0" allowOverlap="1">
            <wp:simplePos x="0" y="0"/>
            <wp:positionH relativeFrom="column">
              <wp:posOffset>6785610</wp:posOffset>
            </wp:positionH>
            <wp:positionV relativeFrom="paragraph">
              <wp:posOffset>-294005</wp:posOffset>
            </wp:positionV>
            <wp:extent cx="351155" cy="1631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51155" cy="163195"/>
                    </a:xfrm>
                    <a:prstGeom prst="rect">
                      <a:avLst/>
                    </a:prstGeom>
                    <a:noFill/>
                  </pic:spPr>
                </pic:pic>
              </a:graphicData>
            </a:graphic>
          </wp:anchor>
        </w:drawing>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BBRC INTERNATIONAL PTE LIMITED</w:t>
            </w:r>
          </w:p>
        </w:tc>
        <w:tc>
          <w:tcPr>
            <w:tcW w:w="1180" w:type="dxa"/>
            <w:vAlign w:val="bottom"/>
            <w:tcBorders>
              <w:bottom w:val="single" w:sz="8" w:color="auto"/>
              <w:right w:val="single" w:sz="8" w:color="auto"/>
            </w:tcBorders>
          </w:tcPr>
          <w:p>
            <w:pPr>
              <w:spacing w:after="0"/>
              <w:rPr>
                <w:sz w:val="24"/>
                <w:szCs w:val="24"/>
                <w:color w:val="auto"/>
              </w:rPr>
            </w:pPr>
          </w:p>
        </w:tc>
      </w:tr>
      <w:tr>
        <w:trPr>
          <w:trHeight w:val="156"/>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SINGAPORE</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7,603,019</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7,603,019</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7,603,019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CO</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4</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40"/>
        </w:trPr>
        <w:tc>
          <w:tcPr>
            <w:tcW w:w="40" w:type="dxa"/>
            <w:vAlign w:val="bottom"/>
            <w:tcBorders>
              <w:top w:val="single" w:sz="8" w:color="auto"/>
              <w:bottom w:val="single" w:sz="8" w:color="auto"/>
              <w:right w:val="single" w:sz="8" w:color="auto"/>
            </w:tcBorders>
            <w:shd w:val="clear" w:color="auto" w:fill="000000"/>
          </w:tcPr>
          <w:p>
            <w:pPr>
              <w:spacing w:after="0"/>
              <w:rPr>
                <w:sz w:val="3"/>
                <w:szCs w:val="3"/>
                <w:color w:val="auto"/>
              </w:rPr>
            </w:pPr>
          </w:p>
        </w:tc>
        <w:tc>
          <w:tcPr>
            <w:tcW w:w="1680" w:type="dxa"/>
            <w:vAlign w:val="bottom"/>
            <w:tcBorders>
              <w:top w:val="single" w:sz="8" w:color="auto"/>
              <w:bottom w:val="single" w:sz="8" w:color="auto"/>
              <w:right w:val="single" w:sz="8" w:color="auto"/>
            </w:tcBorders>
          </w:tcPr>
          <w:p>
            <w:pPr>
              <w:spacing w:after="0"/>
              <w:rPr>
                <w:sz w:val="3"/>
                <w:szCs w:val="3"/>
                <w:color w:val="auto"/>
              </w:rPr>
            </w:pPr>
          </w:p>
        </w:tc>
        <w:tc>
          <w:tcPr>
            <w:tcW w:w="1700" w:type="dxa"/>
            <w:vAlign w:val="bottom"/>
            <w:tcBorders>
              <w:top w:val="single" w:sz="8" w:color="auto"/>
              <w:bottom w:val="single" w:sz="8" w:color="auto"/>
            </w:tcBorders>
          </w:tcPr>
          <w:p>
            <w:pPr>
              <w:spacing w:after="0"/>
              <w:rPr>
                <w:sz w:val="3"/>
                <w:szCs w:val="3"/>
                <w:color w:val="auto"/>
              </w:rPr>
            </w:pPr>
          </w:p>
        </w:tc>
        <w:tc>
          <w:tcPr>
            <w:tcW w:w="60" w:type="dxa"/>
            <w:vAlign w:val="bottom"/>
            <w:tcBorders>
              <w:top w:val="single" w:sz="8" w:color="auto"/>
              <w:bottom w:val="single" w:sz="8" w:color="auto"/>
            </w:tcBorders>
          </w:tcPr>
          <w:p>
            <w:pPr>
              <w:spacing w:after="0"/>
              <w:rPr>
                <w:sz w:val="3"/>
                <w:szCs w:val="3"/>
                <w:color w:val="auto"/>
              </w:rPr>
            </w:pPr>
          </w:p>
        </w:tc>
        <w:tc>
          <w:tcPr>
            <w:tcW w:w="6580" w:type="dxa"/>
            <w:vAlign w:val="bottom"/>
            <w:tcBorders>
              <w:top w:val="single" w:sz="8" w:color="auto"/>
              <w:bottom w:val="single" w:sz="8" w:color="auto"/>
            </w:tcBorders>
          </w:tcPr>
          <w:p>
            <w:pPr>
              <w:spacing w:after="0"/>
              <w:rPr>
                <w:sz w:val="3"/>
                <w:szCs w:val="3"/>
                <w:color w:val="auto"/>
              </w:rPr>
            </w:pPr>
          </w:p>
        </w:tc>
        <w:tc>
          <w:tcPr>
            <w:tcW w:w="1180" w:type="dxa"/>
            <w:vAlign w:val="bottom"/>
            <w:tcBorders>
              <w:top w:val="single" w:sz="8" w:color="auto"/>
              <w:bottom w:val="single" w:sz="8" w:color="auto"/>
              <w:right w:val="single" w:sz="8" w:color="auto"/>
            </w:tcBorders>
          </w:tcPr>
          <w:p>
            <w:pPr>
              <w:spacing w:after="0"/>
              <w:rPr>
                <w:sz w:val="3"/>
                <w:szCs w:val="3"/>
                <w:color w:val="auto"/>
              </w:rPr>
            </w:pPr>
          </w:p>
        </w:tc>
      </w:tr>
      <w:tr>
        <w:trPr>
          <w:trHeight w:val="215"/>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NAME OF REPORTING PERSON</w:t>
            </w:r>
          </w:p>
        </w:tc>
        <w:tc>
          <w:tcPr>
            <w:tcW w:w="1180" w:type="dxa"/>
            <w:vAlign w:val="bottom"/>
            <w:tcBorders>
              <w:right w:val="single" w:sz="8" w:color="auto"/>
            </w:tcBorders>
          </w:tcPr>
          <w:p>
            <w:pPr>
              <w:spacing w:after="0"/>
              <w:rPr>
                <w:sz w:val="18"/>
                <w:szCs w:val="18"/>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BRETT BLUNDY</w:t>
            </w:r>
          </w:p>
        </w:tc>
        <w:tc>
          <w:tcPr>
            <w:tcW w:w="1180" w:type="dxa"/>
            <w:vAlign w:val="bottom"/>
            <w:tcBorders>
              <w:bottom w:val="single" w:sz="8" w:color="auto"/>
              <w:right w:val="single" w:sz="8" w:color="auto"/>
            </w:tcBorders>
          </w:tcPr>
          <w:p>
            <w:pPr>
              <w:spacing w:after="0"/>
              <w:rPr>
                <w:sz w:val="24"/>
                <w:szCs w:val="24"/>
                <w:color w:val="auto"/>
              </w:rPr>
            </w:pPr>
          </w:p>
        </w:tc>
      </w:tr>
      <w:tr>
        <w:trPr>
          <w:trHeight w:val="155"/>
        </w:trPr>
        <w:tc>
          <w:tcPr>
            <w:tcW w:w="40" w:type="dxa"/>
            <w:vAlign w:val="bottom"/>
            <w:tcBorders>
              <w:right w:val="single" w:sz="8" w:color="auto"/>
            </w:tcBorders>
            <w:shd w:val="clear" w:color="auto" w:fill="000000"/>
          </w:tcPr>
          <w:p>
            <w:pPr>
              <w:spacing w:after="0"/>
              <w:rPr>
                <w:sz w:val="13"/>
                <w:szCs w:val="13"/>
                <w:color w:val="auto"/>
              </w:rPr>
            </w:pPr>
          </w:p>
        </w:tc>
        <w:tc>
          <w:tcPr>
            <w:tcW w:w="1680" w:type="dxa"/>
            <w:vAlign w:val="bottom"/>
            <w:tcBorders>
              <w:right w:val="single" w:sz="8" w:color="auto"/>
            </w:tcBorders>
          </w:tcPr>
          <w:p>
            <w:pPr>
              <w:jc w:val="center"/>
              <w:spacing w:after="0" w:line="156" w:lineRule="exact"/>
              <w:rPr>
                <w:sz w:val="20"/>
                <w:szCs w:val="20"/>
                <w:color w:val="auto"/>
              </w:rPr>
            </w:pPr>
            <w:r>
              <w:rPr>
                <w:rFonts w:ascii="Times New Roman" w:cs="Times New Roman" w:eastAsia="Times New Roman" w:hAnsi="Times New Roman"/>
                <w:sz w:val="18"/>
                <w:szCs w:val="18"/>
                <w:color w:val="auto"/>
                <w:w w:val="88"/>
              </w:rPr>
              <w:t>2</w:t>
            </w:r>
          </w:p>
        </w:tc>
        <w:tc>
          <w:tcPr>
            <w:tcW w:w="8340" w:type="dxa"/>
            <w:vAlign w:val="bottom"/>
            <w:gridSpan w:val="3"/>
          </w:tcPr>
          <w:p>
            <w:pPr>
              <w:ind w:left="120"/>
              <w:spacing w:after="0" w:line="156"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1180" w:type="dxa"/>
            <w:vAlign w:val="bottom"/>
            <w:tcBorders>
              <w:right w:val="single" w:sz="8" w:color="auto"/>
            </w:tcBorders>
          </w:tcPr>
          <w:p>
            <w:pPr>
              <w:ind w:left="80"/>
              <w:spacing w:after="0" w:line="156"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r>
      <w:tr>
        <w:trPr>
          <w:trHeight w:val="303"/>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580" w:type="dxa"/>
            <w:vAlign w:val="bottom"/>
          </w:tcPr>
          <w:p>
            <w:pPr>
              <w:spacing w:after="0"/>
              <w:rPr>
                <w:sz w:val="24"/>
                <w:szCs w:val="24"/>
                <w:color w:val="auto"/>
              </w:rPr>
            </w:pPr>
          </w:p>
        </w:tc>
        <w:tc>
          <w:tcPr>
            <w:tcW w:w="1180" w:type="dxa"/>
            <w:vAlign w:val="bottom"/>
            <w:tcBorders>
              <w:right w:val="single" w:sz="8" w:color="auto"/>
            </w:tcBorders>
          </w:tcPr>
          <w:p>
            <w:pPr>
              <w:ind w:left="8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r>
      <w:tr>
        <w:trPr>
          <w:trHeight w:val="183"/>
        </w:trPr>
        <w:tc>
          <w:tcPr>
            <w:tcW w:w="40" w:type="dxa"/>
            <w:vAlign w:val="bottom"/>
            <w:tcBorders>
              <w:bottom w:val="single" w:sz="8" w:color="auto"/>
              <w:right w:val="single" w:sz="8" w:color="auto"/>
            </w:tcBorders>
            <w:shd w:val="clear" w:color="auto" w:fill="000000"/>
          </w:tcPr>
          <w:p>
            <w:pPr>
              <w:spacing w:after="0"/>
              <w:rPr>
                <w:sz w:val="15"/>
                <w:szCs w:val="15"/>
                <w:color w:val="auto"/>
              </w:rPr>
            </w:pPr>
          </w:p>
        </w:tc>
        <w:tc>
          <w:tcPr>
            <w:tcW w:w="1680" w:type="dxa"/>
            <w:vAlign w:val="bottom"/>
            <w:tcBorders>
              <w:bottom w:val="single" w:sz="8" w:color="auto"/>
              <w:right w:val="single" w:sz="8" w:color="auto"/>
            </w:tcBorders>
          </w:tcPr>
          <w:p>
            <w:pPr>
              <w:spacing w:after="0"/>
              <w:rPr>
                <w:sz w:val="15"/>
                <w:szCs w:val="15"/>
                <w:color w:val="auto"/>
              </w:rPr>
            </w:pPr>
          </w:p>
        </w:tc>
        <w:tc>
          <w:tcPr>
            <w:tcW w:w="170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6580" w:type="dxa"/>
            <w:vAlign w:val="bottom"/>
            <w:tcBorders>
              <w:bottom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3</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SEC USE ONLY</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9"/>
              </w:rPr>
              <w:t>SOURCE OF FUNDS</w:t>
            </w:r>
          </w:p>
        </w:tc>
        <w:tc>
          <w:tcPr>
            <w:tcW w:w="6580" w:type="dxa"/>
            <w:vAlign w:val="bottom"/>
          </w:tcPr>
          <w:p>
            <w:pPr>
              <w:spacing w:after="0"/>
              <w:rPr>
                <w:sz w:val="19"/>
                <w:szCs w:val="19"/>
                <w:color w:val="auto"/>
              </w:rPr>
            </w:pP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AF</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5</w:t>
            </w:r>
          </w:p>
        </w:tc>
        <w:tc>
          <w:tcPr>
            <w:tcW w:w="8340" w:type="dxa"/>
            <w:vAlign w:val="bottom"/>
            <w:gridSpan w:val="3"/>
          </w:tcPr>
          <w:p>
            <w:pPr>
              <w:ind w:left="120"/>
              <w:spacing w:after="0" w:line="191" w:lineRule="exact"/>
              <w:rPr>
                <w:sz w:val="20"/>
                <w:szCs w:val="20"/>
                <w:color w:val="auto"/>
              </w:rPr>
            </w:pPr>
            <w:r>
              <w:rPr>
                <w:rFonts w:ascii="Times New Roman" w:cs="Times New Roman" w:eastAsia="Times New Roman" w:hAnsi="Times New Roman"/>
                <w:sz w:val="18"/>
                <w:szCs w:val="18"/>
                <w:color w:val="auto"/>
              </w:rPr>
              <w:t>CHECK BOX IF DISCLOSURE OF LEGAL PROCEEDINGS IS REQUIRED PURSUANT TO ITEM 2(d) OR</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34"/>
        </w:trPr>
        <w:tc>
          <w:tcPr>
            <w:tcW w:w="40" w:type="dxa"/>
            <w:vAlign w:val="bottom"/>
            <w:tcBorders>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spacing w:after="0"/>
              <w:rPr>
                <w:sz w:val="20"/>
                <w:szCs w:val="20"/>
                <w:color w:val="auto"/>
              </w:rPr>
            </w:pPr>
          </w:p>
        </w:tc>
        <w:tc>
          <w:tcPr>
            <w:tcW w:w="17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2(e)</w:t>
            </w:r>
          </w:p>
        </w:tc>
        <w:tc>
          <w:tcPr>
            <w:tcW w:w="6580" w:type="dxa"/>
            <w:vAlign w:val="bottom"/>
          </w:tcPr>
          <w:p>
            <w:pPr>
              <w:spacing w:after="0"/>
              <w:rPr>
                <w:sz w:val="20"/>
                <w:szCs w:val="20"/>
                <w:color w:val="auto"/>
              </w:rPr>
            </w:pPr>
          </w:p>
        </w:tc>
        <w:tc>
          <w:tcPr>
            <w:tcW w:w="1180" w:type="dxa"/>
            <w:vAlign w:val="bottom"/>
            <w:tcBorders>
              <w:right w:val="single" w:sz="8" w:color="auto"/>
            </w:tcBorders>
          </w:tcPr>
          <w:p>
            <w:pPr>
              <w:spacing w:after="0"/>
              <w:rPr>
                <w:sz w:val="20"/>
                <w:szCs w:val="20"/>
                <w:color w:val="auto"/>
              </w:rPr>
            </w:pPr>
          </w:p>
        </w:tc>
      </w:tr>
      <w:tr>
        <w:trPr>
          <w:trHeight w:val="432"/>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640" w:type="dxa"/>
            <w:vAlign w:val="bottom"/>
            <w:tcBorders>
              <w:bottom w:val="single" w:sz="8" w:color="auto"/>
            </w:tcBorders>
            <w:gridSpan w:val="2"/>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6</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AUSTRALIA</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NUMBER OF</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7</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SOLE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SHARES</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BENEFICIALLY</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0"/>
                <w:szCs w:val="20"/>
                <w:color w:val="auto"/>
              </w:rPr>
            </w:pPr>
          </w:p>
        </w:tc>
      </w:tr>
      <w:tr>
        <w:trPr>
          <w:trHeight w:val="191"/>
        </w:trPr>
        <w:tc>
          <w:tcPr>
            <w:tcW w:w="40" w:type="dxa"/>
            <w:vAlign w:val="bottom"/>
            <w:tcBorders>
              <w:right w:val="single" w:sz="8" w:color="auto"/>
            </w:tcBorders>
            <w:shd w:val="clear" w:color="auto" w:fill="000000"/>
          </w:tcPr>
          <w:p>
            <w:pPr>
              <w:spacing w:after="0"/>
              <w:rPr>
                <w:sz w:val="16"/>
                <w:szCs w:val="16"/>
                <w:color w:val="auto"/>
              </w:rPr>
            </w:pPr>
          </w:p>
        </w:tc>
        <w:tc>
          <w:tcPr>
            <w:tcW w:w="168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OWNED BY</w:t>
            </w:r>
          </w:p>
        </w:tc>
        <w:tc>
          <w:tcPr>
            <w:tcW w:w="170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88"/>
              </w:rPr>
              <w:t>8</w:t>
            </w:r>
          </w:p>
        </w:tc>
        <w:tc>
          <w:tcPr>
            <w:tcW w:w="60" w:type="dxa"/>
            <w:vAlign w:val="bottom"/>
          </w:tcPr>
          <w:p>
            <w:pPr>
              <w:spacing w:after="0"/>
              <w:rPr>
                <w:sz w:val="16"/>
                <w:szCs w:val="16"/>
                <w:color w:val="auto"/>
              </w:rPr>
            </w:pPr>
          </w:p>
        </w:tc>
        <w:tc>
          <w:tcPr>
            <w:tcW w:w="6580" w:type="dxa"/>
            <w:vAlign w:val="bottom"/>
          </w:tcPr>
          <w:p>
            <w:pPr>
              <w:ind w:left="40"/>
              <w:spacing w:after="0" w:line="191" w:lineRule="exact"/>
              <w:rPr>
                <w:sz w:val="20"/>
                <w:szCs w:val="20"/>
                <w:color w:val="auto"/>
              </w:rPr>
            </w:pPr>
            <w:r>
              <w:rPr>
                <w:rFonts w:ascii="Times New Roman" w:cs="Times New Roman" w:eastAsia="Times New Roman" w:hAnsi="Times New Roman"/>
                <w:sz w:val="18"/>
                <w:szCs w:val="18"/>
                <w:color w:val="auto"/>
              </w:rPr>
              <w:t>SHARED VOTING POWER</w:t>
            </w:r>
          </w:p>
        </w:tc>
        <w:tc>
          <w:tcPr>
            <w:tcW w:w="1180" w:type="dxa"/>
            <w:vAlign w:val="bottom"/>
            <w:tcBorders>
              <w:right w:val="single" w:sz="8" w:color="auto"/>
            </w:tcBorders>
          </w:tcPr>
          <w:p>
            <w:pPr>
              <w:spacing w:after="0"/>
              <w:rPr>
                <w:sz w:val="16"/>
                <w:szCs w:val="16"/>
                <w:color w:val="auto"/>
              </w:rPr>
            </w:pPr>
          </w:p>
        </w:tc>
      </w:tr>
      <w:tr>
        <w:trPr>
          <w:trHeight w:val="216"/>
        </w:trPr>
        <w:tc>
          <w:tcPr>
            <w:tcW w:w="40" w:type="dxa"/>
            <w:vAlign w:val="bottom"/>
            <w:tcBorders>
              <w:right w:val="single" w:sz="8" w:color="auto"/>
            </w:tcBorders>
            <w:shd w:val="clear" w:color="auto" w:fill="000000"/>
          </w:tcPr>
          <w:p>
            <w:pPr>
              <w:spacing w:after="0"/>
              <w:rPr>
                <w:sz w:val="18"/>
                <w:szCs w:val="18"/>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EACH</w:t>
            </w:r>
          </w:p>
        </w:tc>
        <w:tc>
          <w:tcPr>
            <w:tcW w:w="1700" w:type="dxa"/>
            <w:vAlign w:val="bottom"/>
            <w:tcBorders>
              <w:right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580" w:type="dxa"/>
            <w:vAlign w:val="bottom"/>
          </w:tcPr>
          <w:p>
            <w:pPr>
              <w:spacing w:after="0"/>
              <w:rPr>
                <w:sz w:val="18"/>
                <w:szCs w:val="18"/>
                <w:color w:val="auto"/>
              </w:rPr>
            </w:pPr>
          </w:p>
        </w:tc>
        <w:tc>
          <w:tcPr>
            <w:tcW w:w="1180" w:type="dxa"/>
            <w:vAlign w:val="bottom"/>
            <w:tcBorders>
              <w:right w:val="single" w:sz="8" w:color="auto"/>
            </w:tcBorders>
          </w:tcPr>
          <w:p>
            <w:pPr>
              <w:spacing w:after="0"/>
              <w:rPr>
                <w:sz w:val="18"/>
                <w:szCs w:val="18"/>
                <w:color w:val="auto"/>
              </w:rPr>
            </w:pPr>
          </w:p>
        </w:tc>
      </w:tr>
      <w:tr>
        <w:trPr>
          <w:trHeight w:val="234"/>
        </w:trPr>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REPORTING</w:t>
            </w:r>
          </w:p>
        </w:tc>
        <w:tc>
          <w:tcPr>
            <w:tcW w:w="1700" w:type="dxa"/>
            <w:vAlign w:val="bottom"/>
            <w:tcBorders>
              <w:bottom w:val="single" w:sz="8" w:color="auto"/>
              <w:right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7,603,019</w:t>
            </w:r>
          </w:p>
        </w:tc>
        <w:tc>
          <w:tcPr>
            <w:tcW w:w="1180" w:type="dxa"/>
            <w:vAlign w:val="bottom"/>
            <w:tcBorders>
              <w:bottom w:val="single" w:sz="8" w:color="auto"/>
              <w:right w:val="single" w:sz="8" w:color="auto"/>
            </w:tcBorders>
          </w:tcPr>
          <w:p>
            <w:pPr>
              <w:spacing w:after="0"/>
              <w:rPr>
                <w:sz w:val="20"/>
                <w:szCs w:val="20"/>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PERSON WITH</w:t>
            </w: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SOLE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- 0 -</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spacing w:after="0"/>
              <w:rPr>
                <w:sz w:val="19"/>
                <w:szCs w:val="19"/>
                <w:color w:val="auto"/>
              </w:rPr>
            </w:pPr>
          </w:p>
        </w:tc>
        <w:tc>
          <w:tcPr>
            <w:tcW w:w="17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0" w:type="dxa"/>
            <w:vAlign w:val="bottom"/>
          </w:tcPr>
          <w:p>
            <w:pPr>
              <w:spacing w:after="0"/>
              <w:rPr>
                <w:sz w:val="19"/>
                <w:szCs w:val="19"/>
                <w:color w:val="auto"/>
              </w:rPr>
            </w:pPr>
          </w:p>
        </w:tc>
        <w:tc>
          <w:tcPr>
            <w:tcW w:w="6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SHARED DISPOSITIVE POWER</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right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7,603,019</w:t>
            </w: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11</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AGGREGATE AMOUNT BENEFICIALLY OWNED BY EACH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7,603,019</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96"/>
        </w:trPr>
        <w:tc>
          <w:tcPr>
            <w:tcW w:w="40" w:type="dxa"/>
            <w:vAlign w:val="bottom"/>
            <w:tcBorders>
              <w:right w:val="single" w:sz="8" w:color="auto"/>
            </w:tcBorders>
            <w:shd w:val="clear" w:color="auto" w:fill="000000"/>
          </w:tcPr>
          <w:p>
            <w:pPr>
              <w:spacing w:after="0"/>
              <w:rPr>
                <w:sz w:val="24"/>
                <w:szCs w:val="24"/>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CHECK BOX IF THE AGGREGATE AMOUNT IN ROW (11) EXCLUDES CERTAIN SHARES</w:t>
            </w:r>
          </w:p>
        </w:tc>
        <w:tc>
          <w:tcPr>
            <w:tcW w:w="1180" w:type="dxa"/>
            <w:vAlign w:val="bottom"/>
            <w:tcBorders>
              <w:right w:val="single" w:sz="8" w:color="auto"/>
            </w:tcBorders>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345"/>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8340" w:type="dxa"/>
            <w:vAlign w:val="bottom"/>
            <w:tcBorders>
              <w:bottom w:val="single" w:sz="8" w:color="auto"/>
            </w:tcBorders>
            <w:gridSpan w:val="3"/>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13</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PERCENT OF CLASS REPRESENTED BY AMOUNT IN ROW (11)</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0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9.8%</w:t>
            </w: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28"/>
        </w:trPr>
        <w:tc>
          <w:tcPr>
            <w:tcW w:w="40" w:type="dxa"/>
            <w:vAlign w:val="bottom"/>
            <w:tcBorders>
              <w:right w:val="single" w:sz="8" w:color="auto"/>
            </w:tcBorders>
            <w:shd w:val="clear" w:color="auto" w:fill="000000"/>
          </w:tcPr>
          <w:p>
            <w:pPr>
              <w:spacing w:after="0"/>
              <w:rPr>
                <w:sz w:val="19"/>
                <w:szCs w:val="19"/>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14</w:t>
            </w:r>
          </w:p>
        </w:tc>
        <w:tc>
          <w:tcPr>
            <w:tcW w:w="834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TYPE OF REPORTING PERSON</w:t>
            </w:r>
          </w:p>
        </w:tc>
        <w:tc>
          <w:tcPr>
            <w:tcW w:w="1180" w:type="dxa"/>
            <w:vAlign w:val="bottom"/>
            <w:tcBorders>
              <w:right w:val="single" w:sz="8" w:color="auto"/>
            </w:tcBorders>
          </w:tcPr>
          <w:p>
            <w:pPr>
              <w:spacing w:after="0"/>
              <w:rPr>
                <w:sz w:val="19"/>
                <w:szCs w:val="19"/>
                <w:color w:val="auto"/>
              </w:rPr>
            </w:pPr>
          </w:p>
        </w:tc>
      </w:tr>
      <w:tr>
        <w:trPr>
          <w:trHeight w:val="414"/>
        </w:trPr>
        <w:tc>
          <w:tcPr>
            <w:tcW w:w="40" w:type="dxa"/>
            <w:vAlign w:val="bottom"/>
            <w:tcBorders>
              <w:bottom w:val="single" w:sz="8" w:color="auto"/>
              <w:right w:val="single" w:sz="8" w:color="auto"/>
            </w:tcBorders>
            <w:shd w:val="clear" w:color="auto" w:fill="000000"/>
          </w:tcPr>
          <w:p>
            <w:pPr>
              <w:spacing w:after="0"/>
              <w:rPr>
                <w:sz w:val="24"/>
                <w:szCs w:val="24"/>
                <w:color w:val="auto"/>
              </w:rPr>
            </w:pPr>
          </w:p>
        </w:tc>
        <w:tc>
          <w:tcPr>
            <w:tcW w:w="1680" w:type="dxa"/>
            <w:vAlign w:val="bottom"/>
            <w:tcBorders>
              <w:bottom w:val="single" w:sz="8" w:color="auto"/>
              <w:right w:val="single" w:sz="8" w:color="auto"/>
            </w:tcBorders>
          </w:tcPr>
          <w:p>
            <w:pPr>
              <w:spacing w:after="0"/>
              <w:rPr>
                <w:sz w:val="24"/>
                <w:szCs w:val="24"/>
                <w:color w:val="auto"/>
              </w:rPr>
            </w:pPr>
          </w:p>
        </w:tc>
        <w:tc>
          <w:tcPr>
            <w:tcW w:w="1760" w:type="dxa"/>
            <w:vAlign w:val="bottom"/>
            <w:tcBorders>
              <w:bottom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IN</w:t>
            </w:r>
          </w:p>
        </w:tc>
        <w:tc>
          <w:tcPr>
            <w:tcW w:w="6580" w:type="dxa"/>
            <w:vAlign w:val="bottom"/>
            <w:tcBorders>
              <w:bottom w:val="single" w:sz="8" w:color="auto"/>
            </w:tcBorders>
          </w:tcPr>
          <w:p>
            <w:pPr>
              <w:spacing w:after="0"/>
              <w:rPr>
                <w:sz w:val="24"/>
                <w:szCs w:val="24"/>
                <w:color w:val="auto"/>
              </w:rPr>
            </w:pPr>
          </w:p>
        </w:tc>
        <w:tc>
          <w:tcPr>
            <w:tcW w:w="1180" w:type="dxa"/>
            <w:vAlign w:val="bottom"/>
            <w:tcBorders>
              <w:bottom w:val="single" w:sz="8" w:color="auto"/>
              <w:right w:val="single" w:sz="8" w:color="auto"/>
            </w:tcBorders>
          </w:tcPr>
          <w:p>
            <w:pPr>
              <w:spacing w:after="0"/>
              <w:rPr>
                <w:sz w:val="24"/>
                <w:szCs w:val="24"/>
                <w:color w:val="auto"/>
              </w:rPr>
            </w:pPr>
          </w:p>
        </w:tc>
      </w:tr>
      <w:tr>
        <w:trPr>
          <w:trHeight w:val="20"/>
        </w:trPr>
        <w:tc>
          <w:tcPr>
            <w:tcW w:w="40" w:type="dxa"/>
            <w:vAlign w:val="bottom"/>
            <w:tcBorders>
              <w:bottom w:val="single" w:sz="8" w:color="auto"/>
              <w:right w:val="single" w:sz="8" w:color="auto"/>
            </w:tcBorders>
            <w:shd w:val="clear" w:color="auto" w:fill="000000"/>
          </w:tcPr>
          <w:p>
            <w:pPr>
              <w:spacing w:after="0" w:line="20" w:lineRule="exact"/>
              <w:rPr>
                <w:sz w:val="1"/>
                <w:szCs w:val="1"/>
                <w:color w:val="auto"/>
              </w:rPr>
            </w:pPr>
          </w:p>
        </w:tc>
        <w:tc>
          <w:tcPr>
            <w:tcW w:w="1680" w:type="dxa"/>
            <w:vAlign w:val="bottom"/>
            <w:tcBorders>
              <w:bottom w:val="single" w:sz="8" w:color="auto"/>
              <w:right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right w:val="single" w:sz="8" w:color="auto"/>
            </w:tcBorders>
          </w:tcPr>
          <w:p>
            <w:pPr>
              <w:spacing w:after="0" w:line="20" w:lineRule="exact"/>
              <w:rPr>
                <w:sz w:val="1"/>
                <w:szCs w:val="1"/>
                <w:color w:val="auto"/>
              </w:rPr>
            </w:pPr>
          </w:p>
        </w:tc>
      </w:tr>
      <w:tr>
        <w:trPr>
          <w:trHeight w:val="548"/>
        </w:trPr>
        <w:tc>
          <w:tcPr>
            <w:tcW w:w="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58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8"/>
                <w:szCs w:val="18"/>
                <w:color w:val="auto"/>
              </w:rPr>
              <w:t>5</w:t>
            </w:r>
          </w:p>
        </w:tc>
        <w:tc>
          <w:tcPr>
            <w:tcW w:w="11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22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1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The following constitutes the Schedule 13D filed by the undersigned (the “Schedule 13D”).</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1.</w:t>
      </w:r>
      <w:r>
        <w:rPr>
          <w:sz w:val="20"/>
          <w:szCs w:val="20"/>
          <w:color w:val="auto"/>
        </w:rPr>
        <w:tab/>
      </w:r>
      <w:r>
        <w:rPr>
          <w:rFonts w:ascii="Times New Roman" w:cs="Times New Roman" w:eastAsia="Times New Roman" w:hAnsi="Times New Roman"/>
          <w:sz w:val="17"/>
          <w:szCs w:val="17"/>
          <w:u w:val="single" w:color="auto"/>
          <w:color w:val="auto"/>
        </w:rPr>
        <w:t>Security and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This statement relates to the common stock, par value $0.01 per share (the “Shares”), of Victoria's Secret &amp; Co., a Delaware corporation (the “Issuer”). The address of the principal executive offices of the Issuer is 4 Limited Parkway East, Reynoldsburg, Ohio, 43068.</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2.</w:t>
      </w:r>
      <w:r>
        <w:rPr>
          <w:sz w:val="20"/>
          <w:szCs w:val="20"/>
          <w:color w:val="auto"/>
        </w:rPr>
        <w:tab/>
      </w:r>
      <w:r>
        <w:rPr>
          <w:rFonts w:ascii="Times New Roman" w:cs="Times New Roman" w:eastAsia="Times New Roman" w:hAnsi="Times New Roman"/>
          <w:sz w:val="18"/>
          <w:szCs w:val="18"/>
          <w:u w:val="single" w:color="auto"/>
          <w:color w:val="auto"/>
        </w:rPr>
        <w:t>Identity and Background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820" w:hanging="516"/>
        <w:spacing w:after="0"/>
        <w:tabs>
          <w:tab w:leader="none" w:pos="1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statement is filed by:</w:t>
      </w:r>
    </w:p>
    <w:p>
      <w:pPr>
        <w:spacing w:after="0" w:line="225"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BBFIT Investments Pte Ltd, a Singapore private limited company (“BBFIT”), with respect to the Shares directly and beneficially owned by it;</w:t>
      </w:r>
    </w:p>
    <w:p>
      <w:pPr>
        <w:spacing w:after="0" w:line="161" w:lineRule="exact"/>
        <w:rPr>
          <w:rFonts w:ascii="Times New Roman" w:cs="Times New Roman" w:eastAsia="Times New Roman" w:hAnsi="Times New Roman"/>
          <w:sz w:val="18"/>
          <w:szCs w:val="18"/>
          <w:color w:val="auto"/>
        </w:rPr>
      </w:pPr>
    </w:p>
    <w:p>
      <w:pPr>
        <w:ind w:left="260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BB Family International Trust, a trust organized under the laws of Singapore (“BB Family Trust”), with respect to the Shares directly and beneficially owned by it and as the sole shareholder of BBFIT;</w:t>
      </w:r>
    </w:p>
    <w:p>
      <w:pPr>
        <w:spacing w:after="0" w:line="161" w:lineRule="exact"/>
        <w:rPr>
          <w:rFonts w:ascii="Times New Roman" w:cs="Times New Roman" w:eastAsia="Times New Roman" w:hAnsi="Times New Roman"/>
          <w:sz w:val="18"/>
          <w:szCs w:val="18"/>
          <w:color w:val="auto"/>
        </w:rPr>
      </w:pPr>
    </w:p>
    <w:p>
      <w:pPr>
        <w:ind w:left="2600" w:right="20" w:hanging="648"/>
        <w:spacing w:after="0" w:line="282" w:lineRule="auto"/>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BBRC International Pte Limited, a Singapore private limited company (“BBRC International”), as the trustee of BB Family Trust; and</w:t>
      </w:r>
    </w:p>
    <w:p>
      <w:pPr>
        <w:spacing w:after="0" w:line="161" w:lineRule="exact"/>
        <w:rPr>
          <w:rFonts w:ascii="Times New Roman" w:cs="Times New Roman" w:eastAsia="Times New Roman" w:hAnsi="Times New Roman"/>
          <w:sz w:val="18"/>
          <w:szCs w:val="18"/>
          <w:color w:val="auto"/>
        </w:rPr>
      </w:pPr>
    </w:p>
    <w:p>
      <w:pPr>
        <w:ind w:left="2600" w:hanging="648"/>
        <w:spacing w:after="0"/>
        <w:tabs>
          <w:tab w:leader="none" w:pos="260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Brett Blundy, as a Director and sole shareholder of BBRC International.</w:t>
      </w:r>
    </w:p>
    <w:p>
      <w:pPr>
        <w:spacing w:after="0" w:line="225" w:lineRule="exact"/>
        <w:rPr>
          <w:sz w:val="20"/>
          <w:szCs w:val="20"/>
          <w:color w:val="auto"/>
        </w:rPr>
      </w:pPr>
    </w:p>
    <w:p>
      <w:pPr>
        <w:jc w:val="both"/>
        <w:ind w:firstLine="1287"/>
        <w:spacing w:after="0" w:line="282" w:lineRule="auto"/>
        <w:rPr>
          <w:sz w:val="20"/>
          <w:szCs w:val="20"/>
          <w:color w:val="auto"/>
        </w:rPr>
      </w:pPr>
      <w:r>
        <w:rPr>
          <w:rFonts w:ascii="Times New Roman" w:cs="Times New Roman" w:eastAsia="Times New Roman" w:hAnsi="Times New Roman"/>
          <w:sz w:val="18"/>
          <w:szCs w:val="18"/>
          <w:color w:val="auto"/>
        </w:rPr>
        <w:t>Each of the foregoing is referred to as a “Reporting Person” and collectively as the “Reporting Persons.” Each of the Reporting Persons is party to that certain Joint Filing Agreement, as further described in Item 6. Accordingly, the Reporting Persons are hereby filing a joint Schedule 13D.</w:t>
      </w:r>
    </w:p>
    <w:p>
      <w:pPr>
        <w:spacing w:after="0" w:line="162" w:lineRule="exact"/>
        <w:rPr>
          <w:sz w:val="20"/>
          <w:szCs w:val="20"/>
          <w:color w:val="auto"/>
        </w:rPr>
      </w:pPr>
    </w:p>
    <w:p>
      <w:pPr>
        <w:jc w:val="both"/>
        <w:ind w:firstLine="1287"/>
        <w:spacing w:after="0" w:line="261" w:lineRule="auto"/>
        <w:rPr>
          <w:sz w:val="20"/>
          <w:szCs w:val="20"/>
          <w:color w:val="auto"/>
        </w:rPr>
      </w:pPr>
      <w:r>
        <w:rPr>
          <w:rFonts w:ascii="Times New Roman" w:cs="Times New Roman" w:eastAsia="Times New Roman" w:hAnsi="Times New Roman"/>
          <w:sz w:val="18"/>
          <w:szCs w:val="18"/>
          <w:color w:val="auto"/>
        </w:rPr>
        <w:t>Set forth on Schedule A annexed hereto (“Schedule A”) is the name and present principal occupation or employment, principal business address and citizenship of the executive officers and directors of BBFIT and BBRC International. To the best of the Reporting Persons’ knowledge, except as otherwise set forth herein, none of the persons listed on Schedule A beneficially owns any securities of the Issuer or is a party to any contract, agreement or understanding required to be disclosed herein.</w:t>
      </w:r>
    </w:p>
    <w:p>
      <w:pPr>
        <w:spacing w:after="0" w:line="180" w:lineRule="exact"/>
        <w:rPr>
          <w:sz w:val="20"/>
          <w:szCs w:val="20"/>
          <w:color w:val="auto"/>
        </w:rPr>
      </w:pPr>
    </w:p>
    <w:p>
      <w:pPr>
        <w:ind w:left="1880" w:hanging="576"/>
        <w:spacing w:after="0"/>
        <w:tabs>
          <w:tab w:leader="none" w:pos="18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principal office of each of the Reporting Persons is 3 Phillip Street #11-01, Royal Group Building, Singapore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048693.</w:t>
      </w:r>
    </w:p>
    <w:p>
      <w:pPr>
        <w:spacing w:after="0" w:line="207" w:lineRule="exact"/>
        <w:rPr>
          <w:sz w:val="20"/>
          <w:szCs w:val="20"/>
          <w:color w:val="auto"/>
        </w:rPr>
      </w:pPr>
    </w:p>
    <w:p>
      <w:pPr>
        <w:jc w:val="both"/>
        <w:ind w:firstLine="1304"/>
        <w:spacing w:after="0" w:line="266" w:lineRule="auto"/>
        <w:tabs>
          <w:tab w:leader="none" w:pos="18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business of BBFIT and BB Family Trust is investing in securities. BB Family Trust is also the sole shareholder of BBFIT. The principal business of BBRC International is serving as the trustee of BB Family Trust. Mr. Blundy is a Director and sole shareholder of BBRC International and a Director of BBFIT.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8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nor any person listed on Schedule A, has, during the last five years, been convicted in a criminal proceeding (excluding traffic violations or similar misdemeanors).</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83"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Reporting Person, nor any person listed on Schedule A, has, during the last five years, been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107" w:lineRule="exact"/>
        <w:rPr>
          <w:sz w:val="20"/>
          <w:szCs w:val="20"/>
          <w:color w:val="auto"/>
        </w:rPr>
      </w:pPr>
    </w:p>
    <w:p>
      <w:pPr>
        <w:ind w:left="1800" w:hanging="496"/>
        <w:spacing w:after="0"/>
        <w:tabs>
          <w:tab w:leader="none" w:pos="18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BBFIT, BB Family Trust and BBRC International are organized under the laws of Singapore. Mr. Blundy is a citizen of Australia.</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Item 3.</w:t>
      </w:r>
      <w:r>
        <w:rPr>
          <w:rFonts w:ascii="Times New Roman" w:cs="Times New Roman" w:eastAsia="Times New Roman" w:hAnsi="Times New Roman"/>
          <w:sz w:val="18"/>
          <w:szCs w:val="18"/>
          <w:u w:val="single" w:color="auto"/>
          <w:color w:val="auto"/>
        </w:rPr>
        <w:t>Source and Amount of Funds or Other Consideration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The Shares purchased by BBFIT and BB Family Trust were purchased with working capital (which may, at any given time, include margin loans made by brokerage firms in the ordinary course of business). The aggregate purchase price of the 3,801,510 Shares beneficially owned by BBFIT is approximately $153,261,556, including brokerage commissions. The aggregate purchase price of the 3,801,509 Shares directly beneficially owned by BB Family Trust is approximately $178,172,192, including brokerage commissions.</w:t>
      </w:r>
    </w:p>
    <w:p>
      <w:pPr>
        <w:spacing w:after="0" w:line="18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4.</w:t>
      </w:r>
      <w:r>
        <w:rPr>
          <w:sz w:val="20"/>
          <w:szCs w:val="20"/>
          <w:color w:val="auto"/>
        </w:rPr>
        <w:tab/>
      </w:r>
      <w:r>
        <w:rPr>
          <w:rFonts w:ascii="Times New Roman" w:cs="Times New Roman" w:eastAsia="Times New Roman" w:hAnsi="Times New Roman"/>
          <w:sz w:val="18"/>
          <w:szCs w:val="18"/>
          <w:u w:val="single" w:color="auto"/>
          <w:color w:val="auto"/>
        </w:rPr>
        <w:t>Purpose of Transaction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The Reporting Persons purchased the Shares based on the Reporting Persons’ belief that the Shares, when purchased, were undervalued and represented an attractive investment opportunity. Depending upon overall market conditions, other investment opportunities available to the Reporting Persons, and the availability of Shares at prices that would make the purchase or sale of Shares desirable, the Reporting Persons may endeavor to increase or decrease their position in the Issuer through, among other things, the purchase or sale of Shares on the open market or in private transactions or otherwise, on such terms and at such times as the Reporting Persons may deem advisable.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Reporting Persons have engaged, and intend to continue to engage, in communications with members of the Issuer’s board of directors (the “Board”) and management team regarding opportunities to enhance stockholder value, including potential improvements to the composition of the Board.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No Reporting Person has any present plan or proposal which would relate to or result in any of the matters set forth in subparagraphs (a) -</w:t>
      </w:r>
    </w:p>
    <w:p>
      <w:pPr>
        <w:spacing w:after="0" w:line="27" w:lineRule="exact"/>
        <w:rPr>
          <w:sz w:val="20"/>
          <w:szCs w:val="20"/>
          <w:color w:val="auto"/>
        </w:rPr>
      </w:pPr>
    </w:p>
    <w:p>
      <w:pPr>
        <w:jc w:val="both"/>
        <w:ind w:firstLine="8"/>
        <w:spacing w:after="0" w:line="251" w:lineRule="auto"/>
        <w:tabs>
          <w:tab w:leader="none" w:pos="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Item 4 of Schedule 13D except as set forth herein or such as would occur upon or in connection with completion of, or following, any of the actions discussed herein. The Reporting Persons intend to review their investment in the Issuer on a continuing basis. Depending on various factors including, without limitation, the Issuer’s financial position and investment strategy, the price levels of the Shares, conditions in the securities markets and general economic and industry conditions, the Reporting Persons may in the future take such actions with respect to their investment in the Issuer as they deem appropriate including, without limitation, engaging in additional communications with management and the Board of the Issuer, engaging in discussions with stockholders of the Issuer and others about the Issuer and the Reporting Persons’ investment, making proposals to the Issuer concerning changes to the capital allocation strategy, capitalization, ownership structure, Board structure (including Board composition) or operations of the Issuer, purchasing additional Shares, selling some or all of their Shares, engaging in short selling of or any hedging or similar transaction with respect to the Shares, or changing their intention with respect to any and all matters referred to in Item 4.</w:t>
      </w:r>
    </w:p>
    <w:p>
      <w:pPr>
        <w:spacing w:after="0" w:line="193"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5.</w:t>
      </w:r>
      <w:r>
        <w:rPr>
          <w:sz w:val="20"/>
          <w:szCs w:val="20"/>
          <w:color w:val="auto"/>
        </w:rPr>
        <w:tab/>
      </w:r>
      <w:r>
        <w:rPr>
          <w:rFonts w:ascii="Times New Roman" w:cs="Times New Roman" w:eastAsia="Times New Roman" w:hAnsi="Times New Roman"/>
          <w:sz w:val="17"/>
          <w:szCs w:val="17"/>
          <w:u w:val="single" w:color="auto"/>
          <w:color w:val="auto"/>
        </w:rPr>
        <w:t>Interest in Securities of the Issuer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jc w:val="both"/>
        <w:ind w:firstLine="1304"/>
        <w:spacing w:after="0" w:line="266" w:lineRule="auto"/>
        <w:tabs>
          <w:tab w:leader="none" w:pos="1822"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percentage of Shares reported owned by each person named herein is based upon 77,434,945 Shares outstanding as of November 24, 2023, which is the total number of Shares outstanding as reported in the Issuer’s quarterly report on Form 10-Q filed with the Securities and Exchange Commission on December 1, 2023.</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As of the date hereof, BBFIT directly beneficially owned 3,801,510 Shares, constituting approximately 4.9% of the Shares outstanding.</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10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As of the date hereof, BB Family Trust directly beneficially owned 3,801,509 Shares, constituting approximately 4.9% of the Shares outstanding. BB Family Trust, as the sole shareholder of BBFIT, may be deemed to beneficially own the 3,801,510 Shares owned by BBFIT, which, together with the Shares it beneficially owns directly, constitutes an aggregate of 7,603,019 Shares, constituting approximately 9.8% of the Shares outstanding.</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BBRC International, as the trustee of BB Family Trust, may be deemed to beneficially own the 7,603,019 Shares owned in the aggregate by BBFIT and BB Family Trust, constituting approximately 9.8% of the Shares outstanding. Mr. Blundy, as a Director and sole shareholder of BBRC International, may be deemed to beneficially own the 7,603,019 Shares owned in the aggregate by BBFIT and BB Family Trust, constituting approximately 9.8% of the Shares outstanding.</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176" w:lineRule="exact"/>
        <w:rPr>
          <w:sz w:val="20"/>
          <w:szCs w:val="20"/>
          <w:color w:val="auto"/>
        </w:rPr>
      </w:pPr>
    </w:p>
    <w:p>
      <w:pPr>
        <w:ind w:firstLine="1304"/>
        <w:spacing w:after="0" w:line="282" w:lineRule="auto"/>
        <w:tabs>
          <w:tab w:leader="none" w:pos="185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BBFIT, BB Family Trust, BBRC International and Mr. Blundy may be deemed to share the power to vote and dispose of the Shares owned by BBFIT.</w:t>
      </w:r>
    </w:p>
    <w:p>
      <w:pPr>
        <w:spacing w:after="0" w:line="162"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Each of BB Family Trust, BBRC International and Mr. Blundy may be deemed to share the power to vote and dispose of the Shares owned by BB Family Trust.</w:t>
      </w:r>
    </w:p>
    <w:p>
      <w:pPr>
        <w:spacing w:after="0" w:line="162" w:lineRule="exact"/>
        <w:rPr>
          <w:sz w:val="20"/>
          <w:szCs w:val="20"/>
          <w:color w:val="auto"/>
        </w:rPr>
      </w:pPr>
    </w:p>
    <w:p>
      <w:pPr>
        <w:ind w:left="1820" w:hanging="516"/>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no transactions in securities of the Issuer by the Reporting Persons during the past 60 days.</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71"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other than the Reporting Persons is known to have the right to receive, or the power to direct the receipt of dividends from, or proceeds from the sale of, the Shares.</w:t>
      </w:r>
    </w:p>
    <w:p>
      <w:pPr>
        <w:spacing w:after="0" w:line="161" w:lineRule="exact"/>
        <w:rPr>
          <w:rFonts w:ascii="Times New Roman" w:cs="Times New Roman" w:eastAsia="Times New Roman" w:hAnsi="Times New Roman"/>
          <w:sz w:val="18"/>
          <w:szCs w:val="18"/>
          <w:color w:val="auto"/>
        </w:rPr>
      </w:pPr>
    </w:p>
    <w:p>
      <w:pPr>
        <w:ind w:left="1820" w:hanging="516"/>
        <w:spacing w:after="0"/>
        <w:tabs>
          <w:tab w:leader="none" w:pos="18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6.</w:t>
      </w:r>
      <w:r>
        <w:rPr>
          <w:sz w:val="20"/>
          <w:szCs w:val="20"/>
          <w:color w:val="auto"/>
        </w:rPr>
        <w:tab/>
      </w:r>
      <w:r>
        <w:rPr>
          <w:rFonts w:ascii="Times New Roman" w:cs="Times New Roman" w:eastAsia="Times New Roman" w:hAnsi="Times New Roman"/>
          <w:sz w:val="18"/>
          <w:szCs w:val="18"/>
          <w:u w:val="single" w:color="auto"/>
          <w:color w:val="auto"/>
        </w:rPr>
        <w:t>Contracts, Arrangements, Understandings or Relationships With Respect to Securities of the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On February 1, 2024, the Reporting Persons entered into a Joint Filing Agreement in which the Reporting Persons agreed to the joint filing on behalf of each of them of statements on Schedule 13D with respect to the securities of the Issuer to the extent required by applicable law. The Joint Filing Agreement is attached hereto as Exhibit 99.1 and is incorporated herein by reference.</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Other than as described herein, there are no contracts, arrangements, understandings or relationships among the Reporting Persons, or between the Reporting Persons and any other person, with respect to the securities of the Issuer.</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color w:val="auto"/>
        </w:rPr>
        <w:t>Item 7.</w:t>
      </w:r>
      <w:r>
        <w:rPr>
          <w:sz w:val="20"/>
          <w:szCs w:val="20"/>
          <w:color w:val="auto"/>
        </w:rPr>
        <w:tab/>
      </w:r>
      <w:r>
        <w:rPr>
          <w:rFonts w:ascii="Times New Roman" w:cs="Times New Roman" w:eastAsia="Times New Roman" w:hAnsi="Times New Roman"/>
          <w:sz w:val="18"/>
          <w:szCs w:val="18"/>
          <w:u w:val="single" w:color="auto"/>
          <w:color w:val="auto"/>
        </w:rPr>
        <w:t>Material to be Filed as Exhibits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tabs>
          <w:tab w:leader="none" w:pos="19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color w:val="auto"/>
        </w:rPr>
        <w:t>Joint Filing Agreement, dated February 1,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SIGNATURES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his knowledge and belief, the undersigned certifies that the information set forth in this statement is true, complete and correct.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BBFIT INVESTMENTS PTE LTD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Brett Blundy</w:t>
            </w:r>
          </w:p>
        </w:tc>
      </w:tr>
      <w:tr>
        <w:trPr>
          <w:trHeight w:val="191"/>
        </w:trPr>
        <w:tc>
          <w:tcPr>
            <w:tcW w:w="56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Brett Blundy</w:t>
            </w:r>
          </w:p>
        </w:tc>
      </w:tr>
      <w:tr>
        <w:trPr>
          <w:trHeight w:val="234"/>
        </w:trPr>
        <w:tc>
          <w:tcPr>
            <w:tcW w:w="5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BB FAMILY INTERNATIONAL TRUST</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BBRC International Pte Limited</w:t>
            </w:r>
          </w:p>
        </w:tc>
      </w:tr>
      <w:tr>
        <w:trPr>
          <w:trHeight w:val="234"/>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418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Brett Blundy</w:t>
            </w:r>
          </w:p>
        </w:tc>
      </w:tr>
      <w:tr>
        <w:trPr>
          <w:trHeight w:val="191"/>
        </w:trPr>
        <w:tc>
          <w:tcPr>
            <w:tcW w:w="560" w:type="dxa"/>
            <w:vAlign w:val="bottom"/>
          </w:tcPr>
          <w:p>
            <w:pPr>
              <w:spacing w:after="0"/>
              <w:rPr>
                <w:sz w:val="16"/>
                <w:szCs w:val="16"/>
                <w:color w:val="auto"/>
              </w:rPr>
            </w:pPr>
          </w:p>
        </w:tc>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Brett Blundy</w:t>
            </w:r>
          </w:p>
        </w:tc>
      </w:tr>
      <w:tr>
        <w:trPr>
          <w:trHeight w:val="234"/>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Brett Blundy</w:t>
            </w:r>
          </w:p>
        </w:tc>
      </w:tr>
      <w:tr>
        <w:trPr>
          <w:trHeight w:val="191"/>
        </w:trPr>
        <w:tc>
          <w:tcPr>
            <w:tcW w:w="56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Brett Blundy</w:t>
            </w:r>
          </w:p>
        </w:tc>
      </w:tr>
      <w:tr>
        <w:trPr>
          <w:trHeight w:val="234"/>
        </w:trPr>
        <w:tc>
          <w:tcPr>
            <w:tcW w:w="5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Brett Blundy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497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9758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BRETT BLUNDY</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color w:val="auto"/>
        </w:rPr>
        <w:t>CUSIP No. 926400102</w:t>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SCHEDULE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and Officers of BBRC International Pte Limited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and Position</w:t>
            </w: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Occupation</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Business Address</w:t>
            </w:r>
          </w:p>
        </w:tc>
        <w:tc>
          <w:tcPr>
            <w:tcW w:w="35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Citizenship</w:t>
            </w:r>
          </w:p>
        </w:tc>
      </w:tr>
      <w:tr>
        <w:trPr>
          <w:trHeight w:val="236"/>
        </w:trPr>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238"/>
        </w:trPr>
        <w:tc>
          <w:tcPr>
            <w:tcW w:w="2460" w:type="dxa"/>
            <w:vAlign w:val="bottom"/>
            <w:gridSpan w:val="3"/>
            <w:shd w:val="clear" w:color="auto" w:fill="CCEEFF"/>
          </w:tcPr>
          <w:p>
            <w:pPr>
              <w:ind w:left="100"/>
              <w:spacing w:after="0" w:line="239" w:lineRule="exact"/>
              <w:rPr>
                <w:sz w:val="20"/>
                <w:szCs w:val="20"/>
                <w:color w:val="auto"/>
              </w:rPr>
            </w:pPr>
            <w:r>
              <w:rPr>
                <w:rFonts w:ascii="Times New Roman" w:cs="Times New Roman" w:eastAsia="Times New Roman" w:hAnsi="Times New Roman"/>
                <w:sz w:val="17"/>
                <w:szCs w:val="17"/>
                <w:color w:val="auto"/>
              </w:rPr>
              <w:t>Brett Blundy</w:t>
            </w:r>
            <w:r>
              <w:rPr>
                <w:rFonts w:ascii="Times New Roman" w:cs="Times New Roman" w:eastAsia="Times New Roman" w:hAnsi="Times New Roman"/>
                <w:sz w:val="27"/>
                <w:szCs w:val="27"/>
                <w:color w:val="auto"/>
                <w:vertAlign w:val="superscript"/>
              </w:rPr>
              <w:t>*</w:t>
            </w: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34"/>
        </w:trPr>
        <w:tc>
          <w:tcPr>
            <w:tcW w:w="2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8"/>
        </w:trPr>
        <w:tc>
          <w:tcPr>
            <w:tcW w:w="24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Tracey Blundy</w:t>
            </w:r>
          </w:p>
        </w:tc>
        <w:tc>
          <w:tcPr>
            <w:tcW w:w="2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Private Investor</w:t>
            </w:r>
          </w:p>
        </w:tc>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3 Phillip Street #11-01</w:t>
            </w:r>
          </w:p>
        </w:tc>
        <w:tc>
          <w:tcPr>
            <w:tcW w:w="3580" w:type="dxa"/>
            <w:vAlign w:val="bottom"/>
            <w:gridSpan w:val="3"/>
          </w:tcPr>
          <w:p>
            <w:pPr>
              <w:ind w:left="2120"/>
              <w:spacing w:after="0" w:line="198" w:lineRule="exact"/>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2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8"/>
        </w:trPr>
        <w:tc>
          <w:tcPr>
            <w:tcW w:w="24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Sharmila Gunasingham</w:t>
            </w:r>
          </w:p>
        </w:tc>
        <w:tc>
          <w:tcPr>
            <w:tcW w:w="26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Lawyer &amp; Managing</w:t>
            </w:r>
          </w:p>
        </w:tc>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Law Alliance LLC</w:t>
            </w:r>
          </w:p>
        </w:tc>
        <w:tc>
          <w:tcPr>
            <w:tcW w:w="3580" w:type="dxa"/>
            <w:vAlign w:val="bottom"/>
            <w:gridSpan w:val="3"/>
            <w:shd w:val="clear" w:color="auto" w:fill="CCEEFF"/>
          </w:tcPr>
          <w:p>
            <w:pPr>
              <w:ind w:left="2120"/>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at Global Law Alliance</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Phillip Street #11-01</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LLC</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8"/>
        </w:trPr>
        <w:tc>
          <w:tcPr>
            <w:tcW w:w="24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Peter Milnes</w:t>
            </w:r>
          </w:p>
        </w:tc>
        <w:tc>
          <w:tcPr>
            <w:tcW w:w="2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Managing Director &amp; Trustee at</w:t>
            </w:r>
          </w:p>
        </w:tc>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30 Cecil Street</w:t>
            </w:r>
          </w:p>
        </w:tc>
        <w:tc>
          <w:tcPr>
            <w:tcW w:w="3580" w:type="dxa"/>
            <w:vAlign w:val="bottom"/>
            <w:gridSpan w:val="3"/>
          </w:tcPr>
          <w:p>
            <w:pPr>
              <w:ind w:left="2120"/>
              <w:spacing w:after="0" w:line="198" w:lineRule="exact"/>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Rawlinson &amp; Hunter (Singapore)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#18-02/03</w:t>
            </w: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Pte Limited</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Prudential Tower</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049712</w:t>
            </w:r>
          </w:p>
        </w:tc>
        <w:tc>
          <w:tcPr>
            <w:tcW w:w="2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608"/>
        </w:trPr>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9"/>
              </w:rPr>
              <w:t>Directors and Officers of BBFIT Investments Pte Ltd</w:t>
            </w:r>
          </w:p>
        </w:tc>
        <w:tc>
          <w:tcPr>
            <w:tcW w:w="2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12"/>
        </w:trPr>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Name and Position</w:t>
            </w: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Principal Occupation</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Business Address</w:t>
            </w:r>
          </w:p>
        </w:tc>
        <w:tc>
          <w:tcPr>
            <w:tcW w:w="3580" w:type="dxa"/>
            <w:vAlign w:val="bottom"/>
            <w:gridSpan w:val="3"/>
          </w:tcPr>
          <w:p>
            <w:pPr>
              <w:ind w:left="2120"/>
              <w:spacing w:after="0"/>
              <w:rPr>
                <w:sz w:val="20"/>
                <w:szCs w:val="20"/>
                <w:color w:val="auto"/>
              </w:rPr>
            </w:pPr>
            <w:r>
              <w:rPr>
                <w:rFonts w:ascii="Times New Roman" w:cs="Times New Roman" w:eastAsia="Times New Roman" w:hAnsi="Times New Roman"/>
                <w:sz w:val="18"/>
                <w:szCs w:val="18"/>
                <w:color w:val="auto"/>
              </w:rPr>
              <w:t>Citizenship</w:t>
            </w:r>
          </w:p>
        </w:tc>
      </w:tr>
      <w:tr>
        <w:trPr>
          <w:trHeight w:val="237"/>
        </w:trPr>
        <w:tc>
          <w:tcPr>
            <w:tcW w:w="100" w:type="dxa"/>
            <w:vAlign w:val="bottom"/>
          </w:tcPr>
          <w:p>
            <w:pPr>
              <w:spacing w:after="0"/>
              <w:rPr>
                <w:sz w:val="20"/>
                <w:szCs w:val="20"/>
                <w:color w:val="auto"/>
              </w:rPr>
            </w:pPr>
          </w:p>
        </w:tc>
        <w:tc>
          <w:tcPr>
            <w:tcW w:w="138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106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640" w:type="dxa"/>
            <w:vAlign w:val="bottom"/>
          </w:tcPr>
          <w:p>
            <w:pPr>
              <w:spacing w:after="0"/>
              <w:rPr>
                <w:sz w:val="20"/>
                <w:szCs w:val="20"/>
                <w:color w:val="auto"/>
              </w:rPr>
            </w:pPr>
          </w:p>
        </w:tc>
      </w:tr>
      <w:tr>
        <w:trPr>
          <w:trHeight w:val="238"/>
        </w:trPr>
        <w:tc>
          <w:tcPr>
            <w:tcW w:w="2460" w:type="dxa"/>
            <w:vAlign w:val="bottom"/>
            <w:gridSpan w:val="3"/>
            <w:shd w:val="clear" w:color="auto" w:fill="CCEEFF"/>
          </w:tcPr>
          <w:p>
            <w:pPr>
              <w:ind w:left="100"/>
              <w:spacing w:after="0" w:line="239" w:lineRule="exact"/>
              <w:rPr>
                <w:sz w:val="20"/>
                <w:szCs w:val="20"/>
                <w:color w:val="auto"/>
              </w:rPr>
            </w:pPr>
            <w:r>
              <w:rPr>
                <w:rFonts w:ascii="Times New Roman" w:cs="Times New Roman" w:eastAsia="Times New Roman" w:hAnsi="Times New Roman"/>
                <w:sz w:val="17"/>
                <w:szCs w:val="17"/>
                <w:color w:val="auto"/>
              </w:rPr>
              <w:t>Brett Blundy</w:t>
            </w:r>
            <w:r>
              <w:rPr>
                <w:rFonts w:ascii="Times New Roman" w:cs="Times New Roman" w:eastAsia="Times New Roman" w:hAnsi="Times New Roman"/>
                <w:sz w:val="27"/>
                <w:szCs w:val="27"/>
                <w:color w:val="auto"/>
                <w:vertAlign w:val="superscript"/>
              </w:rPr>
              <w:t>*</w:t>
            </w: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34"/>
        </w:trPr>
        <w:tc>
          <w:tcPr>
            <w:tcW w:w="2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9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8"/>
        </w:trPr>
        <w:tc>
          <w:tcPr>
            <w:tcW w:w="24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Tracey Blundy</w:t>
            </w:r>
          </w:p>
        </w:tc>
        <w:tc>
          <w:tcPr>
            <w:tcW w:w="2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Private Investor</w:t>
            </w:r>
          </w:p>
        </w:tc>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3 Phillip Street #11-01</w:t>
            </w:r>
          </w:p>
        </w:tc>
        <w:tc>
          <w:tcPr>
            <w:tcW w:w="3580" w:type="dxa"/>
            <w:vAlign w:val="bottom"/>
            <w:gridSpan w:val="3"/>
          </w:tcPr>
          <w:p>
            <w:pPr>
              <w:ind w:left="2120"/>
              <w:spacing w:after="0" w:line="198" w:lineRule="exact"/>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2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198"/>
        </w:trPr>
        <w:tc>
          <w:tcPr>
            <w:tcW w:w="2460" w:type="dxa"/>
            <w:vAlign w:val="bottom"/>
            <w:gridSpan w:val="3"/>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Sharmila Gunasingham</w:t>
            </w:r>
          </w:p>
        </w:tc>
        <w:tc>
          <w:tcPr>
            <w:tcW w:w="2600" w:type="dxa"/>
            <w:vAlign w:val="bottom"/>
            <w:gridSpan w:val="3"/>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Lawyer &amp; Managing</w:t>
            </w:r>
          </w:p>
        </w:tc>
        <w:tc>
          <w:tcPr>
            <w:tcW w:w="26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Global Law Alliance LLC</w:t>
            </w:r>
          </w:p>
        </w:tc>
        <w:tc>
          <w:tcPr>
            <w:tcW w:w="3580" w:type="dxa"/>
            <w:vAlign w:val="bottom"/>
            <w:gridSpan w:val="3"/>
            <w:shd w:val="clear" w:color="auto" w:fill="CCEEFF"/>
          </w:tcPr>
          <w:p>
            <w:pPr>
              <w:ind w:left="2120"/>
              <w:spacing w:after="0" w:line="198" w:lineRule="exact"/>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46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 at Global Law Alliance</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3 Phillip Street #11-01</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LLC</w:t>
            </w: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Group Building</w:t>
            </w: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34"/>
        </w:trPr>
        <w:tc>
          <w:tcPr>
            <w:tcW w:w="10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Singapore 048693</w:t>
            </w:r>
          </w:p>
        </w:tc>
        <w:tc>
          <w:tcPr>
            <w:tcW w:w="2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r>
      <w:tr>
        <w:trPr>
          <w:trHeight w:val="216"/>
        </w:trPr>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198"/>
        </w:trPr>
        <w:tc>
          <w:tcPr>
            <w:tcW w:w="246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Peter Milnes</w:t>
            </w:r>
          </w:p>
        </w:tc>
        <w:tc>
          <w:tcPr>
            <w:tcW w:w="26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Managing Director &amp; Trustee at</w:t>
            </w:r>
          </w:p>
        </w:tc>
        <w:tc>
          <w:tcPr>
            <w:tcW w:w="2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30 Cecil Street</w:t>
            </w:r>
          </w:p>
        </w:tc>
        <w:tc>
          <w:tcPr>
            <w:tcW w:w="3580" w:type="dxa"/>
            <w:vAlign w:val="bottom"/>
            <w:gridSpan w:val="3"/>
          </w:tcPr>
          <w:p>
            <w:pPr>
              <w:ind w:left="2120"/>
              <w:spacing w:after="0" w:line="198" w:lineRule="exact"/>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4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Director</w:t>
            </w: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Rawlinson &amp; Hunter (Singapore)</w:t>
            </w:r>
          </w:p>
        </w:tc>
        <w:tc>
          <w:tcPr>
            <w:tcW w:w="1960" w:type="dxa"/>
            <w:vAlign w:val="bottom"/>
          </w:tcPr>
          <w:p>
            <w:pPr>
              <w:spacing w:after="0"/>
              <w:rPr>
                <w:sz w:val="20"/>
                <w:szCs w:val="20"/>
                <w:color w:val="auto"/>
              </w:rPr>
            </w:pPr>
            <w:r>
              <w:rPr>
                <w:rFonts w:ascii="Times New Roman" w:cs="Times New Roman" w:eastAsia="Times New Roman" w:hAnsi="Times New Roman"/>
                <w:sz w:val="18"/>
                <w:szCs w:val="18"/>
                <w:color w:val="auto"/>
              </w:rPr>
              <w:t>#18-02/03</w:t>
            </w:r>
          </w:p>
        </w:tc>
        <w:tc>
          <w:tcPr>
            <w:tcW w:w="64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1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Pte Limited</w:t>
            </w: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Prudential Tower</w:t>
            </w:r>
          </w:p>
        </w:tc>
        <w:tc>
          <w:tcPr>
            <w:tcW w:w="2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4"/>
        </w:trPr>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Singapore 049712</w:t>
            </w:r>
          </w:p>
        </w:tc>
        <w:tc>
          <w:tcPr>
            <w:tcW w:w="2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398780</wp:posOffset>
            </wp:positionV>
            <wp:extent cx="2386965" cy="336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386965" cy="33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20" w:hanging="112"/>
        <w:spacing w:after="0"/>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Mr. Blundy is a Reporting Person and, as such, the information with respect to Mr. Blundy called for by the Schedule 13D is set forth therein.</w:t>
      </w:r>
    </w:p>
    <w:p>
      <w:pPr>
        <w:sectPr>
          <w:pgSz w:w="11900" w:h="16838" w:orient="portrait"/>
          <w:cols w:equalWidth="0" w:num="1">
            <w:col w:w="11240"/>
          </w:cols>
          <w:pgMar w:left="320" w:top="220" w:right="33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JOINT FILING AGREEMENT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13d-1(k)(1)(iii) under the Securities Exchange Act of 1934, as amended, the persons named below agree to the joint filing on behalf of each of them of a Statement on Schedule 13D (including additional amendments thereto) with respect to the Common Stock, par value $0.01 per share, of Victoria’s Secret &amp; Co., a Delaware corporation. This Joint Filing Agreement shall be filed as an Exhibit to such Statement.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1, 2024</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BBFIT INVESTMENTS PTE LTD</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Brett Blundy</w:t>
            </w:r>
          </w:p>
        </w:tc>
      </w:tr>
      <w:tr>
        <w:trPr>
          <w:trHeight w:val="191"/>
        </w:trPr>
        <w:tc>
          <w:tcPr>
            <w:tcW w:w="560" w:type="dxa"/>
            <w:vAlign w:val="bottom"/>
          </w:tcPr>
          <w:p>
            <w:pPr>
              <w:spacing w:after="0"/>
              <w:rPr>
                <w:sz w:val="16"/>
                <w:szCs w:val="16"/>
                <w:color w:val="auto"/>
              </w:rPr>
            </w:pPr>
          </w:p>
        </w:tc>
        <w:tc>
          <w:tcPr>
            <w:tcW w:w="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200" w:type="dxa"/>
            <w:vAlign w:val="bottom"/>
          </w:tcPr>
          <w:p>
            <w:pPr>
              <w:ind w:left="260"/>
              <w:spacing w:after="0" w:line="191" w:lineRule="exact"/>
              <w:rPr>
                <w:sz w:val="20"/>
                <w:szCs w:val="20"/>
                <w:color w:val="auto"/>
              </w:rPr>
            </w:pPr>
            <w:r>
              <w:rPr>
                <w:rFonts w:ascii="Times New Roman" w:cs="Times New Roman" w:eastAsia="Times New Roman" w:hAnsi="Times New Roman"/>
                <w:sz w:val="18"/>
                <w:szCs w:val="18"/>
                <w:color w:val="auto"/>
              </w:rPr>
              <w:t>Brett Blundy</w:t>
            </w:r>
          </w:p>
        </w:tc>
      </w:tr>
      <w:tr>
        <w:trPr>
          <w:trHeight w:val="234"/>
        </w:trPr>
        <w:tc>
          <w:tcPr>
            <w:tcW w:w="560" w:type="dxa"/>
            <w:vAlign w:val="bottom"/>
          </w:tcPr>
          <w:p>
            <w:pPr>
              <w:spacing w:after="0"/>
              <w:rPr>
                <w:sz w:val="20"/>
                <w:szCs w:val="20"/>
                <w:color w:val="auto"/>
              </w:rPr>
            </w:pPr>
          </w:p>
        </w:tc>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2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BB FAMILY INTERNATIONAL TRUST</w:t>
      </w:r>
    </w:p>
    <w:p>
      <w:pPr>
        <w:spacing w:after="0" w:line="225" w:lineRule="exact"/>
        <w:rPr>
          <w:sz w:val="20"/>
          <w:szCs w:val="20"/>
          <w:color w:val="auto"/>
        </w:rPr>
      </w:pPr>
    </w:p>
    <w:tbl>
      <w:tblPr>
        <w:tblLayout w:type="fixed"/>
        <w:tblInd w:w="562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BBRC International Pte Limited</w:t>
            </w:r>
          </w:p>
        </w:tc>
      </w:tr>
      <w:tr>
        <w:trPr>
          <w:trHeight w:val="234"/>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Trustee</w:t>
            </w:r>
          </w:p>
        </w:tc>
        <w:tc>
          <w:tcPr>
            <w:tcW w:w="418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Brett Blundy</w:t>
            </w:r>
          </w:p>
        </w:tc>
      </w:tr>
      <w:tr>
        <w:trPr>
          <w:trHeight w:val="191"/>
        </w:trPr>
        <w:tc>
          <w:tcPr>
            <w:tcW w:w="560" w:type="dxa"/>
            <w:vAlign w:val="bottom"/>
          </w:tcPr>
          <w:p>
            <w:pPr>
              <w:spacing w:after="0"/>
              <w:rPr>
                <w:sz w:val="16"/>
                <w:szCs w:val="16"/>
                <w:color w:val="auto"/>
              </w:rPr>
            </w:pPr>
          </w:p>
        </w:tc>
        <w:tc>
          <w:tcPr>
            <w:tcW w:w="7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180" w:type="dxa"/>
            <w:vAlign w:val="bottom"/>
          </w:tcPr>
          <w:p>
            <w:pPr>
              <w:ind w:left="240"/>
              <w:spacing w:after="0" w:line="191" w:lineRule="exact"/>
              <w:rPr>
                <w:sz w:val="20"/>
                <w:szCs w:val="20"/>
                <w:color w:val="auto"/>
              </w:rPr>
            </w:pPr>
            <w:r>
              <w:rPr>
                <w:rFonts w:ascii="Times New Roman" w:cs="Times New Roman" w:eastAsia="Times New Roman" w:hAnsi="Times New Roman"/>
                <w:sz w:val="18"/>
                <w:szCs w:val="18"/>
                <w:color w:val="auto"/>
              </w:rPr>
              <w:t>Brett Blundy</w:t>
            </w:r>
          </w:p>
        </w:tc>
      </w:tr>
      <w:tr>
        <w:trPr>
          <w:trHeight w:val="234"/>
        </w:trPr>
        <w:tc>
          <w:tcPr>
            <w:tcW w:w="560" w:type="dxa"/>
            <w:vAlign w:val="bottom"/>
          </w:tcPr>
          <w:p>
            <w:pPr>
              <w:spacing w:after="0"/>
              <w:rPr>
                <w:sz w:val="20"/>
                <w:szCs w:val="20"/>
                <w:color w:val="auto"/>
              </w:rPr>
            </w:pPr>
          </w:p>
        </w:tc>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1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pacing w:after="0" w:line="21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BBRC INTERNATIONAL PTE LIMITED</w:t>
      </w:r>
    </w:p>
    <w:p>
      <w:pPr>
        <w:spacing w:after="0" w:line="225" w:lineRule="exact"/>
        <w:rPr>
          <w:sz w:val="20"/>
          <w:szCs w:val="20"/>
          <w:color w:val="auto"/>
        </w:rPr>
      </w:pPr>
    </w:p>
    <w:p>
      <w:pPr>
        <w:ind w:left="5620"/>
        <w:spacing w:after="0"/>
        <w:tabs>
          <w:tab w:leader="none" w:pos="61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Brett Blundy</w:t>
      </w:r>
    </w:p>
    <w:p>
      <w:pPr>
        <w:spacing w:after="0" w:line="27" w:lineRule="exact"/>
        <w:rPr>
          <w:sz w:val="20"/>
          <w:szCs w:val="20"/>
          <w:color w:val="auto"/>
        </w:rPr>
      </w:pPr>
    </w:p>
    <w:tbl>
      <w:tblPr>
        <w:tblLayout w:type="fixed"/>
        <w:tblInd w:w="5620" w:type="dxa"/>
        <w:tblCellMar>
          <w:top w:w="0" w:type="dxa"/>
          <w:left w:w="0" w:type="dxa"/>
          <w:bottom w:w="0" w:type="dxa"/>
          <w:right w:w="0" w:type="dxa"/>
        </w:tblCellMar>
      </w:tblPr>
      <w:tr>
        <w:trPr>
          <w:trHeight w:val="191"/>
        </w:trPr>
        <w:tc>
          <w:tcPr>
            <w:tcW w:w="560" w:type="dxa"/>
            <w:vAlign w:val="bottom"/>
          </w:tcPr>
          <w:p>
            <w:pPr>
              <w:spacing w:after="0"/>
              <w:rPr>
                <w:sz w:val="16"/>
                <w:szCs w:val="16"/>
                <w:color w:val="auto"/>
              </w:rPr>
            </w:pPr>
          </w:p>
        </w:tc>
        <w:tc>
          <w:tcPr>
            <w:tcW w:w="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404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Brett Blundy</w:t>
            </w:r>
          </w:p>
        </w:tc>
      </w:tr>
      <w:tr>
        <w:trPr>
          <w:trHeight w:val="234"/>
        </w:trPr>
        <w:tc>
          <w:tcPr>
            <w:tcW w:w="560" w:type="dxa"/>
            <w:vAlign w:val="bottom"/>
          </w:tcPr>
          <w:p>
            <w:pPr>
              <w:spacing w:after="0"/>
              <w:rPr>
                <w:sz w:val="20"/>
                <w:szCs w:val="20"/>
                <w:color w:val="auto"/>
              </w:rPr>
            </w:pPr>
          </w:p>
        </w:tc>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Director</w:t>
            </w:r>
          </w:p>
        </w:tc>
      </w:tr>
      <w:tr>
        <w:trPr>
          <w:trHeight w:val="648"/>
        </w:trPr>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Brett Blundy</w:t>
            </w:r>
          </w:p>
        </w:tc>
        <w:tc>
          <w:tcPr>
            <w:tcW w:w="4040" w:type="dxa"/>
            <w:vAlign w:val="bottom"/>
            <w:tcBorders>
              <w:bottom w:val="single" w:sz="8" w:color="auto"/>
            </w:tcBorders>
          </w:tcPr>
          <w:p>
            <w:pPr>
              <w:spacing w:after="0"/>
              <w:rPr>
                <w:sz w:val="24"/>
                <w:szCs w:val="24"/>
                <w:color w:val="auto"/>
              </w:rPr>
            </w:pPr>
          </w:p>
        </w:tc>
      </w:tr>
      <w:tr>
        <w:trPr>
          <w:trHeight w:val="228"/>
        </w:trPr>
        <w:tc>
          <w:tcPr>
            <w:tcW w:w="1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BRETT BLUNDY</w:t>
            </w:r>
          </w:p>
        </w:tc>
        <w:tc>
          <w:tcPr>
            <w:tcW w:w="4040" w:type="dxa"/>
            <w:vAlign w:val="bottom"/>
          </w:tcPr>
          <w:p>
            <w:pPr>
              <w:spacing w:after="0"/>
              <w:rPr>
                <w:sz w:val="19"/>
                <w:szCs w:val="19"/>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bullet"/>
      <w:start w:val="1"/>
    </w:lvl>
  </w:abstractNum>
  <w:abstractNum w:abstractNumId="2">
    <w:nsid w:val="79E2A9E3"/>
    <w:multiLevelType w:val="hybridMultilevel"/>
    <w:lvl w:ilvl="0">
      <w:lvlJc w:val="left"/>
      <w:lvlText w:val="%1"/>
      <w:numFmt w:val="decimal"/>
      <w:start w:val="14"/>
    </w:lvl>
  </w:abstractNum>
  <w:abstractNum w:abstractNumId="3">
    <w:nsid w:val="7545E146"/>
    <w:multiLevelType w:val="hybridMultilevel"/>
    <w:lvl w:ilvl="0">
      <w:lvlJc w:val="left"/>
      <w:lvlText w:val="(%1)"/>
      <w:numFmt w:val="lowerLetter"/>
      <w:start w:val="1"/>
    </w:lvl>
    <w:lvl w:ilvl="1">
      <w:lvlJc w:val="left"/>
      <w:lvlText w:val="(%2)"/>
      <w:numFmt w:val="lowerRoman"/>
      <w:start w:val="1"/>
    </w:lvl>
  </w:abstractNum>
  <w:abstractNum w:abstractNumId="4">
    <w:nsid w:val="515F007C"/>
    <w:multiLevelType w:val="hybridMultilevel"/>
    <w:lvl w:ilvl="0">
      <w:lvlJc w:val="left"/>
      <w:lvlText w:val="(%1)"/>
      <w:numFmt w:val="lowerLetter"/>
      <w:start w:val="2"/>
    </w:lvl>
  </w:abstractNum>
  <w:abstractNum w:abstractNumId="5">
    <w:nsid w:val="5BD062C2"/>
    <w:multiLevelType w:val="hybridMultilevel"/>
    <w:lvl w:ilvl="0">
      <w:lvlJc w:val="left"/>
      <w:lvlText w:val="(%1)"/>
      <w:numFmt w:val="lowerLetter"/>
      <w:start w:val="3"/>
    </w:lvl>
  </w:abstractNum>
  <w:abstractNum w:abstractNumId="6">
    <w:nsid w:val="12200854"/>
    <w:multiLevelType w:val="hybridMultilevel"/>
    <w:lvl w:ilvl="0">
      <w:lvlJc w:val="left"/>
      <w:lvlText w:val="(%1)"/>
      <w:numFmt w:val="lowerLetter"/>
      <w:start w:val="6"/>
    </w:lvl>
  </w:abstractNum>
  <w:abstractNum w:abstractNumId="7">
    <w:nsid w:val="4DB127F8"/>
    <w:multiLevelType w:val="hybridMultilevel"/>
    <w:lvl w:ilvl="0">
      <w:lvlJc w:val="left"/>
      <w:lvlText w:val="(%1)"/>
      <w:numFmt w:val="lowerLetter"/>
      <w:start w:val="10"/>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abstractNum>
  <w:abstractNum w:abstractNumId="10">
    <w:nsid w:val="1190CDE7"/>
    <w:multiLevelType w:val="hybridMultilevel"/>
    <w:lvl w:ilvl="0">
      <w:lvlJc w:val="left"/>
      <w:lvlText w:val="(%1)"/>
      <w:numFmt w:val="lowerLetter"/>
      <w:start w:val="3"/>
    </w:lvl>
  </w:abstractNum>
  <w:abstractNum w:abstractNumId="11">
    <w:nsid w:val="66EF438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2024-02-01T14:38:39Z</dcterms:created>
  <dcterms:modified xsi:type="dcterms:W3CDTF">2024-02-01T14:38:39Z</dcterms:modified>
</cp:coreProperties>
</file>