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402590</wp:posOffset>
            </wp:positionH>
            <wp:positionV relativeFrom="page">
              <wp:posOffset>324485</wp:posOffset>
            </wp:positionV>
            <wp:extent cx="6804660" cy="7994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7994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right"/>
        <w:spacing w:after="0"/>
        <w:rPr>
          <w:sz w:val="20"/>
          <w:szCs w:val="20"/>
          <w:color w:val="auto"/>
        </w:rPr>
      </w:pPr>
      <w:r>
        <w:rPr>
          <w:rFonts w:ascii="Arial" w:cs="Arial" w:eastAsia="Arial" w:hAnsi="Arial"/>
          <w:sz w:val="98"/>
          <w:szCs w:val="98"/>
          <w:b w:val="1"/>
          <w:bCs w:val="1"/>
          <w:color w:val="F799BA"/>
        </w:rPr>
        <w:t xml:space="preserve">2023 </w:t>
      </w:r>
      <w:r>
        <w:rPr>
          <w:rFonts w:ascii="Arial" w:cs="Arial" w:eastAsia="Arial" w:hAnsi="Arial"/>
          <w:sz w:val="36"/>
          <w:szCs w:val="36"/>
          <w:color w:val="000000"/>
        </w:rPr>
        <w:t>ANNUAL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-158115</wp:posOffset>
            </wp:positionH>
            <wp:positionV relativeFrom="paragraph">
              <wp:posOffset>-368935</wp:posOffset>
            </wp:positionV>
            <wp:extent cx="2061845" cy="510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1845" cy="510540"/>
                    </a:xfrm>
                    <a:prstGeom prst="rect">
                      <a:avLst/>
                    </a:prstGeom>
                    <a:noFill/>
                  </pic:spPr>
                </pic:pic>
              </a:graphicData>
            </a:graphic>
          </wp:anchor>
        </w:drawing>
      </w:r>
    </w:p>
    <w:p>
      <w:pPr>
        <w:jc w:val="right"/>
        <w:ind w:right="60"/>
        <w:spacing w:after="0" w:line="197" w:lineRule="auto"/>
        <w:rPr>
          <w:sz w:val="20"/>
          <w:szCs w:val="20"/>
          <w:color w:val="auto"/>
        </w:rPr>
      </w:pPr>
      <w:r>
        <w:rPr>
          <w:rFonts w:ascii="Arial" w:cs="Arial" w:eastAsia="Arial" w:hAnsi="Arial"/>
          <w:sz w:val="36"/>
          <w:szCs w:val="36"/>
          <w:color w:val="auto"/>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121920</wp:posOffset>
            </wp:positionH>
            <wp:positionV relativeFrom="paragraph">
              <wp:posOffset>-21590</wp:posOffset>
            </wp:positionV>
            <wp:extent cx="1496695" cy="115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6695" cy="115570"/>
                    </a:xfrm>
                    <a:prstGeom prst="rect">
                      <a:avLst/>
                    </a:prstGeom>
                    <a:noFill/>
                  </pic:spPr>
                </pic:pic>
              </a:graphicData>
            </a:graphic>
          </wp:anchor>
        </w:drawing>
      </w:r>
    </w:p>
    <w:p>
      <w:pPr>
        <w:sectPr>
          <w:pgSz w:w="11880" w:h="15480" w:orient="portrait"/>
          <w:cols w:equalWidth="0" w:num="1">
            <w:col w:w="9180"/>
          </w:cols>
          <w:pgMar w:left="1440" w:top="1440" w:right="1260" w:bottom="275" w:gutter="0" w:footer="0" w:header="0"/>
        </w:sectPr>
      </w:pPr>
    </w:p>
    <w:bookmarkStart w:id="1" w:name="page2"/>
    <w:bookmarkEnd w:id="1"/>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172085</wp:posOffset>
                </wp:positionH>
                <wp:positionV relativeFrom="page">
                  <wp:posOffset>251460</wp:posOffset>
                </wp:positionV>
                <wp:extent cx="7033260" cy="931418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3260" cy="9314180"/>
                        </a:xfrm>
                        <a:prstGeom prst="rect">
                          <a:avLst/>
                        </a:prstGeom>
                        <a:solidFill>
                          <a:srgbClr val="F799BA"/>
                        </a:solidFill>
                      </wps:spPr>
                      <wps:bodyPr/>
                    </wps:wsp>
                  </a:graphicData>
                </a:graphic>
              </wp:anchor>
            </w:drawing>
          </mc:Choice>
          <mc:Fallback>
            <w:pict>
              <v:rect id="Shape 4" o:spid="_x0000_s1029" style="position:absolute;margin-left:13.55pt;margin-top:19.8pt;width:553.8pt;height:73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799BA"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mc:AlternateContent>
          <mc:Choice Requires="wps">
            <w:drawing>
              <wp:anchor simplePos="0" relativeHeight="251657728" behindDoc="1" locked="0" layoutInCell="0" allowOverlap="1">
                <wp:simplePos x="0" y="0"/>
                <wp:positionH relativeFrom="page">
                  <wp:posOffset>457200</wp:posOffset>
                </wp:positionH>
                <wp:positionV relativeFrom="page">
                  <wp:posOffset>184150</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14.5pt" to="576pt,14.5pt" o:allowincell="f" strokecolor="#1E1E1E"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222250</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17.5pt" to="576pt,17.5pt" o:allowincell="f" strokecolor="#1E1E1E" strokeweight="1pt">
                <w10:wrap anchorx="page" anchory="page"/>
              </v:line>
            </w:pict>
          </mc:Fallback>
        </mc:AlternateContent>
        <w:t>UNITED STATES</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1E1E1E"/>
        </w:rPr>
        <w:t>SECURITIES AND EXCHANGE COMMISSION</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E1E1E"/>
        </w:rPr>
        <w:t>Washington, D.C. 20549</w:t>
      </w:r>
    </w:p>
    <w:p>
      <w:pPr>
        <w:spacing w:after="0" w:line="1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1E1E1E"/>
        </w:rPr>
        <w:t>______________________________________________________</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1E1E1E"/>
        </w:rPr>
        <w:t>FORM 10-K</w:t>
      </w:r>
    </w:p>
    <w:p>
      <w:pPr>
        <w:spacing w:after="0" w:line="9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2"/>
          <w:szCs w:val="12"/>
          <w:color w:val="1E1E1E"/>
        </w:rPr>
        <w:t>__________________________________________________________________________________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(Mark One)</w:t>
      </w:r>
    </w:p>
    <w:p>
      <w:pPr>
        <w:spacing w:after="0" w:line="135" w:lineRule="exact"/>
        <w:rPr>
          <w:sz w:val="20"/>
          <w:szCs w:val="20"/>
          <w:color w:val="auto"/>
        </w:rPr>
      </w:pPr>
    </w:p>
    <w:p>
      <w:pPr>
        <w:ind w:left="660" w:hanging="607"/>
        <w:spacing w:after="0"/>
        <w:tabs>
          <w:tab w:leader="none" w:pos="660" w:val="left"/>
        </w:tabs>
        <w:numPr>
          <w:ilvl w:val="0"/>
          <w:numId w:val="1"/>
        </w:numPr>
        <w:rPr>
          <w:rFonts w:ascii="Arial" w:cs="Arial" w:eastAsia="Arial" w:hAnsi="Arial"/>
          <w:sz w:val="20"/>
          <w:szCs w:val="20"/>
          <w:color w:val="1E1E1E"/>
        </w:rPr>
      </w:pPr>
      <w:r>
        <w:rPr>
          <w:rFonts w:ascii="Times New Roman" w:cs="Times New Roman" w:eastAsia="Times New Roman" w:hAnsi="Times New Roman"/>
          <w:sz w:val="18"/>
          <w:szCs w:val="18"/>
          <w:b w:val="1"/>
          <w:bCs w:val="1"/>
          <w:color w:val="1E1E1E"/>
        </w:rPr>
        <w:t>ANNUAL REPORT PURSUANT TO SECTION 13 OR 15(d) OF THE SECURITIES EXCHANGE ACT OF 1934</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For the fiscal year ended February 3, 2024</w:t>
      </w:r>
    </w:p>
    <w:p>
      <w:pPr>
        <w:spacing w:after="0" w:line="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OR</w:t>
      </w:r>
    </w:p>
    <w:p>
      <w:pPr>
        <w:spacing w:after="0" w:line="115" w:lineRule="exact"/>
        <w:rPr>
          <w:sz w:val="20"/>
          <w:szCs w:val="20"/>
          <w:color w:val="auto"/>
        </w:rPr>
      </w:pPr>
    </w:p>
    <w:p>
      <w:pPr>
        <w:ind w:left="660" w:hanging="607"/>
        <w:spacing w:after="0"/>
        <w:tabs>
          <w:tab w:leader="none" w:pos="660" w:val="left"/>
        </w:tabs>
        <w:numPr>
          <w:ilvl w:val="0"/>
          <w:numId w:val="2"/>
        </w:numPr>
        <w:rPr>
          <w:rFonts w:ascii="Arial" w:cs="Arial" w:eastAsia="Arial" w:hAnsi="Arial"/>
          <w:sz w:val="20"/>
          <w:szCs w:val="20"/>
          <w:color w:val="1E1E1E"/>
        </w:rPr>
      </w:pPr>
      <w:r>
        <w:rPr>
          <w:rFonts w:ascii="Times New Roman" w:cs="Times New Roman" w:eastAsia="Times New Roman" w:hAnsi="Times New Roman"/>
          <w:sz w:val="18"/>
          <w:szCs w:val="18"/>
          <w:b w:val="1"/>
          <w:bCs w:val="1"/>
          <w:color w:val="1E1E1E"/>
        </w:rPr>
        <w:t>TRANSITION REPORT PURSUANT TO SECTION 13 OR 15(d) OF THE SECURITIES EXCHANGE ACT OF 1934</w:t>
      </w:r>
    </w:p>
    <w:p>
      <w:pPr>
        <w:spacing w:after="0" w:line="124" w:lineRule="exact"/>
        <w:rPr>
          <w:sz w:val="20"/>
          <w:szCs w:val="20"/>
          <w:color w:val="auto"/>
        </w:rPr>
      </w:pPr>
    </w:p>
    <w:p>
      <w:pPr>
        <w:ind w:left="3480"/>
        <w:spacing w:after="0"/>
        <w:tabs>
          <w:tab w:leader="none" w:pos="6400" w:val="left"/>
        </w:tabs>
        <w:rPr>
          <w:sz w:val="20"/>
          <w:szCs w:val="20"/>
          <w:color w:val="auto"/>
        </w:rPr>
      </w:pPr>
      <w:r>
        <w:rPr>
          <w:rFonts w:ascii="Times New Roman" w:cs="Times New Roman" w:eastAsia="Times New Roman" w:hAnsi="Times New Roman"/>
          <w:sz w:val="18"/>
          <w:szCs w:val="18"/>
          <w:color w:val="1E1E1E"/>
        </w:rPr>
        <w:t>For the transition period from</w:t>
      </w:r>
      <w:r>
        <w:rPr>
          <w:sz w:val="20"/>
          <w:szCs w:val="20"/>
          <w:color w:val="auto"/>
        </w:rPr>
        <w:tab/>
      </w:r>
      <w:r>
        <w:rPr>
          <w:rFonts w:ascii="Times New Roman" w:cs="Times New Roman" w:eastAsia="Times New Roman" w:hAnsi="Times New Roman"/>
          <w:sz w:val="17"/>
          <w:szCs w:val="17"/>
          <w:color w:val="1E1E1E"/>
        </w:rPr>
        <w:t>to</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1E1E1E"/>
        </w:rPr>
        <w:t>Commission file number 001-40515</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1E1E1E"/>
        </w:rPr>
        <w:t>_______________________________________________________________________</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4"/>
          <w:szCs w:val="44"/>
          <w:b w:val="1"/>
          <w:bCs w:val="1"/>
          <w:color w:val="1E1E1E"/>
        </w:rPr>
        <w:t>VICTORIA'S SECRET &amp; CO.</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1E1E1E"/>
        </w:rPr>
        <w:t>(Exact name of registrant as specified in its charter)</w:t>
      </w:r>
    </w:p>
    <w:p>
      <w:pPr>
        <w:spacing w:after="0" w:line="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1E1E1E"/>
        </w:rPr>
        <w:t>________________________________________________________________________________</w:t>
      </w:r>
    </w:p>
    <w:p>
      <w:pPr>
        <w:spacing w:after="0" w:line="159" w:lineRule="exact"/>
        <w:rPr>
          <w:sz w:val="20"/>
          <w:szCs w:val="20"/>
          <w:color w:val="auto"/>
        </w:rPr>
      </w:pPr>
    </w:p>
    <w:tbl>
      <w:tblPr>
        <w:tblLayout w:type="fixed"/>
        <w:tblInd w:w="1340" w:type="dxa"/>
        <w:tblCellMar>
          <w:top w:w="0" w:type="dxa"/>
          <w:left w:w="0" w:type="dxa"/>
          <w:bottom w:w="0" w:type="dxa"/>
          <w:right w:w="0" w:type="dxa"/>
        </w:tblCellMar>
      </w:tblPr>
      <w:tr>
        <w:trPr>
          <w:trHeight w:val="225"/>
        </w:trPr>
        <w:tc>
          <w:tcPr>
            <w:tcW w:w="4120" w:type="dxa"/>
            <w:vAlign w:val="bottom"/>
          </w:tcPr>
          <w:p>
            <w:pPr>
              <w:jc w:val="center"/>
              <w:ind w:right="1355"/>
              <w:spacing w:after="0"/>
              <w:rPr>
                <w:sz w:val="20"/>
                <w:szCs w:val="20"/>
                <w:color w:val="auto"/>
              </w:rPr>
            </w:pPr>
            <w:r>
              <w:rPr>
                <w:rFonts w:ascii="Times New Roman" w:cs="Times New Roman" w:eastAsia="Times New Roman" w:hAnsi="Times New Roman"/>
                <w:sz w:val="17"/>
                <w:szCs w:val="17"/>
                <w:b w:val="1"/>
                <w:bCs w:val="1"/>
                <w:color w:val="1E1E1E"/>
                <w:w w:val="98"/>
              </w:rPr>
              <w:t>Delaware</w:t>
            </w:r>
          </w:p>
        </w:tc>
        <w:tc>
          <w:tcPr>
            <w:tcW w:w="3900" w:type="dxa"/>
            <w:vAlign w:val="bottom"/>
          </w:tcPr>
          <w:p>
            <w:pPr>
              <w:jc w:val="right"/>
              <w:ind w:right="755"/>
              <w:spacing w:after="0"/>
              <w:rPr>
                <w:sz w:val="20"/>
                <w:szCs w:val="20"/>
                <w:color w:val="auto"/>
              </w:rPr>
            </w:pPr>
            <w:r>
              <w:rPr>
                <w:rFonts w:ascii="Times New Roman" w:cs="Times New Roman" w:eastAsia="Times New Roman" w:hAnsi="Times New Roman"/>
                <w:sz w:val="17"/>
                <w:szCs w:val="17"/>
                <w:b w:val="1"/>
                <w:bCs w:val="1"/>
                <w:color w:val="1E1E1E"/>
              </w:rPr>
              <w:t>86-3167653</w:t>
            </w:r>
          </w:p>
        </w:tc>
      </w:tr>
      <w:tr>
        <w:trPr>
          <w:trHeight w:val="186"/>
        </w:trPr>
        <w:tc>
          <w:tcPr>
            <w:tcW w:w="4120" w:type="dxa"/>
            <w:vAlign w:val="bottom"/>
          </w:tcPr>
          <w:p>
            <w:pPr>
              <w:jc w:val="center"/>
              <w:ind w:right="1335"/>
              <w:spacing w:after="0" w:line="185" w:lineRule="exact"/>
              <w:rPr>
                <w:sz w:val="20"/>
                <w:szCs w:val="20"/>
                <w:color w:val="auto"/>
              </w:rPr>
            </w:pPr>
            <w:r>
              <w:rPr>
                <w:rFonts w:ascii="Times New Roman" w:cs="Times New Roman" w:eastAsia="Times New Roman" w:hAnsi="Times New Roman"/>
                <w:sz w:val="17"/>
                <w:szCs w:val="17"/>
                <w:color w:val="1E1E1E"/>
                <w:w w:val="99"/>
              </w:rPr>
              <w:t>(State or other jurisdiction</w:t>
            </w:r>
          </w:p>
        </w:tc>
        <w:tc>
          <w:tcPr>
            <w:tcW w:w="3900" w:type="dxa"/>
            <w:vAlign w:val="bottom"/>
          </w:tcPr>
          <w:p>
            <w:pPr>
              <w:jc w:val="center"/>
              <w:ind w:left="1335"/>
              <w:spacing w:after="0" w:line="185" w:lineRule="exact"/>
              <w:rPr>
                <w:sz w:val="20"/>
                <w:szCs w:val="20"/>
                <w:color w:val="auto"/>
              </w:rPr>
            </w:pPr>
            <w:r>
              <w:rPr>
                <w:rFonts w:ascii="Times New Roman" w:cs="Times New Roman" w:eastAsia="Times New Roman" w:hAnsi="Times New Roman"/>
                <w:sz w:val="17"/>
                <w:szCs w:val="17"/>
                <w:color w:val="1E1E1E"/>
              </w:rPr>
              <w:t>(I.R.S. Employer Identification No.)</w:t>
            </w:r>
          </w:p>
        </w:tc>
      </w:tr>
      <w:tr>
        <w:trPr>
          <w:trHeight w:val="221"/>
        </w:trPr>
        <w:tc>
          <w:tcPr>
            <w:tcW w:w="4120" w:type="dxa"/>
            <w:vAlign w:val="bottom"/>
          </w:tcPr>
          <w:p>
            <w:pPr>
              <w:jc w:val="center"/>
              <w:ind w:right="1355"/>
              <w:spacing w:after="0"/>
              <w:rPr>
                <w:sz w:val="20"/>
                <w:szCs w:val="20"/>
                <w:color w:val="auto"/>
              </w:rPr>
            </w:pPr>
            <w:r>
              <w:rPr>
                <w:rFonts w:ascii="Times New Roman" w:cs="Times New Roman" w:eastAsia="Times New Roman" w:hAnsi="Times New Roman"/>
                <w:sz w:val="17"/>
                <w:szCs w:val="17"/>
                <w:color w:val="1E1E1E"/>
              </w:rPr>
              <w:t>of incorporation or organization)</w:t>
            </w:r>
          </w:p>
        </w:tc>
        <w:tc>
          <w:tcPr>
            <w:tcW w:w="3900" w:type="dxa"/>
            <w:vAlign w:val="bottom"/>
          </w:tcPr>
          <w:p>
            <w:pPr>
              <w:spacing w:after="0"/>
              <w:rPr>
                <w:sz w:val="19"/>
                <w:szCs w:val="19"/>
                <w:color w:val="auto"/>
              </w:rPr>
            </w:pPr>
          </w:p>
        </w:tc>
      </w:tr>
      <w:tr>
        <w:trPr>
          <w:trHeight w:val="343"/>
        </w:trPr>
        <w:tc>
          <w:tcPr>
            <w:tcW w:w="4120" w:type="dxa"/>
            <w:vAlign w:val="bottom"/>
          </w:tcPr>
          <w:p>
            <w:pPr>
              <w:jc w:val="center"/>
              <w:ind w:right="1355"/>
              <w:spacing w:after="0"/>
              <w:rPr>
                <w:sz w:val="20"/>
                <w:szCs w:val="20"/>
                <w:color w:val="auto"/>
              </w:rPr>
            </w:pPr>
            <w:r>
              <w:rPr>
                <w:rFonts w:ascii="Times New Roman" w:cs="Times New Roman" w:eastAsia="Times New Roman" w:hAnsi="Times New Roman"/>
                <w:sz w:val="17"/>
                <w:szCs w:val="17"/>
                <w:b w:val="1"/>
                <w:bCs w:val="1"/>
                <w:color w:val="1E1E1E"/>
                <w:w w:val="99"/>
              </w:rPr>
              <w:t>4 Limited Parkway East,</w:t>
            </w:r>
          </w:p>
        </w:tc>
        <w:tc>
          <w:tcPr>
            <w:tcW w:w="3900" w:type="dxa"/>
            <w:vAlign w:val="bottom"/>
          </w:tcPr>
          <w:p>
            <w:pPr>
              <w:spacing w:after="0"/>
              <w:rPr>
                <w:sz w:val="24"/>
                <w:szCs w:val="24"/>
                <w:color w:val="auto"/>
              </w:rPr>
            </w:pPr>
          </w:p>
        </w:tc>
      </w:tr>
      <w:tr>
        <w:trPr>
          <w:trHeight w:val="255"/>
        </w:trPr>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1E1E1E"/>
              </w:rPr>
              <w:t>Reynoldsburg, Ohio</w:t>
            </w:r>
          </w:p>
        </w:tc>
        <w:tc>
          <w:tcPr>
            <w:tcW w:w="3900" w:type="dxa"/>
            <w:vAlign w:val="bottom"/>
          </w:tcPr>
          <w:p>
            <w:pPr>
              <w:jc w:val="right"/>
              <w:ind w:right="955"/>
              <w:spacing w:after="0"/>
              <w:rPr>
                <w:sz w:val="20"/>
                <w:szCs w:val="20"/>
                <w:color w:val="auto"/>
              </w:rPr>
            </w:pPr>
            <w:r>
              <w:rPr>
                <w:rFonts w:ascii="Times New Roman" w:cs="Times New Roman" w:eastAsia="Times New Roman" w:hAnsi="Times New Roman"/>
                <w:sz w:val="17"/>
                <w:szCs w:val="17"/>
                <w:b w:val="1"/>
                <w:bCs w:val="1"/>
                <w:color w:val="1E1E1E"/>
              </w:rPr>
              <w:t>43068</w:t>
            </w:r>
          </w:p>
        </w:tc>
      </w:tr>
      <w:tr>
        <w:trPr>
          <w:trHeight w:val="237"/>
        </w:trPr>
        <w:tc>
          <w:tcPr>
            <w:tcW w:w="4120" w:type="dxa"/>
            <w:vAlign w:val="bottom"/>
          </w:tcPr>
          <w:p>
            <w:pPr>
              <w:jc w:val="center"/>
              <w:ind w:right="1335"/>
              <w:spacing w:after="0"/>
              <w:rPr>
                <w:sz w:val="20"/>
                <w:szCs w:val="20"/>
                <w:color w:val="auto"/>
              </w:rPr>
            </w:pPr>
            <w:r>
              <w:rPr>
                <w:rFonts w:ascii="Times New Roman" w:cs="Times New Roman" w:eastAsia="Times New Roman" w:hAnsi="Times New Roman"/>
                <w:sz w:val="17"/>
                <w:szCs w:val="17"/>
                <w:color w:val="1E1E1E"/>
                <w:w w:val="99"/>
              </w:rPr>
              <w:t>(Address of principal executive offices)</w:t>
            </w:r>
          </w:p>
        </w:tc>
        <w:tc>
          <w:tcPr>
            <w:tcW w:w="3900" w:type="dxa"/>
            <w:vAlign w:val="bottom"/>
          </w:tcPr>
          <w:p>
            <w:pPr>
              <w:jc w:val="center"/>
              <w:ind w:left="1335"/>
              <w:spacing w:after="0"/>
              <w:rPr>
                <w:sz w:val="20"/>
                <w:szCs w:val="20"/>
                <w:color w:val="auto"/>
              </w:rPr>
            </w:pPr>
            <w:r>
              <w:rPr>
                <w:rFonts w:ascii="Times New Roman" w:cs="Times New Roman" w:eastAsia="Times New Roman" w:hAnsi="Times New Roman"/>
                <w:sz w:val="17"/>
                <w:szCs w:val="17"/>
                <w:color w:val="1E1E1E"/>
              </w:rPr>
              <w:t>(Zip Code)</w:t>
            </w: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1E1E1E"/>
        </w:rPr>
        <w:t>Registrant’s telephone number, including area code (614) 577-7000</w:t>
      </w:r>
    </w:p>
    <w:p>
      <w:pPr>
        <w:spacing w:after="0" w:line="3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1E1E1E"/>
        </w:rPr>
        <w:t>______________________________________________________</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1E1E1E"/>
        </w:rPr>
        <w:t>Securities registered pursuant to Section 12(b) of the Act:</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000" w:type="dxa"/>
            <w:vAlign w:val="bottom"/>
            <w:tcBorders>
              <w:top w:val="single" w:sz="8" w:color="1E1E1E"/>
              <w:left w:val="single" w:sz="8" w:color="1E1E1E"/>
              <w:bottom w:val="single" w:sz="8" w:color="1E1E1E"/>
            </w:tcBorders>
          </w:tcPr>
          <w:p>
            <w:pPr>
              <w:jc w:val="center"/>
              <w:ind w:left="515"/>
              <w:spacing w:after="0"/>
              <w:rPr>
                <w:sz w:val="20"/>
                <w:szCs w:val="20"/>
                <w:color w:val="auto"/>
              </w:rPr>
            </w:pPr>
            <w:r>
              <w:rPr>
                <w:rFonts w:ascii="Times New Roman" w:cs="Times New Roman" w:eastAsia="Times New Roman" w:hAnsi="Times New Roman"/>
                <w:sz w:val="17"/>
                <w:szCs w:val="17"/>
                <w:b w:val="1"/>
                <w:bCs w:val="1"/>
                <w:color w:val="1E1E1E"/>
                <w:w w:val="99"/>
              </w:rPr>
              <w:t>Title of each class</w:t>
            </w:r>
          </w:p>
        </w:tc>
        <w:tc>
          <w:tcPr>
            <w:tcW w:w="620" w:type="dxa"/>
            <w:vAlign w:val="bottom"/>
            <w:tcBorders>
              <w:top w:val="single" w:sz="8" w:color="1E1E1E"/>
              <w:bottom w:val="single" w:sz="8" w:color="1E1E1E"/>
              <w:right w:val="single" w:sz="8" w:color="1E1E1E"/>
            </w:tcBorders>
          </w:tcPr>
          <w:p>
            <w:pPr>
              <w:spacing w:after="0"/>
              <w:rPr>
                <w:sz w:val="19"/>
                <w:szCs w:val="19"/>
                <w:color w:val="auto"/>
              </w:rPr>
            </w:pPr>
          </w:p>
        </w:tc>
        <w:tc>
          <w:tcPr>
            <w:tcW w:w="3600" w:type="dxa"/>
            <w:vAlign w:val="bottom"/>
            <w:tcBorders>
              <w:top w:val="single" w:sz="8" w:color="1E1E1E"/>
              <w:bottom w:val="single" w:sz="8" w:color="1E1E1E"/>
              <w:right w:val="single" w:sz="8" w:color="1E1E1E"/>
            </w:tcBorders>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Trading Symbol(s)</w:t>
            </w:r>
          </w:p>
        </w:tc>
        <w:tc>
          <w:tcPr>
            <w:tcW w:w="3600" w:type="dxa"/>
            <w:vAlign w:val="bottom"/>
            <w:tcBorders>
              <w:top w:val="single" w:sz="8" w:color="1E1E1E"/>
              <w:bottom w:val="single" w:sz="8" w:color="1E1E1E"/>
              <w:right w:val="single" w:sz="8" w:color="1E1E1E"/>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Name of each exchange on which registered</w:t>
            </w:r>
          </w:p>
        </w:tc>
      </w:tr>
      <w:tr>
        <w:trPr>
          <w:trHeight w:val="220"/>
        </w:trPr>
        <w:tc>
          <w:tcPr>
            <w:tcW w:w="3000" w:type="dxa"/>
            <w:vAlign w:val="bottom"/>
            <w:tcBorders>
              <w:left w:val="single" w:sz="8" w:color="1E1E1E"/>
              <w:bottom w:val="single" w:sz="8" w:color="1E1E1E"/>
            </w:tcBorders>
          </w:tcPr>
          <w:p>
            <w:pPr>
              <w:jc w:val="center"/>
              <w:ind w:left="515"/>
              <w:spacing w:after="0"/>
              <w:rPr>
                <w:sz w:val="20"/>
                <w:szCs w:val="20"/>
                <w:color w:val="auto"/>
              </w:rPr>
            </w:pPr>
            <w:r>
              <w:rPr>
                <w:rFonts w:ascii="Times New Roman" w:cs="Times New Roman" w:eastAsia="Times New Roman" w:hAnsi="Times New Roman"/>
                <w:sz w:val="17"/>
                <w:szCs w:val="17"/>
                <w:color w:val="1E1E1E"/>
                <w:w w:val="99"/>
              </w:rPr>
              <w:t>Common Stock, $0.01 Par Value</w:t>
            </w:r>
          </w:p>
        </w:tc>
        <w:tc>
          <w:tcPr>
            <w:tcW w:w="620" w:type="dxa"/>
            <w:vAlign w:val="bottom"/>
            <w:tcBorders>
              <w:bottom w:val="single" w:sz="8" w:color="1E1E1E"/>
              <w:right w:val="single" w:sz="8" w:color="1E1E1E"/>
            </w:tcBorders>
          </w:tcPr>
          <w:p>
            <w:pPr>
              <w:spacing w:after="0"/>
              <w:rPr>
                <w:sz w:val="19"/>
                <w:szCs w:val="19"/>
                <w:color w:val="auto"/>
              </w:rPr>
            </w:pPr>
          </w:p>
        </w:tc>
        <w:tc>
          <w:tcPr>
            <w:tcW w:w="3600" w:type="dxa"/>
            <w:vAlign w:val="bottom"/>
            <w:tcBorders>
              <w:bottom w:val="single" w:sz="8" w:color="1E1E1E"/>
              <w:right w:val="single" w:sz="8" w:color="1E1E1E"/>
            </w:tcBorders>
          </w:tcPr>
          <w:p>
            <w:pPr>
              <w:jc w:val="center"/>
              <w:spacing w:after="0"/>
              <w:rPr>
                <w:sz w:val="20"/>
                <w:szCs w:val="20"/>
                <w:color w:val="auto"/>
              </w:rPr>
            </w:pPr>
            <w:r>
              <w:rPr>
                <w:rFonts w:ascii="Times New Roman" w:cs="Times New Roman" w:eastAsia="Times New Roman" w:hAnsi="Times New Roman"/>
                <w:sz w:val="17"/>
                <w:szCs w:val="17"/>
                <w:color w:val="1E1E1E"/>
                <w:w w:val="96"/>
              </w:rPr>
              <w:t>VSCO</w:t>
            </w:r>
          </w:p>
        </w:tc>
        <w:tc>
          <w:tcPr>
            <w:tcW w:w="3600" w:type="dxa"/>
            <w:vAlign w:val="bottom"/>
            <w:tcBorders>
              <w:bottom w:val="single" w:sz="8" w:color="1E1E1E"/>
              <w:right w:val="single" w:sz="8" w:color="1E1E1E"/>
            </w:tcBorders>
            <w:gridSpan w:val="3"/>
          </w:tcPr>
          <w:p>
            <w:pPr>
              <w:jc w:val="center"/>
              <w:spacing w:after="0"/>
              <w:rPr>
                <w:sz w:val="20"/>
                <w:szCs w:val="20"/>
                <w:color w:val="auto"/>
              </w:rPr>
            </w:pPr>
            <w:r>
              <w:rPr>
                <w:rFonts w:ascii="Times New Roman" w:cs="Times New Roman" w:eastAsia="Times New Roman" w:hAnsi="Times New Roman"/>
                <w:sz w:val="17"/>
                <w:szCs w:val="17"/>
                <w:color w:val="1E1E1E"/>
                <w:w w:val="99"/>
              </w:rPr>
              <w:t>The New York Stock Exchange</w:t>
            </w:r>
          </w:p>
        </w:tc>
      </w:tr>
      <w:tr>
        <w:trPr>
          <w:trHeight w:val="317"/>
        </w:trPr>
        <w:tc>
          <w:tcPr>
            <w:tcW w:w="3000" w:type="dxa"/>
            <w:vAlign w:val="bottom"/>
          </w:tcPr>
          <w:p>
            <w:pPr>
              <w:spacing w:after="0"/>
              <w:rPr>
                <w:sz w:val="24"/>
                <w:szCs w:val="24"/>
                <w:color w:val="auto"/>
              </w:rPr>
            </w:pPr>
          </w:p>
        </w:tc>
        <w:tc>
          <w:tcPr>
            <w:tcW w:w="5140" w:type="dxa"/>
            <w:vAlign w:val="bottom"/>
            <w:gridSpan w:val="3"/>
          </w:tcPr>
          <w:p>
            <w:pPr>
              <w:jc w:val="center"/>
              <w:ind w:right="235"/>
              <w:spacing w:after="0"/>
              <w:rPr>
                <w:sz w:val="20"/>
                <w:szCs w:val="20"/>
                <w:color w:val="auto"/>
              </w:rPr>
            </w:pPr>
            <w:r>
              <w:rPr>
                <w:rFonts w:ascii="Times New Roman" w:cs="Times New Roman" w:eastAsia="Times New Roman" w:hAnsi="Times New Roman"/>
                <w:sz w:val="17"/>
                <w:szCs w:val="17"/>
                <w:b w:val="1"/>
                <w:bCs w:val="1"/>
                <w:color w:val="1E1E1E"/>
              </w:rPr>
              <w:t>Securities registered pursuant to Section 12(g) of the Act: None.</w:t>
            </w: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814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Indicate by check mark if the registrant is a well-known seasoned issuer, as defined in Rule 405 of the Securities Act.</w:t>
            </w:r>
          </w:p>
        </w:tc>
        <w:tc>
          <w:tcPr>
            <w:tcW w:w="640" w:type="dxa"/>
            <w:vAlign w:val="bottom"/>
          </w:tcPr>
          <w:p>
            <w:pPr>
              <w:ind w:left="20"/>
              <w:spacing w:after="0" w:line="228" w:lineRule="exact"/>
              <w:rPr>
                <w:sz w:val="20"/>
                <w:szCs w:val="20"/>
                <w:color w:val="auto"/>
              </w:rPr>
            </w:pPr>
            <w:r>
              <w:rPr>
                <w:rFonts w:ascii="Times New Roman" w:cs="Times New Roman" w:eastAsia="Times New Roman" w:hAnsi="Times New Roman"/>
                <w:sz w:val="17"/>
                <w:szCs w:val="17"/>
                <w:color w:val="1E1E1E"/>
              </w:rPr>
              <w:t xml:space="preserve">Yes </w:t>
            </w:r>
            <w:r>
              <w:rPr>
                <w:rFonts w:ascii="Arial Unicode MS" w:cs="Arial Unicode MS" w:eastAsia="Arial Unicode MS" w:hAnsi="Arial Unicode MS"/>
                <w:sz w:val="17"/>
                <w:szCs w:val="17"/>
                <w:color w:val="1E1E1E"/>
              </w:rPr>
              <w:t>☒</w:t>
            </w:r>
          </w:p>
        </w:tc>
        <w:tc>
          <w:tcPr>
            <w:tcW w:w="2040" w:type="dxa"/>
            <w:vAlign w:val="bottom"/>
          </w:tcPr>
          <w:p>
            <w:pPr>
              <w:jc w:val="center"/>
              <w:ind w:right="1495"/>
              <w:spacing w:after="0" w:line="228" w:lineRule="exact"/>
              <w:rPr>
                <w:sz w:val="20"/>
                <w:szCs w:val="20"/>
                <w:color w:val="auto"/>
              </w:rPr>
            </w:pPr>
            <w:r>
              <w:rPr>
                <w:rFonts w:ascii="Times New Roman" w:cs="Times New Roman" w:eastAsia="Times New Roman" w:hAnsi="Times New Roman"/>
                <w:sz w:val="17"/>
                <w:szCs w:val="17"/>
                <w:color w:val="1E1E1E"/>
              </w:rPr>
              <w:t xml:space="preserve">No </w:t>
            </w:r>
            <w:r>
              <w:rPr>
                <w:rFonts w:ascii="Arial Unicode MS" w:cs="Arial Unicode MS" w:eastAsia="Arial Unicode MS" w:hAnsi="Arial Unicode MS"/>
                <w:sz w:val="17"/>
                <w:szCs w:val="17"/>
                <w:color w:val="1E1E1E"/>
              </w:rPr>
              <w:t>☐</w:t>
            </w:r>
          </w:p>
        </w:tc>
      </w:tr>
      <w:tr>
        <w:trPr>
          <w:trHeight w:val="264"/>
        </w:trPr>
        <w:tc>
          <w:tcPr>
            <w:tcW w:w="8140" w:type="dxa"/>
            <w:vAlign w:val="bottom"/>
            <w:gridSpan w:val="4"/>
          </w:tcPr>
          <w:p>
            <w:pPr>
              <w:spacing w:after="0"/>
              <w:rPr>
                <w:sz w:val="20"/>
                <w:szCs w:val="20"/>
                <w:color w:val="auto"/>
              </w:rPr>
            </w:pPr>
            <w:r>
              <w:rPr>
                <w:rFonts w:ascii="Times New Roman" w:cs="Times New Roman" w:eastAsia="Times New Roman" w:hAnsi="Times New Roman"/>
                <w:sz w:val="17"/>
                <w:szCs w:val="17"/>
                <w:color w:val="1E1E1E"/>
                <w:w w:val="99"/>
              </w:rPr>
              <w:t>Indicate by check mark if the registrant is not required to file reports pursuant to Section 13 or Section 15(d) of the Act.</w:t>
            </w:r>
          </w:p>
        </w:tc>
        <w:tc>
          <w:tcPr>
            <w:tcW w:w="640" w:type="dxa"/>
            <w:vAlign w:val="bottom"/>
          </w:tcPr>
          <w:p>
            <w:pPr>
              <w:ind w:left="160"/>
              <w:spacing w:after="0" w:line="228" w:lineRule="exact"/>
              <w:rPr>
                <w:sz w:val="20"/>
                <w:szCs w:val="20"/>
                <w:color w:val="auto"/>
              </w:rPr>
            </w:pPr>
            <w:r>
              <w:rPr>
                <w:rFonts w:ascii="Times New Roman" w:cs="Times New Roman" w:eastAsia="Times New Roman" w:hAnsi="Times New Roman"/>
                <w:sz w:val="17"/>
                <w:szCs w:val="17"/>
                <w:color w:val="1E1E1E"/>
              </w:rPr>
              <w:t xml:space="preserve">Yes </w:t>
            </w:r>
            <w:r>
              <w:rPr>
                <w:rFonts w:ascii="Arial Unicode MS" w:cs="Arial Unicode MS" w:eastAsia="Arial Unicode MS" w:hAnsi="Arial Unicode MS"/>
                <w:sz w:val="17"/>
                <w:szCs w:val="17"/>
                <w:color w:val="1E1E1E"/>
              </w:rPr>
              <w:t>☐</w:t>
            </w:r>
          </w:p>
        </w:tc>
        <w:tc>
          <w:tcPr>
            <w:tcW w:w="2040" w:type="dxa"/>
            <w:vAlign w:val="bottom"/>
          </w:tcPr>
          <w:p>
            <w:pPr>
              <w:ind w:left="160"/>
              <w:spacing w:after="0" w:line="228" w:lineRule="exact"/>
              <w:rPr>
                <w:sz w:val="20"/>
                <w:szCs w:val="20"/>
                <w:color w:val="auto"/>
              </w:rPr>
            </w:pPr>
            <w:r>
              <w:rPr>
                <w:rFonts w:ascii="Times New Roman" w:cs="Times New Roman" w:eastAsia="Times New Roman" w:hAnsi="Times New Roman"/>
                <w:sz w:val="17"/>
                <w:szCs w:val="17"/>
                <w:color w:val="1E1E1E"/>
              </w:rPr>
              <w:t xml:space="preserve">No </w:t>
            </w:r>
            <w:r>
              <w:rPr>
                <w:rFonts w:ascii="Arial Unicode MS" w:cs="Arial Unicode MS" w:eastAsia="Arial Unicode MS" w:hAnsi="Arial Unicode MS"/>
                <w:sz w:val="17"/>
                <w:szCs w:val="17"/>
                <w:color w:val="1E1E1E"/>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-852170</wp:posOffset>
                </wp:positionV>
                <wp:extent cx="12700" cy="127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7" o:spid="_x0000_s1032" style="position:absolute;margin-left:-0.4999pt;margin-top:-6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-852170</wp:posOffset>
                </wp:positionV>
                <wp:extent cx="12700" cy="127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8" o:spid="_x0000_s1033" style="position:absolute;margin-left:-0.4999pt;margin-top:-6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6851650</wp:posOffset>
                </wp:positionH>
                <wp:positionV relativeFrom="paragraph">
                  <wp:posOffset>-852170</wp:posOffset>
                </wp:positionV>
                <wp:extent cx="12700" cy="127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9" o:spid="_x0000_s1034" style="position:absolute;margin-left:539.5pt;margin-top:-6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6851650</wp:posOffset>
                </wp:positionH>
                <wp:positionV relativeFrom="paragraph">
                  <wp:posOffset>-852170</wp:posOffset>
                </wp:positionV>
                <wp:extent cx="12700" cy="127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0" o:spid="_x0000_s1035" style="position:absolute;margin-left:539.5pt;margin-top:-6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-852170</wp:posOffset>
                </wp:positionV>
                <wp:extent cx="12700" cy="1270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1" o:spid="_x0000_s1036" style="position:absolute;margin-left:-0.4999pt;margin-top:-6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-848995</wp:posOffset>
                </wp:positionV>
                <wp:extent cx="12700" cy="127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2" o:spid="_x0000_s1037" style="position:absolute;margin-left:-0.2499pt;margin-top:-66.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-852170</wp:posOffset>
                </wp:positionV>
                <wp:extent cx="13335" cy="127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3" o:spid="_x0000_s1038" style="position:absolute;margin-left:179.45pt;margin-top:-67.0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2279650</wp:posOffset>
                </wp:positionH>
                <wp:positionV relativeFrom="paragraph">
                  <wp:posOffset>-848995</wp:posOffset>
                </wp:positionV>
                <wp:extent cx="12700" cy="127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4" o:spid="_x0000_s1039" style="position:absolute;margin-left:179.5pt;margin-top:-66.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4565015</wp:posOffset>
                </wp:positionH>
                <wp:positionV relativeFrom="paragraph">
                  <wp:posOffset>-852170</wp:posOffset>
                </wp:positionV>
                <wp:extent cx="13335" cy="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5" o:spid="_x0000_s1040" style="position:absolute;margin-left:359.45pt;margin-top:-67.0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4565650</wp:posOffset>
                </wp:positionH>
                <wp:positionV relativeFrom="paragraph">
                  <wp:posOffset>-848995</wp:posOffset>
                </wp:positionV>
                <wp:extent cx="12700" cy="12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6" o:spid="_x0000_s1041" style="position:absolute;margin-left:359.5pt;margin-top:-66.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6851015</wp:posOffset>
                </wp:positionH>
                <wp:positionV relativeFrom="paragraph">
                  <wp:posOffset>-852170</wp:posOffset>
                </wp:positionV>
                <wp:extent cx="13335"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7" o:spid="_x0000_s1042" style="position:absolute;margin-left:539.45pt;margin-top:-67.0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6848475</wp:posOffset>
                </wp:positionH>
                <wp:positionV relativeFrom="paragraph">
                  <wp:posOffset>-848995</wp:posOffset>
                </wp:positionV>
                <wp:extent cx="12700"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8" o:spid="_x0000_s1043" style="position:absolute;margin-left:539.25pt;margin-top:-66.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-709295</wp:posOffset>
                </wp:positionV>
                <wp:extent cx="12700"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9" o:spid="_x0000_s1044" style="position:absolute;margin-left:-0.4999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6851650</wp:posOffset>
                </wp:positionH>
                <wp:positionV relativeFrom="paragraph">
                  <wp:posOffset>-709295</wp:posOffset>
                </wp:positionV>
                <wp:extent cx="12700" cy="127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0" o:spid="_x0000_s1045" style="position:absolute;margin-left:539.5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-709295</wp:posOffset>
                </wp:positionV>
                <wp:extent cx="12700" cy="127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1" o:spid="_x0000_s1046" style="position:absolute;margin-left:-0.2499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2279650</wp:posOffset>
                </wp:positionH>
                <wp:positionV relativeFrom="paragraph">
                  <wp:posOffset>-709295</wp:posOffset>
                </wp:positionV>
                <wp:extent cx="12700" cy="127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2" o:spid="_x0000_s1047" style="position:absolute;margin-left:179.5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4565650</wp:posOffset>
                </wp:positionH>
                <wp:positionV relativeFrom="paragraph">
                  <wp:posOffset>-709295</wp:posOffset>
                </wp:positionV>
                <wp:extent cx="12700" cy="12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3" o:spid="_x0000_s1048" style="position:absolute;margin-left:359.5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6848475</wp:posOffset>
                </wp:positionH>
                <wp:positionV relativeFrom="paragraph">
                  <wp:posOffset>-709295</wp:posOffset>
                </wp:positionV>
                <wp:extent cx="12700" cy="12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4" o:spid="_x0000_s1049" style="position:absolute;margin-left:539.25pt;margin-top:-55.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-556895</wp:posOffset>
                </wp:positionV>
                <wp:extent cx="12700" cy="127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25" o:spid="_x0000_s1050" style="position:absolute;margin-left:-0.4999pt;margin-top:-43.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-556895</wp:posOffset>
                </wp:positionV>
                <wp:extent cx="12700" cy="127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6" o:spid="_x0000_s1051" style="position:absolute;margin-left:-0.4999pt;margin-top:-43.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6851650</wp:posOffset>
                </wp:positionH>
                <wp:positionV relativeFrom="paragraph">
                  <wp:posOffset>-556895</wp:posOffset>
                </wp:positionV>
                <wp:extent cx="12700" cy="127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27" o:spid="_x0000_s1052" style="position:absolute;margin-left:539.5pt;margin-top:-43.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6851650</wp:posOffset>
                </wp:positionH>
                <wp:positionV relativeFrom="paragraph">
                  <wp:posOffset>-556895</wp:posOffset>
                </wp:positionV>
                <wp:extent cx="12700" cy="127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8" o:spid="_x0000_s1053" style="position:absolute;margin-left:539.5pt;margin-top:-43.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-556895</wp:posOffset>
                </wp:positionV>
                <wp:extent cx="12700" cy="127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29" o:spid="_x0000_s1054" style="position:absolute;margin-left:-0.4999pt;margin-top:-43.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127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0" o:spid="_x0000_s1055" style="position:absolute;margin-left:-0.2499pt;margin-top:-44.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-556895</wp:posOffset>
                </wp:positionV>
                <wp:extent cx="13335" cy="127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31" o:spid="_x0000_s1056" style="position:absolute;margin-left:179.45pt;margin-top:-43.8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2279650</wp:posOffset>
                </wp:positionH>
                <wp:positionV relativeFrom="paragraph">
                  <wp:posOffset>-560070</wp:posOffset>
                </wp:positionV>
                <wp:extent cx="12700" cy="12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2" o:spid="_x0000_s1057" style="position:absolute;margin-left:179.5pt;margin-top:-44.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4565015</wp:posOffset>
                </wp:positionH>
                <wp:positionV relativeFrom="paragraph">
                  <wp:posOffset>-556895</wp:posOffset>
                </wp:positionV>
                <wp:extent cx="13335" cy="127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33" o:spid="_x0000_s1058" style="position:absolute;margin-left:359.45pt;margin-top:-43.8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4565650</wp:posOffset>
                </wp:positionH>
                <wp:positionV relativeFrom="paragraph">
                  <wp:posOffset>-560070</wp:posOffset>
                </wp:positionV>
                <wp:extent cx="12700" cy="127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4" o:spid="_x0000_s1059" style="position:absolute;margin-left:359.5pt;margin-top:-44.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6851015</wp:posOffset>
                </wp:positionH>
                <wp:positionV relativeFrom="paragraph">
                  <wp:posOffset>-556895</wp:posOffset>
                </wp:positionV>
                <wp:extent cx="13335" cy="127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35" o:spid="_x0000_s1060" style="position:absolute;margin-left:539.45pt;margin-top:-43.8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6848475</wp:posOffset>
                </wp:positionH>
                <wp:positionV relativeFrom="paragraph">
                  <wp:posOffset>-560070</wp:posOffset>
                </wp:positionV>
                <wp:extent cx="12700" cy="127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6" o:spid="_x0000_s1061" style="position:absolute;margin-left:539.25pt;margin-top:-44.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3" w:lineRule="exact"/>
        <w:rPr>
          <w:sz w:val="20"/>
          <w:szCs w:val="20"/>
          <w:color w:val="auto"/>
        </w:rPr>
      </w:pPr>
    </w:p>
    <w:p>
      <w:pPr>
        <w:ind w:right="480"/>
        <w:spacing w:after="0" w:line="213" w:lineRule="exact"/>
        <w:rPr>
          <w:sz w:val="20"/>
          <w:szCs w:val="20"/>
          <w:color w:val="auto"/>
        </w:rPr>
      </w:pPr>
      <w:r>
        <w:rPr>
          <w:rFonts w:ascii="Times New Roman" w:cs="Times New Roman" w:eastAsia="Times New Roman" w:hAnsi="Times New Roman"/>
          <w:sz w:val="17"/>
          <w:szCs w:val="17"/>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 xml:space="preserve"> No </w:t>
      </w:r>
      <w:r>
        <w:rPr>
          <w:rFonts w:ascii="Arial Unicode MS" w:cs="Arial Unicode MS" w:eastAsia="Arial Unicode MS" w:hAnsi="Arial Unicode MS"/>
          <w:sz w:val="17"/>
          <w:szCs w:val="17"/>
          <w:color w:val="1E1E1E"/>
        </w:rPr>
        <w:t>☐</w:t>
      </w:r>
    </w:p>
    <w:p>
      <w:pPr>
        <w:spacing w:after="0" w:line="35" w:lineRule="exact"/>
        <w:rPr>
          <w:sz w:val="20"/>
          <w:szCs w:val="20"/>
          <w:color w:val="auto"/>
        </w:rPr>
      </w:pPr>
    </w:p>
    <w:p>
      <w:pPr>
        <w:ind w:right="540"/>
        <w:spacing w:after="0" w:line="217" w:lineRule="exact"/>
        <w:rPr>
          <w:sz w:val="20"/>
          <w:szCs w:val="20"/>
          <w:color w:val="auto"/>
        </w:rPr>
      </w:pPr>
      <w:r>
        <w:rPr>
          <w:rFonts w:ascii="Times New Roman" w:cs="Times New Roman" w:eastAsia="Times New Roman" w:hAnsi="Times New Roman"/>
          <w:sz w:val="17"/>
          <w:szCs w:val="17"/>
          <w:color w:val="1E1E1E"/>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 xml:space="preserve"> No </w:t>
      </w:r>
      <w:r>
        <w:rPr>
          <w:rFonts w:ascii="Arial Unicode MS" w:cs="Arial Unicode MS" w:eastAsia="Arial Unicode MS" w:hAnsi="Arial Unicode MS"/>
          <w:sz w:val="17"/>
          <w:szCs w:val="17"/>
          <w:color w:val="1E1E1E"/>
        </w:rPr>
        <w:t>☐</w:t>
      </w:r>
    </w:p>
    <w:p>
      <w:pPr>
        <w:spacing w:after="0" w:line="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0"/>
          <w:szCs w:val="20"/>
          <w:color w:val="auto"/>
        </w:rPr>
      </w:pPr>
    </w:p>
    <w:p>
      <w:pPr>
        <w:spacing w:after="0" w:line="228" w:lineRule="exact"/>
        <w:tabs>
          <w:tab w:leader="none" w:pos="1840" w:val="left"/>
          <w:tab w:leader="none" w:pos="3320" w:val="left"/>
          <w:tab w:leader="none" w:pos="5100" w:val="left"/>
          <w:tab w:leader="none" w:pos="7280" w:val="left"/>
        </w:tabs>
        <w:rPr>
          <w:sz w:val="20"/>
          <w:szCs w:val="20"/>
          <w:color w:val="auto"/>
        </w:rPr>
      </w:pPr>
      <w:r>
        <w:rPr>
          <w:rFonts w:ascii="Times New Roman" w:cs="Times New Roman" w:eastAsia="Times New Roman" w:hAnsi="Times New Roman"/>
          <w:sz w:val="17"/>
          <w:szCs w:val="17"/>
          <w:color w:val="1E1E1E"/>
        </w:rPr>
        <w:t xml:space="preserve">Large accelerated filer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ab/>
        <w:t xml:space="preserve">Accelerated filer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ab/>
        <w:t xml:space="preserve">Non-accelerated filer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ab/>
        <w:t xml:space="preserve">Smaller reporting company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ab/>
        <w:t xml:space="preserve">Emerging growth company </w:t>
      </w:r>
      <w:r>
        <w:rPr>
          <w:rFonts w:ascii="Arial Unicode MS" w:cs="Arial Unicode MS" w:eastAsia="Arial Unicode MS" w:hAnsi="Arial Unicode MS"/>
          <w:sz w:val="17"/>
          <w:szCs w:val="17"/>
          <w:color w:val="1E1E1E"/>
        </w:rPr>
        <w:t>☐</w:t>
      </w:r>
    </w:p>
    <w:p>
      <w:pPr>
        <w:spacing w:after="0" w:line="35" w:lineRule="exact"/>
        <w:rPr>
          <w:sz w:val="20"/>
          <w:szCs w:val="20"/>
          <w:color w:val="auto"/>
        </w:rPr>
      </w:pPr>
    </w:p>
    <w:p>
      <w:pPr>
        <w:ind w:right="160"/>
        <w:spacing w:after="0" w:line="222" w:lineRule="exact"/>
        <w:rPr>
          <w:sz w:val="20"/>
          <w:szCs w:val="20"/>
          <w:color w:val="auto"/>
        </w:rPr>
      </w:pPr>
      <w:r>
        <w:rPr>
          <w:rFonts w:ascii="Times New Roman" w:cs="Times New Roman" w:eastAsia="Times New Roman" w:hAnsi="Times New Roman"/>
          <w:sz w:val="17"/>
          <w:szCs w:val="17"/>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1E1E1E"/>
        </w:rPr>
        <w:t>☐</w:t>
      </w:r>
    </w:p>
    <w:p>
      <w:pPr>
        <w:spacing w:after="0" w:line="25" w:lineRule="exact"/>
        <w:rPr>
          <w:sz w:val="20"/>
          <w:szCs w:val="20"/>
          <w:color w:val="auto"/>
        </w:rPr>
      </w:pPr>
    </w:p>
    <w:p>
      <w:pPr>
        <w:ind w:right="120"/>
        <w:spacing w:after="0" w:line="213" w:lineRule="exact"/>
        <w:rPr>
          <w:sz w:val="20"/>
          <w:szCs w:val="20"/>
          <w:color w:val="auto"/>
        </w:rPr>
      </w:pPr>
      <w:r>
        <w:rPr>
          <w:rFonts w:ascii="Times New Roman" w:cs="Times New Roman" w:eastAsia="Times New Roman" w:hAnsi="Times New Roman"/>
          <w:sz w:val="17"/>
          <w:szCs w:val="17"/>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7"/>
          <w:szCs w:val="17"/>
          <w:color w:val="1E1E1E"/>
        </w:rPr>
        <w:t>☒</w:t>
      </w:r>
    </w:p>
    <w:p>
      <w:pPr>
        <w:spacing w:after="0" w:line="35" w:lineRule="exact"/>
        <w:rPr>
          <w:sz w:val="20"/>
          <w:szCs w:val="20"/>
          <w:color w:val="auto"/>
        </w:rPr>
      </w:pPr>
    </w:p>
    <w:p>
      <w:pPr>
        <w:ind w:right="80"/>
        <w:spacing w:after="0" w:line="217" w:lineRule="exact"/>
        <w:rPr>
          <w:sz w:val="20"/>
          <w:szCs w:val="20"/>
          <w:color w:val="auto"/>
        </w:rPr>
      </w:pPr>
      <w:r>
        <w:rPr>
          <w:rFonts w:ascii="Times New Roman" w:cs="Times New Roman" w:eastAsia="Times New Roman" w:hAnsi="Times New Roman"/>
          <w:sz w:val="17"/>
          <w:szCs w:val="17"/>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1E1E1E"/>
        </w:rPr>
        <w:t>☐</w:t>
      </w:r>
    </w:p>
    <w:p>
      <w:pPr>
        <w:spacing w:after="0" w:line="28" w:lineRule="exact"/>
        <w:rPr>
          <w:sz w:val="20"/>
          <w:szCs w:val="20"/>
          <w:color w:val="auto"/>
        </w:rPr>
      </w:pPr>
    </w:p>
    <w:p>
      <w:pPr>
        <w:ind w:right="100"/>
        <w:spacing w:after="0" w:line="221" w:lineRule="exact"/>
        <w:rPr>
          <w:sz w:val="20"/>
          <w:szCs w:val="20"/>
          <w:color w:val="auto"/>
        </w:rPr>
      </w:pPr>
      <w:r>
        <w:rPr>
          <w:rFonts w:ascii="Arial Unicode MS" w:cs="Arial Unicode MS" w:eastAsia="Arial Unicode MS" w:hAnsi="Arial Unicode MS"/>
          <w:sz w:val="17"/>
          <w:szCs w:val="17"/>
          <w:color w:val="1E1E1E"/>
        </w:rPr>
        <w:t>I</w:t>
      </w:r>
      <w:r>
        <w:rPr>
          <w:rFonts w:ascii="Times New Roman" w:cs="Times New Roman" w:eastAsia="Times New Roman" w:hAnsi="Times New Roman"/>
          <w:sz w:val="17"/>
          <w:szCs w:val="17"/>
          <w:color w:val="1E1E1E"/>
        </w:rPr>
        <w:t xml:space="preserve">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7"/>
          <w:szCs w:val="17"/>
          <w:color w:val="1E1E1E"/>
        </w:rPr>
        <w:t>☐</w:t>
      </w:r>
    </w:p>
    <w:p>
      <w:pPr>
        <w:spacing w:after="0" w:line="28" w:lineRule="exact"/>
        <w:rPr>
          <w:sz w:val="20"/>
          <w:szCs w:val="20"/>
          <w:color w:val="auto"/>
        </w:rPr>
      </w:pPr>
    </w:p>
    <w:p>
      <w:pPr>
        <w:spacing w:after="0" w:line="228" w:lineRule="exact"/>
        <w:tabs>
          <w:tab w:leader="none" w:pos="7880" w:val="left"/>
          <w:tab w:leader="none" w:pos="8520" w:val="left"/>
        </w:tabs>
        <w:rPr>
          <w:sz w:val="20"/>
          <w:szCs w:val="20"/>
          <w:color w:val="auto"/>
        </w:rPr>
      </w:pPr>
      <w:r>
        <w:rPr>
          <w:rFonts w:ascii="Times New Roman" w:cs="Times New Roman" w:eastAsia="Times New Roman" w:hAnsi="Times New Roman"/>
          <w:sz w:val="17"/>
          <w:szCs w:val="17"/>
          <w:color w:val="1E1E1E"/>
        </w:rPr>
        <w:t>Indicate by check mark whether the registrant is a shell company (as defined in Rule 12b-2 of the Exchange Act).</w:t>
        <w:tab/>
        <w:t xml:space="preserve">Yes </w:t>
      </w:r>
      <w:r>
        <w:rPr>
          <w:rFonts w:ascii="Arial Unicode MS" w:cs="Arial Unicode MS" w:eastAsia="Arial Unicode MS" w:hAnsi="Arial Unicode MS"/>
          <w:sz w:val="17"/>
          <w:szCs w:val="17"/>
          <w:color w:val="1E1E1E"/>
        </w:rPr>
        <w:t>☐</w:t>
      </w:r>
      <w:r>
        <w:rPr>
          <w:rFonts w:ascii="Times New Roman" w:cs="Times New Roman" w:eastAsia="Times New Roman" w:hAnsi="Times New Roman"/>
          <w:sz w:val="17"/>
          <w:szCs w:val="17"/>
          <w:color w:val="1E1E1E"/>
        </w:rPr>
        <w:tab/>
        <w:t xml:space="preserve">No </w:t>
      </w:r>
      <w:r>
        <w:rPr>
          <w:rFonts w:ascii="Arial Unicode MS" w:cs="Arial Unicode MS" w:eastAsia="Arial Unicode MS" w:hAnsi="Arial Unicode MS"/>
          <w:sz w:val="17"/>
          <w:szCs w:val="17"/>
          <w:color w:val="1E1E1E"/>
        </w:rPr>
        <w:t>☒</w:t>
      </w:r>
    </w:p>
    <w:p>
      <w:pPr>
        <w:spacing w:after="0" w:line="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1E1E1E"/>
        </w:rPr>
        <w:t>The aggregate market value of the registrant’s common stock held by non-affiliates of the registrant as of the last business day of the registrant’s most recently completed second fiscal quarter was $1,550,095,138.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E1E1E"/>
        </w:rPr>
        <w:t>Number of shares outstanding of the registrant’s common stock as of March 15, 2024: 77,575,912.</w:t>
      </w:r>
    </w:p>
    <w:p>
      <w:pPr>
        <w:spacing w:after="0" w:line="6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1E1E1E"/>
        </w:rPr>
        <w:t>DOCUMENTS INCORPORATED BY REFERENCE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E1E1E"/>
        </w:rPr>
        <w:t>Portions of the Registrant’s Proxy Statement for the Registrant’s 2024 Annual Meeting of Stockholders are incorporated by reference into 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6858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540pt,8.35pt" o:allowincell="f" strokecolor="#1E1E1E"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6858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540pt,11.35pt" o:allowincell="f" strokecolor="#1E1E1E" strokeweight="1pt"/>
            </w:pict>
          </mc:Fallback>
        </mc:AlternateContent>
      </w:r>
    </w:p>
    <w:p>
      <w:pPr>
        <w:sectPr>
          <w:pgSz w:w="11880" w:h="15480" w:orient="portrait"/>
          <w:cols w:equalWidth="0" w:num="1">
            <w:col w:w="10820"/>
          </w:cols>
          <w:pgMar w:left="720" w:top="374" w:right="340" w:bottom="49"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4"/>
        </w:trPr>
        <w:tc>
          <w:tcPr>
            <w:tcW w:w="10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920" w:type="dxa"/>
            <w:vAlign w:val="bottom"/>
            <w:gridSpan w:val="2"/>
          </w:tcPr>
          <w:p>
            <w:pPr>
              <w:jc w:val="right"/>
              <w:ind w:right="4280"/>
              <w:spacing w:after="0"/>
              <w:rPr>
                <w:sz w:val="20"/>
                <w:szCs w:val="20"/>
                <w:color w:val="auto"/>
              </w:rPr>
            </w:pPr>
            <w:r>
              <w:rPr>
                <w:rFonts w:ascii="Times New Roman" w:cs="Times New Roman" w:eastAsia="Times New Roman" w:hAnsi="Times New Roman"/>
                <w:sz w:val="20"/>
                <w:szCs w:val="20"/>
                <w:b w:val="1"/>
                <w:bCs w:val="1"/>
                <w:color w:val="1E1E1E"/>
              </w:rPr>
              <w:t>Table of Contents</w:t>
            </w:r>
          </w:p>
        </w:tc>
        <w:tc>
          <w:tcPr>
            <w:tcW w:w="0" w:type="dxa"/>
            <w:vAlign w:val="bottom"/>
          </w:tcPr>
          <w:p>
            <w:pPr>
              <w:spacing w:after="0"/>
              <w:rPr>
                <w:sz w:val="1"/>
                <w:szCs w:val="1"/>
                <w:color w:val="auto"/>
              </w:rPr>
            </w:pPr>
          </w:p>
        </w:tc>
      </w:tr>
      <w:tr>
        <w:trPr>
          <w:trHeight w:val="591"/>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Page No.</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6"/>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w:t>
            </w:r>
          </w:p>
        </w:tc>
        <w:tc>
          <w:tcPr>
            <w:tcW w:w="72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8"/>
              </w:rPr>
              <w:t>Business</w:t>
            </w:r>
          </w:p>
        </w:tc>
        <w:tc>
          <w:tcPr>
            <w:tcW w:w="1560" w:type="dxa"/>
            <w:vAlign w:val="bottom"/>
            <w:gridSpan w:val="6"/>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1A.</w:t>
            </w:r>
          </w:p>
        </w:tc>
        <w:tc>
          <w:tcPr>
            <w:tcW w:w="102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9"/>
              </w:rPr>
              <w:t>Risk Factors</w:t>
            </w:r>
          </w:p>
        </w:tc>
        <w:tc>
          <w:tcPr>
            <w:tcW w:w="1260" w:type="dxa"/>
            <w:vAlign w:val="bottom"/>
            <w:gridSpan w:val="4"/>
          </w:tcPr>
          <w:p>
            <w:pPr>
              <w:spacing w:after="0"/>
              <w:rPr>
                <w:sz w:val="23"/>
                <w:szCs w:val="23"/>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1B.</w:t>
            </w:r>
          </w:p>
        </w:tc>
        <w:tc>
          <w:tcPr>
            <w:tcW w:w="2280" w:type="dxa"/>
            <w:vAlign w:val="bottom"/>
            <w:tcBorders>
              <w:bottom w:val="single" w:sz="8" w:color="434343"/>
            </w:tcBorders>
            <w:gridSpan w:val="7"/>
          </w:tcPr>
          <w:p>
            <w:pPr>
              <w:spacing w:after="0"/>
              <w:rPr>
                <w:sz w:val="20"/>
                <w:szCs w:val="20"/>
                <w:color w:val="auto"/>
              </w:rPr>
            </w:pPr>
            <w:r>
              <w:rPr>
                <w:rFonts w:ascii="Times New Roman" w:cs="Times New Roman" w:eastAsia="Times New Roman" w:hAnsi="Times New Roman"/>
                <w:sz w:val="20"/>
                <w:szCs w:val="20"/>
                <w:color w:val="434343"/>
                <w:w w:val="99"/>
              </w:rPr>
              <w:t>Unresolved Staff Comments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1C.</w:t>
            </w:r>
          </w:p>
        </w:tc>
        <w:tc>
          <w:tcPr>
            <w:tcW w:w="2280" w:type="dxa"/>
            <w:vAlign w:val="bottom"/>
            <w:gridSpan w:val="7"/>
          </w:tcPr>
          <w:p>
            <w:pPr>
              <w:spacing w:after="0"/>
              <w:rPr>
                <w:sz w:val="20"/>
                <w:szCs w:val="20"/>
                <w:color w:val="auto"/>
              </w:rPr>
            </w:pPr>
            <w:r>
              <w:rPr>
                <w:rFonts w:ascii="Times New Roman" w:cs="Times New Roman" w:eastAsia="Times New Roman" w:hAnsi="Times New Roman"/>
                <w:sz w:val="20"/>
                <w:szCs w:val="20"/>
                <w:color w:val="434343"/>
              </w:rPr>
              <w:t>Cybersecurity</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2.</w:t>
            </w:r>
          </w:p>
        </w:tc>
        <w:tc>
          <w:tcPr>
            <w:tcW w:w="820" w:type="dxa"/>
            <w:vAlign w:val="bottom"/>
            <w:tcBorders>
              <w:top w:val="single" w:sz="8" w:color="434343"/>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8"/>
              </w:rPr>
              <w:t>Properties</w:t>
            </w:r>
          </w:p>
        </w:tc>
        <w:tc>
          <w:tcPr>
            <w:tcW w:w="300" w:type="dxa"/>
            <w:vAlign w:val="bottom"/>
            <w:tcBorders>
              <w:top w:val="single" w:sz="8" w:color="434343"/>
            </w:tcBorders>
            <w:gridSpan w:val="2"/>
          </w:tcPr>
          <w:p>
            <w:pPr>
              <w:spacing w:after="0"/>
              <w:rPr>
                <w:sz w:val="23"/>
                <w:szCs w:val="23"/>
                <w:color w:val="auto"/>
              </w:rPr>
            </w:pPr>
          </w:p>
        </w:tc>
        <w:tc>
          <w:tcPr>
            <w:tcW w:w="1160" w:type="dxa"/>
            <w:vAlign w:val="bottom"/>
            <w:gridSpan w:val="3"/>
          </w:tcPr>
          <w:p>
            <w:pPr>
              <w:spacing w:after="0"/>
              <w:rPr>
                <w:sz w:val="23"/>
                <w:szCs w:val="23"/>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3.</w:t>
            </w:r>
          </w:p>
        </w:tc>
        <w:tc>
          <w:tcPr>
            <w:tcW w:w="2280" w:type="dxa"/>
            <w:vAlign w:val="bottom"/>
            <w:gridSpan w:val="7"/>
          </w:tcPr>
          <w:p>
            <w:pPr>
              <w:spacing w:after="0"/>
              <w:rPr>
                <w:sz w:val="20"/>
                <w:szCs w:val="20"/>
                <w:color w:val="auto"/>
              </w:rPr>
            </w:pPr>
            <w:r>
              <w:rPr>
                <w:rFonts w:ascii="Times New Roman" w:cs="Times New Roman" w:eastAsia="Times New Roman" w:hAnsi="Times New Roman"/>
                <w:sz w:val="20"/>
                <w:szCs w:val="20"/>
                <w:color w:val="434343"/>
              </w:rPr>
              <w:t>Legal Proceedings</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Item 4.</w:t>
            </w:r>
          </w:p>
        </w:tc>
        <w:tc>
          <w:tcPr>
            <w:tcW w:w="1480" w:type="dxa"/>
            <w:vAlign w:val="bottom"/>
            <w:gridSpan w:val="5"/>
            <w:shd w:val="clear" w:color="auto" w:fill="43434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000" w:type="dxa"/>
            <w:vAlign w:val="bottom"/>
            <w:vMerge w:val="continue"/>
          </w:tcPr>
          <w:p>
            <w:pPr>
              <w:spacing w:after="0"/>
              <w:rPr>
                <w:sz w:val="23"/>
                <w:szCs w:val="23"/>
                <w:color w:val="auto"/>
              </w:rPr>
            </w:pPr>
          </w:p>
        </w:tc>
        <w:tc>
          <w:tcPr>
            <w:tcW w:w="1980" w:type="dxa"/>
            <w:vAlign w:val="bottom"/>
            <w:tcBorders>
              <w:bottom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w w:val="99"/>
              </w:rPr>
              <w:t>Mine Safety Disclosures</w:t>
            </w:r>
          </w:p>
        </w:tc>
        <w:tc>
          <w:tcPr>
            <w:tcW w:w="300" w:type="dxa"/>
            <w:vAlign w:val="bottom"/>
          </w:tcPr>
          <w:p>
            <w:pPr>
              <w:spacing w:after="0"/>
              <w:rPr>
                <w:sz w:val="23"/>
                <w:szCs w:val="23"/>
                <w:color w:val="auto"/>
              </w:rPr>
            </w:pP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II</w:t>
      </w:r>
    </w:p>
    <w:p>
      <w:pPr>
        <w:sectPr>
          <w:pgSz w:w="11880" w:h="15480" w:orient="portrait"/>
          <w:cols w:equalWidth="0" w:num="1">
            <w:col w:w="10200"/>
          </w:cols>
          <w:pgMar w:left="860" w:top="446" w:right="820" w:bottom="1440" w:gutter="0" w:footer="0" w:header="0"/>
        </w:sect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7A.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9B.</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14.</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Borders>
              <w:bottom w:val="single" w:sz="8" w:color="434343"/>
            </w:tcBorders>
            <w:gridSpan w:val="10"/>
          </w:tcPr>
          <w:p>
            <w:pPr>
              <w:spacing w:after="0"/>
              <w:rPr>
                <w:sz w:val="20"/>
                <w:szCs w:val="20"/>
                <w:color w:val="auto"/>
              </w:rPr>
            </w:pPr>
            <w:r>
              <w:rPr>
                <w:rFonts w:ascii="Times New Roman" w:cs="Times New Roman" w:eastAsia="Times New Roman" w:hAnsi="Times New Roman"/>
                <w:sz w:val="20"/>
                <w:szCs w:val="20"/>
                <w:color w:val="434343"/>
              </w:rPr>
              <w:t>Market for Registrant’s Common Equity, Related Stockholder Matters and Issuer Purchases of</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0" w:type="dxa"/>
            <w:vAlign w:val="bottom"/>
          </w:tcPr>
          <w:p>
            <w:pPr>
              <w:spacing w:after="0"/>
              <w:rPr>
                <w:sz w:val="1"/>
                <w:szCs w:val="1"/>
                <w:color w:val="auto"/>
              </w:rPr>
            </w:pPr>
          </w:p>
        </w:tc>
      </w:tr>
      <w:tr>
        <w:trPr>
          <w:trHeight w:val="180"/>
        </w:trPr>
        <w:tc>
          <w:tcPr>
            <w:tcW w:w="1380" w:type="dxa"/>
            <w:vAlign w:val="bottom"/>
            <w:tcBorders>
              <w:bottom w:val="single" w:sz="8" w:color="434343"/>
            </w:tcBorders>
            <w:gridSpan w:val="2"/>
          </w:tcPr>
          <w:p>
            <w:pPr>
              <w:spacing w:after="0" w:line="180" w:lineRule="exact"/>
              <w:rPr>
                <w:sz w:val="20"/>
                <w:szCs w:val="20"/>
                <w:color w:val="auto"/>
              </w:rPr>
            </w:pPr>
            <w:r>
              <w:rPr>
                <w:rFonts w:ascii="Times New Roman" w:cs="Times New Roman" w:eastAsia="Times New Roman" w:hAnsi="Times New Roman"/>
                <w:sz w:val="20"/>
                <w:szCs w:val="20"/>
                <w:color w:val="434343"/>
                <w:w w:val="99"/>
              </w:rPr>
              <w:t>Equity Securities</w:t>
            </w:r>
          </w:p>
        </w:tc>
        <w:tc>
          <w:tcPr>
            <w:tcW w:w="6240" w:type="dxa"/>
            <w:vAlign w:val="bottom"/>
            <w:gridSpan w:val="8"/>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9"/>
              </w:rPr>
              <w:t>Reserved</w:t>
            </w:r>
          </w:p>
        </w:tc>
        <w:tc>
          <w:tcPr>
            <w:tcW w:w="6860" w:type="dxa"/>
            <w:vAlign w:val="bottom"/>
            <w:gridSpan w:val="9"/>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65"/>
        </w:trPr>
        <w:tc>
          <w:tcPr>
            <w:tcW w:w="7620" w:type="dxa"/>
            <w:vAlign w:val="bottom"/>
            <w:gridSpan w:val="10"/>
          </w:tcPr>
          <w:p>
            <w:pPr>
              <w:spacing w:after="0"/>
              <w:rPr>
                <w:sz w:val="20"/>
                <w:szCs w:val="20"/>
                <w:color w:val="auto"/>
              </w:rPr>
            </w:pPr>
            <w:r>
              <w:rPr>
                <w:rFonts w:ascii="Times New Roman" w:cs="Times New Roman" w:eastAsia="Times New Roman" w:hAnsi="Times New Roman"/>
                <w:sz w:val="20"/>
                <w:szCs w:val="20"/>
                <w:color w:val="434343"/>
              </w:rPr>
              <w:t>Management’s Discussion and Analysis of Financial Condition and Results of Operations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0" w:type="dxa"/>
            <w:vAlign w:val="bottom"/>
          </w:tcPr>
          <w:p>
            <w:pPr>
              <w:spacing w:after="0"/>
              <w:rPr>
                <w:sz w:val="1"/>
                <w:szCs w:val="1"/>
                <w:color w:val="auto"/>
              </w:rPr>
            </w:pPr>
          </w:p>
        </w:tc>
      </w:tr>
      <w:tr>
        <w:trPr>
          <w:trHeight w:val="265"/>
        </w:trPr>
        <w:tc>
          <w:tcPr>
            <w:tcW w:w="7180" w:type="dxa"/>
            <w:vAlign w:val="bottom"/>
            <w:tcBorders>
              <w:top w:val="single" w:sz="8" w:color="434343"/>
            </w:tcBorders>
            <w:gridSpan w:val="8"/>
          </w:tcPr>
          <w:p>
            <w:pPr>
              <w:spacing w:after="0"/>
              <w:rPr>
                <w:sz w:val="20"/>
                <w:szCs w:val="20"/>
                <w:color w:val="auto"/>
              </w:rPr>
            </w:pPr>
            <w:r>
              <w:rPr>
                <w:rFonts w:ascii="Times New Roman" w:cs="Times New Roman" w:eastAsia="Times New Roman" w:hAnsi="Times New Roman"/>
                <w:sz w:val="20"/>
                <w:szCs w:val="20"/>
                <w:color w:val="434343"/>
              </w:rPr>
              <w:t>Quantitative and Qualitative Disclosures About Market Risk</w:t>
            </w:r>
          </w:p>
        </w:tc>
        <w:tc>
          <w:tcPr>
            <w:tcW w:w="440" w:type="dxa"/>
            <w:vAlign w:val="bottom"/>
            <w:gridSpan w:val="2"/>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0" w:type="dxa"/>
            <w:vAlign w:val="bottom"/>
          </w:tcPr>
          <w:p>
            <w:pPr>
              <w:spacing w:after="0"/>
              <w:rPr>
                <w:sz w:val="1"/>
                <w:szCs w:val="1"/>
                <w:color w:val="auto"/>
              </w:rPr>
            </w:pPr>
          </w:p>
        </w:tc>
      </w:tr>
      <w:tr>
        <w:trPr>
          <w:trHeight w:val="265"/>
        </w:trPr>
        <w:tc>
          <w:tcPr>
            <w:tcW w:w="4840" w:type="dxa"/>
            <w:vAlign w:val="bottom"/>
            <w:tcBorders>
              <w:top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rPr>
              <w:t>Financial Statements and Supplementary Data</w:t>
            </w:r>
          </w:p>
        </w:tc>
        <w:tc>
          <w:tcPr>
            <w:tcW w:w="2780" w:type="dxa"/>
            <w:vAlign w:val="bottom"/>
            <w:gridSpan w:val="4"/>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434343"/>
          </w:tcPr>
          <w:p>
            <w:pPr>
              <w:spacing w:after="0" w:line="20" w:lineRule="exact"/>
              <w:rPr>
                <w:sz w:val="1"/>
                <w:szCs w:val="1"/>
                <w:color w:val="auto"/>
              </w:rPr>
            </w:pPr>
          </w:p>
        </w:tc>
        <w:tc>
          <w:tcPr>
            <w:tcW w:w="520" w:type="dxa"/>
            <w:vAlign w:val="bottom"/>
            <w:shd w:val="clear" w:color="auto" w:fill="434343"/>
          </w:tcPr>
          <w:p>
            <w:pPr>
              <w:spacing w:after="0" w:line="20" w:lineRule="exact"/>
              <w:rPr>
                <w:sz w:val="1"/>
                <w:szCs w:val="1"/>
                <w:color w:val="auto"/>
              </w:rPr>
            </w:pPr>
          </w:p>
        </w:tc>
        <w:tc>
          <w:tcPr>
            <w:tcW w:w="1720" w:type="dxa"/>
            <w:vAlign w:val="bottom"/>
            <w:shd w:val="clear" w:color="auto" w:fill="43434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620" w:type="dxa"/>
            <w:vAlign w:val="bottom"/>
            <w:gridSpan w:val="10"/>
          </w:tcPr>
          <w:p>
            <w:pPr>
              <w:spacing w:after="0"/>
              <w:rPr>
                <w:sz w:val="20"/>
                <w:szCs w:val="20"/>
                <w:color w:val="auto"/>
              </w:rPr>
            </w:pPr>
            <w:r>
              <w:rPr>
                <w:rFonts w:ascii="Times New Roman" w:cs="Times New Roman" w:eastAsia="Times New Roman" w:hAnsi="Times New Roman"/>
                <w:sz w:val="20"/>
                <w:szCs w:val="20"/>
                <w:color w:val="434343"/>
              </w:rPr>
              <w:t>Changes in and Disagreements with Accountants on Accounting and Financial Disclosure</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0" w:type="dxa"/>
            <w:vAlign w:val="bottom"/>
          </w:tcPr>
          <w:p>
            <w:pPr>
              <w:spacing w:after="0"/>
              <w:rPr>
                <w:sz w:val="1"/>
                <w:szCs w:val="1"/>
                <w:color w:val="auto"/>
              </w:rPr>
            </w:pPr>
          </w:p>
        </w:tc>
      </w:tr>
      <w:tr>
        <w:trPr>
          <w:trHeight w:val="265"/>
        </w:trPr>
        <w:tc>
          <w:tcPr>
            <w:tcW w:w="1980" w:type="dxa"/>
            <w:vAlign w:val="bottom"/>
            <w:tcBorders>
              <w:top w:val="single" w:sz="8" w:color="434343"/>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9"/>
              </w:rPr>
              <w:t>Controls and Procedures</w:t>
            </w:r>
          </w:p>
        </w:tc>
        <w:tc>
          <w:tcPr>
            <w:tcW w:w="5220" w:type="dxa"/>
            <w:vAlign w:val="bottom"/>
            <w:tcBorders>
              <w:top w:val="single" w:sz="8" w:color="434343"/>
            </w:tcBorders>
            <w:gridSpan w:val="5"/>
          </w:tcPr>
          <w:p>
            <w:pPr>
              <w:spacing w:after="0"/>
              <w:rPr>
                <w:sz w:val="23"/>
                <w:szCs w:val="23"/>
                <w:color w:val="auto"/>
              </w:rPr>
            </w:pPr>
          </w:p>
        </w:tc>
        <w:tc>
          <w:tcPr>
            <w:tcW w:w="4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0" w:type="dxa"/>
            <w:vAlign w:val="bottom"/>
          </w:tcPr>
          <w:p>
            <w:pPr>
              <w:spacing w:after="0"/>
              <w:rPr>
                <w:sz w:val="1"/>
                <w:szCs w:val="1"/>
                <w:color w:val="auto"/>
              </w:rPr>
            </w:pPr>
          </w:p>
        </w:tc>
      </w:tr>
      <w:tr>
        <w:trPr>
          <w:trHeight w:val="265"/>
        </w:trPr>
        <w:tc>
          <w:tcPr>
            <w:tcW w:w="7620" w:type="dxa"/>
            <w:vAlign w:val="bottom"/>
            <w:gridSpan w:val="10"/>
          </w:tcPr>
          <w:p>
            <w:pPr>
              <w:spacing w:after="0"/>
              <w:rPr>
                <w:sz w:val="20"/>
                <w:szCs w:val="20"/>
                <w:color w:val="auto"/>
              </w:rPr>
            </w:pPr>
            <w:r>
              <w:rPr>
                <w:rFonts w:ascii="Times New Roman" w:cs="Times New Roman" w:eastAsia="Times New Roman" w:hAnsi="Times New Roman"/>
                <w:sz w:val="20"/>
                <w:szCs w:val="20"/>
                <w:color w:val="434343"/>
              </w:rPr>
              <w:t>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43434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620" w:type="dxa"/>
            <w:vAlign w:val="bottom"/>
            <w:gridSpan w:val="10"/>
          </w:tcPr>
          <w:p>
            <w:pPr>
              <w:spacing w:after="0"/>
              <w:rPr>
                <w:sz w:val="20"/>
                <w:szCs w:val="20"/>
                <w:color w:val="auto"/>
              </w:rPr>
            </w:pPr>
            <w:r>
              <w:rPr>
                <w:rFonts w:ascii="Times New Roman" w:cs="Times New Roman" w:eastAsia="Times New Roman" w:hAnsi="Times New Roman"/>
                <w:sz w:val="20"/>
                <w:szCs w:val="20"/>
                <w:color w:val="434343"/>
              </w:rPr>
              <w:t>Disclosure Regarding Foreign Jurisdictions that Prevent Inspections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0" w:type="dxa"/>
            <w:vAlign w:val="bottom"/>
          </w:tcPr>
          <w:p>
            <w:pPr>
              <w:spacing w:after="0"/>
              <w:rPr>
                <w:sz w:val="1"/>
                <w:szCs w:val="1"/>
                <w:color w:val="auto"/>
              </w:rPr>
            </w:pPr>
          </w:p>
        </w:tc>
      </w:tr>
      <w:tr>
        <w:trPr>
          <w:trHeight w:val="20"/>
        </w:trPr>
        <w:tc>
          <w:tcPr>
            <w:tcW w:w="760" w:type="dxa"/>
            <w:vAlign w:val="bottom"/>
            <w:shd w:val="clear" w:color="auto" w:fill="434343"/>
          </w:tcPr>
          <w:p>
            <w:pPr>
              <w:spacing w:after="0" w:line="20" w:lineRule="exact"/>
              <w:rPr>
                <w:sz w:val="1"/>
                <w:szCs w:val="1"/>
                <w:color w:val="auto"/>
              </w:rPr>
            </w:pPr>
          </w:p>
        </w:tc>
        <w:tc>
          <w:tcPr>
            <w:tcW w:w="620" w:type="dxa"/>
            <w:vAlign w:val="bottom"/>
            <w:shd w:val="clear" w:color="auto" w:fill="434343"/>
          </w:tcPr>
          <w:p>
            <w:pPr>
              <w:spacing w:after="0" w:line="20" w:lineRule="exact"/>
              <w:rPr>
                <w:sz w:val="1"/>
                <w:szCs w:val="1"/>
                <w:color w:val="auto"/>
              </w:rPr>
            </w:pPr>
          </w:p>
        </w:tc>
        <w:tc>
          <w:tcPr>
            <w:tcW w:w="80" w:type="dxa"/>
            <w:vAlign w:val="bottom"/>
            <w:shd w:val="clear" w:color="auto" w:fill="434343"/>
          </w:tcPr>
          <w:p>
            <w:pPr>
              <w:spacing w:after="0" w:line="20" w:lineRule="exact"/>
              <w:rPr>
                <w:sz w:val="1"/>
                <w:szCs w:val="1"/>
                <w:color w:val="auto"/>
              </w:rPr>
            </w:pPr>
          </w:p>
        </w:tc>
        <w:tc>
          <w:tcPr>
            <w:tcW w:w="520" w:type="dxa"/>
            <w:vAlign w:val="bottom"/>
            <w:shd w:val="clear" w:color="auto" w:fill="434343"/>
          </w:tcPr>
          <w:p>
            <w:pPr>
              <w:spacing w:after="0" w:line="20" w:lineRule="exact"/>
              <w:rPr>
                <w:sz w:val="1"/>
                <w:szCs w:val="1"/>
                <w:color w:val="auto"/>
              </w:rPr>
            </w:pPr>
          </w:p>
        </w:tc>
        <w:tc>
          <w:tcPr>
            <w:tcW w:w="1720" w:type="dxa"/>
            <w:vAlign w:val="bottom"/>
            <w:shd w:val="clear" w:color="auto" w:fill="434343"/>
          </w:tcPr>
          <w:p>
            <w:pPr>
              <w:spacing w:after="0" w:line="20" w:lineRule="exact"/>
              <w:rPr>
                <w:sz w:val="1"/>
                <w:szCs w:val="1"/>
                <w:color w:val="auto"/>
              </w:rPr>
            </w:pPr>
          </w:p>
        </w:tc>
        <w:tc>
          <w:tcPr>
            <w:tcW w:w="1140" w:type="dxa"/>
            <w:vAlign w:val="bottom"/>
            <w:shd w:val="clear" w:color="auto" w:fill="434343"/>
          </w:tcPr>
          <w:p>
            <w:pPr>
              <w:spacing w:after="0" w:line="20" w:lineRule="exact"/>
              <w:rPr>
                <w:sz w:val="1"/>
                <w:szCs w:val="1"/>
                <w:color w:val="auto"/>
              </w:rPr>
            </w:pPr>
          </w:p>
        </w:tc>
        <w:tc>
          <w:tcPr>
            <w:tcW w:w="600" w:type="dxa"/>
            <w:vAlign w:val="bottom"/>
            <w:shd w:val="clear" w:color="auto" w:fill="43434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9"/>
              </w:rPr>
              <w:t>Directors, Executive Officers and Corporate Governance</w:t>
            </w:r>
          </w:p>
        </w:tc>
        <w:tc>
          <w:tcPr>
            <w:tcW w:w="3960" w:type="dxa"/>
            <w:vAlign w:val="bottom"/>
            <w:gridSpan w:val="3"/>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265"/>
        </w:trPr>
        <w:tc>
          <w:tcPr>
            <w:tcW w:w="202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9"/>
              </w:rPr>
              <w:t>Executive Compensation</w:t>
            </w:r>
          </w:p>
        </w:tc>
        <w:tc>
          <w:tcPr>
            <w:tcW w:w="6500" w:type="dxa"/>
            <w:vAlign w:val="bottom"/>
            <w:gridSpan w:val="5"/>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265"/>
        </w:trPr>
        <w:tc>
          <w:tcPr>
            <w:tcW w:w="8520" w:type="dxa"/>
            <w:vAlign w:val="bottom"/>
            <w:gridSpan w:val="6"/>
          </w:tcPr>
          <w:p>
            <w:pPr>
              <w:spacing w:after="0"/>
              <w:rPr>
                <w:sz w:val="20"/>
                <w:szCs w:val="20"/>
                <w:color w:val="auto"/>
              </w:rPr>
            </w:pPr>
            <w:r>
              <w:rPr>
                <w:rFonts w:ascii="Times New Roman" w:cs="Times New Roman" w:eastAsia="Times New Roman" w:hAnsi="Times New Roman"/>
                <w:sz w:val="20"/>
                <w:szCs w:val="20"/>
                <w:color w:val="434343"/>
              </w:rPr>
              <w:t>Security Ownership of Certain Beneficial Owners and Management and Related Stockholder Matters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265"/>
        </w:trPr>
        <w:tc>
          <w:tcPr>
            <w:tcW w:w="8100" w:type="dxa"/>
            <w:vAlign w:val="bottom"/>
            <w:tcBorders>
              <w:top w:val="single" w:sz="8" w:color="434343"/>
            </w:tcBorders>
            <w:gridSpan w:val="5"/>
          </w:tcPr>
          <w:p>
            <w:pPr>
              <w:spacing w:after="0"/>
              <w:rPr>
                <w:sz w:val="20"/>
                <w:szCs w:val="20"/>
                <w:color w:val="auto"/>
              </w:rPr>
            </w:pPr>
            <w:r>
              <w:rPr>
                <w:rFonts w:ascii="Times New Roman" w:cs="Times New Roman" w:eastAsia="Times New Roman" w:hAnsi="Times New Roman"/>
                <w:sz w:val="20"/>
                <w:szCs w:val="20"/>
                <w:color w:val="434343"/>
              </w:rPr>
              <w:t>Certain Relationships and Related Transactions, and Director Independence</w:t>
            </w:r>
          </w:p>
        </w:tc>
        <w:tc>
          <w:tcPr>
            <w:tcW w:w="4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265"/>
        </w:trPr>
        <w:tc>
          <w:tcPr>
            <w:tcW w:w="6060" w:type="dxa"/>
            <w:vAlign w:val="bottom"/>
            <w:tcBorders>
              <w:top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rPr>
              <w:t>Principal Accountant Fees and Services</w:t>
            </w:r>
          </w:p>
        </w:tc>
        <w:tc>
          <w:tcPr>
            <w:tcW w:w="2460" w:type="dxa"/>
            <w:vAlign w:val="bottom"/>
            <w:gridSpan w:val="2"/>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20"/>
        </w:trPr>
        <w:tc>
          <w:tcPr>
            <w:tcW w:w="2020" w:type="dxa"/>
            <w:vAlign w:val="bottom"/>
            <w:shd w:val="clear" w:color="auto" w:fill="434343"/>
          </w:tcPr>
          <w:p>
            <w:pPr>
              <w:spacing w:after="0" w:line="20" w:lineRule="exact"/>
              <w:rPr>
                <w:sz w:val="1"/>
                <w:szCs w:val="1"/>
                <w:color w:val="auto"/>
              </w:rPr>
            </w:pPr>
          </w:p>
        </w:tc>
        <w:tc>
          <w:tcPr>
            <w:tcW w:w="1160" w:type="dxa"/>
            <w:vAlign w:val="bottom"/>
            <w:shd w:val="clear" w:color="auto" w:fill="43434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760" w:lineRule="exact"/>
        <w:rPr>
          <w:sz w:val="20"/>
          <w:szCs w:val="20"/>
          <w:color w:val="auto"/>
        </w:rPr>
      </w:pPr>
    </w:p>
    <w:p>
      <w:pPr>
        <w:sectPr>
          <w:pgSz w:w="11880" w:h="15480" w:orient="portrait"/>
          <w:cols w:equalWidth="0" w:num="2">
            <w:col w:w="720" w:space="280"/>
            <w:col w:w="9200"/>
          </w:cols>
          <w:pgMar w:left="860" w:top="446" w:right="820" w:bottom="1440" w:gutter="0" w:footer="0" w:header="0"/>
          <w:type w:val="continuous"/>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15.</w:t>
            </w:r>
          </w:p>
        </w:tc>
        <w:tc>
          <w:tcPr>
            <w:tcW w:w="6080" w:type="dxa"/>
            <w:vAlign w:val="bottom"/>
            <w:gridSpan w:val="4"/>
          </w:tcPr>
          <w:p>
            <w:pPr>
              <w:spacing w:after="0"/>
              <w:rPr>
                <w:sz w:val="20"/>
                <w:szCs w:val="20"/>
                <w:color w:val="auto"/>
              </w:rPr>
            </w:pPr>
            <w:r>
              <w:rPr>
                <w:rFonts w:ascii="Times New Roman" w:cs="Times New Roman" w:eastAsia="Times New Roman" w:hAnsi="Times New Roman"/>
                <w:sz w:val="20"/>
                <w:szCs w:val="20"/>
                <w:color w:val="434343"/>
              </w:rPr>
              <w:t>Exhibits, Financial Statement Schedules</w:t>
            </w:r>
          </w:p>
        </w:tc>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w:t>
            </w: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Item 16.</w:t>
            </w:r>
          </w:p>
        </w:tc>
        <w:tc>
          <w:tcPr>
            <w:tcW w:w="3220" w:type="dxa"/>
            <w:vAlign w:val="bottom"/>
            <w:tcBorders>
              <w:top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rPr>
              <w:t>Form 10-K Summary</w:t>
            </w:r>
          </w:p>
        </w:tc>
        <w:tc>
          <w:tcPr>
            <w:tcW w:w="286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w:t>
            </w:r>
          </w:p>
        </w:tc>
      </w:tr>
      <w:tr>
        <w:trPr>
          <w:trHeight w:val="265"/>
        </w:trPr>
        <w:tc>
          <w:tcPr>
            <w:tcW w:w="1000" w:type="dxa"/>
            <w:vAlign w:val="bottom"/>
          </w:tcPr>
          <w:p>
            <w:pPr>
              <w:spacing w:after="0"/>
              <w:rPr>
                <w:sz w:val="23"/>
                <w:szCs w:val="23"/>
                <w:color w:val="auto"/>
              </w:rPr>
            </w:pPr>
          </w:p>
        </w:tc>
        <w:tc>
          <w:tcPr>
            <w:tcW w:w="860" w:type="dxa"/>
            <w:vAlign w:val="bottom"/>
            <w:tcBorders>
              <w:top w:val="single" w:sz="8" w:color="434343"/>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9"/>
              </w:rPr>
              <w:t>Signatures</w:t>
            </w:r>
          </w:p>
        </w:tc>
        <w:tc>
          <w:tcPr>
            <w:tcW w:w="860" w:type="dxa"/>
            <w:vAlign w:val="bottom"/>
            <w:tcBorders>
              <w:top w:val="single" w:sz="8" w:color="434343"/>
            </w:tcBorders>
          </w:tcPr>
          <w:p>
            <w:pPr>
              <w:spacing w:after="0"/>
              <w:rPr>
                <w:sz w:val="23"/>
                <w:szCs w:val="23"/>
                <w:color w:val="auto"/>
              </w:rPr>
            </w:pPr>
          </w:p>
        </w:tc>
        <w:tc>
          <w:tcPr>
            <w:tcW w:w="4360" w:type="dxa"/>
            <w:vAlign w:val="bottom"/>
            <w:gridSpan w:val="2"/>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w:t>
            </w:r>
          </w:p>
        </w:tc>
      </w:tr>
    </w:tbl>
    <w:p>
      <w:pPr>
        <w:sectPr>
          <w:pgSz w:w="11880" w:h="15480" w:orient="portrait"/>
          <w:cols w:equalWidth="0" w:num="1">
            <w:col w:w="10200"/>
          </w:cols>
          <w:pgMar w:left="860" w:top="446" w:right="82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General</w:t>
      </w:r>
    </w:p>
    <w:p>
      <w:pPr>
        <w:spacing w:after="0" w:line="11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1E1E1E"/>
        </w:rPr>
        <w:t>Victoria's Secret &amp; Co. (together with its subsidiaries unless the context otherwise requires, “we”, “us”, “our” or the “Company”) is a specialty retailer of women's intimate and other apparel and beauty products marketed under the Victoria's Secret, Victoria's Secret PINK (“PINK”) and Adore Me brand names. We have approximately 910 stores in the United States (“U.S.”), Canada and China, as well as our own websites, www.VictoriasSecret.com, www.PINK.com and www.AdoreMe.com, and other digital channels worldwide. Additionally, we have more than 460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w:t>
      </w:r>
    </w:p>
    <w:p>
      <w:pPr>
        <w:spacing w:after="0" w:line="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1E1E1E"/>
        </w:rPr>
        <w:t>On December 30, 2022, we completed our acquisition of AdoreMe, Inc. (“Adore Me”), a digitally-native intimates brand. For additional information, see Note 2 to the Consolidated and Combined Financial Statements included in Item 8. Financial Statements and Supplementary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Brands</w:t>
      </w:r>
    </w:p>
    <w:p>
      <w:pPr>
        <w:spacing w:after="0" w:line="11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1E1E1E"/>
        </w:rPr>
        <w:t>Our business operates two market leading intimates and beauty brands, Victoria's Secret and PINK, that share a common purpose of supporting women in all they do, and Adore Me, a technology-led, digital first innovative intimates brand serving women of all sizes and budgets at all phases of life. We offer a range of products including signature bras, panties, lingerie, casual sleepwear, athleisure and swim, as well as prestige fragrances and body care.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Victoria’s Secret</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1E1E1E"/>
        </w:rPr>
        <w:t>The Victoria’s Secret brand offers a wide assortment of modern, fashion-inspired collections including signature bras, panties, lingerie, casual sleepwear, athleisure and swim, as well as prestige fragrances and body care across its global retail locations and its online e-commerce channel. Victoria’s Secret strives to provide the best products to help women express their confidence, sexiness and power, and uses its platform to celebrate the extraordinary diversity of women's experiences.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PINK</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1E1E1E"/>
        </w:rPr>
        <w:t>PINK is a fashion and lifestyle brand for young women providing on trend products including bras, panties, loungewear, knit tops, activewear, accessories and beauty. PINK uses its platform to create connection and community. PINK is sold across North America and internationally at Victoria’s Secret and PINK retail stores and online.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Adore Me</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1E1E1E"/>
        </w:rPr>
        <w:t>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Victoria's Secret &amp; Co. Spin-Off</w:t>
      </w:r>
    </w:p>
    <w:p>
      <w:pPr>
        <w:spacing w:after="0" w:line="11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1E1E1E"/>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On August 2, 2021 (the “Distribution Date”), after the New York Stock Exchange (“NYSE”) market closing, the Separation of the Victoria's Secret business was completed. On August 3, 2021, Victoria's Secret &amp; Co. became an independent, publicly traded company trading on the NYSE under the stock symbol “VSCO.”</w:t>
      </w:r>
    </w:p>
    <w:p>
      <w:pPr>
        <w:spacing w:after="0" w:line="5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1E1E1E"/>
        </w:rPr>
        <w:t>The Separation was achieved through the Former Parent’s distribution (the “Distribution”) of 100% of the shares of our common stock to holders of the Former Parent's common stock as of the close of business on the record date of July 22, 2021. The Former Parent's stockholders of record received one share of our common stock for every three shares of the Former Parent's common stock. In connection with the Separation, we made a cash payment of approximately $976 million to the Former Parent on August 2, 2021 from the issuances of certain debt (discussed in Note 13 to the Consolidated and Combined Financial Statements included in Item 8. Financial Statements and Supplementary Data). The Former Parent retained no ownership interest in us following the Separation.</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w:t>
      </w:r>
    </w:p>
    <w:p>
      <w:pPr>
        <w:sectPr>
          <w:pgSz w:w="11880" w:h="15480" w:orient="portrait"/>
          <w:cols w:equalWidth="0" w:num="1">
            <w:col w:w="10240"/>
          </w:cols>
          <w:pgMar w:left="820" w:top="446" w:right="820" w:bottom="0" w:gutter="0" w:footer="0" w:header="0"/>
          <w:type w:val="continuous"/>
        </w:sectPr>
      </w:pPr>
    </w:p>
    <w:bookmarkStart w:id="5" w:name="page6"/>
    <w:bookmarkEnd w:id="5"/>
    <w:p>
      <w:pPr>
        <w:ind w:left="10" w:right="60"/>
        <w:spacing w:after="0" w:line="258" w:lineRule="auto"/>
        <w:rPr>
          <w:sz w:val="20"/>
          <w:szCs w:val="20"/>
          <w:color w:val="auto"/>
        </w:rPr>
      </w:pPr>
      <w:r>
        <w:rPr>
          <w:rFonts w:ascii="Times New Roman" w:cs="Times New Roman" w:eastAsia="Times New Roman" w:hAnsi="Times New Roman"/>
          <w:sz w:val="20"/>
          <w:szCs w:val="20"/>
          <w:color w:val="1E1E1E"/>
        </w:rPr>
        <w:t>We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to the Consolidated and Combined Financial Statements included in Item 8. Financial Statements and Supplementary Data.</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Joint Venture Partnership</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Victoria's Secret China</w:t>
      </w:r>
    </w:p>
    <w:p>
      <w:pPr>
        <w:spacing w:after="0" w:line="119"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20"/>
          <w:szCs w:val="20"/>
          <w:color w:val="1E1E1E"/>
        </w:rPr>
        <w:t>In April 2022, we entered into a joint venture agreement with Regina Miracle International (Holdings) Limited (“Regina Miracle”), a company listed on the Hong Kong Stock Exchange, to operate Victoria's Secret stores and the related online business in China. Under the terms of the agreement, we own 51% of the joint venture and Regina Miracle owns the remaining 49%. Since we have retained control over the joint venture, the joint venture's assets, liabilities and results of operations continue to be consolidated in our consolidated financial statements. For additional information, see Note 6 to the Consolidated and Combined Financial Statements included in Item 8. Financial Statements and Supplementary Data.</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Fiscal Year</w:t>
      </w:r>
    </w:p>
    <w:p>
      <w:pPr>
        <w:spacing w:after="0" w:line="117"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1E1E1E"/>
        </w:rPr>
        <w:t>Our fiscal year ends on the Saturday nearest to January 31. As used herein, “2023” refers to the fifty-three-week period ended February 3, 2024 and “2022” and “2021” refer to the fifty-two-week periods ended January 28, 2023 and January 29, 2022, respectively.</w:t>
      </w:r>
    </w:p>
    <w:p>
      <w:pPr>
        <w:spacing w:after="0" w:line="55"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1E1E1E"/>
        </w:rPr>
        <w:t>Historically, Adore Me's fiscal year ended on December 31. As a result of our acquisition of Adore Me on December 30, 2022, Adore Me's financial information is included in our consolidated financial statements. Due to the timing and availability of financial information of Adore Me, we consolidate Adore Me's financial information on an approximate one-month reporting lag.</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Real Estate</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Company-operated, China Joint Venture and Adore Me Retail Stores</w:t>
      </w:r>
    </w:p>
    <w:p>
      <w:pPr>
        <w:spacing w:after="0" w:line="119"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1E1E1E"/>
        </w:rPr>
        <w:t>Our company-operated Victoria's Secret and PINK, China joint venture and Adore Me retail stores are located in shopping malls, lifestyle centers and off-mall locations in the U.S., Canada and China. As a result of our strong brands and established retail presence, we have been able to lease high-traffic locations in most retail centers in which we operate.</w:t>
      </w:r>
    </w:p>
    <w:p>
      <w:pPr>
        <w:spacing w:after="0" w:line="55"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number of our company-operated Victoria's Secret and PINK, China joint venture and Adore Me retail stores in operation as of February 3, 2024 and January 28, 2023:</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Borders>
              <w:bottom w:val="single" w:sz="8" w:color="E2E2E2"/>
            </w:tcBorders>
          </w:tcPr>
          <w:p>
            <w:pPr>
              <w:spacing w:after="0"/>
              <w:rPr>
                <w:sz w:val="18"/>
                <w:szCs w:val="18"/>
                <w:color w:val="auto"/>
              </w:rPr>
            </w:pPr>
          </w:p>
        </w:tc>
        <w:tc>
          <w:tcPr>
            <w:tcW w:w="1780" w:type="dxa"/>
            <w:vAlign w:val="bottom"/>
            <w:tcBorders>
              <w:bottom w:val="single" w:sz="8" w:color="E2E2E2"/>
            </w:tcBorders>
          </w:tcPr>
          <w:p>
            <w:pPr>
              <w:spacing w:after="0"/>
              <w:rPr>
                <w:sz w:val="18"/>
                <w:szCs w:val="18"/>
                <w:color w:val="auto"/>
              </w:rPr>
            </w:pPr>
          </w:p>
        </w:tc>
        <w:tc>
          <w:tcPr>
            <w:tcW w:w="40" w:type="dxa"/>
            <w:vAlign w:val="bottom"/>
            <w:tcBorders>
              <w:bottom w:val="single" w:sz="8" w:color="E2E2E2"/>
            </w:tcBorders>
          </w:tcPr>
          <w:p>
            <w:pPr>
              <w:spacing w:after="0"/>
              <w:rPr>
                <w:sz w:val="18"/>
                <w:szCs w:val="18"/>
                <w:color w:val="auto"/>
              </w:rPr>
            </w:pPr>
          </w:p>
        </w:tc>
        <w:tc>
          <w:tcPr>
            <w:tcW w:w="570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February 3, 2024</w:t>
            </w:r>
          </w:p>
        </w:tc>
        <w:tc>
          <w:tcPr>
            <w:tcW w:w="8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January 28, 2023</w:t>
            </w:r>
          </w:p>
        </w:tc>
      </w:tr>
      <w:tr>
        <w:trPr>
          <w:trHeight w:val="255"/>
        </w:trPr>
        <w:tc>
          <w:tcPr>
            <w:tcW w:w="40" w:type="dxa"/>
            <w:vAlign w:val="bottom"/>
            <w:tcBorders>
              <w:bottom w:val="single" w:sz="8" w:color="E2E2E2"/>
            </w:tcBorders>
            <w:shd w:val="clear" w:color="auto" w:fill="E2E2E2"/>
          </w:tcPr>
          <w:p>
            <w:pPr>
              <w:spacing w:after="0"/>
              <w:rPr>
                <w:sz w:val="22"/>
                <w:szCs w:val="22"/>
                <w:color w:val="auto"/>
              </w:rPr>
            </w:pPr>
          </w:p>
        </w:tc>
        <w:tc>
          <w:tcPr>
            <w:tcW w:w="1780" w:type="dxa"/>
            <w:vAlign w:val="bottom"/>
            <w:tcBorders>
              <w:bottom w:val="single" w:sz="8" w:color="1E1E1E"/>
            </w:tcBorders>
            <w:shd w:val="clear" w:color="auto" w:fill="E2E2E2"/>
          </w:tcPr>
          <w:p>
            <w:pPr>
              <w:spacing w:after="0" w:line="219" w:lineRule="exact"/>
              <w:rPr>
                <w:sz w:val="20"/>
                <w:szCs w:val="20"/>
                <w:color w:val="auto"/>
              </w:rPr>
            </w:pPr>
            <w:r>
              <w:rPr>
                <w:rFonts w:ascii="Times New Roman" w:cs="Times New Roman" w:eastAsia="Times New Roman" w:hAnsi="Times New Roman"/>
                <w:sz w:val="20"/>
                <w:szCs w:val="20"/>
                <w:b w:val="1"/>
                <w:bCs w:val="1"/>
                <w:color w:val="1E1E1E"/>
                <w:w w:val="98"/>
              </w:rPr>
              <w:t>Company-Operated:</w:t>
            </w:r>
          </w:p>
        </w:tc>
        <w:tc>
          <w:tcPr>
            <w:tcW w:w="5740" w:type="dxa"/>
            <w:vAlign w:val="bottom"/>
            <w:tcBorders>
              <w:bottom w:val="single" w:sz="8" w:color="E2E2E2"/>
            </w:tcBorders>
            <w:gridSpan w:val="2"/>
            <w:shd w:val="clear" w:color="auto" w:fill="E2E2E2"/>
          </w:tcPr>
          <w:p>
            <w:pPr>
              <w:spacing w:after="0"/>
              <w:rPr>
                <w:sz w:val="22"/>
                <w:szCs w:val="22"/>
                <w:color w:val="auto"/>
              </w:rPr>
            </w:pPr>
          </w:p>
        </w:tc>
        <w:tc>
          <w:tcPr>
            <w:tcW w:w="130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1300" w:type="dxa"/>
            <w:vAlign w:val="bottom"/>
            <w:tcBorders>
              <w:bottom w:val="single" w:sz="8" w:color="E2E2E2"/>
            </w:tcBorders>
            <w:shd w:val="clear" w:color="auto" w:fill="E2E2E2"/>
          </w:tcPr>
          <w:p>
            <w:pPr>
              <w:spacing w:after="0"/>
              <w:rPr>
                <w:sz w:val="22"/>
                <w:szCs w:val="22"/>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812</w:t>
            </w:r>
          </w:p>
        </w:tc>
      </w:tr>
      <w:tr>
        <w:trPr>
          <w:trHeight w:val="282"/>
        </w:trPr>
        <w:tc>
          <w:tcPr>
            <w:tcW w:w="40" w:type="dxa"/>
            <w:vAlign w:val="bottom"/>
            <w:tcBorders>
              <w:bottom w:val="single" w:sz="8" w:color="E2E2E2"/>
            </w:tcBorders>
            <w:shd w:val="clear" w:color="auto" w:fill="E2E2E2"/>
          </w:tcPr>
          <w:p>
            <w:pPr>
              <w:spacing w:after="0"/>
              <w:rPr>
                <w:sz w:val="24"/>
                <w:szCs w:val="24"/>
                <w:color w:val="auto"/>
              </w:rPr>
            </w:pPr>
          </w:p>
        </w:tc>
        <w:tc>
          <w:tcPr>
            <w:tcW w:w="752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Canada</w:t>
            </w:r>
          </w:p>
        </w:tc>
        <w:tc>
          <w:tcPr>
            <w:tcW w:w="13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80" w:type="dxa"/>
            <w:vAlign w:val="bottom"/>
            <w:tcBorders>
              <w:bottom w:val="single" w:sz="8" w:color="E2E2E2"/>
            </w:tcBorders>
            <w:shd w:val="clear" w:color="auto" w:fill="E2E2E2"/>
          </w:tcPr>
          <w:p>
            <w:pPr>
              <w:spacing w:after="0"/>
              <w:rPr>
                <w:sz w:val="24"/>
                <w:szCs w:val="24"/>
                <w:color w:val="auto"/>
              </w:rPr>
            </w:pPr>
          </w:p>
        </w:tc>
        <w:tc>
          <w:tcPr>
            <w:tcW w:w="13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r>
      <w:tr>
        <w:trPr>
          <w:trHeight w:val="268"/>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837</w:t>
            </w:r>
          </w:p>
        </w:tc>
      </w:tr>
      <w:tr>
        <w:trPr>
          <w:trHeight w:val="292"/>
        </w:trPr>
        <w:tc>
          <w:tcPr>
            <w:tcW w:w="40" w:type="dxa"/>
            <w:vAlign w:val="bottom"/>
            <w:shd w:val="clear" w:color="auto" w:fill="E2E2E2"/>
          </w:tcPr>
          <w:p>
            <w:pPr>
              <w:spacing w:after="0"/>
              <w:rPr>
                <w:sz w:val="24"/>
                <w:szCs w:val="24"/>
                <w:color w:val="auto"/>
              </w:rPr>
            </w:pPr>
          </w:p>
        </w:tc>
        <w:tc>
          <w:tcPr>
            <w:tcW w:w="178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5700" w:type="dxa"/>
            <w:vAlign w:val="bottom"/>
            <w:shd w:val="clear" w:color="auto" w:fill="E2E2E2"/>
          </w:tcPr>
          <w:p>
            <w:pPr>
              <w:spacing w:after="0"/>
              <w:rPr>
                <w:sz w:val="24"/>
                <w:szCs w:val="24"/>
                <w:color w:val="auto"/>
              </w:rPr>
            </w:pPr>
          </w:p>
        </w:tc>
        <w:tc>
          <w:tcPr>
            <w:tcW w:w="13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300" w:type="dxa"/>
            <w:vAlign w:val="bottom"/>
            <w:shd w:val="clear" w:color="auto" w:fill="E2E2E2"/>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752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b w:val="1"/>
                <w:bCs w:val="1"/>
                <w:color w:val="1E1E1E"/>
              </w:rPr>
              <w:t>China Joint Venture:</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
        </w:trPr>
        <w:tc>
          <w:tcPr>
            <w:tcW w:w="40" w:type="dxa"/>
            <w:vAlign w:val="bottom"/>
          </w:tcPr>
          <w:p>
            <w:pPr>
              <w:spacing w:after="0"/>
              <w:rPr>
                <w:sz w:val="3"/>
                <w:szCs w:val="3"/>
                <w:color w:val="auto"/>
              </w:rPr>
            </w:pPr>
          </w:p>
        </w:tc>
        <w:tc>
          <w:tcPr>
            <w:tcW w:w="1780" w:type="dxa"/>
            <w:vAlign w:val="bottom"/>
            <w:tcBorders>
              <w:top w:val="single" w:sz="8" w:color="1E1E1E"/>
            </w:tcBorders>
          </w:tcPr>
          <w:p>
            <w:pPr>
              <w:spacing w:after="0"/>
              <w:rPr>
                <w:sz w:val="3"/>
                <w:szCs w:val="3"/>
                <w:color w:val="auto"/>
              </w:rPr>
            </w:pPr>
          </w:p>
        </w:tc>
        <w:tc>
          <w:tcPr>
            <w:tcW w:w="40" w:type="dxa"/>
            <w:vAlign w:val="bottom"/>
            <w:tcBorders>
              <w:top w:val="single" w:sz="8" w:color="1E1E1E"/>
            </w:tcBorders>
          </w:tcPr>
          <w:p>
            <w:pPr>
              <w:spacing w:after="0"/>
              <w:rPr>
                <w:sz w:val="3"/>
                <w:szCs w:val="3"/>
                <w:color w:val="auto"/>
              </w:rPr>
            </w:pPr>
          </w:p>
        </w:tc>
        <w:tc>
          <w:tcPr>
            <w:tcW w:w="57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5"/>
        </w:trPr>
        <w:tc>
          <w:tcPr>
            <w:tcW w:w="40" w:type="dxa"/>
            <w:vAlign w:val="bottom"/>
            <w:shd w:val="clear" w:color="auto" w:fill="E2E2E2"/>
          </w:tcPr>
          <w:p>
            <w:pPr>
              <w:spacing w:after="0"/>
              <w:rPr>
                <w:sz w:val="24"/>
                <w:szCs w:val="24"/>
                <w:color w:val="auto"/>
              </w:rPr>
            </w:pPr>
          </w:p>
        </w:tc>
        <w:tc>
          <w:tcPr>
            <w:tcW w:w="752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Beauty &amp; Accessories (a)</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r>
      <w:tr>
        <w:trPr>
          <w:trHeight w:val="290"/>
        </w:trPr>
        <w:tc>
          <w:tcPr>
            <w:tcW w:w="40" w:type="dxa"/>
            <w:vAlign w:val="bottom"/>
            <w:tcBorders>
              <w:bottom w:val="single" w:sz="8" w:color="E2E2E2"/>
            </w:tcBorders>
          </w:tcPr>
          <w:p>
            <w:pPr>
              <w:spacing w:after="0"/>
              <w:rPr>
                <w:sz w:val="24"/>
                <w:szCs w:val="24"/>
                <w:color w:val="auto"/>
              </w:rPr>
            </w:pPr>
          </w:p>
        </w:tc>
        <w:tc>
          <w:tcPr>
            <w:tcW w:w="752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Full Assortment</w:t>
            </w: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80" w:type="dxa"/>
            <w:vAlign w:val="bottom"/>
            <w:tcBorders>
              <w:bottom w:val="single" w:sz="8" w:color="E2E2E2"/>
            </w:tcBorders>
          </w:tcPr>
          <w:p>
            <w:pPr>
              <w:spacing w:after="0"/>
              <w:rPr>
                <w:sz w:val="24"/>
                <w:szCs w:val="24"/>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r>
      <w:tr>
        <w:trPr>
          <w:trHeight w:val="275"/>
        </w:trPr>
        <w:tc>
          <w:tcPr>
            <w:tcW w:w="40" w:type="dxa"/>
            <w:vAlign w:val="bottom"/>
            <w:shd w:val="clear" w:color="auto" w:fill="E2E2E2"/>
          </w:tcPr>
          <w:p>
            <w:pPr>
              <w:spacing w:after="0"/>
              <w:rPr>
                <w:sz w:val="23"/>
                <w:szCs w:val="23"/>
                <w:color w:val="auto"/>
              </w:rPr>
            </w:pPr>
          </w:p>
        </w:tc>
        <w:tc>
          <w:tcPr>
            <w:tcW w:w="178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5700" w:type="dxa"/>
            <w:vAlign w:val="bottom"/>
            <w:shd w:val="clear" w:color="auto" w:fill="E2E2E2"/>
          </w:tcPr>
          <w:p>
            <w:pPr>
              <w:spacing w:after="0"/>
              <w:rPr>
                <w:sz w:val="23"/>
                <w:szCs w:val="23"/>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r>
      <w:tr>
        <w:trPr>
          <w:trHeight w:val="285"/>
        </w:trPr>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4"/>
        </w:trPr>
        <w:tc>
          <w:tcPr>
            <w:tcW w:w="40" w:type="dxa"/>
            <w:vAlign w:val="bottom"/>
            <w:shd w:val="clear" w:color="auto" w:fill="E2E2E2"/>
          </w:tcPr>
          <w:p>
            <w:pPr>
              <w:spacing w:after="0"/>
              <w:rPr>
                <w:sz w:val="24"/>
                <w:szCs w:val="24"/>
                <w:color w:val="auto"/>
              </w:rPr>
            </w:pPr>
          </w:p>
        </w:tc>
        <w:tc>
          <w:tcPr>
            <w:tcW w:w="752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Adore Me</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26"/>
        </w:trPr>
        <w:tc>
          <w:tcPr>
            <w:tcW w:w="40" w:type="dxa"/>
            <w:vAlign w:val="bottom"/>
            <w:tcBorders>
              <w:top w:val="single" w:sz="8" w:color="E2E2E2"/>
            </w:tcBorders>
          </w:tcPr>
          <w:p>
            <w:pPr>
              <w:spacing w:after="0"/>
              <w:rPr>
                <w:sz w:val="19"/>
                <w:szCs w:val="19"/>
                <w:color w:val="auto"/>
              </w:rPr>
            </w:pPr>
          </w:p>
        </w:tc>
        <w:tc>
          <w:tcPr>
            <w:tcW w:w="7520" w:type="dxa"/>
            <w:vAlign w:val="bottom"/>
            <w:tcBorders>
              <w:top w:val="single" w:sz="8" w:color="E2E2E2"/>
            </w:tcBorders>
            <w:gridSpan w:val="3"/>
          </w:tcPr>
          <w:p>
            <w:pPr>
              <w:spacing w:after="0" w:line="227" w:lineRule="exact"/>
              <w:rPr>
                <w:sz w:val="20"/>
                <w:szCs w:val="20"/>
                <w:color w:val="auto"/>
              </w:rPr>
            </w:pPr>
            <w:r>
              <w:rPr>
                <w:rFonts w:ascii="Times New Roman" w:cs="Times New Roman" w:eastAsia="Times New Roman" w:hAnsi="Times New Roman"/>
                <w:sz w:val="20"/>
                <w:szCs w:val="20"/>
                <w:b w:val="1"/>
                <w:bCs w:val="1"/>
                <w:color w:val="1E1E1E"/>
              </w:rPr>
              <w:t>Total</w:t>
            </w:r>
          </w:p>
        </w:tc>
        <w:tc>
          <w:tcPr>
            <w:tcW w:w="1300" w:type="dxa"/>
            <w:vAlign w:val="bottom"/>
            <w:tcBorders>
              <w:top w:val="single" w:sz="8" w:color="1E1E1E"/>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907</w:t>
            </w:r>
          </w:p>
        </w:tc>
        <w:tc>
          <w:tcPr>
            <w:tcW w:w="80" w:type="dxa"/>
            <w:vAlign w:val="bottom"/>
            <w:tcBorders>
              <w:top w:val="single" w:sz="8" w:color="E2E2E2"/>
            </w:tcBorders>
          </w:tcPr>
          <w:p>
            <w:pPr>
              <w:spacing w:after="0"/>
              <w:rPr>
                <w:sz w:val="19"/>
                <w:szCs w:val="19"/>
                <w:color w:val="auto"/>
              </w:rPr>
            </w:pPr>
          </w:p>
        </w:tc>
        <w:tc>
          <w:tcPr>
            <w:tcW w:w="1300" w:type="dxa"/>
            <w:vAlign w:val="bottom"/>
            <w:tcBorders>
              <w:top w:val="single" w:sz="8" w:color="1E1E1E"/>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915</w:t>
            </w:r>
          </w:p>
        </w:tc>
      </w:tr>
      <w:tr>
        <w:trPr>
          <w:trHeight w:val="20"/>
        </w:trPr>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-2225040</wp:posOffset>
            </wp:positionV>
            <wp:extent cx="174307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extLst>
                        <a:ext uri="{28A0092B-C50C-407E-A947-70E740481C1C}"/>
                      </a:extLst>
                    </a:blip>
                    <a:srcRect/>
                    <a:stretch>
                      <a:fillRect/>
                    </a:stretch>
                  </pic:blipFill>
                  <pic:spPr bwMode="auto">
                    <a:xfrm>
                      <a:off x="0" y="0"/>
                      <a:ext cx="1743075" cy="50800"/>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-1682115</wp:posOffset>
            </wp:positionV>
            <wp:extent cx="9017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-767715</wp:posOffset>
            </wp:positionV>
            <wp:extent cx="9017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-224790</wp:posOffset>
            </wp:positionV>
            <wp:extent cx="9017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extLst>
                    </a:blip>
                    <a:srcRect/>
                    <a:stretch>
                      <a:fillRect/>
                    </a:stretch>
                  </pic:blipFill>
                  <pic:spPr bwMode="auto">
                    <a:xfrm>
                      <a:off x="0" y="0"/>
                      <a:ext cx="90170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1E1E1E"/>
        </w:rPr>
        <w:t>_______________</w:t>
      </w:r>
    </w:p>
    <w:p>
      <w:pPr>
        <w:spacing w:after="0" w:line="30" w:lineRule="exact"/>
        <w:rPr>
          <w:sz w:val="20"/>
          <w:szCs w:val="20"/>
          <w:color w:val="auto"/>
        </w:rPr>
      </w:pPr>
    </w:p>
    <w:p>
      <w:pPr>
        <w:ind w:left="730" w:hanging="730"/>
        <w:spacing w:after="0"/>
        <w:tabs>
          <w:tab w:leader="none" w:pos="730"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Includes thirteen partner-operated stores.</w:t>
      </w:r>
    </w:p>
    <w:p>
      <w:pPr>
        <w:sectPr>
          <w:pgSz w:w="11880" w:h="15480" w:orient="portrait"/>
          <w:cols w:equalWidth="0" w:num="1">
            <w:col w:w="10250"/>
          </w:cols>
          <w:pgMar w:left="81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250"/>
          </w:cols>
          <w:pgMar w:left="810" w:top="453" w:right="820" w:bottom="0" w:gutter="0" w:footer="0" w:header="0"/>
          <w:type w:val="continuous"/>
        </w:sectPr>
      </w:pPr>
    </w:p>
    <w:bookmarkStart w:id="6" w:name="page7"/>
    <w:bookmarkEnd w:id="6"/>
    <w:p>
      <w:pPr>
        <w:ind w:left="10" w:right="52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changes in the number of our company-operated Victoria's Secret and PINK, China joint venture and Adore Me retail stores operated for the past three fiscal years: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1E1E1E"/>
              </w:rPr>
              <w:t>Beginning</w:t>
            </w:r>
          </w:p>
        </w:tc>
        <w:tc>
          <w:tcPr>
            <w:tcW w:w="8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Opened</w:t>
            </w:r>
          </w:p>
        </w:tc>
        <w:tc>
          <w:tcPr>
            <w:tcW w:w="80" w:type="dxa"/>
            <w:vAlign w:val="bottom"/>
          </w:tcPr>
          <w:p>
            <w:pPr>
              <w:spacing w:after="0"/>
              <w:rPr>
                <w:sz w:val="16"/>
                <w:szCs w:val="16"/>
                <w:color w:val="auto"/>
              </w:rPr>
            </w:pPr>
          </w:p>
        </w:tc>
        <w:tc>
          <w:tcPr>
            <w:tcW w:w="96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Closed</w:t>
            </w:r>
          </w:p>
        </w:tc>
        <w:tc>
          <w:tcPr>
            <w:tcW w:w="80" w:type="dxa"/>
            <w:vAlign w:val="bottom"/>
          </w:tcPr>
          <w:p>
            <w:pPr>
              <w:spacing w:after="0"/>
              <w:rPr>
                <w:sz w:val="16"/>
                <w:szCs w:val="16"/>
                <w:color w:val="auto"/>
              </w:rPr>
            </w:pPr>
          </w:p>
        </w:tc>
        <w:tc>
          <w:tcPr>
            <w:tcW w:w="1120" w:type="dxa"/>
            <w:vAlign w:val="bottom"/>
            <w:vMerge w:val="restart"/>
          </w:tcPr>
          <w:p>
            <w:pPr>
              <w:jc w:val="right"/>
              <w:ind w:right="47"/>
              <w:spacing w:after="0"/>
              <w:rPr>
                <w:sz w:val="20"/>
                <w:szCs w:val="20"/>
                <w:color w:val="auto"/>
              </w:rPr>
            </w:pPr>
            <w:r>
              <w:rPr>
                <w:rFonts w:ascii="Times New Roman" w:cs="Times New Roman" w:eastAsia="Times New Roman" w:hAnsi="Times New Roman"/>
                <w:sz w:val="16"/>
                <w:szCs w:val="16"/>
                <w:b w:val="1"/>
                <w:bCs w:val="1"/>
                <w:color w:val="1E1E1E"/>
              </w:rPr>
              <w:t>Acquired (a)</w:t>
            </w:r>
          </w:p>
        </w:tc>
        <w:tc>
          <w:tcPr>
            <w:tcW w:w="60" w:type="dxa"/>
            <w:vAlign w:val="bottom"/>
          </w:tcPr>
          <w:p>
            <w:pPr>
              <w:spacing w:after="0"/>
              <w:rPr>
                <w:sz w:val="16"/>
                <w:szCs w:val="16"/>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1E1E1E"/>
              </w:rPr>
              <w:t>Reclassed to</w:t>
            </w:r>
          </w:p>
        </w:tc>
        <w:tc>
          <w:tcPr>
            <w:tcW w:w="80" w:type="dxa"/>
            <w:vAlign w:val="bottom"/>
          </w:tcPr>
          <w:p>
            <w:pPr>
              <w:spacing w:after="0"/>
              <w:rPr>
                <w:sz w:val="16"/>
                <w:szCs w:val="16"/>
                <w:color w:val="auto"/>
              </w:rPr>
            </w:pPr>
          </w:p>
        </w:tc>
        <w:tc>
          <w:tcPr>
            <w:tcW w:w="11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End of Year</w:t>
            </w:r>
          </w:p>
        </w:tc>
        <w:tc>
          <w:tcPr>
            <w:tcW w:w="0" w:type="dxa"/>
            <w:vAlign w:val="bottom"/>
          </w:tcPr>
          <w:p>
            <w:pPr>
              <w:spacing w:after="0"/>
              <w:rPr>
                <w:sz w:val="1"/>
                <w:szCs w:val="1"/>
                <w:color w:val="auto"/>
              </w:rPr>
            </w:pPr>
          </w:p>
        </w:tc>
      </w:tr>
      <w:tr>
        <w:trPr>
          <w:trHeight w:val="214"/>
        </w:trPr>
        <w:tc>
          <w:tcPr>
            <w:tcW w:w="3220" w:type="dxa"/>
            <w:vAlign w:val="bottom"/>
            <w:tcBorders>
              <w:bottom w:val="single" w:sz="8" w:color="E2E2E2"/>
            </w:tcBorders>
          </w:tcPr>
          <w:p>
            <w:pPr>
              <w:spacing w:after="0"/>
              <w:rPr>
                <w:sz w:val="18"/>
                <w:szCs w:val="18"/>
                <w:color w:val="auto"/>
              </w:rPr>
            </w:pPr>
          </w:p>
        </w:tc>
        <w:tc>
          <w:tcPr>
            <w:tcW w:w="1120" w:type="dxa"/>
            <w:vAlign w:val="bottom"/>
            <w:tcBorders>
              <w:bottom w:val="single" w:sz="8" w:color="1E1E1E"/>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1E1E1E"/>
              </w:rPr>
              <w:t>of Year</w:t>
            </w:r>
          </w:p>
        </w:tc>
        <w:tc>
          <w:tcPr>
            <w:tcW w:w="80" w:type="dxa"/>
            <w:vAlign w:val="bottom"/>
            <w:tcBorders>
              <w:bottom w:val="single" w:sz="8" w:color="E2E2E2"/>
            </w:tcBorders>
          </w:tcPr>
          <w:p>
            <w:pPr>
              <w:spacing w:after="0"/>
              <w:rPr>
                <w:sz w:val="18"/>
                <w:szCs w:val="18"/>
                <w:color w:val="auto"/>
              </w:rPr>
            </w:pPr>
          </w:p>
        </w:tc>
        <w:tc>
          <w:tcPr>
            <w:tcW w:w="1020" w:type="dxa"/>
            <w:vAlign w:val="bottom"/>
            <w:tcBorders>
              <w:bottom w:val="single" w:sz="8" w:color="1E1E1E"/>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960" w:type="dxa"/>
            <w:vAlign w:val="bottom"/>
            <w:tcBorders>
              <w:bottom w:val="single" w:sz="8" w:color="1E1E1E"/>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1120" w:type="dxa"/>
            <w:vAlign w:val="bottom"/>
            <w:tcBorders>
              <w:bottom w:val="single" w:sz="8" w:color="1E1E1E"/>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Joint Venture (b)</w:t>
            </w:r>
          </w:p>
        </w:tc>
        <w:tc>
          <w:tcPr>
            <w:tcW w:w="80" w:type="dxa"/>
            <w:vAlign w:val="bottom"/>
            <w:tcBorders>
              <w:bottom w:val="single" w:sz="8" w:color="E2E2E2"/>
            </w:tcBorders>
          </w:tcPr>
          <w:p>
            <w:pPr>
              <w:spacing w:after="0"/>
              <w:rPr>
                <w:sz w:val="18"/>
                <w:szCs w:val="18"/>
                <w:color w:val="auto"/>
              </w:rPr>
            </w:pPr>
          </w:p>
        </w:tc>
        <w:tc>
          <w:tcPr>
            <w:tcW w:w="1140" w:type="dxa"/>
            <w:vAlign w:val="bottom"/>
            <w:tcBorders>
              <w:bottom w:val="single" w:sz="8" w:color="1E1E1E"/>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2023 (c)</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915</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10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8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907</w:t>
            </w:r>
          </w:p>
        </w:tc>
        <w:tc>
          <w:tcPr>
            <w:tcW w:w="0" w:type="dxa"/>
            <w:vAlign w:val="bottom"/>
          </w:tcPr>
          <w:p>
            <w:pPr>
              <w:spacing w:after="0"/>
              <w:rPr>
                <w:sz w:val="1"/>
                <w:szCs w:val="1"/>
                <w:color w:val="auto"/>
              </w:rPr>
            </w:pPr>
          </w:p>
        </w:tc>
      </w:tr>
      <w:tr>
        <w:trPr>
          <w:trHeight w:val="278"/>
        </w:trPr>
        <w:tc>
          <w:tcPr>
            <w:tcW w:w="3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2022 (c)</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120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E1E1E"/>
              </w:rPr>
              <w:t>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915</w:t>
            </w:r>
          </w:p>
        </w:tc>
        <w:tc>
          <w:tcPr>
            <w:tcW w:w="0" w:type="dxa"/>
            <w:vAlign w:val="bottom"/>
          </w:tcPr>
          <w:p>
            <w:pPr>
              <w:spacing w:after="0"/>
              <w:rPr>
                <w:sz w:val="1"/>
                <w:szCs w:val="1"/>
                <w:color w:val="auto"/>
              </w:rPr>
            </w:pPr>
          </w:p>
        </w:tc>
      </w:tr>
      <w:tr>
        <w:trPr>
          <w:trHeight w:val="292"/>
        </w:trPr>
        <w:tc>
          <w:tcPr>
            <w:tcW w:w="3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2021</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933</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0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8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899</w:t>
            </w:r>
          </w:p>
        </w:tc>
        <w:tc>
          <w:tcPr>
            <w:tcW w:w="0" w:type="dxa"/>
            <w:vAlign w:val="bottom"/>
          </w:tcPr>
          <w:p>
            <w:pPr>
              <w:spacing w:after="0"/>
              <w:rPr>
                <w:sz w:val="1"/>
                <w:szCs w:val="1"/>
                <w:color w:val="auto"/>
              </w:rPr>
            </w:pPr>
          </w:p>
        </w:tc>
      </w:tr>
      <w:tr>
        <w:trPr>
          <w:trHeight w:val="299"/>
        </w:trPr>
        <w:tc>
          <w:tcPr>
            <w:tcW w:w="3220" w:type="dxa"/>
            <w:vAlign w:val="bottom"/>
          </w:tcPr>
          <w:p>
            <w:pPr>
              <w:jc w:val="right"/>
              <w:ind w:right="1620"/>
              <w:spacing w:after="0"/>
              <w:rPr>
                <w:sz w:val="20"/>
                <w:szCs w:val="20"/>
                <w:color w:val="auto"/>
              </w:rPr>
            </w:pPr>
            <w:r>
              <w:rPr>
                <w:rFonts w:ascii="Times New Roman" w:cs="Times New Roman" w:eastAsia="Times New Roman" w:hAnsi="Times New Roman"/>
                <w:sz w:val="20"/>
                <w:szCs w:val="20"/>
                <w:color w:val="1E1E1E"/>
                <w:w w:val="98"/>
              </w:rPr>
              <w:t>_______________</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-767080</wp:posOffset>
            </wp:positionV>
            <wp:extent cx="375602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extLst>
                        <a:ext uri="{28A0092B-C50C-407E-A947-70E740481C1C}"/>
                      </a:extLst>
                    </a:blip>
                    <a:srcRect/>
                    <a:stretch>
                      <a:fillRect/>
                    </a:stretch>
                  </pic:blipFill>
                  <pic:spPr bwMode="auto">
                    <a:xfrm>
                      <a:off x="0" y="0"/>
                      <a:ext cx="3756025" cy="50800"/>
                    </a:xfrm>
                    <a:prstGeom prst="rect">
                      <a:avLst/>
                    </a:prstGeom>
                    <a:noFill/>
                  </pic:spPr>
                </pic:pic>
              </a:graphicData>
            </a:graphic>
          </wp:anchor>
        </w:drawing>
      </w:r>
    </w:p>
    <w:p>
      <w:pPr>
        <w:ind w:left="730" w:right="760" w:hanging="730"/>
        <w:spacing w:after="0" w:line="250" w:lineRule="auto"/>
        <w:tabs>
          <w:tab w:leader="none" w:pos="73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Relates to acquisition of Adore Me. For additional information, see Note 2 to the Consolidated and Combined Financial Statements included in Item 8. Financial Statements and Supplementary Data.</w:t>
      </w:r>
    </w:p>
    <w:p>
      <w:pPr>
        <w:ind w:left="730" w:right="80" w:hanging="730"/>
        <w:spacing w:after="0" w:line="250" w:lineRule="auto"/>
        <w:tabs>
          <w:tab w:leader="none" w:pos="73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Relates to the China joint venture with Regina Miracle. For additional information, see Note 6 to the Consolidated and Combined Financial Statements included in Item 8. Financial Statements and Supplementary Data.</w:t>
      </w:r>
    </w:p>
    <w:p>
      <w:pPr>
        <w:ind w:left="730" w:hanging="730"/>
        <w:spacing w:after="0"/>
        <w:tabs>
          <w:tab w:leader="none" w:pos="73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Includes thirteen partner-operated China joint venture stores.</w:t>
      </w:r>
    </w:p>
    <w:p>
      <w:pPr>
        <w:spacing w:after="0" w:line="1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Franchise, License and Wholesale Arrangements</w:t>
      </w:r>
    </w:p>
    <w:p>
      <w:pPr>
        <w:spacing w:after="0" w:line="119"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1E1E1E"/>
        </w:rPr>
        <w:t>In addition to our company-operated stores, our products are sold at hundreds of partner locations and on partner websites in nearly 70 countries. We are focused on ensuring our partners have the commitment and capability to provide a quality customer experience and to grow our brands internationally.</w:t>
      </w:r>
    </w:p>
    <w:p>
      <w:pPr>
        <w:spacing w:after="0" w:line="55"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1E1E1E"/>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 out stores and/or develop websites, fund the operations of the business, and over the longer term, reinvest in the business. Our partners are also responsible for the day-to-day operations of the business, and must do so in accordance with our policies and standards, which are focused on ensuring a consistent customer experience around the world. Such arrangements can typically be terminated, upon delivery of notice, in the event of any breach of representations or warranties.</w:t>
      </w:r>
    </w:p>
    <w:p>
      <w:pPr>
        <w:spacing w:after="0" w:line="73"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1E1E1E"/>
        </w:rPr>
        <w:t>Our franchise and license arrangements with our partners typically have an initial term of five to ten years, with an option to renew, subject to customary conditions. Revenue recognized under franchise and license arrangements generally consists of royalties earned and recognized upon sale of merchandise by franchise and license partners to retail customers, typically based on a percentage of sales. Royalty rates, which are generally low-double digits to low-teens, vary based on store format, local business conditions and various other factors.</w:t>
      </w:r>
    </w:p>
    <w:p>
      <w:pPr>
        <w:spacing w:after="0" w:line="64" w:lineRule="exact"/>
        <w:rPr>
          <w:sz w:val="20"/>
          <w:szCs w:val="20"/>
          <w:color w:val="auto"/>
        </w:rPr>
      </w:pPr>
    </w:p>
    <w:p>
      <w:pPr>
        <w:jc w:val="both"/>
        <w:ind w:left="10" w:right="300"/>
        <w:spacing w:after="0" w:line="286" w:lineRule="auto"/>
        <w:rPr>
          <w:sz w:val="20"/>
          <w:szCs w:val="20"/>
          <w:color w:val="auto"/>
        </w:rPr>
      </w:pPr>
      <w:r>
        <w:rPr>
          <w:rFonts w:ascii="Times New Roman" w:cs="Times New Roman" w:eastAsia="Times New Roman" w:hAnsi="Times New Roman"/>
          <w:sz w:val="19"/>
          <w:szCs w:val="19"/>
          <w:color w:val="1E1E1E"/>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the title passes to the partner.</w:t>
      </w:r>
    </w:p>
    <w:p>
      <w:pPr>
        <w:spacing w:after="0" w:line="39"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number of our international stores operated by our partners by store type as of February 3, 2024 and January 28, 2023:</w:t>
      </w:r>
    </w:p>
    <w:p>
      <w:pPr>
        <w:sectPr>
          <w:pgSz w:w="11880" w:h="15480" w:orient="portrait"/>
          <w:cols w:equalWidth="0" w:num="1">
            <w:col w:w="10270"/>
          </w:cols>
          <w:pgMar w:left="810" w:top="453" w:right="800" w:bottom="0" w:gutter="0" w:footer="0" w:header="0"/>
        </w:sectPr>
      </w:pPr>
    </w:p>
    <w:p>
      <w:pPr>
        <w:spacing w:after="0" w:line="3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1E1E1E"/>
        </w:rPr>
        <w:t>Beauty and Accessories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530975" cy="206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1E1E1E"/>
        </w:rPr>
        <w:t>Full Assortment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530975" cy="244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extLst>
                        <a:ext uri="{28A0092B-C50C-407E-A947-70E740481C1C}"/>
                      </a:extLst>
                    </a:blip>
                    <a:srcRect/>
                    <a:stretch>
                      <a:fillRect/>
                    </a:stretch>
                  </pic:blipFill>
                  <pic:spPr bwMode="auto">
                    <a:xfrm>
                      <a:off x="0" y="0"/>
                      <a:ext cx="6530975" cy="244475"/>
                    </a:xfrm>
                    <a:prstGeom prst="rect">
                      <a:avLst/>
                    </a:prstGeom>
                    <a:noFill/>
                  </pic:spPr>
                </pic:pic>
              </a:graphicData>
            </a:graphic>
          </wp:anchor>
        </w:drawing>
      </w:r>
    </w:p>
    <w:p>
      <w:pPr>
        <w:spacing w:after="0" w:line="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1E1E1E"/>
        </w:rPr>
        <w:t>Total</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_______________</w:t>
      </w:r>
    </w:p>
    <w:p>
      <w:pPr>
        <w:spacing w:after="0" w:line="30" w:lineRule="exact"/>
        <w:rPr>
          <w:sz w:val="20"/>
          <w:szCs w:val="20"/>
          <w:color w:val="auto"/>
        </w:rPr>
      </w:pPr>
    </w:p>
    <w:p>
      <w:pPr>
        <w:ind w:left="730" w:hanging="730"/>
        <w:spacing w:after="0"/>
        <w:tabs>
          <w:tab w:leader="none" w:pos="730" w:val="left"/>
        </w:tabs>
        <w:numPr>
          <w:ilvl w:val="0"/>
          <w:numId w:val="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Does not include the thirteen partner-operated China joint venture stores.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6"/>
          <w:szCs w:val="16"/>
          <w:b w:val="1"/>
          <w:bCs w:val="1"/>
          <w:u w:val="single" w:color="auto"/>
          <w:color w:val="1E1E1E"/>
        </w:rPr>
        <w:t>February 3, 2024</w:t>
      </w:r>
      <w:r>
        <w:rPr>
          <w:sz w:val="20"/>
          <w:szCs w:val="20"/>
          <w:color w:val="auto"/>
        </w:rPr>
        <w:tab/>
      </w:r>
      <w:r>
        <w:rPr>
          <w:rFonts w:ascii="Times New Roman" w:cs="Times New Roman" w:eastAsia="Times New Roman" w:hAnsi="Times New Roman"/>
          <w:sz w:val="15"/>
          <w:szCs w:val="15"/>
          <w:b w:val="1"/>
          <w:bCs w:val="1"/>
          <w:color w:val="1E1E1E"/>
        </w:rPr>
        <w:t>January 28, 2023</w:t>
      </w:r>
    </w:p>
    <w:p>
      <w:pPr>
        <w:spacing w:after="0" w:line="55" w:lineRule="exact"/>
        <w:rPr>
          <w:sz w:val="20"/>
          <w:szCs w:val="20"/>
          <w:color w:val="auto"/>
        </w:rPr>
      </w:pPr>
    </w:p>
    <w:p>
      <w:pPr>
        <w:ind w:left="860"/>
        <w:spacing w:after="0"/>
        <w:tabs>
          <w:tab w:leader="none" w:pos="2220" w:val="left"/>
        </w:tabs>
        <w:rPr>
          <w:sz w:val="20"/>
          <w:szCs w:val="20"/>
          <w:color w:val="auto"/>
        </w:rPr>
      </w:pPr>
      <w:r>
        <w:rPr>
          <w:rFonts w:ascii="Times New Roman" w:cs="Times New Roman" w:eastAsia="Times New Roman" w:hAnsi="Times New Roman"/>
          <w:sz w:val="20"/>
          <w:szCs w:val="20"/>
          <w:color w:val="1E1E1E"/>
        </w:rPr>
        <w:t>307</w:t>
      </w:r>
      <w:r>
        <w:rPr>
          <w:sz w:val="20"/>
          <w:szCs w:val="20"/>
          <w:color w:val="auto"/>
        </w:rPr>
        <w:tab/>
      </w:r>
      <w:r>
        <w:rPr>
          <w:rFonts w:ascii="Times New Roman" w:cs="Times New Roman" w:eastAsia="Times New Roman" w:hAnsi="Times New Roman"/>
          <w:sz w:val="20"/>
          <w:szCs w:val="20"/>
          <w:color w:val="1E1E1E"/>
        </w:rPr>
        <w:t>308</w:t>
      </w:r>
    </w:p>
    <w:p>
      <w:pPr>
        <w:spacing w:after="0" w:line="55" w:lineRule="exact"/>
        <w:rPr>
          <w:sz w:val="20"/>
          <w:szCs w:val="20"/>
          <w:color w:val="auto"/>
        </w:rPr>
      </w:pPr>
    </w:p>
    <w:p>
      <w:pPr>
        <w:ind w:left="2240" w:hanging="1387"/>
        <w:spacing w:after="0"/>
        <w:tabs>
          <w:tab w:leader="none" w:pos="224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135</w:t>
      </w:r>
    </w:p>
    <w:p>
      <w:pPr>
        <w:spacing w:after="0" w:line="51" w:lineRule="exact"/>
        <w:rPr>
          <w:rFonts w:ascii="Times New Roman" w:cs="Times New Roman" w:eastAsia="Times New Roman" w:hAnsi="Times New Roman"/>
          <w:sz w:val="20"/>
          <w:szCs w:val="20"/>
          <w:color w:val="1E1E1E"/>
        </w:rPr>
      </w:pPr>
    </w:p>
    <w:p>
      <w:pPr>
        <w:ind w:left="2240" w:hanging="1387"/>
        <w:spacing w:after="0"/>
        <w:tabs>
          <w:tab w:leader="none" w:pos="2240" w:val="left"/>
        </w:tabs>
        <w:numPr>
          <w:ilvl w:val="0"/>
          <w:numId w:val="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443</w:t>
      </w:r>
    </w:p>
    <w:p>
      <w:pPr>
        <w:spacing w:after="0" w:line="764" w:lineRule="exact"/>
        <w:rPr>
          <w:sz w:val="20"/>
          <w:szCs w:val="20"/>
          <w:color w:val="auto"/>
        </w:rPr>
      </w:pPr>
    </w:p>
    <w:p>
      <w:pPr>
        <w:sectPr>
          <w:pgSz w:w="11880" w:h="15480" w:orient="portrait"/>
          <w:cols w:equalWidth="0" w:num="2">
            <w:col w:w="6910" w:space="720"/>
            <w:col w:w="2640"/>
          </w:cols>
          <w:pgMar w:left="810" w:top="45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270"/>
          </w:cols>
          <w:pgMar w:left="810" w:top="453" w:right="80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1E1E1E"/>
        </w:rPr>
        <w:t>Our Competitive Strengths</w:t>
      </w:r>
    </w:p>
    <w:p>
      <w:pPr>
        <w:spacing w:after="0" w:line="1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1E1E1E"/>
        </w:rPr>
        <w:t>We believe the following competitive strengths contribute to our leading market position, differentiate us from our competitors and will drive future growth: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Two Market Leading Brands with Global Brand Awareness and Resonance</w:t>
      </w:r>
    </w:p>
    <w:p>
      <w:pPr>
        <w:spacing w:after="0" w:line="11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1E1E1E"/>
        </w:rPr>
        <w:t>Our Victoria's Secret and PINK brands have a strong global presence and awareness among consumers, which we believe provides us with a competitive advantage. Adore Me, a technology-led, digital first innovative intimates brand is focused on transforming the way customers shop with a pioneering home try-on commerce service and a series of innovation-driven products. While our history runs deep as a dominant player in intimates, our brands also provide compelling offerings in fragrance, beauty, apparel, loungewear, sleepwear, athletic attire and swimwear. We believe our actions to evolve our positioning and promote inclusivity and diversity will allow us to attract new customers while also deepening our connection with existing ones. The Victoria’s Secret Global Fund for Women’s Cancers funds innovative research projects aimed at progressing treatments and cures for women’s cancers and investing in the next generation of women scientists who represent the diverse populations they serve. We are guided by our vision to celebrate and support women in all we do and provide the best products to help women express their confidence, sexiness and power.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Global Scale at Retail</w:t>
      </w:r>
    </w:p>
    <w:p>
      <w:pPr>
        <w:spacing w:after="0" w:line="1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1E1E1E"/>
        </w:rPr>
        <w:t>We believe we have significant scale and strength in reaching our consumer base in the United States and around the world. We interact with our customers through three powerful distribution channels:</w:t>
      </w:r>
    </w:p>
    <w:p>
      <w:pPr>
        <w:spacing w:after="0" w:line="35" w:lineRule="exact"/>
        <w:rPr>
          <w:sz w:val="20"/>
          <w:szCs w:val="20"/>
          <w:color w:val="auto"/>
        </w:rPr>
      </w:pPr>
    </w:p>
    <w:p>
      <w:pPr>
        <w:ind w:left="720" w:right="140" w:hanging="370"/>
        <w:spacing w:after="0" w:line="263" w:lineRule="auto"/>
        <w:tabs>
          <w:tab w:leader="none" w:pos="720" w:val="left"/>
        </w:tabs>
        <w:numPr>
          <w:ilvl w:val="0"/>
          <w:numId w:val="8"/>
        </w:numPr>
        <w:rPr>
          <w:rFonts w:ascii="Times New Roman" w:cs="Times New Roman" w:eastAsia="Times New Roman" w:hAnsi="Times New Roman"/>
          <w:sz w:val="20"/>
          <w:szCs w:val="20"/>
          <w:b w:val="1"/>
          <w:bCs w:val="1"/>
          <w:i w:val="1"/>
          <w:iCs w:val="1"/>
          <w:color w:val="1E1E1E"/>
        </w:rPr>
      </w:pPr>
      <w:r>
        <w:rPr>
          <w:rFonts w:ascii="Times New Roman" w:cs="Times New Roman" w:eastAsia="Times New Roman" w:hAnsi="Times New Roman"/>
          <w:sz w:val="20"/>
          <w:szCs w:val="20"/>
          <w:b w:val="1"/>
          <w:bCs w:val="1"/>
          <w:i w:val="1"/>
          <w:iCs w:val="1"/>
          <w:color w:val="1E1E1E"/>
        </w:rPr>
        <w:t xml:space="preserve">Digital. </w:t>
      </w:r>
      <w:r>
        <w:rPr>
          <w:rFonts w:ascii="Times New Roman" w:cs="Times New Roman" w:eastAsia="Times New Roman" w:hAnsi="Times New Roman"/>
          <w:sz w:val="20"/>
          <w:szCs w:val="20"/>
          <w:color w:val="1E1E1E"/>
        </w:rPr>
        <w:t>Our digital business allows for an interconnected customer experience across our brands and platforms. We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seek to deliver a differentiated digital experience through seamless and personalized touchpoints. Importantly, we are focused on developing our social media platforms and websites, applications with personalized digital marketing campaigns, advanced omni-channel offerings and improved store and website inventory connectivity.</w:t>
      </w:r>
    </w:p>
    <w:p>
      <w:pPr>
        <w:spacing w:after="0" w:line="51" w:lineRule="exact"/>
        <w:rPr>
          <w:rFonts w:ascii="Times New Roman" w:cs="Times New Roman" w:eastAsia="Times New Roman" w:hAnsi="Times New Roman"/>
          <w:sz w:val="20"/>
          <w:szCs w:val="20"/>
          <w:b w:val="1"/>
          <w:bCs w:val="1"/>
          <w:i w:val="1"/>
          <w:iCs w:val="1"/>
          <w:color w:val="1E1E1E"/>
        </w:rPr>
      </w:pPr>
    </w:p>
    <w:p>
      <w:pPr>
        <w:ind w:left="720" w:hanging="370"/>
        <w:spacing w:after="0" w:line="259" w:lineRule="auto"/>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North American Stores. </w:t>
      </w:r>
      <w:r>
        <w:rPr>
          <w:rFonts w:ascii="Times New Roman" w:cs="Times New Roman" w:eastAsia="Times New Roman" w:hAnsi="Times New Roman"/>
          <w:sz w:val="20"/>
          <w:szCs w:val="20"/>
          <w:color w:val="1E1E1E"/>
        </w:rPr>
        <w:t>Our retail footprint in North America spans the U.S. and Canada with 837 stores, representing</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 combined 5.8 million square feet of selling space as of the end of 2023. Our North America stores channel creates an immersive environment for customers to experience our brands and try new products. Our sales associates and store managers are central in creating an engaging and compelling store experience by providing a high level of customer service.</w:t>
      </w:r>
    </w:p>
    <w:p>
      <w:pPr>
        <w:spacing w:after="0" w:line="59" w:lineRule="exact"/>
        <w:rPr>
          <w:rFonts w:ascii="Times New Roman" w:cs="Times New Roman" w:eastAsia="Times New Roman" w:hAnsi="Times New Roman"/>
          <w:sz w:val="20"/>
          <w:szCs w:val="20"/>
          <w:color w:val="1E1E1E"/>
        </w:rPr>
      </w:pPr>
    </w:p>
    <w:p>
      <w:pPr>
        <w:ind w:left="720" w:right="120" w:hanging="370"/>
        <w:spacing w:after="0" w:line="258" w:lineRule="auto"/>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i w:val="1"/>
          <w:iCs w:val="1"/>
          <w:color w:val="1E1E1E"/>
        </w:rPr>
        <w:t xml:space="preserve">International. </w:t>
      </w:r>
      <w:r>
        <w:rPr>
          <w:rFonts w:ascii="Times New Roman" w:cs="Times New Roman" w:eastAsia="Times New Roman" w:hAnsi="Times New Roman"/>
          <w:sz w:val="20"/>
          <w:szCs w:val="20"/>
          <w:color w:val="1E1E1E"/>
        </w:rPr>
        <w:t>We have a significant international footprint with 533 international stores and 50 international digital</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sites as of the end of 2023. We believe we have meaningful opportunity to grow our international business through new beauty and accessories and full assortment stores, new digital sites and new geographies. Our beauty and accessories stores represent smaller footprint stores including stores in airports and other travel retail locations, which enable significant global exposure. Our international stores span the Americas, Europe, Asia, Africa and the Middle East, in addition to the strong digital component of our international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Agile and Highly Responsive Supply Chain and Sourcing Capabilities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1E1E1E"/>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 to market, quality and cost efficiency.</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We leverage the speed that we have in our supply chain, our close partnerships with suppliers and the capabilities of our sourcing, production and logistics teams to actively manage our inventory and adjust for channel shifts across our business. We focus on speed to market, allowing us to read and react to customer preferences. The agility within our supply chain provides us with flexibility to quickly re-order strong selling products as we seek to maximize our sales and merchandise margin rate opportunities.</w:t>
      </w:r>
    </w:p>
    <w:p>
      <w:pPr>
        <w:spacing w:after="0" w:line="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Our strong relationships with our suppliers have allowed us to manufacture our products with cost efficiency without sacrificing quality. Our global supply base and flexibility are key competitive advantages and allow us to provide a broad product range, innovation and assortment to our customers.</w:t>
      </w:r>
    </w:p>
    <w:p>
      <w:pPr>
        <w:spacing w:after="0" w:line="5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1E1E1E"/>
        </w:rPr>
        <w:t>We remain focused on maximizing our relationships with our supplier partners and our sourcing and logistics capabilities to help mitigate supply chain challenges, cost pressures on our business and to continuously enhance our speed to market capabilities.</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240"/>
          </w:cols>
          <w:pgMar w:left="820" w:top="446" w:right="82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1E1E1E"/>
        </w:rPr>
        <w:t>Highly-Talented Management Team with Deep Industry Experience</w:t>
      </w:r>
    </w:p>
    <w:p>
      <w:pPr>
        <w:spacing w:after="0" w:line="119" w:lineRule="exact"/>
        <w:rPr>
          <w:sz w:val="20"/>
          <w:szCs w:val="20"/>
          <w:color w:val="auto"/>
        </w:rPr>
      </w:pPr>
    </w:p>
    <w:p>
      <w:pPr>
        <w:ind w:right="680"/>
        <w:spacing w:after="0" w:line="309" w:lineRule="auto"/>
        <w:rPr>
          <w:sz w:val="20"/>
          <w:szCs w:val="20"/>
          <w:color w:val="auto"/>
        </w:rPr>
      </w:pPr>
      <w:r>
        <w:rPr>
          <w:rFonts w:ascii="Times New Roman" w:cs="Times New Roman" w:eastAsia="Times New Roman" w:hAnsi="Times New Roman"/>
          <w:sz w:val="19"/>
          <w:szCs w:val="19"/>
          <w:color w:val="1E1E1E"/>
        </w:rPr>
        <w:t>Our senior management team has a wealth of retail and business experience and a deep knowledge of our business. The management team is supported by well qualified leaders and is highly collaborative across our brands and channels.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Distribution Channels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1E1E1E"/>
        </w:rPr>
        <w:t>Our distribution channels include digital, North American stores and international stores. We utilize these channels to reach our consumers in the digital and physical locations they frequent within their geographies.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Digital</w:t>
      </w:r>
    </w:p>
    <w:p>
      <w:pPr>
        <w:spacing w:after="0" w:line="11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1E1E1E"/>
        </w:rPr>
        <w:t>The digital channel accounted for $2.015 billion, or 33%, of our revenue in 2023. This channel includes sales that are derived from our websites and mobile applications.</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Our digital presence, including social media, our websites and our mobile applications, allows us to get to know our customers better and communicate with them anytime and anywhere. Our digital customers engage in more transactions relative to non-digital customers. Within digital, we have taken a mobile-first approach to help drive sales.</w:t>
      </w:r>
    </w:p>
    <w:p>
      <w:pPr>
        <w:spacing w:after="0" w:line="5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1E1E1E"/>
        </w:rPr>
        <w:t>We have taken steps to modernize our digital platform, including the use of artificial intelligence-driven chatbots and geo-targeted digital marketing. Our digital platform is designed to further support our physical presence and contribute to the growth of omni-channel sales.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North American Stores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North American stores channel represents the stores in our North American physical retail locations and accounted for</w:t>
      </w:r>
    </w:p>
    <w:p>
      <w:pPr>
        <w:spacing w:after="0" w:line="3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1E1E1E"/>
        </w:rPr>
        <w:t>$3.480 billion, or 56%, of our revenue in 2023. We operated 837 physical locations as of the end of 2023, including a range of full assortment stores, Victoria’s Secret Lingerie stores, free-standing PINK stores and free-standing Adore Me stores.</w:t>
      </w:r>
    </w:p>
    <w:p>
      <w:pPr>
        <w:spacing w:after="0" w:line="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1E1E1E"/>
        </w:rPr>
        <w:t>We are investing in our physical stores by refreshing existing stores and utilizing a store of the future concept that includes smaller, more flexible space in off-mall locations with a unique dual-brand layout to meet the needs of our customer and accommodate shifting consumer preferences for omni-channel shopping. We continue to right-size our stores to optimize our physical retail footprint and enable omni-channel sales. Additionally, we are investing in our people through field talent and leadership development to optimize the customer experience.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International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The international channel represents our stores and websites in China as well as royalty and wholesale sales related to the stores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and websites operated by our franchise, license, wholesale and joint venture partners. International net sales accounted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$687 million, or 11%, of our revenue in 2023. As of the end of 2023, we have 70 joint venture-operated stores in China as well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as 463 partner-operated stores around the world, including locations across Asia, Europe, the Americas, the Middle East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Africa.</w:t>
      </w:r>
    </w:p>
    <w:p>
      <w:pPr>
        <w:spacing w:after="0" w:line="9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1E1E1E"/>
        </w:rPr>
        <w:t>Revenue recognized under franchise and license arrangements generally consists of royalties earned and recognized upon the sale of merchandise by franchise and license partners to retail customers. Revenue is generally recognized under wholesale and sourcing arrangements at the time the title passes to the partner. We intend to continue to increase the number of locations under these types of arrangements as part of our international expansion.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Merchandise Vendors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1E1E1E"/>
        </w:rPr>
        <w:t>During 2023, we purchased merchandise from approximately 325 vendors located throughout the world, the largest of which accounted for approximately 11% of our purchases. We believe there are numerous alternative suppliers for our merchandise and that the loss of any one vendor would not have a material adverse effect on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Design, Product Development and Sourcing</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1E1E1E"/>
        </w:rPr>
        <w:t>Our product design and innovation is an important component of our strategy. We prioritize frequent and fashionable product launches across product categories with a focus on fit, fabric, finish, and superior quality. Our merchant, design and sourcing teams have a long history of designing innovative products to meet our customers’ needs. We believe our focus on product development differentiates our offering through superior fit, broad ranges of sizes, and comfortable and appealing silhouettes. Additionally, we believe that our sourcing and production functions, which have a long and deep presence in key sourcing markets including those in the U.S. and Asia, allow us to partner with premier manufacturers to manufacture high-quality products quickly.</w:t>
      </w:r>
    </w:p>
    <w:p>
      <w:pPr>
        <w:sectPr>
          <w:pgSz w:w="11880" w:h="15480" w:orient="portrait"/>
          <w:cols w:equalWidth="0" w:num="1">
            <w:col w:w="10220"/>
          </w:cols>
          <w:pgMar w:left="820" w:top="4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220"/>
          </w:cols>
          <w:pgMar w:left="820" w:top="444" w:right="840" w:bottom="0" w:gutter="0" w:footer="0" w:header="0"/>
          <w:type w:val="continuous"/>
        </w:sectPr>
      </w:pPr>
    </w:p>
    <w:bookmarkStart w:id="9" w:name="page10"/>
    <w:bookmarkEnd w:id="9"/>
    <w:p>
      <w:pPr>
        <w:ind w:right="140"/>
        <w:spacing w:after="0" w:line="278" w:lineRule="auto"/>
        <w:rPr>
          <w:sz w:val="20"/>
          <w:szCs w:val="20"/>
          <w:color w:val="auto"/>
        </w:rPr>
      </w:pPr>
      <w:r>
        <w:rPr>
          <w:rFonts w:ascii="Times New Roman" w:cs="Times New Roman" w:eastAsia="Times New Roman" w:hAnsi="Times New Roman"/>
          <w:sz w:val="19"/>
          <w:szCs w:val="19"/>
          <w:color w:val="1E1E1E"/>
        </w:rPr>
        <w:t>Our product development team works with four key design periods for the year: Spring, Summer, Fall and Holiday, that represent our selling seasons. Certain product lines offer more frequent introductions of new merchandise, and the primary selling seasons, Fall and Holiday, will often showcase greater quantities of introductions of new merchandise. We strive to tailor our buying strategies to align with customer demand and trends across our core categories with agile and fast lead times.</w:t>
      </w:r>
    </w:p>
    <w:p>
      <w:pPr>
        <w:spacing w:after="0" w:line="4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20"/>
          <w:szCs w:val="20"/>
          <w:color w:val="1E1E1E"/>
        </w:rPr>
        <w:t>Our global supply chain organization is responsible for the operational planning, manufacturing, sourcing, and distribution of products to our customers. We believe we have developed a high degree of expertise in managing the complexities associated with a global supply chain.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Distribution and Merchandise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w:t>
      </w:r>
    </w:p>
    <w:p>
      <w:pPr>
        <w:spacing w:after="0" w:line="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1E1E1E"/>
        </w:rPr>
        <w:t>Our policy is to maintain sufficient quantities of inventories on hand in our retail stores and distribution centers to enable us to offer customers an appropriate selection of current merchandise. We emphasize rapid turnover and mark down products as needed to keep merchandise fresh and current.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Advertising and Customer Support</w:t>
      </w:r>
    </w:p>
    <w:p>
      <w:pPr>
        <w:spacing w:after="0" w:line="1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1E1E1E"/>
        </w:rPr>
        <w:t>Our brand marketing and advertising efforts are focused on highlighting our products’ fashion, innovative design and quality while also accentuating our brands’ positioning in the broader market and changing landscape. We have shifted the focus of our global message across platforms towards promoting inclusivity and highlighting our products through an empowering, relatable, fresh brand voice to align with our customers’ values. Our marketing strategies are designed to drive brand awareness and create continued loyalty between our customers and our brands. We also find it important to cater messaging towards different geographic and cultural preferences and customs in order to better connect with our customers. We are committed to evolving our brand projection to serve our consumer and are developing a number of initiatives to continue that evolution through traditional media, entertainment platforms, and community-driven forums. We pursue our marketing strategy across a variety of platforms to reach our omni-channel customers, both in stores and online. We use traditional media outlets such as print, as well as digital media channels including social media, paid search and influencers. We have a dedicated team focused on marketing analytics to help ensure our advertising and promotional investments are providing effective returns.</w:t>
      </w:r>
    </w:p>
    <w:p>
      <w:pPr>
        <w:spacing w:after="0" w:line="56"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20"/>
          <w:szCs w:val="20"/>
          <w:color w:val="1E1E1E"/>
        </w:rPr>
        <w:t>Our e-commerce channel and store locations also provide customers with an enhanced understanding of our brands through uniform messaging and brand essence across platforms. Each brand has a marketing team focused on ensuring that we reach and engage with the customer. Our in-store sales force is also highly knowledgeable and we have regular in-store training to promote positive customer interactions through helpful and informed store associates.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Information Systems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Seasonal Business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1E1E1E"/>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cash requirements are routinely highest in the third quarter as our inventories build in advance of the holiday season.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Working Capital</w:t>
      </w:r>
    </w:p>
    <w:p>
      <w:pPr>
        <w:spacing w:after="0" w:line="119"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1E1E1E"/>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Regulations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E1E1E"/>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 that existing or future laws, regulations and standards applicable to our operations or products will not lead to a material adverse impact on our results of operations, financial position or cash flows.</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240"/>
          </w:cols>
          <w:pgMar w:left="820" w:top="453" w:right="8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1E1E1E"/>
        </w:rPr>
        <w:t>Intellectual Property</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Our trademarks and patents, which constitute our primary intellectual property, have been registered or are the subject of pending applications in the U.S. Patent and Trademark Office and with the registries of many foreign countries where our products are manufactured 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and other violations. Although the laws vary by jurisdiction, in general, trademarks remain valid and enforceable as long as the marks are used in connection with the related products and services and the required registration renewals are filed.</w:t>
      </w:r>
    </w:p>
    <w:p>
      <w:pPr>
        <w:spacing w:after="0" w:line="7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1E1E1E"/>
        </w:rPr>
        <w:t>We also place high importance on product innovation and design, and a number of these innovations and designs are the subject of issued patents and pending patent applications.</w:t>
      </w:r>
    </w:p>
    <w:p>
      <w:pPr>
        <w:spacing w:after="0" w:line="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1E1E1E"/>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Information</w:t>
      </w:r>
    </w:p>
    <w:p>
      <w:pPr>
        <w:spacing w:after="0" w:line="11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1E1E1E"/>
        </w:rPr>
        <w:t>For additional information about our business, including our net sales and profits for the last three years and selling square footage, see Item 7.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1E1E1E"/>
        </w:rPr>
        <w:t>The sale of women’s intimates, apparel, and personal and beauty care products is a highly competitive business. We believe we compete effectively in our core categories by leveraging our brand equity, unique scale and our high-quality innovative products. Our primary competitors include individual and chain specialty stores, department stores, mass merchandisers, online retailers and discount retailers. Additionally, we see a large and growing offering from private label intimates apparel created for retailers in addition to emerging brands. Brand image, presentation, marketing, design, price, service, fulfillment, assortment, fit and quality are the principal competitive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Human Capital Management</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We believe the way we view human capital management is a strength, and we are committed to continuing to build a responsible and inclusive business based on uncompromising transparency, fairness, diversity, and integrity, consistent with our values.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Diversity, Equity and Inclusion</w:t>
      </w:r>
    </w:p>
    <w:p>
      <w:pPr>
        <w:spacing w:after="0" w:line="1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Diversity, equity and inclusion (“DEI”) are key components of our culture and fundamental in achieving our strategic priorities and goals. At Victoria's Secret &amp; Co., our DEI vision is to celebrate, honor and reflect the diversity of our customers, our associates and the communities we engage.</w:t>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1E1E1E"/>
        </w:rPr>
        <w:t>Our mission is to inspire and empower all by reflecting experiences, expanding access, and recognizing diversity. We pledge to welcome and celebrate every associate, partner and customer from all backgrounds, all abilities and all life stages.</w:t>
      </w:r>
    </w:p>
    <w:p>
      <w:pPr>
        <w:spacing w:after="0" w:line="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1E1E1E"/>
        </w:rPr>
        <w:t>As we strive to create a better future for our organization and our world, we are committed to consciously and continuously learning and growing from our past and present. For us, it is not just about selling products; it is about using our scale and platform to champion every voice and drive forward inclusion and equity for every individual.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Our DEI Strategic Framework</w:t>
      </w:r>
    </w:p>
    <w:p>
      <w:pPr>
        <w:spacing w:after="0" w:line="1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focused on three key pillars: People, Experience and Purpose.</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240"/>
          </w:cols>
          <w:pgMar w:left="820" w:top="444" w:right="820" w:bottom="0" w:gutter="0" w:footer="0" w:header="0"/>
          <w:type w:val="continuous"/>
        </w:sectPr>
      </w:pPr>
    </w:p>
    <w:bookmarkStart w:id="11" w:name="page12"/>
    <w:bookmarkEnd w:id="11"/>
    <w:p>
      <w:pPr>
        <w:ind w:left="760"/>
        <w:spacing w:after="0"/>
        <w:tabs>
          <w:tab w:leader="none" w:pos="1940" w:val="left"/>
        </w:tabs>
        <w:rPr>
          <w:sz w:val="20"/>
          <w:szCs w:val="20"/>
          <w:color w:val="auto"/>
        </w:rPr>
      </w:pPr>
      <w:r>
        <w:rPr>
          <w:rFonts w:ascii="Times New Roman" w:cs="Times New Roman" w:eastAsia="Times New Roman" w:hAnsi="Times New Roman"/>
          <w:sz w:val="20"/>
          <w:szCs w:val="20"/>
          <w:color w:val="1E1E1E"/>
        </w:rPr>
        <w:t>People</w:t>
      </w:r>
      <w:r>
        <w:rPr>
          <w:sz w:val="20"/>
          <w:szCs w:val="20"/>
          <w:color w:val="auto"/>
        </w:rPr>
        <w:tab/>
      </w:r>
      <w:r>
        <w:rPr>
          <w:rFonts w:ascii="Times New Roman" w:cs="Times New Roman" w:eastAsia="Times New Roman" w:hAnsi="Times New Roman"/>
          <w:sz w:val="20"/>
          <w:szCs w:val="20"/>
          <w:color w:val="1E1E1E"/>
        </w:rPr>
        <w:t>More than stores, more than products, Victoria’s Secret &amp; Co. is a community of people with</w:t>
      </w:r>
    </w:p>
    <w:p>
      <w:pPr>
        <w:spacing w:after="0" w:line="11" w:lineRule="exact"/>
        <w:rPr>
          <w:sz w:val="20"/>
          <w:szCs w:val="20"/>
          <w:color w:val="auto"/>
        </w:rPr>
      </w:pPr>
    </w:p>
    <w:p>
      <w:pPr>
        <w:ind w:left="1960" w:right="240"/>
        <w:spacing w:after="0" w:line="228" w:lineRule="auto"/>
        <w:rPr>
          <w:sz w:val="20"/>
          <w:szCs w:val="20"/>
          <w:color w:val="auto"/>
        </w:rPr>
      </w:pPr>
      <w:r>
        <w:rPr>
          <w:rFonts w:ascii="Times New Roman" w:cs="Times New Roman" w:eastAsia="Times New Roman" w:hAnsi="Times New Roman"/>
          <w:sz w:val="20"/>
          <w:szCs w:val="20"/>
          <w:color w:val="1E1E1E"/>
        </w:rPr>
        <w:t>different backgrounds, qualities, abilities, and talents. Embracing and fostering that diversity is what makes us strong. Our DEI People work is focused on:</w:t>
      </w:r>
    </w:p>
    <w:p>
      <w:pPr>
        <w:spacing w:after="0" w:line="41"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Retaining associates of all backgrounds, including those in underrepresented groups</w:t>
      </w:r>
    </w:p>
    <w:p>
      <w:pPr>
        <w:spacing w:after="0" w:line="70"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Increasing diversity within our workforce</w:t>
      </w:r>
    </w:p>
    <w:p>
      <w:pPr>
        <w:spacing w:after="0" w:line="70"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Enabling the growth and advancement of all our talent</w:t>
      </w:r>
    </w:p>
    <w:p>
      <w:pPr>
        <w:spacing w:after="0" w:line="131" w:lineRule="exact"/>
        <w:rPr>
          <w:sz w:val="20"/>
          <w:szCs w:val="20"/>
          <w:color w:val="auto"/>
        </w:rPr>
      </w:pPr>
    </w:p>
    <w:p>
      <w:pPr>
        <w:ind w:left="760"/>
        <w:spacing w:after="0"/>
        <w:tabs>
          <w:tab w:leader="none" w:pos="1940" w:val="left"/>
        </w:tabs>
        <w:rPr>
          <w:sz w:val="20"/>
          <w:szCs w:val="20"/>
          <w:color w:val="auto"/>
        </w:rPr>
      </w:pPr>
      <w:r>
        <w:rPr>
          <w:rFonts w:ascii="Times New Roman" w:cs="Times New Roman" w:eastAsia="Times New Roman" w:hAnsi="Times New Roman"/>
          <w:sz w:val="20"/>
          <w:szCs w:val="20"/>
          <w:color w:val="1E1E1E"/>
        </w:rPr>
        <w:t>Experience</w:t>
        <w:tab/>
        <w:t>When our people are at their best, our company is at its best. We are committed to creating a</w:t>
      </w:r>
    </w:p>
    <w:p>
      <w:pPr>
        <w:ind w:left="1960"/>
        <w:spacing w:after="0" w:line="208" w:lineRule="auto"/>
        <w:rPr>
          <w:sz w:val="20"/>
          <w:szCs w:val="20"/>
          <w:color w:val="auto"/>
        </w:rPr>
      </w:pPr>
      <w:r>
        <w:rPr>
          <w:rFonts w:ascii="Times New Roman" w:cs="Times New Roman" w:eastAsia="Times New Roman" w:hAnsi="Times New Roman"/>
          <w:sz w:val="20"/>
          <w:szCs w:val="20"/>
          <w:color w:val="1E1E1E"/>
        </w:rPr>
        <w:t>workplace where everyone can bring their whole selves to work and thrive. Our DEI Experience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1E1E1E"/>
        </w:rPr>
        <w:t>work is focused on:</w:t>
      </w:r>
    </w:p>
    <w:p>
      <w:pPr>
        <w:spacing w:after="0" w:line="48"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Increasing associate engagement on our DEI journey</w:t>
      </w:r>
    </w:p>
    <w:p>
      <w:pPr>
        <w:spacing w:after="0" w:line="70"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Driving inclusive leadership across our organization</w:t>
      </w:r>
    </w:p>
    <w:p>
      <w:pPr>
        <w:spacing w:after="0" w:line="70"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Fostering a happy and healthy culture</w:t>
      </w:r>
    </w:p>
    <w:p>
      <w:pPr>
        <w:spacing w:after="0" w:line="142" w:lineRule="exact"/>
        <w:rPr>
          <w:sz w:val="20"/>
          <w:szCs w:val="20"/>
          <w:color w:val="auto"/>
        </w:rPr>
      </w:pPr>
    </w:p>
    <w:p>
      <w:pPr>
        <w:ind w:left="760"/>
        <w:spacing w:after="0"/>
        <w:tabs>
          <w:tab w:leader="none" w:pos="1940" w:val="left"/>
        </w:tabs>
        <w:rPr>
          <w:sz w:val="20"/>
          <w:szCs w:val="20"/>
          <w:color w:val="auto"/>
        </w:rPr>
      </w:pPr>
      <w:r>
        <w:rPr>
          <w:rFonts w:ascii="Times New Roman" w:cs="Times New Roman" w:eastAsia="Times New Roman" w:hAnsi="Times New Roman"/>
          <w:sz w:val="20"/>
          <w:szCs w:val="20"/>
          <w:color w:val="1E1E1E"/>
        </w:rPr>
        <w:t>Purpose</w:t>
      </w:r>
      <w:r>
        <w:rPr>
          <w:sz w:val="20"/>
          <w:szCs w:val="20"/>
          <w:color w:val="auto"/>
        </w:rPr>
        <w:tab/>
      </w:r>
      <w:r>
        <w:rPr>
          <w:rFonts w:ascii="Times New Roman" w:cs="Times New Roman" w:eastAsia="Times New Roman" w:hAnsi="Times New Roman"/>
          <w:sz w:val="20"/>
          <w:szCs w:val="20"/>
          <w:color w:val="1E1E1E"/>
        </w:rPr>
        <w:t>We do not just sell products, we inspire and uplift. We are passionate about creating products that</w:t>
      </w:r>
    </w:p>
    <w:p>
      <w:pPr>
        <w:ind w:left="1960" w:right="420"/>
        <w:spacing w:after="0" w:line="228" w:lineRule="auto"/>
        <w:rPr>
          <w:sz w:val="20"/>
          <w:szCs w:val="20"/>
          <w:color w:val="auto"/>
        </w:rPr>
      </w:pPr>
      <w:r>
        <w:rPr>
          <w:rFonts w:ascii="Times New Roman" w:cs="Times New Roman" w:eastAsia="Times New Roman" w:hAnsi="Times New Roman"/>
          <w:sz w:val="20"/>
          <w:szCs w:val="20"/>
          <w:color w:val="1E1E1E"/>
        </w:rPr>
        <w:t>meet our customers’ diverse needs and telling stories that reflect their journeys while empowering the communities where we live and work. Our DEI Purpose work is focused on:</w:t>
      </w:r>
    </w:p>
    <w:p>
      <w:pPr>
        <w:spacing w:after="0" w:line="41"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Reaching and serving more diverse customers</w:t>
      </w:r>
    </w:p>
    <w:p>
      <w:pPr>
        <w:spacing w:after="0" w:line="62"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Investing in more women-, black, indigenous, and people of color-, LGBTQIA+-, Veteran-</w:t>
      </w:r>
    </w:p>
    <w:p>
      <w:pPr>
        <w:ind w:left="2680"/>
        <w:spacing w:after="0"/>
        <w:rPr>
          <w:sz w:val="20"/>
          <w:szCs w:val="20"/>
          <w:color w:val="auto"/>
        </w:rPr>
      </w:pPr>
      <w:r>
        <w:rPr>
          <w:rFonts w:ascii="Times New Roman" w:cs="Times New Roman" w:eastAsia="Times New Roman" w:hAnsi="Times New Roman"/>
          <w:sz w:val="20"/>
          <w:szCs w:val="20"/>
          <w:color w:val="1E1E1E"/>
        </w:rPr>
        <w:t>and People With Disabilities-owned businesses and suppliers</w:t>
      </w:r>
    </w:p>
    <w:p>
      <w:pPr>
        <w:spacing w:after="0" w:line="40" w:lineRule="exact"/>
        <w:rPr>
          <w:sz w:val="20"/>
          <w:szCs w:val="20"/>
          <w:color w:val="auto"/>
        </w:rPr>
      </w:pPr>
    </w:p>
    <w:p>
      <w:pPr>
        <w:ind w:left="2320"/>
        <w:spacing w:after="0"/>
        <w:tabs>
          <w:tab w:leader="none" w:pos="2660" w:val="left"/>
        </w:tabs>
        <w:rPr>
          <w:sz w:val="20"/>
          <w:szCs w:val="20"/>
          <w:color w:val="auto"/>
        </w:rPr>
      </w:pPr>
      <w:r>
        <w:rPr>
          <w:rFonts w:ascii="Times New Roman" w:cs="Times New Roman" w:eastAsia="Times New Roman" w:hAnsi="Times New Roman"/>
          <w:sz w:val="20"/>
          <w:szCs w:val="20"/>
          <w:color w:val="1E1E1E"/>
        </w:rPr>
        <w:t>•</w:t>
        <w:tab/>
        <w:t>Using our platform and resources to empower our communities, advance racial equity and</w:t>
      </w:r>
    </w:p>
    <w:p>
      <w:pPr>
        <w:ind w:left="2680"/>
        <w:spacing w:after="0"/>
        <w:rPr>
          <w:sz w:val="20"/>
          <w:szCs w:val="20"/>
          <w:color w:val="auto"/>
        </w:rPr>
      </w:pPr>
      <w:r>
        <w:rPr>
          <w:rFonts w:ascii="Times New Roman" w:cs="Times New Roman" w:eastAsia="Times New Roman" w:hAnsi="Times New Roman"/>
          <w:sz w:val="20"/>
          <w:szCs w:val="20"/>
          <w:color w:val="1E1E1E"/>
        </w:rPr>
        <w:t>promote social justice</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To strengthen our workforce and better reflect and serve our customers, it is critical that we have diverse voices at the table. We are committed to retaining associates of all backgrounds, including those in underrepresented groups, attracting diverse talent and empowering the growth and advancement of all our associates.</w:t>
      </w:r>
    </w:p>
    <w:p>
      <w:pPr>
        <w:spacing w:after="0" w:line="5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1E1E1E"/>
        </w:rPr>
        <w:t>We recognize we have opportunity to increase our workforce and leadership representation in certain groups, and will drive progress by:</w:t>
      </w:r>
    </w:p>
    <w:p>
      <w:pPr>
        <w:spacing w:after="0" w:line="41" w:lineRule="exact"/>
        <w:rPr>
          <w:sz w:val="20"/>
          <w:szCs w:val="20"/>
          <w:color w:val="auto"/>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Being intentional about ensuring opportunities for promotion and advancement for women and people of color;</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Recommending diverse interview slates;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Tapping into talent pipelines from stores and distribution centers to the home office;</w:t>
      </w:r>
    </w:p>
    <w:p>
      <w:pPr>
        <w:spacing w:after="0" w:line="110" w:lineRule="exact"/>
        <w:rPr>
          <w:rFonts w:ascii="Times New Roman" w:cs="Times New Roman" w:eastAsia="Times New Roman" w:hAnsi="Times New Roman"/>
          <w:sz w:val="20"/>
          <w:szCs w:val="20"/>
          <w:color w:val="1E1E1E"/>
        </w:rPr>
      </w:pPr>
    </w:p>
    <w:p>
      <w:pPr>
        <w:ind w:left="720" w:right="300" w:hanging="370"/>
        <w:spacing w:after="0" w:line="281" w:lineRule="auto"/>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Offering equitable learning and development opportunities for all, including sending women and people of color to programs dedicated to the development and advancement of diverse leaders;</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Evolving our full life cycle recruiting process to address any barriers to entry;</w:t>
      </w:r>
    </w:p>
    <w:p>
      <w:pPr>
        <w:spacing w:after="0" w:line="110" w:lineRule="exact"/>
        <w:rPr>
          <w:rFonts w:ascii="Times New Roman" w:cs="Times New Roman" w:eastAsia="Times New Roman" w:hAnsi="Times New Roman"/>
          <w:sz w:val="20"/>
          <w:szCs w:val="20"/>
          <w:color w:val="1E1E1E"/>
        </w:rPr>
      </w:pPr>
    </w:p>
    <w:p>
      <w:pPr>
        <w:ind w:left="720" w:right="580" w:hanging="370"/>
        <w:spacing w:after="0" w:line="281" w:lineRule="auto"/>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Forming new partnerships and relationships with organizations that cultivate a diverse talent pipeline, including persons from underrepresented groups; and</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Holding leaders accountable for supporting the growth of all talent, including talent from underrepresented groups.</w:t>
      </w:r>
    </w:p>
    <w:p>
      <w:pPr>
        <w:spacing w:after="0" w:line="1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1E1E1E"/>
        </w:rPr>
        <w:t>As of February 3, 2024, we employed approximately 30,000 associates, approximately 17,000 of whom were part-time. In addition, temporary associates are hired during peak periods, such as the holiday season. Approximately 73% of our associates work in our stores, 12% in distribution centers, with the remaining balance working in our home office and call center.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Learning and Development and Inclusion Resource Groups</w:t>
      </w:r>
    </w:p>
    <w:p>
      <w:pPr>
        <w:spacing w:after="0" w:line="114"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20"/>
          <w:szCs w:val="20"/>
          <w:color w:val="1E1E1E"/>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63"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Development Days: Dedicated time to advance technical, creative or business skills.</w:t>
      </w:r>
    </w:p>
    <w:p>
      <w:pPr>
        <w:spacing w:after="0" w:line="110" w:lineRule="exact"/>
        <w:rPr>
          <w:rFonts w:ascii="Times New Roman" w:cs="Times New Roman" w:eastAsia="Times New Roman" w:hAnsi="Times New Roman"/>
          <w:sz w:val="20"/>
          <w:szCs w:val="20"/>
          <w:color w:val="1E1E1E"/>
        </w:rPr>
      </w:pPr>
    </w:p>
    <w:p>
      <w:pPr>
        <w:ind w:left="720" w:right="60" w:hanging="370"/>
        <w:spacing w:after="0" w:line="281"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Leadership Development: Courses for associates in management positions to build critical skills and grow as effective leaders.</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Onboarding: Dedicated time to learn the business and to form important relationships for mentoring and development.</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Tuition Assistance: Reimbursement of 100% of eligible tuition expenses, up to $5,250 per calendar year.</w:t>
      </w:r>
    </w:p>
    <w:p>
      <w:pPr>
        <w:sectPr>
          <w:pgSz w:w="11880" w:h="15480" w:orient="portrait"/>
          <w:cols w:equalWidth="0" w:num="1">
            <w:col w:w="10220"/>
          </w:cols>
          <w:pgMar w:left="820" w:top="49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220"/>
          </w:cols>
          <w:pgMar w:left="820" w:top="498" w:right="840" w:bottom="0" w:gutter="0" w:footer="0" w:header="0"/>
          <w:type w:val="continuous"/>
        </w:sectPr>
      </w:pPr>
    </w:p>
    <w:bookmarkStart w:id="12" w:name="page13"/>
    <w:bookmarkEnd w:id="12"/>
    <w:p>
      <w:pPr>
        <w:ind w:right="140"/>
        <w:spacing w:after="0" w:line="278" w:lineRule="auto"/>
        <w:rPr>
          <w:sz w:val="20"/>
          <w:szCs w:val="20"/>
          <w:color w:val="auto"/>
        </w:rPr>
      </w:pPr>
      <w:r>
        <w:rPr>
          <w:rFonts w:ascii="Times New Roman" w:cs="Times New Roman" w:eastAsia="Times New Roman" w:hAnsi="Times New Roman"/>
          <w:sz w:val="19"/>
          <w:szCs w:val="19"/>
          <w:color w:val="1E1E1E"/>
        </w:rPr>
        <w:t>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for the following six IRGs:</w:t>
      </w:r>
    </w:p>
    <w:p>
      <w:pPr>
        <w:spacing w:after="0" w:line="48" w:lineRule="exact"/>
        <w:rPr>
          <w:sz w:val="20"/>
          <w:szCs w:val="20"/>
          <w:color w:val="auto"/>
        </w:rPr>
      </w:pPr>
    </w:p>
    <w:p>
      <w:pPr>
        <w:ind w:left="720" w:right="300" w:hanging="370"/>
        <w:spacing w:after="0" w:line="281" w:lineRule="auto"/>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Asian Learning, Leadership &amp; Innovation Network (All In): Asian American and/or Pacific Islander associates and their allies and advocates;</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Conexión: Hispanic and Latinx associates and their allies and advocates;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Evolve: LGBTQIA+ associates and their allies and advocates;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Mosaic: Black and African American associates and their allies and advocates;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Women Inclusion Network (WIN): Associates who identify as women and their allies and advocates; and</w:t>
      </w:r>
    </w:p>
    <w:p>
      <w:pPr>
        <w:spacing w:after="0" w:line="110" w:lineRule="exact"/>
        <w:rPr>
          <w:rFonts w:ascii="Times New Roman" w:cs="Times New Roman" w:eastAsia="Times New Roman" w:hAnsi="Times New Roman"/>
          <w:sz w:val="20"/>
          <w:szCs w:val="20"/>
          <w:color w:val="1E1E1E"/>
        </w:rPr>
      </w:pPr>
    </w:p>
    <w:p>
      <w:pPr>
        <w:ind w:right="760" w:firstLine="350"/>
        <w:spacing w:after="0" w:line="365" w:lineRule="auto"/>
        <w:tabs>
          <w:tab w:leader="none" w:pos="720" w:val="left"/>
        </w:tabs>
        <w:numPr>
          <w:ilvl w:val="0"/>
          <w:numId w:val="1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ADAPT: Associates who identify as People With Disabilities, their caregivers, and their allies and advocates. </w:t>
      </w:r>
      <w:r>
        <w:rPr>
          <w:rFonts w:ascii="Times New Roman" w:cs="Times New Roman" w:eastAsia="Times New Roman" w:hAnsi="Times New Roman"/>
          <w:sz w:val="20"/>
          <w:szCs w:val="20"/>
          <w:u w:val="single" w:color="auto"/>
          <w:color w:val="1E1E1E"/>
        </w:rPr>
        <w:t>Associate Engagement and Well-Being</w:t>
      </w:r>
    </w:p>
    <w:p>
      <w:pPr>
        <w:ind w:right="180"/>
        <w:spacing w:after="0" w:line="281" w:lineRule="auto"/>
        <w:rPr>
          <w:sz w:val="20"/>
          <w:szCs w:val="20"/>
          <w:color w:val="auto"/>
        </w:rPr>
      </w:pPr>
      <w:r>
        <w:rPr>
          <w:rFonts w:ascii="Times New Roman" w:cs="Times New Roman" w:eastAsia="Times New Roman" w:hAnsi="Times New Roman"/>
          <w:sz w:val="20"/>
          <w:szCs w:val="20"/>
          <w:color w:val="1E1E1E"/>
        </w:rPr>
        <w:t>Associate engagement and well-being are key components of our culture and fundamental to achieving our strategic priorities and goals.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Culture</w:t>
      </w:r>
    </w:p>
    <w:p>
      <w:pPr>
        <w:spacing w:after="0" w:line="1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We are committed to associate engagement by striving to foster a happy, healthy and inclusive culture where everyone can bring their whole selves to work. At Victoria's Secret &amp; 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spacing w:after="0" w:line="7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1E1E1E"/>
        </w:rPr>
        <w:t>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Benefits</w:t>
      </w:r>
    </w:p>
    <w:p>
      <w:pPr>
        <w:spacing w:after="0" w:line="11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1E1E1E"/>
        </w:rPr>
        <w:t>We are committed to associate well-being by providing quality benefits and offering equitable and competitive wages. We support our associates to be at their best—at work and at home.</w:t>
      </w:r>
    </w:p>
    <w:p>
      <w:pPr>
        <w:spacing w:after="0" w:line="4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1E1E1E"/>
        </w:rPr>
        <w:t>Our benefit programs are designed to be comprehensive, cost-effective and competitive to help our associates and their families be well and stay well.</w:t>
      </w:r>
    </w:p>
    <w:p>
      <w:pPr>
        <w:spacing w:after="0" w:line="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1E1E1E"/>
        </w:rPr>
        <w:t>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provide a worldwide Employee Assistance Program for all associates and anyone in their household to support mental health well-being. In addition, we offer paid time off to eligible part-time associates.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We are committed to equal opportunity and treatment for all associates which includes equal career advancement opportunities and equitable and competitive wages. Our compensation programs are designed to link annual changes in compensation to the Company's overall performance. At the individual level, we strive to assess performance on both an associate's contributions as well as behaviors displayed to achieve them. The emphasis on the Company's overall performance is intended to align our associates’ financial interests with the interests of our stockholders. All salaried associates in the home office, distribution and call center participate in our short-term cash incentive program. We encourage associate stock ownership with the ability to purchase Victoria's Secret &amp; Co. shares at a discount through our associate stock purchase plan.</w:t>
      </w:r>
    </w:p>
    <w:p>
      <w:pPr>
        <w:sectPr>
          <w:pgSz w:w="11880" w:h="15480" w:orient="portrait"/>
          <w:cols w:equalWidth="0" w:num="1">
            <w:col w:w="10220"/>
          </w:cols>
          <w:pgMar w:left="820" w:top="45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220"/>
          </w:cols>
          <w:pgMar w:left="820" w:top="453" w:right="8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1E1E1E"/>
        </w:rPr>
        <w:t>Ensuring Equal Pay for Equal Work</w:t>
      </w:r>
    </w:p>
    <w:p>
      <w:pPr>
        <w:spacing w:after="0" w:line="11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1E1E1E"/>
        </w:rPr>
        <w:t>The heart of our business is our talented workforce. We offer competitive pay and benefits to our associates around the world and pay all associates equitably regardless of gender, race, ethnicity or background.</w:t>
      </w:r>
    </w:p>
    <w:p>
      <w:pPr>
        <w:spacing w:after="0" w:line="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We conduct an annual, rigorous and transparent review of 100%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U.S. limit our ability to collect information on race and ethnicity and also what we can do with that information.)</w:t>
      </w:r>
    </w:p>
    <w:p>
      <w:pPr>
        <w:spacing w:after="0" w:line="6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20"/>
          <w:szCs w:val="20"/>
          <w:color w:val="1E1E1E"/>
        </w:rPr>
        <w:t>Because workforces are dynamic and ever-changing, so is the work to ensure pay equity. We believe that pay equity is a journey, not a destination. We engage in an ongoing analysis and are committed to continued transparency relative to our metrics on pay equity, and we plan to report to our associates and to the public on an annual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Health and Safety</w:t>
      </w:r>
    </w:p>
    <w:p>
      <w:pPr>
        <w:spacing w:after="0" w:line="1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Model Engagement and Photo Shoot Compliance</w:t>
      </w:r>
    </w:p>
    <w:p>
      <w:pPr>
        <w:spacing w:after="0" w:line="11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1E1E1E"/>
        </w:rPr>
        <w:t>At Victoria's Secret &amp; Co., our values define who we are and what we stand for, including treating everyone with dignity and respect. To support these values, we have established compliance processes and protocols which apply to all our associates and third parties participating in photo shoots, public relations events, fit sessions and other internal meetings where models are present.</w:t>
      </w:r>
    </w:p>
    <w:p>
      <w:pPr>
        <w:spacing w:after="0" w:line="6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1E1E1E"/>
        </w:rPr>
        <w:t>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Victoria's Secret &amp; Co. Anti-Harassment and Civility Policy and authorized compliance monitors are assigned to every photo shoot to provide oversight and ensure compliance with the Photo Shoot Procedures and Fit Session Protocol.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Executive Officers of Registrant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Our executive officers at the end of 2023 were as follows:</w:t>
      </w:r>
    </w:p>
    <w:p>
      <w:pPr>
        <w:spacing w:after="0" w:line="110" w:lineRule="exact"/>
        <w:rPr>
          <w:sz w:val="20"/>
          <w:szCs w:val="20"/>
          <w:color w:val="auto"/>
        </w:rPr>
      </w:pPr>
    </w:p>
    <w:p>
      <w:pPr>
        <w:ind w:left="720" w:hanging="370"/>
        <w:spacing w:after="0" w:line="266" w:lineRule="auto"/>
        <w:tabs>
          <w:tab w:leader="none" w:pos="72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Martin Waters, 58, has been our Chief Executive Officer (“CEO”) since February 2021. Mr. Waters joined L Brands in 2008 and previously served as the CEO of VS Lingerie from 2020 to 2021 and CEO of L Brands International from 2008 to 2020;</w:t>
      </w:r>
    </w:p>
    <w:p>
      <w:pPr>
        <w:spacing w:after="0" w:line="55" w:lineRule="exact"/>
        <w:rPr>
          <w:rFonts w:ascii="Times New Roman" w:cs="Times New Roman" w:eastAsia="Times New Roman" w:hAnsi="Times New Roman"/>
          <w:sz w:val="20"/>
          <w:szCs w:val="20"/>
          <w:color w:val="1E1E1E"/>
        </w:rPr>
      </w:pPr>
    </w:p>
    <w:p>
      <w:pPr>
        <w:jc w:val="both"/>
        <w:ind w:left="720" w:right="280" w:hanging="370"/>
        <w:spacing w:after="0" w:line="278" w:lineRule="auto"/>
        <w:tabs>
          <w:tab w:leader="none" w:pos="720" w:val="left"/>
        </w:tabs>
        <w:numPr>
          <w:ilvl w:val="0"/>
          <w:numId w:val="1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Timothy Johnson, 56, has been our Chief Financial and Administrative Officer since July 2022. Mr. Johnson joined Victoria's Secret &amp; Co. in July 2021 and previously served as Chief Financial Officer from July 2021 to July 2022. Prior to July 2021, Mr. Johnson served as the Chief Financial Officer and Chief Administrative Officer of Big Lots, Inc. from August 2015 to August 2019 and Chief Financial Officer of Big Lots from August 2012 to August 2015;</w:t>
      </w:r>
    </w:p>
    <w:p>
      <w:pPr>
        <w:spacing w:after="0" w:line="47" w:lineRule="exact"/>
        <w:rPr>
          <w:rFonts w:ascii="Times New Roman" w:cs="Times New Roman" w:eastAsia="Times New Roman" w:hAnsi="Times New Roman"/>
          <w:sz w:val="19"/>
          <w:szCs w:val="19"/>
          <w:color w:val="1E1E1E"/>
        </w:rPr>
      </w:pPr>
    </w:p>
    <w:p>
      <w:pPr>
        <w:ind w:left="720" w:right="180" w:hanging="370"/>
        <w:spacing w:after="0" w:line="266" w:lineRule="auto"/>
        <w:tabs>
          <w:tab w:leader="none" w:pos="72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Dein Boyle, 64, has been our Chief Operating Officer since 2020. Mr. Boyle joined L Brands in 2008 and previously served as Chief Operating Officer of PINK from 2016 to 2020, Chief Administrative Officer of PINK from 2015 to 2016 and Executive Vice President at PINK from 2012 to 2014;</w:t>
      </w:r>
    </w:p>
    <w:p>
      <w:pPr>
        <w:spacing w:after="0" w:line="55" w:lineRule="exact"/>
        <w:rPr>
          <w:rFonts w:ascii="Times New Roman" w:cs="Times New Roman" w:eastAsia="Times New Roman" w:hAnsi="Times New Roman"/>
          <w:sz w:val="20"/>
          <w:szCs w:val="20"/>
          <w:color w:val="1E1E1E"/>
        </w:rPr>
      </w:pPr>
    </w:p>
    <w:p>
      <w:pPr>
        <w:ind w:left="720" w:right="60" w:hanging="370"/>
        <w:spacing w:after="0" w:line="258" w:lineRule="auto"/>
        <w:tabs>
          <w:tab w:leader="none" w:pos="72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Melinda McAfee, 53, has been our Chief Human Resources Officer and Chief Legal Officer since October 2022. Ms. McAfee joined Victoria’s Secret &amp; Co. in May 2021 and previously served as Chief Legal Officer from May 2021 to October 2022. Prior to May 2021, Ms. McAfee served as Senior Vice President, General Counsel and Corporate Secretary of Express, Inc., from December 2018 to April 2021 and Deputy General Counsel and Chief Privacy Officer of Abercrombie &amp; Fitch Co. from November 2016 to October 2018;</w:t>
      </w:r>
    </w:p>
    <w:p>
      <w:pPr>
        <w:spacing w:after="0" w:line="63" w:lineRule="exact"/>
        <w:rPr>
          <w:rFonts w:ascii="Times New Roman" w:cs="Times New Roman" w:eastAsia="Times New Roman" w:hAnsi="Times New Roman"/>
          <w:sz w:val="20"/>
          <w:szCs w:val="20"/>
          <w:color w:val="1E1E1E"/>
        </w:rPr>
      </w:pPr>
    </w:p>
    <w:p>
      <w:pPr>
        <w:ind w:left="720" w:right="40" w:hanging="370"/>
        <w:spacing w:after="0" w:line="266" w:lineRule="auto"/>
        <w:tabs>
          <w:tab w:leader="none" w:pos="72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Christine Rupp, 55, has been our Chief Customer Officer since September 2022. Prior to joining Victoria's Secret &amp; Co., Ms. Rupp served as the Chief Customer Officer of Albertsons Companies, Inc. from December 2019 to July 2022 and General Manager of Microsoft Corporation from February 2016 to November 2019; and</w:t>
      </w:r>
    </w:p>
    <w:p>
      <w:pPr>
        <w:spacing w:after="0" w:line="55" w:lineRule="exact"/>
        <w:rPr>
          <w:rFonts w:ascii="Times New Roman" w:cs="Times New Roman" w:eastAsia="Times New Roman" w:hAnsi="Times New Roman"/>
          <w:sz w:val="20"/>
          <w:szCs w:val="20"/>
          <w:color w:val="1E1E1E"/>
        </w:rPr>
      </w:pPr>
    </w:p>
    <w:p>
      <w:pPr>
        <w:ind w:left="720" w:right="20" w:hanging="370"/>
        <w:spacing w:after="0" w:line="260" w:lineRule="auto"/>
        <w:tabs>
          <w:tab w:leader="none" w:pos="72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Greg Unis, 53, has been our Brand President since June 2023. Mr. Unis joined L Brands in 2016 and previously served as Chief Growth Officer from July 2022 to June 2023 and CEO of Victoria's Secret Beauty from 2016 to July 2022. Prior to 2016, Mr. Unis served as Executive Vice President and Global Head of Men's and Licensing Merchandise for Coach from 2010 to 2016.</w:t>
      </w:r>
    </w:p>
    <w:p>
      <w:pPr>
        <w:sectPr>
          <w:pgSz w:w="11880" w:h="15480" w:orient="portrait"/>
          <w:cols w:equalWidth="0" w:num="1">
            <w:col w:w="10240"/>
          </w:cols>
          <w:pgMar w:left="820" w:top="44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240"/>
          </w:cols>
          <w:pgMar w:left="820" w:top="449" w:right="8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1E1E1E"/>
        </w:rPr>
        <w:t>Available Information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20"/>
          <w:szCs w:val="20"/>
          <w:i w:val="1"/>
          <w:iCs w:val="1"/>
          <w:color w:val="1E1E1E"/>
        </w:rPr>
        <w:t>www.sec.gov</w:t>
      </w:r>
      <w:r>
        <w:rPr>
          <w:rFonts w:ascii="Times New Roman" w:cs="Times New Roman" w:eastAsia="Times New Roman" w:hAnsi="Times New Roman"/>
          <w:sz w:val="20"/>
          <w:szCs w:val="20"/>
          <w:color w:val="1E1E1E"/>
        </w:rPr>
        <w:t>.</w:t>
      </w:r>
    </w:p>
    <w:p>
      <w:pPr>
        <w:spacing w:after="0" w:line="6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1E1E1E"/>
        </w:rPr>
        <w:t xml:space="preserve">Our annual reports on Form 10-K, quarterly reports on Form 10-Q, current reports on Form 8-K and amendments to these reports filed or furnished pursuant to Section 13(a) or 15(d) of the Exchange Act are available, free of charge, as soon as reasonably practicable after we electronically file such material with, or furnish it to, the SEC, on the Investors section of our website, </w:t>
      </w:r>
      <w:r>
        <w:rPr>
          <w:rFonts w:ascii="Times New Roman" w:cs="Times New Roman" w:eastAsia="Times New Roman" w:hAnsi="Times New Roman"/>
          <w:sz w:val="20"/>
          <w:szCs w:val="20"/>
          <w:i w:val="1"/>
          <w:iCs w:val="1"/>
          <w:color w:val="1E1E1E"/>
        </w:rPr>
        <w:t>www.victoriassecretandco.com</w:t>
      </w:r>
      <w:r>
        <w:rPr>
          <w:rFonts w:ascii="Times New Roman" w:cs="Times New Roman" w:eastAsia="Times New Roman" w:hAnsi="Times New Roman"/>
          <w:sz w:val="20"/>
          <w:szCs w:val="20"/>
          <w:color w:val="1E1E1E"/>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Copies of any of the above-referenced documents will also be made available, free of charge, upon written request to: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Victoria's Secret &amp; Co.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Investor Relations Department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Four Limited Parkway East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Reynoldsburg, Ohio 43068</w:t>
      </w:r>
    </w:p>
    <w:p>
      <w:pPr>
        <w:sectPr>
          <w:pgSz w:w="11880" w:h="15480" w:orient="portrait"/>
          <w:cols w:equalWidth="0" w:num="1">
            <w:col w:w="10200"/>
          </w:cols>
          <w:pgMar w:left="820" w:top="44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200"/>
          </w:cols>
          <w:pgMar w:left="820" w:top="446" w:right="860" w:bottom="0" w:gutter="0" w:footer="0" w:header="0"/>
          <w:type w:val="continuous"/>
        </w:sectPr>
      </w:pPr>
    </w:p>
    <w:bookmarkStart w:id="15" w:name="page16"/>
    <w:bookmarkEnd w:id="15"/>
    <w:p>
      <w:pPr>
        <w:ind w:left="10"/>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SUMMARY OF RISK FACTORS</w:t>
      </w:r>
    </w:p>
    <w:p>
      <w:pPr>
        <w:spacing w:after="0" w:line="117"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1E1E1E"/>
        </w:rPr>
        <w:t>We and our stockholders are subject to a number of risks, including, risks related to our business operations, risks related to our indebtedness, risks related to owning our common stock and risks related to the Separation and related transactions. The following is a summary of the material risks we and our stockholders face and is not exhaustive. Please read the full “Risk Factors” discussion that follows this summary carefully for a more thorough description of these and other risks.</w:t>
      </w:r>
    </w:p>
    <w:p>
      <w:pPr>
        <w:spacing w:after="0" w:line="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Risks Relating to Our Business</w:t>
      </w:r>
    </w:p>
    <w:p>
      <w:pPr>
        <w:spacing w:after="0" w:line="77" w:lineRule="exact"/>
        <w:rPr>
          <w:sz w:val="20"/>
          <w:szCs w:val="20"/>
          <w:color w:val="auto"/>
        </w:rPr>
      </w:pPr>
    </w:p>
    <w:p>
      <w:pPr>
        <w:ind w:left="370" w:right="18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Adverse economic conditions have had and may continue to have an adverse effect on our business, results of operations and financial condition;</w:t>
      </w:r>
    </w:p>
    <w:p>
      <w:pPr>
        <w:spacing w:after="0" w:line="1" w:lineRule="exact"/>
        <w:rPr>
          <w:rFonts w:ascii="Times New Roman" w:cs="Times New Roman" w:eastAsia="Times New Roman" w:hAnsi="Times New Roman"/>
          <w:sz w:val="20"/>
          <w:szCs w:val="20"/>
          <w:color w:val="1E1E1E"/>
        </w:rPr>
      </w:pPr>
    </w:p>
    <w:p>
      <w:pPr>
        <w:jc w:val="both"/>
        <w:ind w:left="370" w:right="40" w:hanging="370"/>
        <w:spacing w:after="0" w:line="266"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revenue, results of operations and cash flows are sensitive to consumer confidence and spending patterns, and may be adversely affected by negative political or economic trends, geopolitical conflicts, significant health hazards or pandemics, severe weather or other market disruptions;</w:t>
      </w:r>
    </w:p>
    <w:p>
      <w:pPr>
        <w:spacing w:after="0" w:line="15"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future success depends in part on our ability to successfully implement our strategic plan;</w:t>
      </w:r>
    </w:p>
    <w:p>
      <w:pPr>
        <w:spacing w:after="0" w:line="70"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net sales, operating income, cash and inventory levels fluctuate on a seasonal basis;</w:t>
      </w:r>
    </w:p>
    <w:p>
      <w:pPr>
        <w:spacing w:after="0" w:line="70" w:lineRule="exact"/>
        <w:rPr>
          <w:rFonts w:ascii="Times New Roman" w:cs="Times New Roman" w:eastAsia="Times New Roman" w:hAnsi="Times New Roman"/>
          <w:sz w:val="20"/>
          <w:szCs w:val="20"/>
          <w:color w:val="1E1E1E"/>
        </w:rPr>
      </w:pPr>
    </w:p>
    <w:p>
      <w:pPr>
        <w:ind w:left="370" w:right="180" w:hanging="370"/>
        <w:spacing w:after="0" w:line="296" w:lineRule="auto"/>
        <w:tabs>
          <w:tab w:leader="none" w:pos="37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 w:lineRule="exact"/>
        <w:rPr>
          <w:rFonts w:ascii="Times New Roman" w:cs="Times New Roman" w:eastAsia="Times New Roman" w:hAnsi="Times New Roman"/>
          <w:sz w:val="19"/>
          <w:szCs w:val="19"/>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Turnover in company leadership or other key positions may have an adverse impact on our performance;</w:t>
      </w:r>
    </w:p>
    <w:p>
      <w:pPr>
        <w:spacing w:after="0" w:line="70"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impacted by our ability to attract, develop and retain qualified associates and manage labor-related costs;</w:t>
      </w:r>
    </w:p>
    <w:p>
      <w:pPr>
        <w:spacing w:after="0" w:line="70" w:lineRule="exact"/>
        <w:rPr>
          <w:rFonts w:ascii="Times New Roman" w:cs="Times New Roman" w:eastAsia="Times New Roman" w:hAnsi="Times New Roman"/>
          <w:sz w:val="20"/>
          <w:szCs w:val="20"/>
          <w:color w:val="1E1E1E"/>
        </w:rPr>
      </w:pPr>
    </w:p>
    <w:p>
      <w:pPr>
        <w:ind w:left="370" w:right="44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net sales depend on a volume of traffic to our stores and the availability of suitable store locations on satisfactory terms;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grow depends in part on new store openings and existing store remodels and right-sizing;</w:t>
      </w:r>
    </w:p>
    <w:p>
      <w:pPr>
        <w:spacing w:after="0" w:line="70" w:lineRule="exact"/>
        <w:rPr>
          <w:rFonts w:ascii="Times New Roman" w:cs="Times New Roman" w:eastAsia="Times New Roman" w:hAnsi="Times New Roman"/>
          <w:sz w:val="20"/>
          <w:szCs w:val="20"/>
          <w:color w:val="1E1E1E"/>
        </w:rPr>
      </w:pPr>
    </w:p>
    <w:p>
      <w:pPr>
        <w:ind w:left="370" w:right="54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international operations and our plans for international expansion include risks that could impact our results and reputation;</w:t>
      </w:r>
    </w:p>
    <w:p>
      <w:pPr>
        <w:spacing w:after="0" w:line="1" w:lineRule="exact"/>
        <w:rPr>
          <w:rFonts w:ascii="Times New Roman" w:cs="Times New Roman" w:eastAsia="Times New Roman" w:hAnsi="Times New Roman"/>
          <w:sz w:val="20"/>
          <w:szCs w:val="20"/>
          <w:color w:val="1E1E1E"/>
        </w:rPr>
      </w:pPr>
    </w:p>
    <w:p>
      <w:pPr>
        <w:ind w:left="370" w:right="40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licensees, franchisees, wholesalers, and joint venture partners could take actions or omissions that could harm our business or the image of our brands;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direct channel business is subject to risks that could have an adverse effect on our results;</w:t>
      </w:r>
    </w:p>
    <w:p>
      <w:pPr>
        <w:spacing w:after="0" w:line="70"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not realize the potential benefits and synergies sought with the acquisition of Adore Me;</w:t>
      </w:r>
    </w:p>
    <w:p>
      <w:pPr>
        <w:spacing w:after="0" w:line="70" w:lineRule="exact"/>
        <w:rPr>
          <w:rFonts w:ascii="Times New Roman" w:cs="Times New Roman" w:eastAsia="Times New Roman" w:hAnsi="Times New Roman"/>
          <w:sz w:val="20"/>
          <w:szCs w:val="20"/>
          <w:color w:val="1E1E1E"/>
        </w:rPr>
      </w:pPr>
    </w:p>
    <w:p>
      <w:pPr>
        <w:ind w:left="370" w:right="50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incorporate artificial intelligence into our business operations successfully and ethically may affect our reputation and results of operations;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protect our reputation could have a material effect on the image and value of our brands;</w:t>
      </w:r>
    </w:p>
    <w:p>
      <w:pPr>
        <w:spacing w:after="0" w:line="70" w:lineRule="exact"/>
        <w:rPr>
          <w:rFonts w:ascii="Times New Roman" w:cs="Times New Roman" w:eastAsia="Times New Roman" w:hAnsi="Times New Roman"/>
          <w:sz w:val="20"/>
          <w:szCs w:val="20"/>
          <w:color w:val="1E1E1E"/>
        </w:rPr>
      </w:pPr>
    </w:p>
    <w:p>
      <w:pPr>
        <w:ind w:left="370" w:right="36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If our marketing, advertising and promotional programs are unsuccessful, or if our competitors are more effective with their programs than we are, our revenue or results of operations may be adversely affected;</w:t>
      </w:r>
    </w:p>
    <w:p>
      <w:pPr>
        <w:spacing w:after="0" w:line="1" w:lineRule="exact"/>
        <w:rPr>
          <w:rFonts w:ascii="Times New Roman" w:cs="Times New Roman" w:eastAsia="Times New Roman" w:hAnsi="Times New Roman"/>
          <w:sz w:val="20"/>
          <w:szCs w:val="20"/>
          <w:color w:val="1E1E1E"/>
        </w:rPr>
      </w:pPr>
    </w:p>
    <w:p>
      <w:pPr>
        <w:ind w:left="370" w:right="20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adequately maintain, enforce and protect our trade names, trademarks and patents could have an impact on the image and value of our brands and our ability to successfully enter new markets;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compete favorably in our highly competitive segment of the retail industry could impact our results;</w:t>
      </w:r>
    </w:p>
    <w:p>
      <w:pPr>
        <w:spacing w:after="0" w:line="70" w:lineRule="exact"/>
        <w:rPr>
          <w:rFonts w:ascii="Times New Roman" w:cs="Times New Roman" w:eastAsia="Times New Roman" w:hAnsi="Times New Roman"/>
          <w:sz w:val="20"/>
          <w:szCs w:val="20"/>
          <w:color w:val="1E1E1E"/>
        </w:rPr>
      </w:pPr>
    </w:p>
    <w:p>
      <w:pPr>
        <w:ind w:left="370" w:right="14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manage the life cycle of our brands and to remain current with fashion trends and launch new merchandise, product lines, and brands successfully could impact the value of our brands;</w:t>
      </w:r>
    </w:p>
    <w:p>
      <w:pPr>
        <w:spacing w:after="0" w:line="1" w:lineRule="exact"/>
        <w:rPr>
          <w:rFonts w:ascii="Times New Roman" w:cs="Times New Roman" w:eastAsia="Times New Roman" w:hAnsi="Times New Roman"/>
          <w:sz w:val="20"/>
          <w:szCs w:val="20"/>
          <w:color w:val="1E1E1E"/>
        </w:rPr>
      </w:pPr>
    </w:p>
    <w:p>
      <w:pPr>
        <w:ind w:left="37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impacted by our ability to adequately source materials and produce, distribute and sell merchandise on a global basis;</w:t>
      </w:r>
    </w:p>
    <w:p>
      <w:pPr>
        <w:spacing w:after="0" w:line="1" w:lineRule="exact"/>
        <w:rPr>
          <w:rFonts w:ascii="Times New Roman" w:cs="Times New Roman" w:eastAsia="Times New Roman" w:hAnsi="Times New Roman"/>
          <w:sz w:val="20"/>
          <w:szCs w:val="20"/>
          <w:color w:val="1E1E1E"/>
        </w:rPr>
      </w:pPr>
    </w:p>
    <w:p>
      <w:pPr>
        <w:ind w:left="370" w:right="6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rely on a number of production and distribution facilities located in the same vicinity, making our business susceptible to local and regional disruptions or adverse conditions;</w:t>
      </w:r>
    </w:p>
    <w:p>
      <w:pPr>
        <w:spacing w:after="0" w:line="1" w:lineRule="exact"/>
        <w:rPr>
          <w:rFonts w:ascii="Times New Roman" w:cs="Times New Roman" w:eastAsia="Times New Roman" w:hAnsi="Times New Roman"/>
          <w:sz w:val="20"/>
          <w:szCs w:val="20"/>
          <w:color w:val="1E1E1E"/>
        </w:rPr>
      </w:pPr>
    </w:p>
    <w:p>
      <w:pPr>
        <w:ind w:left="370" w:right="70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impacted by our vendors’ ability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results may be affected by fluctuations in freight, product input and energy costs, including those caused by inflation;</w:t>
      </w:r>
    </w:p>
    <w:p>
      <w:pPr>
        <w:spacing w:after="0" w:line="70" w:lineRule="exact"/>
        <w:rPr>
          <w:rFonts w:ascii="Times New Roman" w:cs="Times New Roman" w:eastAsia="Times New Roman" w:hAnsi="Times New Roman"/>
          <w:sz w:val="20"/>
          <w:szCs w:val="20"/>
          <w:color w:val="1E1E1E"/>
        </w:rPr>
      </w:pPr>
    </w:p>
    <w:p>
      <w:pPr>
        <w:ind w:left="370" w:right="48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Climate change and other sustainability-related matters, and related legal, regulatory and market responses to climate change, may adversely impact our business;</w:t>
      </w:r>
    </w:p>
    <w:p>
      <w:pPr>
        <w:spacing w:after="0" w:line="1" w:lineRule="exact"/>
        <w:rPr>
          <w:rFonts w:ascii="Times New Roman" w:cs="Times New Roman" w:eastAsia="Times New Roman" w:hAnsi="Times New Roman"/>
          <w:sz w:val="20"/>
          <w:szCs w:val="20"/>
          <w:color w:val="1E1E1E"/>
        </w:rPr>
      </w:pPr>
    </w:p>
    <w:p>
      <w:pPr>
        <w:ind w:left="370" w:right="28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adequately protect our assets from loss and theft could have an adverse effect on our reputation, results of operations, financial condition and cash flows;</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self-insure certain risks and may be impacted by unfavorable claims experience;</w:t>
      </w:r>
    </w:p>
    <w:p>
      <w:pPr>
        <w:spacing w:after="0" w:line="70" w:lineRule="exact"/>
        <w:rPr>
          <w:rFonts w:ascii="Times New Roman" w:cs="Times New Roman" w:eastAsia="Times New Roman" w:hAnsi="Times New Roman"/>
          <w:sz w:val="20"/>
          <w:szCs w:val="20"/>
          <w:color w:val="1E1E1E"/>
        </w:rPr>
      </w:pPr>
    </w:p>
    <w:p>
      <w:pPr>
        <w:ind w:left="370" w:hanging="370"/>
        <w:spacing w:after="0" w:line="281" w:lineRule="auto"/>
        <w:tabs>
          <w:tab w:leader="none" w:pos="37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significantly rely on our and our third-party service providers’ ability to implement and sustain information technology systems and to protect associated data and system availability;</w:t>
      </w:r>
    </w:p>
    <w:p>
      <w:pPr>
        <w:sectPr>
          <w:pgSz w:w="11880" w:h="15480" w:orient="portrait"/>
          <w:cols w:equalWidth="0" w:num="1">
            <w:col w:w="10210"/>
          </w:cols>
          <w:pgMar w:left="810" w:top="446" w:right="860" w:bottom="0" w:gutter="0" w:footer="0" w:header="0"/>
        </w:sectPr>
      </w:pPr>
    </w:p>
    <w:p>
      <w:pPr>
        <w:spacing w:after="0" w:line="335"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210"/>
          </w:cols>
          <w:pgMar w:left="810" w:top="446" w:right="860" w:bottom="0" w:gutter="0" w:footer="0" w:header="0"/>
          <w:type w:val="continuous"/>
        </w:sectPr>
      </w:pPr>
    </w:p>
    <w:bookmarkStart w:id="16" w:name="page17"/>
    <w:bookmarkEnd w:id="16"/>
    <w:p>
      <w:pPr>
        <w:ind w:left="370" w:right="20" w:hanging="370"/>
        <w:spacing w:after="0" w:line="266" w:lineRule="auto"/>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Any significant cybersecurity compromise or breach, including with respect to customer, associate, third-party or company information, could have a material adverse effect on our reputation, results of operations, financial condition and cash flows;</w:t>
      </w:r>
    </w:p>
    <w:p>
      <w:pPr>
        <w:spacing w:after="0" w:line="15" w:lineRule="exact"/>
        <w:rPr>
          <w:rFonts w:ascii="Times New Roman" w:cs="Times New Roman" w:eastAsia="Times New Roman" w:hAnsi="Times New Roman"/>
          <w:sz w:val="20"/>
          <w:szCs w:val="20"/>
          <w:color w:val="1E1E1E"/>
        </w:rPr>
      </w:pPr>
    </w:p>
    <w:p>
      <w:pPr>
        <w:ind w:left="370" w:right="140" w:hanging="370"/>
        <w:spacing w:after="0" w:line="266" w:lineRule="auto"/>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spacing w:after="0" w:line="15" w:lineRule="exact"/>
        <w:rPr>
          <w:rFonts w:ascii="Times New Roman" w:cs="Times New Roman" w:eastAsia="Times New Roman" w:hAnsi="Times New Roman"/>
          <w:sz w:val="20"/>
          <w:szCs w:val="20"/>
          <w:color w:val="1E1E1E"/>
        </w:rPr>
      </w:pPr>
    </w:p>
    <w:p>
      <w:pPr>
        <w:ind w:left="370" w:right="80" w:hanging="370"/>
        <w:spacing w:after="0" w:line="281" w:lineRule="auto"/>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Shareholder activism could cause us to incur significant expense, hinder execution of our business strategy and impact our stock price;</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adversely impacted by our ability to comply with regulatory requirements;</w:t>
      </w:r>
    </w:p>
    <w:p>
      <w:pPr>
        <w:spacing w:after="0" w:line="70"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adversely impacted by certain compliance or legal matters; and</w:t>
      </w:r>
    </w:p>
    <w:p>
      <w:pPr>
        <w:spacing w:after="0" w:line="70"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impacted by changes in taxation, trade and other regulatory requirements.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Risks Relating to Our Indebtedness</w:t>
      </w:r>
    </w:p>
    <w:p>
      <w:pPr>
        <w:spacing w:after="0" w:line="77" w:lineRule="exact"/>
        <w:rPr>
          <w:sz w:val="20"/>
          <w:szCs w:val="20"/>
          <w:color w:val="auto"/>
        </w:rPr>
      </w:pPr>
    </w:p>
    <w:p>
      <w:pPr>
        <w:ind w:left="370" w:hanging="370"/>
        <w:spacing w:after="0" w:line="281" w:lineRule="auto"/>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have debt obligations that could restrict our business and adversely impact our results of operations, financial condition and cash flows; and</w:t>
      </w:r>
    </w:p>
    <w:p>
      <w:pPr>
        <w:spacing w:after="0" w:line="1"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maintain our credit rating could affect our ability to access capital and could increase our interest expense.</w:t>
      </w:r>
    </w:p>
    <w:p>
      <w:pPr>
        <w:spacing w:after="0" w:line="82" w:lineRule="exact"/>
        <w:rPr>
          <w:rFonts w:ascii="Times New Roman" w:cs="Times New Roman" w:eastAsia="Times New Roman" w:hAnsi="Times New Roman"/>
          <w:sz w:val="20"/>
          <w:szCs w:val="20"/>
          <w:color w:val="1E1E1E"/>
        </w:rPr>
      </w:pPr>
    </w:p>
    <w:p>
      <w:pPr>
        <w:ind w:left="1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b w:val="1"/>
          <w:bCs w:val="1"/>
          <w:color w:val="1E1E1E"/>
        </w:rPr>
        <w:t>Risks Relating to Our Common Stock</w:t>
      </w:r>
    </w:p>
    <w:p>
      <w:pPr>
        <w:spacing w:after="0" w:line="77"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price of our common stock has fluctuated significantly and may continue to fluctuate significantly;</w:t>
      </w:r>
    </w:p>
    <w:p>
      <w:pPr>
        <w:spacing w:after="0" w:line="70" w:lineRule="exact"/>
        <w:rPr>
          <w:rFonts w:ascii="Times New Roman" w:cs="Times New Roman" w:eastAsia="Times New Roman" w:hAnsi="Times New Roman"/>
          <w:sz w:val="20"/>
          <w:szCs w:val="20"/>
          <w:color w:val="1E1E1E"/>
        </w:rPr>
      </w:pPr>
    </w:p>
    <w:p>
      <w:pPr>
        <w:ind w:left="370" w:right="100" w:hanging="370"/>
        <w:spacing w:after="0" w:line="281" w:lineRule="auto"/>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Provisions in our Certificate of Incorporation and Bylaws and certain provisions of Delaware law could delay or prevent a change in control of the Company;</w:t>
      </w:r>
    </w:p>
    <w:p>
      <w:pPr>
        <w:spacing w:after="0" w:line="1" w:lineRule="exact"/>
        <w:rPr>
          <w:rFonts w:ascii="Times New Roman" w:cs="Times New Roman" w:eastAsia="Times New Roman" w:hAnsi="Times New Roman"/>
          <w:sz w:val="20"/>
          <w:szCs w:val="20"/>
          <w:color w:val="1E1E1E"/>
        </w:rPr>
      </w:pPr>
    </w:p>
    <w:p>
      <w:pPr>
        <w:ind w:left="370" w:right="200" w:hanging="370"/>
        <w:spacing w:after="0" w:line="266" w:lineRule="auto"/>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15"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Your percentage ownership in the Company may be diluted in the future; and</w:t>
      </w:r>
    </w:p>
    <w:p>
      <w:pPr>
        <w:spacing w:after="0" w:line="70" w:lineRule="exact"/>
        <w:rPr>
          <w:rFonts w:ascii="Times New Roman" w:cs="Times New Roman" w:eastAsia="Times New Roman" w:hAnsi="Times New Roman"/>
          <w:sz w:val="20"/>
          <w:szCs w:val="20"/>
          <w:color w:val="1E1E1E"/>
        </w:rPr>
      </w:pPr>
    </w:p>
    <w:p>
      <w:pPr>
        <w:ind w:left="370" w:right="360" w:hanging="370"/>
        <w:spacing w:after="0" w:line="281" w:lineRule="auto"/>
        <w:tabs>
          <w:tab w:leader="none" w:pos="370"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common stock is and will be subordinate to all of our current and future indebtedness and any preferred stock, and effectively subordinate to all indebtedness and preferred equity claims against our subsidiaries.</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Risks Relating to the Separation</w:t>
      </w:r>
    </w:p>
    <w:p>
      <w:pPr>
        <w:spacing w:after="0" w:line="77" w:lineRule="exact"/>
        <w:rPr>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not realize the anticipated benefits from the Separation, and the Separation could harm our business; and</w:t>
      </w:r>
    </w:p>
    <w:p>
      <w:pPr>
        <w:spacing w:after="0" w:line="70" w:lineRule="exact"/>
        <w:rPr>
          <w:rFonts w:ascii="Times New Roman" w:cs="Times New Roman" w:eastAsia="Times New Roman" w:hAnsi="Times New Roman"/>
          <w:sz w:val="20"/>
          <w:szCs w:val="20"/>
          <w:color w:val="1E1E1E"/>
        </w:rPr>
      </w:pPr>
    </w:p>
    <w:p>
      <w:pPr>
        <w:ind w:left="370" w:right="20" w:hanging="370"/>
        <w:spacing w:after="0" w:line="266" w:lineRule="auto"/>
        <w:tabs>
          <w:tab w:leader="none" w:pos="370" w:val="left"/>
        </w:tabs>
        <w:numPr>
          <w:ilvl w:val="0"/>
          <w:numId w:val="1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RISK FACTORS</w:t>
      </w:r>
    </w:p>
    <w:p>
      <w:pPr>
        <w:spacing w:after="0" w:line="117" w:lineRule="exact"/>
        <w:rPr>
          <w:sz w:val="20"/>
          <w:szCs w:val="20"/>
          <w:color w:val="auto"/>
        </w:rPr>
      </w:pPr>
    </w:p>
    <w:p>
      <w:pPr>
        <w:ind w:left="10" w:right="220"/>
        <w:spacing w:after="0" w:line="258" w:lineRule="auto"/>
        <w:rPr>
          <w:sz w:val="20"/>
          <w:szCs w:val="20"/>
          <w:color w:val="auto"/>
        </w:rPr>
      </w:pPr>
      <w:r>
        <w:rPr>
          <w:rFonts w:ascii="Times New Roman" w:cs="Times New Roman" w:eastAsia="Times New Roman" w:hAnsi="Times New Roman"/>
          <w:sz w:val="20"/>
          <w:szCs w:val="20"/>
          <w:color w:val="1E1E1E"/>
        </w:rPr>
        <w:t>You should carefully consider each of the following risks and all of the other information contained in this Annual Report on Form 10-K. Some of these risks relate principally to our business and operations, to our outstanding indebtedness, or to ownership of our common stock, while others related principally to the Separation. Our business, prospects, results of operations, financial condition or cash flows could be materially and adversely affected by any of these risks, as well as additional risks not presently known to us or that we currently deem immaterial.</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Risks Relating to Our Business</w:t>
      </w:r>
    </w:p>
    <w:p>
      <w:pPr>
        <w:spacing w:after="0" w:line="188" w:lineRule="exact"/>
        <w:rPr>
          <w:sz w:val="20"/>
          <w:szCs w:val="20"/>
          <w:color w:val="auto"/>
        </w:rPr>
      </w:pPr>
    </w:p>
    <w:p>
      <w:pPr>
        <w:ind w:left="10"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Adverse economic conditions have had and may continue to have an adverse effect on our business, results of operations and financial condition.</w:t>
      </w:r>
    </w:p>
    <w:p>
      <w:pPr>
        <w:spacing w:after="0" w:line="37"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20"/>
          <w:szCs w:val="20"/>
          <w:color w:val="1E1E1E"/>
        </w:rPr>
        <w:t>Adverse economic conditions in the United States and globally has had and may continue to have an adverse effect on our business, results of operations, and financial condition. The current macroeconomic environment is characterized by weakened consumer demand, inflation, supply chain challenges, labor shortages, high interest rates, foreign currency exchange volatility, volatility in global capital markets and risk of recession. Such economic conditions have and could continue to adversely affect our business, financial condition, results of operations and cash flows. Future economic deterioration or market disruptions could negatively impact us. An economic downturn or a recession, or the perception that any of these events may occur, or continued or increased economic uncertainty may also lead to increased credit risk, higher borrowing costs or reduced availability of capital and credit markets, reduced liquidity, asset impairments and adverse impacts on our suppliers and the financial institutions with whom we transact.</w:t>
      </w:r>
    </w:p>
    <w:p>
      <w:pPr>
        <w:sectPr>
          <w:pgSz w:w="11880" w:h="15480" w:orient="portrait"/>
          <w:cols w:equalWidth="0" w:num="1">
            <w:col w:w="10230"/>
          </w:cols>
          <w:pgMar w:left="810" w:top="45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230"/>
          </w:cols>
          <w:pgMar w:left="810" w:top="453" w:right="840" w:bottom="0" w:gutter="0" w:footer="0" w:header="0"/>
          <w:type w:val="continuous"/>
        </w:sectPr>
      </w:pPr>
    </w:p>
    <w:bookmarkStart w:id="17" w:name="page18"/>
    <w:bookmarkEnd w:id="17"/>
    <w:p>
      <w:pPr>
        <w:jc w:val="both"/>
        <w:ind w:right="280"/>
        <w:spacing w:after="0" w:line="271" w:lineRule="auto"/>
        <w:rPr>
          <w:sz w:val="20"/>
          <w:szCs w:val="20"/>
          <w:color w:val="auto"/>
        </w:rPr>
      </w:pPr>
      <w:r>
        <w:rPr>
          <w:rFonts w:ascii="Times New Roman" w:cs="Times New Roman" w:eastAsia="Times New Roman" w:hAnsi="Times New Roman"/>
          <w:sz w:val="19"/>
          <w:szCs w:val="19"/>
          <w:color w:val="1E1E1E"/>
        </w:rPr>
        <w:t>Our sales are impacted by discretionary spending by consumers, which tend to be adversely impacted by unfavorable local, regional, national or global economic conditions. Declines in consumer spending have and may continue to result in reduced demand for our products, increased inventories, lower revenues, higher promotional activity, and lower gross margins.</w:t>
      </w:r>
    </w:p>
    <w:p>
      <w:pPr>
        <w:ind w:right="200"/>
        <w:spacing w:after="0" w:line="255" w:lineRule="auto"/>
        <w:rPr>
          <w:sz w:val="20"/>
          <w:szCs w:val="20"/>
          <w:color w:val="auto"/>
        </w:rPr>
      </w:pPr>
      <w:r>
        <w:rPr>
          <w:rFonts w:ascii="Times New Roman" w:cs="Times New Roman" w:eastAsia="Times New Roman" w:hAnsi="Times New Roman"/>
          <w:sz w:val="20"/>
          <w:szCs w:val="20"/>
          <w:color w:val="1E1E1E"/>
        </w:rPr>
        <w:t>Continued volatility in the availability and prices for commodities and raw materials we use in our products and in our supply chain could have an adverse effect on our costs, gross margins, and profitability. In addition, we may be unable to access financing in the credit and capital markets at reasonable rates in the event we find it necessary or desirable to do so.</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1E1E1E"/>
        </w:rPr>
        <w:t>Our financial performance could be adversely impacted by inflationary pressures, which are subject to market conditions and impacted by fiscal and monetary policy. Inflationary pressures on the products we sell could impact our revenues and profitability, especially if we are unable to increase our retail prices to reflect increases in our costs. During fiscal years 2022 and 2023, we experienced levels of inflation that were higher than we have experienced in recent years, which impacted consumer confidence and spending patterns. Changes in consumer behavior impact our sales and profitability, and we are unable to predict the extent to which consumer behavior may be impacted by negative macroeconomic conditions, or how those trends will impact our business, results of operations and financial condition.</w:t>
      </w:r>
    </w:p>
    <w:p>
      <w:pPr>
        <w:spacing w:after="0" w:line="140"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Our revenue, results of operations and cash flows are sensitive to consumer confidence and spending patterns, and may be adversely affected by negative political or economic trends, geopolitical conflicts, significant health hazards or pandemics, severe weather or other market disruptions.</w:t>
      </w:r>
    </w:p>
    <w:p>
      <w:pPr>
        <w:spacing w:after="0" w:line="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Our revenue, results of operations, cash flows and future growth may be affected by negative local, regional, national or international political or economic trends or developments, including the effects of national and international security concerns such as war, terrorism or the threat thereof, to the extent such developments reduce consumers’ ability or willingness to spend. Ongoing geopolitical conflicts in Europe and the Middle East, as well as economic sanctions and other measures imposed in response thereto have created, and may continue to create, market disruption and volatility, supply chain disruptions, and instability in the geopolitical environment. These events and similar events in the future could have a material adverse effect on our customers, our international partners and our third-party suppliers, and may negatively impact our international digital sales and stores.</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In addition, market disruptions due to natural disasters, significant health hazards or pandemics, or other major events or the prospect of these events could also impact consumer spending and confidence levels. Similar to the disruption we experienced from the COVID-19 global pandemic, future pandemics, epidemics, disease outbreaks or other similar widespread public health concerns may disrupt our business, human capital, supply chain and production processes, which could have a material adverse effect on our results of operations and financial condition. Extreme weather conditions in the areas in which our stores, corporate offices, or production facilities are located, particularly in markets where we have multiple stores or production facilities, could adversely affect our business. Purchases of our products may decline during periods when economic or market conditions are volatile or weak. In such circumstances, we also may decide to increase our promotional activity, which could have a material adverse effect on our profitability, financial condition and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future success depends in part on our ability to successfully implement our strategic plan.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We are in the process of executing a long-term strategic plan to accelerate our core business performance, ignite growth, and transform our foundation. To support achievement of the strategic plan, we are implementing a significant number of strategic initiatives, including initiatives focused on building a customer-centric company, improving our products, how we go to market, and our customer experience, and expanding our global footprint. There can be no assurance that these or other future strategic initiatives will be successful to the extent we expect, or at all. In addition, we are investing significant resources in these initiatives and the costs of the initiatives may outweigh their benefits. We cannot give assurance that our management will be able to manage these initiatives effectively or implement them successfully. If we fail to implement our strategic plan effectively, or if our competitors are more successful in implementing their strategic plans and initiatives than we are, our business and results of operation could be adversely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net sales, operating income, cash and inventory levels fluctuate on a seasonal basis.</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20"/>
          <w:szCs w:val="20"/>
          <w:color w:val="1E1E1E"/>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Seasonal fluctuations also affect our cash and inventory levels, since we usually order merchandise in advance of peak selling periods and sometimes before new fashion trends are confirmed by customer purchases. We must carry a significant amount of inventory, especially in the months preceding the holiday season selling period. If we are not successful in selling that inventory, we may have to sell the inventory at significantly reduced prices or may not be able to sell the inventory at all, which could have a material adverse effect on our results of operations, financial condition and cash flows.</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240"/>
          </w:cols>
          <w:pgMar w:left="820" w:top="453" w:right="820" w:bottom="0" w:gutter="0" w:footer="0" w:header="0"/>
          <w:type w:val="continuous"/>
        </w:sectPr>
      </w:pPr>
    </w:p>
    <w:bookmarkStart w:id="18" w:name="page19"/>
    <w:bookmarkEnd w:id="18"/>
    <w:p>
      <w:pPr>
        <w:ind w:right="300"/>
        <w:spacing w:after="0" w:line="316" w:lineRule="auto"/>
        <w:rPr>
          <w:sz w:val="20"/>
          <w:szCs w:val="20"/>
          <w:color w:val="auto"/>
        </w:rPr>
      </w:pPr>
      <w:r>
        <w:rPr>
          <w:rFonts w:ascii="Times New Roman" w:cs="Times New Roman" w:eastAsia="Times New Roman" w:hAnsi="Times New Roman"/>
          <w:sz w:val="19"/>
          <w:szCs w:val="19"/>
          <w:b w:val="1"/>
          <w:bCs w:val="1"/>
          <w:i w:val="1"/>
          <w:iCs w:val="1"/>
          <w:color w:val="1E1E1E"/>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In accordance with Section 404 of the Sarbanes-Oxley Act, our management is required to conduct an annual assessment of the effectiveness of our internal control over financial reporting and include a report on these internal controls in our Annual Reports on Form 10-K, and our independent registered public accounting firm is required to formally attest to the effectiveness of our internal controls. This process involves considerable time, attention, operating expenses and outside auditor fees, and may strain our internal resources, including accounting systems and resources.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We could also become subject to investigations by the NYSE,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Any of these events could have a material adverse effect on our business, financial condition, prospects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Turnover in company leadership or other key positions may have an adverse impact on our performance.</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1E1E1E"/>
        </w:rPr>
        <w:t>We may experience changes in key leadership or key positions in the future. The departure of key leadership personnel could result in the loss of significant knowledge, experience and expertise. This loss of knowledge and experience can be mitigated through successful promotions, hiring and transition, but there can be no assurance that we will be successful in such efforts. Attracting and retaining qualified senior leadership may be more challenging under adverse business conditions or a competitive labor market. Failure to attract and retain the right talent, or to smoothly manage the transition of responsibilities resulting from such turnover, could affect our ability to accomplish our strategic plans and may cause us to miss performance objectives or financial targets or disrupt our relationships with our customers.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impacted by our ability to attract, develop and retain qualified associates and manage labor-related costs.</w:t>
      </w:r>
    </w:p>
    <w:p>
      <w:pPr>
        <w:spacing w:after="0" w:line="1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1E1E1E"/>
        </w:rPr>
        <w:t>We believe one of our key competitive advantages is providing a positive, engaging and satisfying experience for each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and during certain times of the year. Competition for such qualified individuals or changes in labor and healthcare laws could cause us to incur higher labor costs. As certain jobs and employers increasingly operate remotely, traditional geographic competition for talent may change in ways that cannot be fully predicted at this time.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net sales depend on a volume of traffic to our stores and the availability of suitable store locations on satisfactory terms.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1E1E1E"/>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Part of our future growth is significantly dependent on our ability to operate stores in desirable locations with capital investment and lease costs providing the opportunity to earn a reasonable return. The market for prime retail real estate is competitive. We cannot be sure as to when or whether such desirable locations will become available to us at reasonable costs and on satisfactory lease or other terms. Some of our store locations require significant upfront capital investment and have material lease commitments. If we determine that it is no longer economical to operate a store and decide to close it, we may remain obligated under the applicable lease for, among other things, payment of the base rent for the balance of the lease term. A dispute regarding our leases may result in litigation with the respective landlord, and any such dispute could be costly and have an uncertain outcome. Additionally, we are dependent upon the suitability of the lease spaces that we currently use.</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240"/>
          </w:cols>
          <w:pgMar w:left="820" w:top="444" w:right="820" w:bottom="0" w:gutter="0" w:footer="0" w:header="0"/>
          <w:type w:val="continuous"/>
        </w:sectPr>
      </w:pPr>
    </w:p>
    <w:bookmarkStart w:id="19" w:name="page20"/>
    <w:bookmarkEnd w:id="19"/>
    <w:p>
      <w:pPr>
        <w:ind w:right="380"/>
        <w:spacing w:after="0" w:line="281" w:lineRule="auto"/>
        <w:rPr>
          <w:sz w:val="20"/>
          <w:szCs w:val="20"/>
          <w:color w:val="auto"/>
        </w:rPr>
      </w:pPr>
      <w:r>
        <w:rPr>
          <w:rFonts w:ascii="Times New Roman" w:cs="Times New Roman" w:eastAsia="Times New Roman" w:hAnsi="Times New Roman"/>
          <w:sz w:val="20"/>
          <w:szCs w:val="20"/>
          <w:color w:val="1E1E1E"/>
        </w:rPr>
        <w:t>These risks could have a material adverse effect on our ability to grow and our results of operations, financial condition and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grow depends in part on new store openings and existing store remodels and right-sizing.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Our continued growth and success will depend in part on our ability to open and operate new stores and right-size and remodel existing stores in a timely and profitable manner. Our ability to open new stores depends upon a number of factors, including the ability to partner with developers and landlords to obtain suitable sites for new stores at acceptable costs, the availability and cost of materials and contractors, the hiring and training of qualified personnel and the integration of new stores into existing operations. There can be no assurance we will be able to achieve our initiatives regarding opening new stores and rightsizing and remodeling existing stores, manage our growth effectively, successfully integrate new stores into our operations or operate our new, right-sized, remodeled and existing stores profitably. These risks could have a material adverse effect on our ability to grow and results of operations, financial condition and cash flows.</w:t>
      </w:r>
    </w:p>
    <w:p>
      <w:pPr>
        <w:spacing w:after="0" w:line="14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international operations and our plans for international expansion include risks that could impact our results and reputation.</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We intend to continue our international operations and further expand into international markets through partner and/or joint venture arrangements. The risks associated with international markets are numerous and include difficulties in attracting customers due to a lack of customer familiarity with our brands and our lack of familiarity with local customer preferences. Any of these difficulties may lead to disruption in the overall timing or profitability of our international expansion efforts. Further, entry into new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These risks could have a material adverse effect on our results of operations, financial condition and cash flows.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Further, our results of operations and financial condition may be adversely affected by fluctuations in currency exchange rates. 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From time to time we use foreign currency forward contracts to hedge certain foreign currency risks; however, these measures may not succeed in offsetting all of the short-term negative impacts of foreign currency rate movements on our business and results of operations. For example,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40"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licensees, franchisees, wholesalers, and joint venture partners could take actions or omissions that could harm our business or the image of our brands.</w:t>
      </w:r>
    </w:p>
    <w:p>
      <w:pPr>
        <w:spacing w:after="0" w:line="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1E1E1E"/>
        </w:rPr>
        <w:t>We have global representation through independently owned stores operated by our third-party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limited control as to whether our partners comply with federal and local law. The image of our brands and our reputation may suffer materially, and our sales and operating income could decline if our partners do not operate successfully. These risks could have an adverse effect on our results of operations, financial condition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direct channel business is subject to risks that could have an adverse effect on our results.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Our ability to successfully operate and grow our digital operations is subject to numerous risks that could have a material adverse effect on our business and results of operations. Risks include the difficulty in recreating our unique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our ability to keep up with drastic shifts in customer demand, such as we saw with the COVID-19 pandemic; and the failure of and risks related to the systems that operate our digital infrastructure, websites and the related support systems, including computer viruses, theft of customer information, privacy concerns, telecommunication failures and electronic break-ins and similar disruptions.</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260"/>
          </w:cols>
          <w:pgMar w:left="820" w:top="453" w:right="800" w:bottom="0" w:gutter="0" w:footer="0" w:header="0"/>
          <w:type w:val="continuous"/>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20"/>
          <w:szCs w:val="20"/>
          <w:color w:val="1E1E1E"/>
        </w:rPr>
        <w:t>Our failure to maintain efficient and uninterrupted order-taking and fulfillment operations could also have a material adverse effect on our business and results of operations. The satisfaction of our online customers depends on their timely receipt of merchandise. If we encounter difficulties with our distribution facilities, or if the facilities were to shut down for any reason, including as a result of natural disaster, severe weather or labor stoppage, we could face shortages of inventory. Supply chain or product transportation challenges have caused and could continue to cause us to incur higher costs and longer lead times associated with distributing our products to our customers.</w:t>
      </w:r>
    </w:p>
    <w:p>
      <w:pPr>
        <w:spacing w:after="0" w:line="6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1E1E1E"/>
        </w:rPr>
        <w:t>Any of these issues could cause customer dissatisfaction, reduced sales and profitability and have a material adverse effect on our operations, financial condition and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realize the potential benefits and synergies sought with the acquisition of Adore Me.</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1E1E1E"/>
        </w:rPr>
        <w:t>During 2022, we acquired Adore Me as part of our strategic plan. The success of the acquisition, including anticipated benefits and synergies, will depend in part on our ability to successfully leverage Adore Me’s expertise and technology and to integrate the Adore Me business. We believe that there are significant benefits and synergies that may be realized, including as a result of leveraging Adore Me’s expertise and technology to improve the Victoria’s Secret and PINK customer shopping experience and accelerate the modernization of our digital platform. However, we may fail to realize these benefits and synergies for a variety of reasons, including:</w:t>
      </w:r>
    </w:p>
    <w:p>
      <w:pPr>
        <w:spacing w:after="0" w:line="88"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4"/>
          <w:szCs w:val="24"/>
          <w:color w:val="1E1E1E"/>
        </w:rPr>
      </w:pPr>
      <w:r>
        <w:rPr>
          <w:rFonts w:ascii="Times New Roman" w:cs="Times New Roman" w:eastAsia="Times New Roman" w:hAnsi="Times New Roman"/>
          <w:sz w:val="20"/>
          <w:szCs w:val="20"/>
          <w:color w:val="1E1E1E"/>
        </w:rPr>
        <w:t>failure to successfully manage relationships with customers, distributors and suppliers;</w:t>
      </w:r>
    </w:p>
    <w:p>
      <w:pPr>
        <w:spacing w:after="0" w:line="18" w:lineRule="exact"/>
        <w:rPr>
          <w:rFonts w:ascii="Arial" w:cs="Arial" w:eastAsia="Arial" w:hAnsi="Arial"/>
          <w:sz w:val="24"/>
          <w:szCs w:val="24"/>
          <w:color w:val="1E1E1E"/>
        </w:rPr>
      </w:pPr>
    </w:p>
    <w:p>
      <w:pPr>
        <w:ind w:left="720" w:hanging="370"/>
        <w:spacing w:after="0" w:line="234" w:lineRule="auto"/>
        <w:tabs>
          <w:tab w:leader="none" w:pos="720" w:val="left"/>
        </w:tabs>
        <w:numPr>
          <w:ilvl w:val="0"/>
          <w:numId w:val="17"/>
        </w:numPr>
        <w:rPr>
          <w:rFonts w:ascii="Arial" w:cs="Arial" w:eastAsia="Arial" w:hAnsi="Arial"/>
          <w:sz w:val="24"/>
          <w:szCs w:val="24"/>
          <w:color w:val="1E1E1E"/>
        </w:rPr>
      </w:pPr>
      <w:r>
        <w:rPr>
          <w:rFonts w:ascii="Times New Roman" w:cs="Times New Roman" w:eastAsia="Times New Roman" w:hAnsi="Times New Roman"/>
          <w:sz w:val="20"/>
          <w:szCs w:val="20"/>
          <w:color w:val="1E1E1E"/>
        </w:rPr>
        <w:t>failure of Adore Me’s customers to continue as customers of the combined company;</w:t>
      </w:r>
    </w:p>
    <w:p>
      <w:pPr>
        <w:spacing w:after="0" w:line="19" w:lineRule="exact"/>
        <w:rPr>
          <w:rFonts w:ascii="Arial" w:cs="Arial" w:eastAsia="Arial" w:hAnsi="Arial"/>
          <w:sz w:val="24"/>
          <w:szCs w:val="24"/>
          <w:color w:val="1E1E1E"/>
        </w:rPr>
      </w:pPr>
    </w:p>
    <w:p>
      <w:pPr>
        <w:ind w:left="720" w:right="200" w:hanging="370"/>
        <w:spacing w:after="0" w:line="264" w:lineRule="auto"/>
        <w:tabs>
          <w:tab w:leader="none" w:pos="720" w:val="left"/>
        </w:tabs>
        <w:numPr>
          <w:ilvl w:val="0"/>
          <w:numId w:val="17"/>
        </w:numPr>
        <w:rPr>
          <w:rFonts w:ascii="Calibri" w:cs="Calibri" w:eastAsia="Calibri" w:hAnsi="Calibri"/>
          <w:sz w:val="21"/>
          <w:szCs w:val="21"/>
          <w:color w:val="1E1E1E"/>
        </w:rPr>
      </w:pPr>
      <w:r>
        <w:rPr>
          <w:rFonts w:ascii="Times New Roman" w:cs="Times New Roman" w:eastAsia="Times New Roman" w:hAnsi="Times New Roman"/>
          <w:sz w:val="19"/>
          <w:szCs w:val="19"/>
          <w:color w:val="1E1E1E"/>
        </w:rPr>
        <w:t>potential incompatibility or difficulties integrating and harmonizing technologies to effectively leverage Adore Me’s technology to improve the Victoria’s Secret and PINK customer experience and to modernize our digital platform;</w:t>
      </w:r>
    </w:p>
    <w:p>
      <w:pPr>
        <w:spacing w:after="0" w:line="1" w:lineRule="exact"/>
        <w:rPr>
          <w:rFonts w:ascii="Calibri" w:cs="Calibri" w:eastAsia="Calibri" w:hAnsi="Calibri"/>
          <w:sz w:val="21"/>
          <w:szCs w:val="21"/>
          <w:color w:val="1E1E1E"/>
        </w:rPr>
      </w:pPr>
    </w:p>
    <w:p>
      <w:pPr>
        <w:ind w:left="720" w:hanging="370"/>
        <w:spacing w:after="0" w:line="237" w:lineRule="auto"/>
        <w:tabs>
          <w:tab w:leader="none" w:pos="720" w:val="left"/>
        </w:tabs>
        <w:numPr>
          <w:ilvl w:val="0"/>
          <w:numId w:val="17"/>
        </w:numPr>
        <w:rPr>
          <w:rFonts w:ascii="Arial" w:cs="Arial" w:eastAsia="Arial" w:hAnsi="Arial"/>
          <w:sz w:val="24"/>
          <w:szCs w:val="24"/>
          <w:color w:val="1E1E1E"/>
        </w:rPr>
      </w:pPr>
      <w:r>
        <w:rPr>
          <w:rFonts w:ascii="Times New Roman" w:cs="Times New Roman" w:eastAsia="Times New Roman" w:hAnsi="Times New Roman"/>
          <w:sz w:val="20"/>
          <w:szCs w:val="20"/>
          <w:color w:val="1E1E1E"/>
        </w:rPr>
        <w:t>integration may be more costly, time-consuming or less effective than anticipated;</w:t>
      </w:r>
    </w:p>
    <w:p>
      <w:pPr>
        <w:spacing w:after="0" w:line="17" w:lineRule="exact"/>
        <w:rPr>
          <w:rFonts w:ascii="Arial" w:cs="Arial" w:eastAsia="Arial" w:hAnsi="Arial"/>
          <w:sz w:val="24"/>
          <w:szCs w:val="24"/>
          <w:color w:val="1E1E1E"/>
        </w:rPr>
      </w:pPr>
    </w:p>
    <w:p>
      <w:pPr>
        <w:ind w:left="720" w:hanging="370"/>
        <w:spacing w:after="0" w:line="236" w:lineRule="auto"/>
        <w:tabs>
          <w:tab w:leader="none" w:pos="720" w:val="left"/>
        </w:tabs>
        <w:numPr>
          <w:ilvl w:val="0"/>
          <w:numId w:val="17"/>
        </w:numPr>
        <w:rPr>
          <w:rFonts w:ascii="Arial" w:cs="Arial" w:eastAsia="Arial" w:hAnsi="Arial"/>
          <w:sz w:val="24"/>
          <w:szCs w:val="24"/>
          <w:color w:val="1E1E1E"/>
        </w:rPr>
      </w:pPr>
      <w:r>
        <w:rPr>
          <w:rFonts w:ascii="Times New Roman" w:cs="Times New Roman" w:eastAsia="Times New Roman" w:hAnsi="Times New Roman"/>
          <w:sz w:val="20"/>
          <w:szCs w:val="20"/>
          <w:color w:val="1E1E1E"/>
        </w:rPr>
        <w:t>the loss of key employees; and</w:t>
      </w:r>
    </w:p>
    <w:p>
      <w:pPr>
        <w:spacing w:after="0" w:line="18" w:lineRule="exact"/>
        <w:rPr>
          <w:rFonts w:ascii="Arial" w:cs="Arial" w:eastAsia="Arial" w:hAnsi="Arial"/>
          <w:sz w:val="24"/>
          <w:szCs w:val="24"/>
          <w:color w:val="1E1E1E"/>
        </w:rPr>
      </w:pPr>
    </w:p>
    <w:p>
      <w:pPr>
        <w:ind w:left="720" w:hanging="370"/>
        <w:spacing w:after="0" w:line="234" w:lineRule="auto"/>
        <w:tabs>
          <w:tab w:leader="none" w:pos="720" w:val="left"/>
        </w:tabs>
        <w:numPr>
          <w:ilvl w:val="0"/>
          <w:numId w:val="17"/>
        </w:numPr>
        <w:rPr>
          <w:rFonts w:ascii="Arial" w:cs="Arial" w:eastAsia="Arial" w:hAnsi="Arial"/>
          <w:sz w:val="24"/>
          <w:szCs w:val="24"/>
          <w:color w:val="1E1E1E"/>
        </w:rPr>
      </w:pPr>
      <w:r>
        <w:rPr>
          <w:rFonts w:ascii="Times New Roman" w:cs="Times New Roman" w:eastAsia="Times New Roman" w:hAnsi="Times New Roman"/>
          <w:sz w:val="20"/>
          <w:szCs w:val="20"/>
          <w:color w:val="1E1E1E"/>
        </w:rPr>
        <w:t>failure to combine product offerings and purchase experiences efficiently and effectively.</w:t>
      </w:r>
    </w:p>
    <w:p>
      <w:pPr>
        <w:spacing w:after="0" w:line="9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1E1E1E"/>
        </w:rPr>
        <w:t>Further, our integration efforts could disrupt both companies’ existing operations and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spacing w:after="0" w:line="48"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20"/>
          <w:szCs w:val="20"/>
          <w:color w:val="1E1E1E"/>
        </w:rPr>
        <w:t>In addition, we may, from time to time, evaluate and pursue other strategic investments or acquisitions. These involve various inherent risks, including unanticipated liabilities or contingencies, and the benefits sought may not be realized. The acquisition of Adore Me or other strategic investments or acquisitions may not create value and may harm our brands and adversely affect our business, financial condition and results of operations.</w:t>
      </w:r>
    </w:p>
    <w:p>
      <w:pPr>
        <w:spacing w:after="0" w:line="134"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ability to incorporate artificial intelligence into our business operations successfully and ethically may affect our reputation and results of operations.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Our strategic plans and initiatives include investments in information technology, data science and artificial intelligence (“AI”). The use of AI and similar technology presents risks, challenges and ethical issues that could adversely affect our business. AI algorithms or training methodologies may have flaws and be prone to cybersecurity incidents or service interruptions. Data sets used by AI may be overbroad, insufficient or contain biased information. AI may generate offensive, illegal, inaccurate, or otherwise harmful content. If the work product that AI applications assist in producing is deficient, inaccurate or misleading, we could be subject to competitive harm, legal liability, regulatory action, and brand or reputational harm. Use of AI by our associates could increase the risk of exposure of confidential or competitively sensitive information. Privacy concerns and risks related to intellectual property rights of inputs into the program and AI work product are also present. If we enable or offer AI solutions that have unintended consequences, unintended usage or customization by our associates, customers or partners, or are controversial because of their impact on human rights, privacy, security, employment, or other social, economic or political issues, we may experience reputational harm, regulatory action and legal liability. Further, we may be unable to quickly and successfully adapt to rapid change resulting from advancements in AI and similar technology, or our competitors may have more success implementing and utilizing such technology than we do. Any of these risks could have an adverse effect on our reputation and results of operations.</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240"/>
          </w:cols>
          <w:pgMar w:left="820" w:top="453" w:right="82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protect our reputation could have a material effect on the image and value of our brands.</w:t>
      </w:r>
    </w:p>
    <w:p>
      <w:pPr>
        <w:spacing w:after="0" w:line="11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1E1E1E"/>
        </w:rPr>
        <w:t>Our ability to maintain and refine our reputation is critical to the image and value of our brands. Our reputation could be jeopardized if we fail to maintain high standards for merchandise quality and corporate integrity. Any negative publicity, including information publicized through traditional or social media platforms, blogs, websites and other forums, may affect our reputation and brands and, consequently, reduce demand for our merchandise, even if such publicity is unverified or inaccurate.</w:t>
      </w:r>
    </w:p>
    <w:p>
      <w:pPr>
        <w:spacing w:after="0" w:line="6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1E1E1E"/>
        </w:rPr>
        <w:t>Failure to comply, or the perception that we have failed to comply, with ethical, social, product, labor, privacy and environmental standards, or related political sentiment, could also jeopardize our reputation and potentially lead to various adverse consumer actions, including boycotts. Additionally, organizations that provide information to investors on corporate governance and other matters have developed rating systems for evaluating companies on their approach to environmental, social and governance matters. Unfavorable ratings may also affect our reputation and the perception of our brands, which could have a negative impact on our financial performance and stock price. Failure to comply with local laws and regulations, to maintain an effective system of internal controls, to maintain the security of customer, associate, third-party and Company information or to provide accurate and timely financial statement disclosure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3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If our marketing, advertising and promotional programs are unsuccessful, or if our competitors are more effective with their programs than we are, our revenue or results of operations may be adversely affected.</w:t>
      </w:r>
    </w:p>
    <w:p>
      <w:pPr>
        <w:spacing w:after="0" w:line="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1E1E1E"/>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25"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ability to adequately maintain, enforce and protect our trade names, trademarks and patents could have an impact on the image and value of our brands and our ability to successfully enter new markets.</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We believe that our trade names, trademarks and patents are important assets and an essential element of our strategy, especially with respect to innovative new products and maintaining the integrity of our brands. We have applied for or obtained registration of our trade names, trademarks and patents in the U.S. and in many foreign countries. However,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our stores, or our websites, it could have a material adverse effect on the image of our brands and our reputation as well as our results of operations, financial condition and cash flows.</w:t>
      </w:r>
    </w:p>
    <w:p>
      <w:pPr>
        <w:spacing w:after="0" w:line="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1E1E1E"/>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licensing agreements, be required to pay significant royalties, settlements costs or damages, be required to rebrand our products or be prevented from selling some of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compete favorably in our highly competitive segment of the retail industry could impact our results.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The retail industry is highly competitive, especially with respect to the intimates, apparel and beauty markets. We compete for sales with a broad range of other retailers, including individual and chain specialty stores, department stores and discount retailers. In addition to the traditional store-based retailers, we also compete with direct marketers and retailers that sell similar merchandise and target customers through online channels. Brand image, marketing, design, price, service, assortment, quality, image presentation and fulfillment are all competitive factors in both the store-based and online channels.</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1E1E1E"/>
        </w:rPr>
        <w:t>Some of our competitors may have greater financial, marketing and other resources available to them. Trends across our product categories may favor our competitors, including the shift in customer preference to digital and omni-channel shopping. We rely to a greater degree than some of our competitors on physical locations in shopping malls and retail centers and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site locations and lease terms.</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240"/>
          </w:cols>
          <w:pgMar w:left="820" w:top="444" w:right="820" w:bottom="0" w:gutter="0" w:footer="0" w:header="0"/>
          <w:type w:val="continuous"/>
        </w:sectPr>
      </w:pPr>
    </w:p>
    <w:bookmarkStart w:id="22" w:name="page23"/>
    <w:bookmarkEnd w:id="22"/>
    <w:p>
      <w:pPr>
        <w:ind w:right="240"/>
        <w:spacing w:after="0" w:line="266" w:lineRule="auto"/>
        <w:rPr>
          <w:sz w:val="20"/>
          <w:szCs w:val="20"/>
          <w:color w:val="auto"/>
        </w:rPr>
      </w:pPr>
      <w:r>
        <w:rPr>
          <w:rFonts w:ascii="Times New Roman" w:cs="Times New Roman" w:eastAsia="Times New Roman" w:hAnsi="Times New Roman"/>
          <w:sz w:val="20"/>
          <w:szCs w:val="20"/>
          <w:color w:val="1E1E1E"/>
        </w:rPr>
        <w:t>Increased competition, combined with declines in mall or online website traffic, could result in price reductions, increased marketing expenditures and loss of pricing power and market share, any of which could have a material adverse effect on our results of operations, financial condition and cash flows.</w:t>
      </w:r>
    </w:p>
    <w:p>
      <w:pPr>
        <w:spacing w:after="0" w:line="126"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ability to manage the life cycle of our brands and to remain current with fashion trends and launch new merchandise, product lines, and brands successfully could impact the value of our brands.</w:t>
      </w:r>
    </w:p>
    <w:p>
      <w:pPr>
        <w:spacing w:after="0" w:line="3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Our success depends in part on management’s ability to effectively manage the life cycle of our brands and to anticipate and respond to changing fashion preferences and consumer demands and to translate market trends into appropriate, salable product offerings in a timely and effective manner. We are dependent on certain product categories,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and relevance of our brands. Customer demands and fashion trends change rapidly. If we are unable to successfully anticipate, identify or react to changing styles or trends or we misjudge the market for our products or any new product lines, our sales may decrease, potentially resulting in significant amounts of unsold inventory. In response, we may be forced to increase our marketing and promotional activity. These risks could have a material adverse effect on the value of our brands and our reputation as well as our results of operations, financial condition and cash flows.</w:t>
      </w:r>
    </w:p>
    <w:p>
      <w:pPr>
        <w:spacing w:after="0" w:line="14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We may be impacted by our ability to adequately source materials and produce, distribute and sell merchandise on a global basis.</w:t>
      </w:r>
    </w:p>
    <w:p>
      <w:pPr>
        <w:spacing w:after="0" w:line="3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1E1E1E"/>
        </w:rPr>
        <w:t>We source materials and produce merchandise in international markets and in our domestic market. We distribute merchandise globally to our partners, stores and customers in international locations. Many of our imports and exports are subject to a variety of customs regulations and international trade arrangements, including existing or potential duties, tariffs or safeguard quotas. We also compete with other companies for production facilities.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face a variety of risks associated with doing business on a global basis. For example:</w:t>
      </w:r>
    </w:p>
    <w:p>
      <w:pPr>
        <w:spacing w:after="0" w:line="110" w:lineRule="exact"/>
        <w:rPr>
          <w:sz w:val="20"/>
          <w:szCs w:val="20"/>
          <w:color w:val="auto"/>
        </w:rPr>
      </w:pPr>
    </w:p>
    <w:p>
      <w:pPr>
        <w:ind w:left="720" w:right="40" w:hanging="370"/>
        <w:spacing w:after="0" w:line="281" w:lineRule="auto"/>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political instability, wars and geopolitical conflicts, environmental hazards or natural disasters, which could negatively affect international economies, financial markets, supply chain operations and business activity;</w:t>
      </w:r>
    </w:p>
    <w:p>
      <w:pPr>
        <w:spacing w:after="0" w:line="41" w:lineRule="exact"/>
        <w:rPr>
          <w:rFonts w:ascii="Times New Roman" w:cs="Times New Roman" w:eastAsia="Times New Roman" w:hAnsi="Times New Roman"/>
          <w:sz w:val="20"/>
          <w:szCs w:val="20"/>
          <w:color w:val="1E1E1E"/>
        </w:rPr>
      </w:pPr>
    </w:p>
    <w:p>
      <w:pPr>
        <w:ind w:left="720" w:right="320" w:hanging="370"/>
        <w:spacing w:after="0" w:line="281" w:lineRule="auto"/>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significant health hazards or pandemics, which could result in closed factories, reduced workforces, scarcity of raw materials, and scrutiny or embargoing of goods produced in affected areas;</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imposition of new or retaliatory trade duties, sanctions or taxes and other charges on imports or exports;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evolving, new or complex legal and regulatory matters;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volatility in currency exchange rates and interest rates;</w:t>
      </w:r>
    </w:p>
    <w:p>
      <w:pPr>
        <w:spacing w:after="0" w:line="110" w:lineRule="exact"/>
        <w:rPr>
          <w:rFonts w:ascii="Times New Roman" w:cs="Times New Roman" w:eastAsia="Times New Roman" w:hAnsi="Times New Roman"/>
          <w:sz w:val="20"/>
          <w:szCs w:val="20"/>
          <w:color w:val="1E1E1E"/>
        </w:rPr>
      </w:pPr>
    </w:p>
    <w:p>
      <w:pPr>
        <w:jc w:val="both"/>
        <w:ind w:left="720" w:right="20" w:hanging="370"/>
        <w:spacing w:after="0" w:line="309" w:lineRule="auto"/>
        <w:tabs>
          <w:tab w:leader="none" w:pos="720" w:val="left"/>
        </w:tabs>
        <w:numPr>
          <w:ilvl w:val="0"/>
          <w:numId w:val="1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17" w:lineRule="exact"/>
        <w:rPr>
          <w:rFonts w:ascii="Times New Roman" w:cs="Times New Roman" w:eastAsia="Times New Roman" w:hAnsi="Times New Roman"/>
          <w:sz w:val="19"/>
          <w:szCs w:val="19"/>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delays or disruptions in shipping and transportation and related pricing impacts;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disruption due to labor disputes; and</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changing expectations regarding product safety due to new legislation or other factors.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1E1E1E"/>
        </w:rPr>
        <w:t>We also rely upon third-party transportation providers for substantially all of our product shipments, including shipments to and from our distribution centers, to our stores and to our customers. Our utilization of these delivery services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spacing w:after="0" w:line="13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We rely on a number of production and distribution facilities located in the same vicinity, making our business susceptible to local and regional disruptions or adverse conditions.</w:t>
      </w:r>
    </w:p>
    <w:p>
      <w:pPr>
        <w:spacing w:after="0" w:line="3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1E1E1E"/>
        </w:rPr>
        <w:t>To accelerate speed and agility in producing our beauty and personal care products, we rely heavily on production and distribution facilities in close proximity to our headquarters in central Ohio. In addition, a significant portion of our intimates and apparel products are produced in Southeast Asia. As a result of the geographic concentration of the production and distribution facilities that we rely upon, our operations are susceptible to local and regional factors, such as accidents, system failures, economic and extreme weather conditions, natural disasters, demographic and population changes, and other unforeseen or uncontrollable events and circumstances. Any significant interruption in the operations of these facilities could lead to inventory shortages, supply chain disruption or increased costs, which could have a material adverse effect on our results of operations, financial condition and cash flows.</w:t>
      </w:r>
    </w:p>
    <w:p>
      <w:pPr>
        <w:sectPr>
          <w:pgSz w:w="11880" w:h="15480" w:orient="portrait"/>
          <w:cols w:equalWidth="0" w:num="1">
            <w:col w:w="10240"/>
          </w:cols>
          <w:pgMar w:left="820" w:top="453" w:right="82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240"/>
          </w:cols>
          <w:pgMar w:left="820" w:top="453" w:right="820" w:bottom="0" w:gutter="0" w:footer="0" w:header="0"/>
          <w:type w:val="continuous"/>
        </w:sectPr>
      </w:pPr>
    </w:p>
    <w:bookmarkStart w:id="23" w:name="page24"/>
    <w:bookmarkEnd w:id="23"/>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We may be impacted by our vendors’ ability to manufacture and deliver products in a timely manner, meet quality standards and comply with applicable laws and regulations.</w:t>
      </w:r>
    </w:p>
    <w:p>
      <w:pPr>
        <w:spacing w:after="0" w:line="37"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19"/>
          <w:szCs w:val="19"/>
          <w:color w:val="1E1E1E"/>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1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1E1E1E"/>
        </w:rPr>
        <w:t>In addition, quality problems could result in product liability litigation or a widespread product recall that may negatively impact our reputation, sales and profitability. Even if a product liability claim is unsuccessful or is not fully pursued, the negative publicity surrounding any assertions could adversely impact our reputation with existing and potential customers and the image of our brands.</w:t>
      </w:r>
    </w:p>
    <w:p>
      <w:pPr>
        <w:spacing w:after="0" w:line="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1E1E1E"/>
        </w:rPr>
        <w:t>Our business could also suffer if our third-party vendors fail to comply with applicable laws, regulations or ethical standards. While our internal and supplier operating guidelines promote ethical business practices and our associates visit and monitor the operations of certain third-party vendors, we do not control these vendors or their operations. The violation of labor, environmental or other laws by our third-party vendors, or the divergence of a third-party vendor’s or partner’s labor or environmental practices from those generally accepted as ethical or appropriate, could disrupt the shipment of finished products to us or damage our reputation.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These risks could have a material adverse effect on our results of operations, financial condition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results may be affected by fluctuations in freight, product input and energy costs, including those caused by inflation.</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1E1E1E"/>
        </w:rPr>
        <w:t>Product input costs, including freight, labor and raw materials, fluctuate. Fluctuations in the price and availability of freight, labor and raw materials may result in an increase in our production costs. Increases in the cost of shipping, shipping materials or other order fulfillment logistics may affect the cost of our order fulfillment operations. Inflation can also have an adverse impact on us because increasing costs of materials and labor may adversely impact our profit margins, especially if we are not able to, or elect not to, pass these increases on to our customers. These risks could have a material adverse effect on our results of operations, financial condition and cash flows.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Energy costs may fluctuate as a result of inflation and other factors, including geopolitical conflicts and related economic sanctions. These fluctuations may result in an increase in our transportation costs for distribution, utility costs for our retail stores and costs to purchase products from our manufacturers. A rise in energy costs could adversely affect consumer spending and demand for our products and increase our operating costs, both of which could have a material adverse effect on our results of operations, financial condition and cash flows.</w:t>
      </w:r>
    </w:p>
    <w:p>
      <w:pPr>
        <w:spacing w:after="0" w:line="135"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Climate change and other sustainability-related matters, and related legal, regulatory and market responses to climate change, may adversely impact our business.</w:t>
      </w:r>
    </w:p>
    <w:p>
      <w:pPr>
        <w:spacing w:after="0" w:line="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1E1E1E"/>
        </w:rPr>
        <w:t>There is increasing concern that a gradual rise in global average temperatures due to increased concentration of carbon dioxide and other greenhouse gases in the atmosphere will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the types of apparel products that consumers purchase. These events could also compound adverse economic conditions and impact consumer confidence and discretionary spending. As a result, the effects of climate change could have a material adverse effect on our results of operations, financial condition and cash flows.</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In many countries, governmental bodies are considering or enacting new or additional legislation and regulations to reduce or mitigate the potential impacts of climate change. If we or our suppliers are required to comply with these laws and regulations, or if we take voluntary steps to reduce or mitigate our impact on climate change, we may experience increases in energy, production, transportation and raw materials costs, capital expenditures, insurance premiums and deductibles, and compliance-related costs, which could adversely impact our results of operation.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Any failure on our part to comply with climate change-related regulations could lead to adverse consumer actions and investment decisions by investors, as well as expose us to government enforcement and private litigation.</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1E1E1E"/>
        </w:rPr>
        <w:t>Execution of sustainability-related strategies and achievement of sustainability-related goals is subject to risks and uncertainties, many of which are outside our control. If we announce sustainability-related goals and targets, there can be no assurance that our stakeholders will agree with our strategies, and any perception, whether or not valid, that we have failed to achieve, or to act responsibly with respect to such matters or to comply with new or additional legal or regulatory requirements regarding climate change and other sustainability-related matters could result in adverse publicity and adversely affect our business and reputation.</w:t>
      </w:r>
    </w:p>
    <w:p>
      <w:pPr>
        <w:sectPr>
          <w:pgSz w:w="11880" w:h="15480" w:orient="portrait"/>
          <w:cols w:equalWidth="0" w:num="1">
            <w:col w:w="10260"/>
          </w:cols>
          <w:pgMar w:left="820" w:top="444" w:right="80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260"/>
          </w:cols>
          <w:pgMar w:left="820" w:top="444" w:right="800" w:bottom="0" w:gutter="0" w:footer="0" w:header="0"/>
          <w:type w:val="continuous"/>
        </w:sectPr>
      </w:pPr>
    </w:p>
    <w:bookmarkStart w:id="24" w:name="page25"/>
    <w:bookmarkEnd w:id="24"/>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ability to adequately protect our assets from loss and theft could have an adverse effect on our reputation, results of operations, financial condition and cash flows.</w:t>
      </w:r>
    </w:p>
    <w:p>
      <w:pPr>
        <w:spacing w:after="0" w:line="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Our assets are subject to loss, including those caused by illegal or unethical conduct by associates, customers, vendors or unaffiliated third parties, natural disasters and organized retail theft. We have experienced inventory shrinkage due to theft,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self-insure certain risks and may be impacted by unfavorable claims experience.</w:t>
      </w:r>
    </w:p>
    <w:p>
      <w:pPr>
        <w:spacing w:after="0" w:line="119"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9"/>
          <w:szCs w:val="19"/>
          <w:color w:val="1E1E1E"/>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10" w:lineRule="exact"/>
        <w:rPr>
          <w:sz w:val="20"/>
          <w:szCs w:val="20"/>
          <w:color w:val="auto"/>
        </w:rPr>
      </w:pPr>
    </w:p>
    <w:p>
      <w:pPr>
        <w:jc w:val="both"/>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We significantly rely on our and our third-party service providers’ ability to implement and sustain information technology systems and to protect associated data and system availability.</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protective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artificial intelligence, smartphones, tablets and other mobile devices may also heighten these and other operational risks. Despite the precautions we have taken, unanticipated problems or events may nevertheless cause failures in, or unauthorized access to, our and our third-party service providers’ and vendors’ information technology systems. Sustained or repeated system disruptions that interrupt our ability to process orders and deliver products to our customers and stores, impact our customers’ ability to access our websites, or expose confidential customer, merchandise, financial or other important information (including personal information) could have a material adverse effect on our results of operations, financial condition and cash flows.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In addition, from time to time, we make hardware, software and code modifications and upgrades to our information technology systems for point-of-sale, e-commerce, mobile applications,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cybersecurity, data integrity and system disruptions. Information technology system disruptions or data corruption, if not anticipated and appropriately mitigated, could have a material adverse effect on our operations, financial condition and cash flows.</w:t>
      </w:r>
    </w:p>
    <w:p>
      <w:pPr>
        <w:spacing w:after="0" w:line="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generally contractually require these service providers to implement and maintain a standard of security (such as implementing reasonable measures), we cannot control third parties and cannot guarantee that a security breach will not occur in their systems.</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240"/>
          </w:cols>
          <w:pgMar w:left="820" w:top="444" w:right="820" w:bottom="0" w:gutter="0" w:footer="0" w:header="0"/>
          <w:type w:val="continuous"/>
        </w:sectPr>
      </w:pPr>
    </w:p>
    <w:bookmarkStart w:id="25" w:name="page26"/>
    <w:bookmarkEnd w:id="25"/>
    <w:p>
      <w:pPr>
        <w:ind w:right="200"/>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Any significant cybersecurity compromise or breach, including with respect to customer, associate, third-party or company information, could have a material adverse effect on our reputation, results of operations, financial condition and cash flows.</w:t>
      </w:r>
    </w:p>
    <w:p>
      <w:pPr>
        <w:spacing w:after="0" w:line="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cybersecurity compromise or breach,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cybersecurity threats. Despite these measures, we may be vulnerable to targeted or random attacks on our systems that could lead to security breaches, phishing attacks, denial of service attacks, acts of vandalism, computer viruses, malware, ransomware, misplaced or lost data, programming and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remote or hybrid work policies and technologies that have continued following the COVID-19 pandemic). Furthermore, because the methods of cyber-attack and deception change frequently, are increasingly complex and sophisticated, and can originate from a wide variety of sources, including nation-state actors, despite our efforts to ensure the integrity of our systems and websites, it is possible that we may not be able to anticipate, detect, appropriately react and respond to, or implement effective preventative measures against, all cybersecurity incidents.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1E1E1E"/>
        </w:rPr>
        <w:t>We may be required to expend significant capital and other resources to protect against, respond to, and recover from any potential, attempted, existing or future cybersecurity incidents. As cybersecurity incidents continue to evolve, we may be required to expend significant additional resources to continue to modify and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among other things, have an adverse effect on the price of our common stock.</w:t>
      </w:r>
    </w:p>
    <w:p>
      <w:pPr>
        <w:spacing w:after="0" w:line="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While we currently maintain cybersecurity insurance, such insurance may not be sufficient in type or amount to cover us against claims related to breaches, failures or other cybersecurity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4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spacing w:after="0" w:line="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We are, and may increasingly become, subject to various laws, regulations and industry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Any failure by us to comply with such laws and regulations may have a material adverse effect on our results of operations, financial condition and cash flows.</w:t>
      </w:r>
    </w:p>
    <w:p>
      <w:pPr>
        <w:sectPr>
          <w:pgSz w:w="11880" w:h="15480" w:orient="portrait"/>
          <w:cols w:equalWidth="0" w:num="1">
            <w:col w:w="10260"/>
          </w:cols>
          <w:pgMar w:left="820" w:top="4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260"/>
          </w:cols>
          <w:pgMar w:left="820" w:top="444" w:right="800" w:bottom="0" w:gutter="0" w:footer="0" w:header="0"/>
          <w:type w:val="continuous"/>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20"/>
          <w:szCs w:val="20"/>
          <w:color w:val="1E1E1E"/>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We are also subject to international laws, regulations and standards in many jurisdictions, which apply broadly to the collection, use, retention, security, disclosure, transfer and other processing of personal information, for example, the E.U. General Data Protection Regulation (“GDPR”).</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These evolving compliance and operational requirements impose costs related to organizational changes, implementing additional protection technologies, training associates and engaging consultants. In addition, such requirements may require us to modify our data processing practices and policies, distract management or divert resources from other initiatives and projects. Any failure or perceived failure by us to comply with any applicable federal, state or similar foreign laws and regulations relating to data privacy and security could result in damage to our reputation, proceedings or litigation by governmental agencies or customers, including class action privacy litigation in certain jurisdictions, which could subject us to significant fines, sanctions, awards, penalties or judgments. Any of these risks could have a material adverse effect on our results of operations, financial condition and cash flows.</w:t>
      </w:r>
    </w:p>
    <w:p>
      <w:pPr>
        <w:spacing w:after="0" w:line="14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Shareholder activism could cause us to incur significant expense, hinder execution of our business strategy and impact our stock price.</w:t>
      </w:r>
    </w:p>
    <w:p>
      <w:pPr>
        <w:spacing w:after="0" w:line="3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1E1E1E"/>
        </w:rPr>
        <w:t>Shareholder activism, which can take many forms and arise in a variety of situations, could result in substantial costs and divert management’s and our Board of Directors’ attention and resources away from our business. Additionally, such shareholder activism could give rise to perceived uncertainties as to our future prospects,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results of operations and stock price could be adversely affected by any shareholder activism.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adversely impacted by our ability to comply with regulatory requirements.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1E1E1E"/>
        </w:rPr>
        <w:t>We are subject to numerous legal and regulatory requirements, including the Sarbanes-Oxley Act of 2002, the U.S. Foreign Corrupt Practices Act (the “FCPA”), the SEC rules and the NYSE listing standards, among others. Although we have put in place policies, procedures and internal controls aimed at ensuring compliance with applicable foreign and domestic laws and regulations, our associates, subcontractors, vendors, licensees, franchisees, joint venture partners, and other third parties could take actions that violate these laws and regulations. Any violations of such laws or regulations could have an adverse effect on our reputation, the market price of our common stock, and our results of operations, financial condition and cash flows.</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1E1E1E"/>
        </w:rPr>
        <w:t>It can be difficult to comply with sometimes conflicting regulations in local, national or foreign jurisdictions, as well as new or changing laws and regulations. Also, changes in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We may not be successful in managing regulatory changes impacting our business, and our responses to changes in the law could be costly and may negatively impact our operations. In addition, future acquisitions of foreign companies or new foreign ventures and any joint ventures with foreign companies could potentially lead to risks related to, among other things, increased exposure to foreign exchange rate changes, government price control, repatriation of profits and liabilities related to the FCPA.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adversely impacted by certain compliance or legal matters.</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1E1E1E"/>
        </w:rPr>
        <w:t>We, along with third parties we do business with, are subject to complex compliance requirements and litigation risks. Legal actions filed against us from time to time may include commercial, breach of contract, tort, intellectual property, customer, employment, wage and hour, data privacy, securities, anti-corruption and other claims, including purported class action lawsuits. The cost of defending against these types of claims or the ultimate resolution of such claims, whether by settlement or adverse court decision, may harm our business and results of operations. Further, potential claimants may be encouraged to bring suits based on a settlement from us or adverse court decisions against us. We cannot assess the likelihood that we will receive such claims or the outcome of any such claims, but if outcomes are negative, it could have a material adverse effect on our reputation, results of operations, financial condition and cash flows.</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260"/>
          </w:cols>
          <w:pgMar w:left="820" w:top="453" w:right="80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impacted by changes in taxation, trade and other regulatory requirements.</w:t>
      </w:r>
    </w:p>
    <w:p>
      <w:pPr>
        <w:spacing w:after="0" w:line="1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1E1E1E"/>
        </w:rPr>
        <w:t>We are subject to income tax in local, federal and foreign jurisdictions. In addition, our products are subject to import and excise duties and/or sales or value-added taxes in many jurisdictions. We are also subject to the examination of our tax returns and other tax matters by the IRS and other tax authorities and governmental bodies.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4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1E1E1E"/>
        </w:rPr>
        <w:t>There is increased uncertainty with respect to tax policy and trade relations between the U.S. and other countries. For example, the Organization for Economic Co-operation and Development (“OECD”) released an international tax framework for a global 15.0% minimum tax regime with effect beginning January 1, 2024. The Company will continue to monitor law changes and regulations in jurisdictions in which we operate. We continue to monitor the geopolitical tensions between the U.S. and China as both countries have imposed tariffs on the importation of certain product categories into the respective country. Major developments in tax policy or trade relations, such as the imposition of unilateral tariffs on imported products, could have a material adverse effect on our results of operations, financial condition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Relating to Our Indebtedness</w:t>
      </w:r>
    </w:p>
    <w:p>
      <w:pPr>
        <w:spacing w:after="0" w:line="18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We have debt obligations that could restrict our business and adversely impact our results of operations, financial condition and cash flows.</w:t>
      </w:r>
    </w:p>
    <w:p>
      <w:pPr>
        <w:spacing w:after="0" w:line="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1E1E1E"/>
        </w:rPr>
        <w:t>In connection with the Separation, we entered into a $400 million term loan facility and $750 million senior secured asset-based revolving credit facility and issued $600 million of senior notes, the proceeds of which we used to make the approximately $976 million cash payment to our Former Parent and to pay related fees and expenses. The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If our cash flow from operations declines, we may be unable to service or refinance our debt. Further, amounts borrowed under our term loan facility and senior secured asset-based revolving credit facility are subject to variable interest rates. Consequently, the current high interest rate environment results in higher borrowing costs for us and may limit our ability to refinance existing debt or obtain additional debt on favorable terms or at all.</w:t>
      </w:r>
    </w:p>
    <w:p>
      <w:pPr>
        <w:spacing w:after="0" w:line="60"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1E1E1E"/>
        </w:rPr>
        <w:t>Our debt obligations could restrict our future business strategies and have significant consequences on our future operations, including:</w:t>
      </w:r>
    </w:p>
    <w:p>
      <w:pPr>
        <w:spacing w:after="0" w:line="41"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Making it more difficult for us to meet our payment and other obligations under our outstanding debt;</w:t>
      </w:r>
    </w:p>
    <w:p>
      <w:pPr>
        <w:spacing w:after="0" w:line="110" w:lineRule="exact"/>
        <w:rPr>
          <w:rFonts w:ascii="Times New Roman" w:cs="Times New Roman" w:eastAsia="Times New Roman" w:hAnsi="Times New Roman"/>
          <w:sz w:val="20"/>
          <w:szCs w:val="20"/>
          <w:color w:val="1E1E1E"/>
        </w:rPr>
      </w:pPr>
    </w:p>
    <w:p>
      <w:pPr>
        <w:ind w:left="720" w:right="100" w:hanging="370"/>
        <w:spacing w:after="0" w:line="281" w:lineRule="auto"/>
        <w:tabs>
          <w:tab w:leader="none" w:pos="72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Resulting in an event of default if we fail to comply with the financial and other restrictive covenants contained in our debt agreements, which could result in all of our debt becoming immediately due and payable;</w:t>
      </w:r>
    </w:p>
    <w:p>
      <w:pPr>
        <w:spacing w:after="0" w:line="41" w:lineRule="exact"/>
        <w:rPr>
          <w:rFonts w:ascii="Times New Roman" w:cs="Times New Roman" w:eastAsia="Times New Roman" w:hAnsi="Times New Roman"/>
          <w:sz w:val="20"/>
          <w:szCs w:val="20"/>
          <w:color w:val="1E1E1E"/>
        </w:rPr>
      </w:pPr>
    </w:p>
    <w:p>
      <w:pPr>
        <w:ind w:left="720" w:right="40" w:hanging="370"/>
        <w:spacing w:after="0" w:line="281" w:lineRule="auto"/>
        <w:tabs>
          <w:tab w:leader="none" w:pos="72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Reducing the availability of our cash flow to fund working capital, capital expenditures, acquisitions and other general corporate purposes, and limiting our ability to obtain additional financing for these purposes;</w:t>
      </w:r>
    </w:p>
    <w:p>
      <w:pPr>
        <w:spacing w:after="0" w:line="41" w:lineRule="exact"/>
        <w:rPr>
          <w:rFonts w:ascii="Times New Roman" w:cs="Times New Roman" w:eastAsia="Times New Roman" w:hAnsi="Times New Roman"/>
          <w:sz w:val="20"/>
          <w:szCs w:val="20"/>
          <w:color w:val="1E1E1E"/>
        </w:rPr>
      </w:pPr>
    </w:p>
    <w:p>
      <w:pPr>
        <w:ind w:left="720" w:right="80" w:hanging="370"/>
        <w:spacing w:after="0" w:line="281" w:lineRule="auto"/>
        <w:tabs>
          <w:tab w:leader="none" w:pos="72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Limiting our flexibility in planning for, or reacting to, and increasing our vulnerability to, changes in our business, the industry in which we operate and the general economy; and</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Placing us at a competitive disadvantage compared to any of our competitors that have less debt or are less leveraged.</w:t>
      </w:r>
    </w:p>
    <w:p>
      <w:pPr>
        <w:spacing w:after="0" w:line="110"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20"/>
          <w:szCs w:val="20"/>
          <w:color w:val="1E1E1E"/>
        </w:rPr>
        <w:t>Any of the above-listed factors could have a material adverse effect on our business, financial condition and results of operations.</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We may also incur substantial additional indebtedness in the future. Any future indenture or credit agreements that we may enter into may include restrictive covenants that restrict or limit our ability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maintain our credit rating could affect our ability to access capital and could increase our interest expense.</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1E1E1E"/>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240"/>
          </w:cols>
          <w:pgMar w:left="820" w:top="444" w:right="82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1E1E1E"/>
        </w:rPr>
        <w:t>Risks Relating to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The price of our common stock has fluctuated significantly and may continue to fluctuate significantly.</w:t>
      </w:r>
    </w:p>
    <w:p>
      <w:pPr>
        <w:spacing w:after="0" w:line="119"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1E1E1E"/>
        </w:rPr>
        <w:t>The market price of our common stock has fluctuated significantly since the Separation, and may continue to fluctuate significantly due to a number of factors, many of which are beyond our control, including:</w:t>
      </w:r>
    </w:p>
    <w:p>
      <w:pPr>
        <w:spacing w:after="0" w:line="41"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Fluctuations in our quarterly or annual earnings results or those of other companies in our industry;</w:t>
      </w:r>
    </w:p>
    <w:p>
      <w:pPr>
        <w:spacing w:after="0" w:line="110" w:lineRule="exact"/>
        <w:rPr>
          <w:rFonts w:ascii="Times New Roman" w:cs="Times New Roman" w:eastAsia="Times New Roman" w:hAnsi="Times New Roman"/>
          <w:sz w:val="20"/>
          <w:szCs w:val="20"/>
          <w:color w:val="1E1E1E"/>
        </w:rPr>
      </w:pPr>
    </w:p>
    <w:p>
      <w:pPr>
        <w:ind w:left="720" w:right="100" w:hanging="370"/>
        <w:spacing w:after="0" w:line="281" w:lineRule="auto"/>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Failures of our operating results to meet the estimates of securities analysts or the expectations of our stockholders, or changes by securities analysts in their estimates of our future earnings;</w:t>
      </w:r>
    </w:p>
    <w:p>
      <w:pPr>
        <w:spacing w:after="0" w:line="4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Announcements by us or our partners, suppliers or competitors;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market valuations or earnings of other companies in our industry;</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laws or regulations which adversely affect our industry or us;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General economic, industry and stock market conditions;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Future significant sales of our common stock by our stockholders or the perception in the market of such sales;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Future issuances of our common stock by us; and</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other factors described in these “Risk Factors” and elsewhere in this Annual Report on Form 10-K.</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1E1E1E"/>
        </w:rPr>
        <w:t>These and other factors may cause the market price and demand for our common stock to fluctuate substantially, which may limit or prevent stockholders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3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Provisions in our Certificate of Incorporation and Bylaws and certain provisions of Delaware law could delay or prevent a change in control of the Company.</w:t>
      </w:r>
    </w:p>
    <w:p>
      <w:pPr>
        <w:spacing w:after="0" w:line="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The existence of certain provisions of our amended and restated certificate of incorporation (“Certificate of Incorporation”) and second amended and restated bylaws (“Bylaws”) and Delaware law could discourage, delay or prevent a change in control of the Company that stockholders may consider favorable. These include provisions:</w:t>
      </w:r>
    </w:p>
    <w:p>
      <w:pPr>
        <w:spacing w:after="0" w:line="55" w:lineRule="exact"/>
        <w:rPr>
          <w:sz w:val="20"/>
          <w:szCs w:val="20"/>
          <w:color w:val="auto"/>
        </w:rPr>
      </w:pPr>
    </w:p>
    <w:p>
      <w:pPr>
        <w:ind w:left="720" w:right="800" w:hanging="370"/>
        <w:spacing w:after="0" w:line="281" w:lineRule="auto"/>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Providing the right to our Board of Directors to issue one or more classes or series of preferred stock without stockholder approval;</w:t>
      </w:r>
    </w:p>
    <w:p>
      <w:pPr>
        <w:spacing w:after="0" w:line="41" w:lineRule="exact"/>
        <w:rPr>
          <w:rFonts w:ascii="Times New Roman" w:cs="Times New Roman" w:eastAsia="Times New Roman" w:hAnsi="Times New Roman"/>
          <w:sz w:val="20"/>
          <w:szCs w:val="20"/>
          <w:color w:val="1E1E1E"/>
        </w:rPr>
      </w:pPr>
    </w:p>
    <w:p>
      <w:pPr>
        <w:ind w:left="720" w:right="600" w:hanging="370"/>
        <w:spacing w:after="0" w:line="266" w:lineRule="auto"/>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Authorizing a large number of shares of common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55"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Prohibiting stockholders from taking action by written consent; and</w:t>
      </w:r>
    </w:p>
    <w:p>
      <w:pPr>
        <w:spacing w:after="0" w:line="110" w:lineRule="exact"/>
        <w:rPr>
          <w:rFonts w:ascii="Times New Roman" w:cs="Times New Roman" w:eastAsia="Times New Roman" w:hAnsi="Times New Roman"/>
          <w:sz w:val="20"/>
          <w:szCs w:val="20"/>
          <w:color w:val="1E1E1E"/>
        </w:rPr>
      </w:pPr>
    </w:p>
    <w:p>
      <w:pPr>
        <w:ind w:left="720" w:right="720" w:hanging="370"/>
        <w:spacing w:after="0" w:line="309" w:lineRule="auto"/>
        <w:tabs>
          <w:tab w:leader="none" w:pos="72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Establishing advance notice and other requirements for nominations of candidates for election to our Board of Directors or for proposing matters that can be acted on by stockholders at our annual stockholder meetings.</w:t>
      </w:r>
    </w:p>
    <w:p>
      <w:pPr>
        <w:spacing w:after="0" w:line="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We believe these provisions protect our stockholders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and our stockholders’ best interests.</w:t>
      </w:r>
    </w:p>
    <w:p>
      <w:pPr>
        <w:sectPr>
          <w:pgSz w:w="11880" w:h="15480" w:orient="portrait"/>
          <w:cols w:equalWidth="0" w:num="1">
            <w:col w:w="10220"/>
          </w:cols>
          <w:pgMar w:left="820" w:top="4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220"/>
          </w:cols>
          <w:pgMar w:left="820" w:top="446" w:right="840" w:bottom="0" w:gutter="0" w:footer="0" w:header="0"/>
          <w:type w:val="continuous"/>
        </w:sectPr>
      </w:pPr>
    </w:p>
    <w:bookmarkStart w:id="29" w:name="page30"/>
    <w:bookmarkEnd w:id="29"/>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Our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Pursuant to our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directors or officers or other employees or agents to us or to our stockholders, including a claim alleging the aiding and abetting of such a breach of fiduciary duty; (iii) any action asserting a claim against us or any of our directors or officers or other employees or agents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Bylaws may limit our stockholders’ ability to obtain a favorable judicial forum for disputes with us, result in increased costs for investors to bring a claim and affect the market price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Your percentage ownership in the Company may be diluted in the future.</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1E1E1E"/>
        </w:rPr>
        <w:t>Your percentage ownership in the Company may be diluted due to issuances of equity by us for acquisitions, strategic investments, capital market transactions or otherwise, including equity awards that we may grant to our directors, officers, employees and other service providers. From time to time, we may grant equity awards to our employees under our employee compensation and benefits plans. These awards would have a dilutive effect on our earnings per share, which could adversely affect the market price of our common stock.</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In addition, our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of Directors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residual value of our common stock.</w:t>
      </w:r>
    </w:p>
    <w:p>
      <w:pPr>
        <w:spacing w:after="0" w:line="14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1E1E1E"/>
        </w:rPr>
        <w:t>Our common stock is and will be subordinate to all of our current and future indebtedness and any preferred stock, and effectively subordinate to all indebtedness and preferred equity claims against our subsidiaries.</w:t>
      </w:r>
    </w:p>
    <w:p>
      <w:pPr>
        <w:spacing w:after="0" w:line="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1E1E1E"/>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Relating to the Separation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realize the anticipated benefits from the Separation, and the Separation could harm our business.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We may not be able to achieve the full strategic and financial benefits expected to result from the Separation, or such benefits may be delayed or not occur at all. The Separation is expected to enhance strategic and management focus and allow us to more efficiently and effectively allocate resources and deploy capital. If we fail to achieve some or all of the benefits expected to result from the Separation, or if such benefits are delayed, our business could be harmed. Further, following the Separation, our business is less diversified and has less scale than our Former Parent’s business prior to the Separation.</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240"/>
          </w:cols>
          <w:pgMar w:left="820" w:top="444" w:right="820" w:bottom="0" w:gutter="0" w:footer="0" w:header="0"/>
          <w:type w:val="continuous"/>
        </w:sectPr>
      </w:pPr>
    </w:p>
    <w:bookmarkStart w:id="30" w:name="page31"/>
    <w:bookmarkEnd w:id="30"/>
    <w:p>
      <w:pPr>
        <w:ind w:right="180"/>
        <w:spacing w:after="0" w:line="254" w:lineRule="auto"/>
        <w:rPr>
          <w:sz w:val="20"/>
          <w:szCs w:val="20"/>
          <w:color w:val="auto"/>
        </w:rPr>
      </w:pPr>
      <w:r>
        <w:rPr>
          <w:rFonts w:ascii="Times New Roman" w:cs="Times New Roman" w:eastAsia="Times New Roman" w:hAnsi="Times New Roman"/>
          <w:sz w:val="20"/>
          <w:szCs w:val="20"/>
          <w:color w:val="1E1E1E"/>
        </w:rPr>
        <w:t>We may experience certain operational disruptions in connection with the Separation as we transition to operating as an independent public company, including information technology disruptions as certain data, software, and other information technology assets and systems are transitioned or re-allocated between us and our Former Parent, or as we implement new systems or upgrades in connection with such transition. In addition, the efforts related to the separation of the information technology environment require significant resources that could impact our ability to keep pace with ongoing advancement of the information technology needs of the business. Our ability to effectively manage and operate our business depends significantly on information technology systems, and any failure, disruption, interruption, malfunction or other issue with respect to such systems could have a material adverse effect on our business and results of operations.</w:t>
      </w:r>
    </w:p>
    <w:p>
      <w:pPr>
        <w:spacing w:after="0" w:line="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1E1E1E"/>
        </w:rPr>
        <w:t>In connection with the Separation, our Former Parent agreed to indemnify us for certain liabilities, and we agreed to indemnify it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 Each of these risks could have a material adverse effect on our business, results of operations and financial condition.</w:t>
      </w:r>
    </w:p>
    <w:p>
      <w:pPr>
        <w:spacing w:after="0" w:line="139"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1E1E1E"/>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It is intended that the Separation, together with certain related transactions, will qualify as a generally tax-free “reorganization” within the meaning of Section 368(a)(1)(D) of the Internal Revenue Code (the “Code”) and a generally tax-free distribution within the meaning of Section 355 of the Code. The consummation of the Separation and the related transactions was conditioned upon the receipt of an opinion of certain of our tax advisers to the effect that such transactions will qualify for this intended tax treatment. In addition, it is intended that the Separation transaction generally will qualify as a series of transactions that are tax-free for U.S. federal income tax and applicable non-U.S. tax purposes. The opinion relies on certain representations, assumptions and undertakings, including those relating to the past and future conduct of our business, and the opinion would not be valid if such representations, assumptions and undertakings were incorrect. Notwithstanding the opinion, the Internal Revenue Service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our Former Parent or us after the Separation.</w:t>
      </w:r>
    </w:p>
    <w:p>
      <w:pPr>
        <w:spacing w:after="0" w:line="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If the Separation or related transactions fail to qualify for tax-free treatment due to a breach by us (or any of our subsidiaries) of any covenant or representation made by us in the Tax Matters Agreement between us and our Former Parent (the “Tax Matters Agreement”), we generally will be required to indemnify our Former Parent for all tax-related losses suffered by it. In addition, we will not control the resolution of any tax contest relating to taxes suffered by our Former Parent in connection with the Separation, and we may not control the resolution of tax contests relating to any other taxes for which we may ultimately have an indemnity obligation under the Tax Matters Agreement. In the event that our Former Parent suffers tax-related losses in connection with the Separation that must be indemnified by us under the Tax Matters Agreement, the indemnification liability could have a material adverse effect on us.</w:t>
      </w:r>
    </w:p>
    <w:p>
      <w:pPr>
        <w:spacing w:after="0" w:line="7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1E1E1E"/>
        </w:rPr>
        <w:t>If the Separation fails to qualify for tax-free treatment, for any reason, the Former Parent and/or holders of the Former Parent's common stock would be subject to substantial U.S. and/or applicable non-U.S. taxes as a result of the Separation and certain related transactions, and we could incur significant liabilities under applicable law or as a result of the Tax Matters Agreement.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1E1E1E"/>
        </w:rPr>
        <w:t>As a publicly traded company, we recognize the critical importance of effective cybersecurity risk management to safeguard our operations, protect sensitive information and ensure the trust of our customers and stakeholders.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 Management &amp; Strategy</w:t>
      </w:r>
    </w:p>
    <w:p>
      <w:pPr>
        <w:spacing w:after="0" w:line="11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1E1E1E"/>
        </w:rPr>
        <w:t>We maintain a robust cybersecurity risk management program designed to assess, identify and manage material risks from cybersecurity threats, which encompasses the following key components.</w:t>
      </w:r>
    </w:p>
    <w:p>
      <w:pPr>
        <w:sectPr>
          <w:pgSz w:w="11880" w:h="15480" w:orient="portrait"/>
          <w:cols w:equalWidth="0" w:num="1">
            <w:col w:w="10220"/>
          </w:cols>
          <w:pgMar w:left="820" w:top="45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220"/>
          </w:cols>
          <w:pgMar w:left="820" w:top="453" w:right="84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1E1E1E"/>
        </w:rPr>
        <w:t>Risk Assessment</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We regularly conduct comprehensive cybersecurity risk assessments to identify vulnerabilities, threats and potential impacts on our business operations and stakeholders. We actively monitor and gather threat intelligence to stay informed about emerging cyber threats and vulnerabilities relevant to our industry and operations. We engage independent third-party assessors for periodic cybersecurity program assessments against industry accepted frameworks and to perform technical penetration assessments. We assess ourselves against the Center for Internet Security Top 18 controls framework, the National Institute of Standards and Technology Cybersecurity Framework, the Payment Card Industry Data Security Standard and management defined technology controls to support our internal controls over financial reporting.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Incident Detection and Response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We have established procedures for monitoring network activities, detecting anomalies and responding to cybersecurity incidents promptly. We engage a specialized managed services firm to provide continuous monitoring and an initial level of incident response. We work with a leading cyber forensics firm to provide incident response services as needed. Our incident response and escalation procedures are documented to classify incidents according to defined thresholds. Our core incident response and extended incident response teams are cross-functional and include leaders across technology, legal, finance, asset protection, customer care, human resources, stores operations and communications. Protocols to notify our executive leadership team and Board of Directors are in place based on the severity of the incident.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Third-party Risk</w:t>
      </w:r>
    </w:p>
    <w:p>
      <w:pPr>
        <w:spacing w:after="0" w:line="11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20"/>
          <w:szCs w:val="20"/>
          <w:color w:val="1E1E1E"/>
        </w:rPr>
        <w:t>In addition to our own systems, we use third-party service providers to store, transmit and process information on our behalf. Third-party risk management is embedded in our cybersecurity risk management function. We leverage an independent cybersecurity assessment exchange service to gather information and provide real-time threat monitoring of our most critical third parties. We review relevant cybersecurity assessment reports and certifications from our third parties. Our standard contract terms also require third parties to maintain a standard level of security and controls.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Governance</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1E1E1E"/>
        </w:rPr>
        <w:t>Our cybersecurity risk management processes are integrated into our overall enterprise risk management system. Our Board of Directors (the “Board”) understands the critical nature of managing risks associated with cybersecurity threats. The Board has established robust oversight mechanisms to provide effective oversight of risks associated with cybersecurity.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Board of Directors Oversight</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The Audit Committee has been delegated the primary responsibility for the Board's oversight of cybersecurity risks. Executive summaries of our internal risk assessments, program initiatives, regulatory compliance and incident summaries are shared with our Audit Committee on a semi-annual basis, with additional updates as needed. Our third-party assessment and audit results, which are performed on an annual basis, and associated remediation plans are also shared with our Audit Committee. Additionally, our Internal Audit function independently conducts periodic reviews of our cybersecurity controls and reports the results of those reviews to the Audit Committee. The Audit Committee reports to the Board on cybersecurity risk oversight at least annually.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Role in Managing Cybersecurity Risk</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Our Chief Information Security Officer (“CISO”) has primary responsibility for assessing, monitoring, and managing our cybersecurity risks. Our CISO has over 25 years of security experience in executive leadership, operations, incident response, and consulting in various industries including retail, technology and healthcare, as well as support of Federal government agencies and intelligence. Our CISO reports to our Chief Information Officer (“CIO”), who is also responsible for overseeing cybersecurity risks and communicating with the Board and Audit Committee.</w:t>
      </w:r>
    </w:p>
    <w:p>
      <w:pPr>
        <w:spacing w:after="0" w:line="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We have a structured process to identify and oversee material cybersecurity risks. We maintain a robust set of cybersecurity policies that set the standards and expectations for our associates, contractors and vendors to follow. We report cybersecurity metrics quarterly to our technology leadership, including our CIO and CISO, and our Enterprise Risk Management team. We have an Executive Risk Council, comprised of executive leadership across the business, which is briefed quarterly on the latest cybersecurity threats impacting our business, and the progress of recent and ongoing cybersecurity program efforts, incidents and risk assessments. The Executive Risk Council provides input as needed to strengthen our cybersecurity controls and risk management.</w:t>
      </w:r>
    </w:p>
    <w:p>
      <w:pPr>
        <w:spacing w:after="0" w:line="7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1E1E1E"/>
        </w:rPr>
        <w:t>We do not believe that any risks we have identified from cybersecurity threats, including as a result of any previous cybersecurity incidents, have materially affected or are reasonably likely to materially affect our business strategy, results of operations or financial condition. For additional information regarding cybersecurity risks we are subject to, refer to “Item 1A. Risk Factors” in this Annual Report on Form 10-K.</w:t>
      </w:r>
    </w:p>
    <w:p>
      <w:pPr>
        <w:sectPr>
          <w:pgSz w:w="11880" w:h="15480" w:orient="portrait"/>
          <w:cols w:equalWidth="0" w:num="1">
            <w:col w:w="10220"/>
          </w:cols>
          <w:pgMar w:left="820" w:top="44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220"/>
          </w:cols>
          <w:pgMar w:left="820" w:top="444" w:right="84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the location, use and size of our distribution, corporate and product development facilities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February 3,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Approximate</w:t>
            </w:r>
          </w:p>
        </w:tc>
        <w:tc>
          <w:tcPr>
            <w:tcW w:w="0" w:type="dxa"/>
            <w:vAlign w:val="bottom"/>
          </w:tcPr>
          <w:p>
            <w:pPr>
              <w:spacing w:after="0"/>
              <w:rPr>
                <w:sz w:val="1"/>
                <w:szCs w:val="1"/>
                <w:color w:val="auto"/>
              </w:rPr>
            </w:pPr>
          </w:p>
        </w:tc>
      </w:tr>
      <w:tr>
        <w:trPr>
          <w:trHeight w:val="160"/>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1E1E1E"/>
              </w:rPr>
              <w:t>Location</w:t>
            </w:r>
          </w:p>
        </w:tc>
        <w:tc>
          <w:tcPr>
            <w:tcW w:w="60" w:type="dxa"/>
            <w:vAlign w:val="bottom"/>
          </w:tcPr>
          <w:p>
            <w:pPr>
              <w:spacing w:after="0"/>
              <w:rPr>
                <w:sz w:val="13"/>
                <w:szCs w:val="13"/>
                <w:color w:val="auto"/>
              </w:rPr>
            </w:pPr>
          </w:p>
        </w:tc>
        <w:tc>
          <w:tcPr>
            <w:tcW w:w="4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1E1E1E"/>
              </w:rPr>
              <w:t>Use</w:t>
            </w:r>
          </w:p>
        </w:tc>
        <w:tc>
          <w:tcPr>
            <w:tcW w:w="8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Square</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1E1E1E"/>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4400" w:type="dxa"/>
            <w:vAlign w:val="bottom"/>
            <w:tcBorders>
              <w:bottom w:val="single" w:sz="8" w:color="1E1E1E"/>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Footage</w:t>
            </w:r>
          </w:p>
        </w:tc>
        <w:tc>
          <w:tcPr>
            <w:tcW w:w="0" w:type="dxa"/>
            <w:vAlign w:val="bottom"/>
          </w:tcPr>
          <w:p>
            <w:pPr>
              <w:spacing w:after="0"/>
              <w:rPr>
                <w:sz w:val="1"/>
                <w:szCs w:val="1"/>
                <w:color w:val="auto"/>
              </w:rPr>
            </w:pPr>
          </w:p>
        </w:tc>
      </w:tr>
      <w:tr>
        <w:trPr>
          <w:trHeight w:val="275"/>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Columbus, Ohio area</w:t>
            </w:r>
          </w:p>
        </w:tc>
        <w:tc>
          <w:tcPr>
            <w:tcW w:w="60" w:type="dxa"/>
            <w:vAlign w:val="bottom"/>
            <w:shd w:val="clear" w:color="auto" w:fill="E2E2E2"/>
          </w:tcPr>
          <w:p>
            <w:pPr>
              <w:spacing w:after="0"/>
              <w:rPr>
                <w:sz w:val="23"/>
                <w:szCs w:val="23"/>
                <w:color w:val="auto"/>
              </w:rPr>
            </w:pPr>
          </w:p>
        </w:tc>
        <w:tc>
          <w:tcPr>
            <w:tcW w:w="4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Distribution, shipping and corporate offices</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2,945,000</w:t>
            </w:r>
          </w:p>
        </w:tc>
        <w:tc>
          <w:tcPr>
            <w:tcW w:w="0" w:type="dxa"/>
            <w:vAlign w:val="bottom"/>
          </w:tcPr>
          <w:p>
            <w:pPr>
              <w:spacing w:after="0"/>
              <w:rPr>
                <w:sz w:val="1"/>
                <w:szCs w:val="1"/>
                <w:color w:val="auto"/>
              </w:rPr>
            </w:pPr>
          </w:p>
        </w:tc>
      </w:tr>
      <w:tr>
        <w:trPr>
          <w:trHeight w:val="279"/>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New York</w:t>
            </w:r>
          </w:p>
        </w:tc>
        <w:tc>
          <w:tcPr>
            <w:tcW w:w="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Office, sourcing and product development/design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234,000</w:t>
            </w:r>
          </w:p>
        </w:tc>
        <w:tc>
          <w:tcPr>
            <w:tcW w:w="0" w:type="dxa"/>
            <w:vAlign w:val="bottom"/>
          </w:tcPr>
          <w:p>
            <w:pPr>
              <w:spacing w:after="0"/>
              <w:rPr>
                <w:sz w:val="1"/>
                <w:szCs w:val="1"/>
                <w:color w:val="auto"/>
              </w:rPr>
            </w:pP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Mexico</w:t>
            </w:r>
          </w:p>
        </w:tc>
        <w:tc>
          <w:tcPr>
            <w:tcW w:w="60" w:type="dxa"/>
            <w:vAlign w:val="bottom"/>
            <w:shd w:val="clear" w:color="auto" w:fill="E2E2E2"/>
          </w:tcPr>
          <w:p>
            <w:pPr>
              <w:spacing w:after="0"/>
              <w:rPr>
                <w:sz w:val="24"/>
                <w:szCs w:val="24"/>
                <w:color w:val="auto"/>
              </w:rPr>
            </w:pPr>
          </w:p>
        </w:tc>
        <w:tc>
          <w:tcPr>
            <w:tcW w:w="4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Distribution and shipping</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185,000</w:t>
            </w:r>
          </w:p>
        </w:tc>
        <w:tc>
          <w:tcPr>
            <w:tcW w:w="0" w:type="dxa"/>
            <w:vAlign w:val="bottom"/>
          </w:tcPr>
          <w:p>
            <w:pPr>
              <w:spacing w:after="0"/>
              <w:rPr>
                <w:sz w:val="1"/>
                <w:szCs w:val="1"/>
                <w:color w:val="auto"/>
              </w:rPr>
            </w:pPr>
          </w:p>
        </w:tc>
      </w:tr>
      <w:tr>
        <w:trPr>
          <w:trHeight w:val="279"/>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New Jersey</w:t>
            </w:r>
          </w:p>
        </w:tc>
        <w:tc>
          <w:tcPr>
            <w:tcW w:w="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Distribution and shipping</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126,000</w:t>
            </w:r>
          </w:p>
        </w:tc>
        <w:tc>
          <w:tcPr>
            <w:tcW w:w="0" w:type="dxa"/>
            <w:vAlign w:val="bottom"/>
          </w:tcPr>
          <w:p>
            <w:pPr>
              <w:spacing w:after="0"/>
              <w:rPr>
                <w:sz w:val="1"/>
                <w:szCs w:val="1"/>
                <w:color w:val="auto"/>
              </w:rPr>
            </w:pP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Kettering, Ohio</w:t>
            </w:r>
          </w:p>
        </w:tc>
        <w:tc>
          <w:tcPr>
            <w:tcW w:w="60" w:type="dxa"/>
            <w:vAlign w:val="bottom"/>
            <w:shd w:val="clear" w:color="auto" w:fill="E2E2E2"/>
          </w:tcPr>
          <w:p>
            <w:pPr>
              <w:spacing w:after="0"/>
              <w:rPr>
                <w:sz w:val="24"/>
                <w:szCs w:val="24"/>
                <w:color w:val="auto"/>
              </w:rPr>
            </w:pPr>
          </w:p>
        </w:tc>
        <w:tc>
          <w:tcPr>
            <w:tcW w:w="4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Call center</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94,000</w:t>
            </w:r>
          </w:p>
        </w:tc>
        <w:tc>
          <w:tcPr>
            <w:tcW w:w="0" w:type="dxa"/>
            <w:vAlign w:val="bottom"/>
          </w:tcPr>
          <w:p>
            <w:pPr>
              <w:spacing w:after="0"/>
              <w:rPr>
                <w:sz w:val="1"/>
                <w:szCs w:val="1"/>
                <w:color w:val="auto"/>
              </w:rPr>
            </w:pPr>
          </w:p>
        </w:tc>
      </w:tr>
      <w:tr>
        <w:trPr>
          <w:trHeight w:val="279"/>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Hong Kong</w:t>
            </w:r>
          </w:p>
        </w:tc>
        <w:tc>
          <w:tcPr>
            <w:tcW w:w="6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Office and sourcing</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38,000</w:t>
            </w:r>
          </w:p>
        </w:tc>
        <w:tc>
          <w:tcPr>
            <w:tcW w:w="0" w:type="dxa"/>
            <w:vAlign w:val="bottom"/>
          </w:tcPr>
          <w:p>
            <w:pPr>
              <w:spacing w:after="0"/>
              <w:rPr>
                <w:sz w:val="1"/>
                <w:szCs w:val="1"/>
                <w:color w:val="auto"/>
              </w:rPr>
            </w:pP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Various other locations</w:t>
            </w:r>
          </w:p>
        </w:tc>
        <w:tc>
          <w:tcPr>
            <w:tcW w:w="60" w:type="dxa"/>
            <w:vAlign w:val="bottom"/>
            <w:shd w:val="clear" w:color="auto" w:fill="E2E2E2"/>
          </w:tcPr>
          <w:p>
            <w:pPr>
              <w:spacing w:after="0"/>
              <w:rPr>
                <w:sz w:val="24"/>
                <w:szCs w:val="24"/>
                <w:color w:val="auto"/>
              </w:rPr>
            </w:pPr>
          </w:p>
        </w:tc>
        <w:tc>
          <w:tcPr>
            <w:tcW w:w="4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Office and sourcing</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-1291590</wp:posOffset>
            </wp:positionV>
            <wp:extent cx="653415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United States</w:t>
      </w:r>
    </w:p>
    <w:p>
      <w:pPr>
        <w:spacing w:after="0" w:line="11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20"/>
          <w:szCs w:val="20"/>
          <w:color w:val="1E1E1E"/>
        </w:rPr>
        <w:t>Within the U.S., our business is principally conducted from office, distribution and shipping facilities located in the Columbus, Ohio, area. Additional facilities are located in New York, New Jersey and Kettering, Ohio.</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Our distribution and shipping facilities in the U.S. consist of three buildings located in the Columbus, Ohio, area and one leased building located in New Jersey. These buildings, including attached office space, comprise approximately 3.1 million square feet. The lease on the New Jersey facility expires in 2028.</w:t>
      </w:r>
    </w:p>
    <w:p>
      <w:pPr>
        <w:spacing w:after="0" w:line="5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1E1E1E"/>
        </w:rPr>
        <w:t>As of February 3, 2024, we operated 814 retail stores located in leased facilities, primarily in malls and shopping centers, throughout the U.S. A substantial portion of these lease commitments consists of store leases generally with an initial term of 10 years. The store leases expire at various dates between 2024 and 2036.</w:t>
      </w:r>
    </w:p>
    <w:p>
      <w:pPr>
        <w:spacing w:after="0" w:line="5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1E1E1E"/>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9 to the Consolidated and Combined Financial Statements included in Item 8. Financial Statements and Supplementary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International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Mexico</w:t>
      </w:r>
    </w:p>
    <w:p>
      <w:pPr>
        <w:spacing w:after="0" w:line="1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1E1E1E"/>
        </w:rPr>
        <w:t>We lease an international distribution and shipping facility located in Mexico. This facility comprises approximately 0.2 million square feet. The lease for this facility expires in 2026.</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China</w:t>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We lease offices in Shanghai, Shenzhen and Hong Kong within China. As of February 3, 2024, we operated 57 retail stores in leased facilities in China. These lease commitments consist of store leases with initial terms ranging from 3 to 15 years expiring on various dates between 2024 and 2032.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Canada</w:t>
      </w:r>
    </w:p>
    <w:p>
      <w:pPr>
        <w:spacing w:after="0" w:line="1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As of February 3, 2024, we operated 23 retail stores located in leased facilities, primarily in malls and shopping centers, throughout the Canadian provinces. These lease commitments consist of store leases with initial terms of 5 to 10 years expiring on various dates between 2024 and 2035.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United Kingdom / Ireland</w:t>
      </w:r>
    </w:p>
    <w:p>
      <w:pPr>
        <w:spacing w:after="0" w:line="1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1E1E1E"/>
        </w:rPr>
        <w:t>As a result of our joint venture with Next PLC, we no longer operate any stores in the United Kingdom (“U.K.”) or Ireland. However, as of February 3, 2024, we continue to lease a store in the U.K., with a lease expiration in 2024, and a store in Ireland, with a lease expiration in 2036, which are sublet to and operated by the joint venture.</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240"/>
          </w:cols>
          <w:pgMar w:left="820" w:top="446" w:right="82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i w:val="1"/>
          <w:iCs w:val="1"/>
          <w:color w:val="1E1E1E"/>
        </w:rPr>
        <w:t>Other International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As of February 3, 2024, we also have global representation through stores operated by our partners:</w:t>
      </w:r>
    </w:p>
    <w:p>
      <w:pPr>
        <w:spacing w:after="0" w:line="110" w:lineRule="exact"/>
        <w:rPr>
          <w:sz w:val="20"/>
          <w:szCs w:val="20"/>
          <w:color w:val="auto"/>
        </w:rPr>
      </w:pPr>
    </w:p>
    <w:p>
      <w:pPr>
        <w:ind w:left="1440" w:hanging="730"/>
        <w:spacing w:after="0"/>
        <w:tabs>
          <w:tab w:leader="none" w:pos="144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320 beauty and accessories stores in 58 countries; and</w:t>
      </w:r>
    </w:p>
    <w:p>
      <w:pPr>
        <w:spacing w:after="0" w:line="110" w:lineRule="exact"/>
        <w:rPr>
          <w:rFonts w:ascii="Times New Roman" w:cs="Times New Roman" w:eastAsia="Times New Roman" w:hAnsi="Times New Roman"/>
          <w:sz w:val="20"/>
          <w:szCs w:val="20"/>
          <w:color w:val="1E1E1E"/>
        </w:rPr>
      </w:pPr>
    </w:p>
    <w:p>
      <w:pPr>
        <w:ind w:left="1440" w:hanging="730"/>
        <w:spacing w:after="0"/>
        <w:tabs>
          <w:tab w:leader="none" w:pos="1440" w:val="left"/>
        </w:tabs>
        <w:numPr>
          <w:ilvl w:val="0"/>
          <w:numId w:val="2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156 full assortment stores in 36 countries.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also operate technology and sourcing-related office facilities in various international locations.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180"/>
          </w:cols>
          <w:pgMar w:left="820" w:top="44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180"/>
          </w:cols>
          <w:pgMar w:left="820" w:top="449" w:right="880" w:bottom="0" w:gutter="0" w:footer="0" w:header="0"/>
          <w:type w:val="continuous"/>
        </w:sectPr>
      </w:pPr>
    </w:p>
    <w:bookmarkStart w:id="34" w:name="page35"/>
    <w:bookmarkEnd w:id="34"/>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50" w:lineRule="exact"/>
        <w:rPr>
          <w:sz w:val="20"/>
          <w:szCs w:val="20"/>
          <w:color w:val="auto"/>
        </w:rPr>
      </w:pPr>
    </w:p>
    <w:p>
      <w:pPr>
        <w:ind w:left="10" w:right="480"/>
        <w:spacing w:after="0" w:line="286"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w:t>
      </w:r>
    </w:p>
    <w:p>
      <w:pPr>
        <w:spacing w:after="0" w:line="39"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1E1E1E"/>
        </w:rPr>
        <w:t>Our common stock is listed on the NYSE under the stock symbol “VSCO.” We began to trade as a standalone public company on August 3, 2021. There was no public trading market for our common stock before August 3, 2021. As of February 3, 2024, there were approximately 25,000 stockholders of record of our common stock. This number does not include beneficial or “street name” holders of our common stock whose shares are held by banks, brokers and other financial institutions which are aggregated into a single holder of record. Including active associates who participate in our stock purchase plan, associates who own shares through our sponsored retirement plans and others holding shares in broker accounts under street names, we estimate our stockholder base to be approximately 112,000.</w:t>
      </w:r>
    </w:p>
    <w:p>
      <w:pPr>
        <w:spacing w:after="0" w:line="70" w:lineRule="exact"/>
        <w:rPr>
          <w:sz w:val="20"/>
          <w:szCs w:val="20"/>
          <w:color w:val="auto"/>
        </w:rPr>
      </w:pPr>
    </w:p>
    <w:p>
      <w:pPr>
        <w:ind w:left="10" w:right="180"/>
        <w:spacing w:after="0" w:line="256" w:lineRule="auto"/>
        <w:rPr>
          <w:sz w:val="20"/>
          <w:szCs w:val="20"/>
          <w:color w:val="auto"/>
        </w:rPr>
      </w:pPr>
      <w:r>
        <w:rPr>
          <w:rFonts w:ascii="Times New Roman" w:cs="Times New Roman" w:eastAsia="Times New Roman" w:hAnsi="Times New Roman"/>
          <w:sz w:val="20"/>
          <w:szCs w:val="20"/>
          <w:color w:val="1E1E1E"/>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w:t>
      </w:r>
    </w:p>
    <w:p>
      <w:pPr>
        <w:spacing w:after="0" w:line="14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1E1E1E"/>
        </w:rPr>
        <w:t>The following graph shows the yearly changes, for the period from August 3, 2021 (the first day our common stock began trading on the NYSE) to February 3, 2024, in the value of $100 invested in our common stock compared to the Standard &amp; Poor’s (“S&amp;P”) 500 Composite Stock Price Index (“S&amp;P 500 Index”) and the S&amp;P 500 Consumer Discretionary Distribution &amp; Retail Index, formerly known as the S&amp;P 500 Retail Composite Index.</w:t>
      </w:r>
    </w:p>
    <w:p>
      <w:pPr>
        <w:spacing w:after="0" w:line="136" w:lineRule="exact"/>
        <w:rPr>
          <w:sz w:val="20"/>
          <w:szCs w:val="20"/>
          <w:color w:val="auto"/>
        </w:rPr>
      </w:pPr>
    </w:p>
    <w:p>
      <w:pPr>
        <w:jc w:val="center"/>
        <w:ind w:left="820"/>
        <w:spacing w:after="0" w:line="268" w:lineRule="auto"/>
        <w:rPr>
          <w:sz w:val="20"/>
          <w:szCs w:val="20"/>
          <w:color w:val="auto"/>
        </w:rPr>
      </w:pPr>
      <w:r>
        <w:rPr>
          <w:rFonts w:ascii="Times New Roman" w:cs="Times New Roman" w:eastAsia="Times New Roman" w:hAnsi="Times New Roman"/>
          <w:sz w:val="20"/>
          <w:szCs w:val="20"/>
          <w:b w:val="1"/>
          <w:bCs w:val="1"/>
          <w:color w:val="1E1E1E"/>
        </w:rPr>
        <w:t>COMPARISON OF YEARLY CHANGES IN CUMULATIVE TOTAL RETURN (a) AMONG VICTORIA'S SECRET &amp; CO., THE S&amp;P 500 INDEX AND THE S&amp;P 500 CONSUMER DISCRETIONARY DISTRIBUTION &amp;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11430</wp:posOffset>
            </wp:positionV>
            <wp:extent cx="5651500" cy="3749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a:extLst>
                        <a:ext uri="{28A0092B-C50C-407E-A947-70E740481C1C}"/>
                      </a:extLst>
                    </a:blip>
                    <a:srcRect/>
                    <a:stretch>
                      <a:fillRect/>
                    </a:stretch>
                  </pic:blipFill>
                  <pic:spPr bwMode="auto">
                    <a:xfrm>
                      <a:off x="0" y="0"/>
                      <a:ext cx="5651500" cy="374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_______________</w:t>
      </w:r>
    </w:p>
    <w:p>
      <w:pPr>
        <w:spacing w:after="0" w:line="30" w:lineRule="exact"/>
        <w:rPr>
          <w:sz w:val="20"/>
          <w:szCs w:val="20"/>
          <w:color w:val="auto"/>
        </w:rPr>
      </w:pPr>
    </w:p>
    <w:p>
      <w:pPr>
        <w:ind w:left="730" w:right="80" w:hanging="730"/>
        <w:spacing w:after="0" w:line="260" w:lineRule="auto"/>
        <w:tabs>
          <w:tab w:leader="none" w:pos="730" w:val="left"/>
        </w:tabs>
        <w:numPr>
          <w:ilvl w:val="0"/>
          <w:numId w:val="2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This table represents $100 invested in stock or in index at the closing price on August 3, 2021, including reinvestment of dividends.</w:t>
      </w:r>
    </w:p>
    <w:p>
      <w:pPr>
        <w:sectPr>
          <w:pgSz w:w="11880" w:h="15480" w:orient="portrait"/>
          <w:cols w:equalWidth="0" w:num="1">
            <w:col w:w="10250"/>
          </w:cols>
          <w:pgMar w:left="81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250"/>
          </w:cols>
          <w:pgMar w:left="810" w:top="446" w:right="820" w:bottom="0" w:gutter="0" w:footer="0" w:header="0"/>
          <w:type w:val="continuous"/>
        </w:sectPr>
      </w:pPr>
    </w:p>
    <w:bookmarkStart w:id="35" w:name="page36"/>
    <w:bookmarkEnd w:id="35"/>
    <w:p>
      <w:pPr>
        <w:ind w:left="10"/>
        <w:spacing w:after="0"/>
        <w:rPr>
          <w:sz w:val="20"/>
          <w:szCs w:val="20"/>
          <w:color w:val="auto"/>
        </w:rPr>
      </w:pPr>
      <w:r>
        <w:rPr>
          <w:rFonts w:ascii="Times New Roman" w:cs="Times New Roman" w:eastAsia="Times New Roman" w:hAnsi="Times New Roman"/>
          <w:sz w:val="19"/>
          <w:szCs w:val="19"/>
          <w:color w:val="1E1E1E"/>
        </w:rPr>
        <w:t>The following table provides our repurchases of our common stock during the fourth quarter of 2023:</w:t>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color w:val="1E1E1E"/>
        </w:rPr>
        <w:t>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321945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945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253.5pt,2.1pt" o:allowincell="f" strokecolor="#1E1E1E" strokeweight="1pt"/>
            </w:pict>
          </mc:Fallback>
        </mc:AlternateContent>
      </w:r>
    </w:p>
    <w:p>
      <w:pPr>
        <w:spacing w:after="0" w:line="254" w:lineRule="exact"/>
        <w:rPr>
          <w:sz w:val="20"/>
          <w:szCs w:val="20"/>
          <w:color w:val="auto"/>
        </w:rPr>
      </w:pPr>
    </w:p>
    <w:p>
      <w:pPr>
        <w:ind w:left="50"/>
        <w:spacing w:after="0" w:line="260" w:lineRule="auto"/>
        <w:rPr>
          <w:sz w:val="20"/>
          <w:szCs w:val="20"/>
          <w:color w:val="auto"/>
        </w:rPr>
      </w:pPr>
      <w:r>
        <w:rPr>
          <w:rFonts w:ascii="Times New Roman" w:cs="Times New Roman" w:eastAsia="Times New Roman" w:hAnsi="Times New Roman"/>
          <w:sz w:val="20"/>
          <w:szCs w:val="20"/>
          <w:color w:val="1E1E1E"/>
        </w:rPr>
        <w:t>October 29, 2023 - November 25, 2023 (“November 2023”) November 26, 2023 - December 30, 2023 (“December 2023”) December 31, 2023 - February 3, 2024 (“January 2024”) Total</w:t>
      </w:r>
    </w:p>
    <w:p>
      <w:pPr>
        <w:spacing w:after="0" w:line="11"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Average</w:t>
            </w:r>
          </w:p>
        </w:tc>
        <w:tc>
          <w:tcPr>
            <w:tcW w:w="6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rPr>
              <w:t>Total Number of</w:t>
            </w:r>
          </w:p>
        </w:tc>
        <w:tc>
          <w:tcPr>
            <w:tcW w:w="6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Maximum Number (or</w:t>
            </w:r>
          </w:p>
        </w:tc>
        <w:tc>
          <w:tcPr>
            <w:tcW w:w="0" w:type="dxa"/>
            <w:vAlign w:val="bottom"/>
          </w:tcPr>
          <w:p>
            <w:pPr>
              <w:spacing w:after="0"/>
              <w:rPr>
                <w:sz w:val="1"/>
                <w:szCs w:val="1"/>
                <w:color w:val="auto"/>
              </w:rPr>
            </w:pPr>
          </w:p>
        </w:tc>
      </w:tr>
      <w:tr>
        <w:trPr>
          <w:trHeight w:val="160"/>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Total</w:t>
            </w: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91"/>
              <w:spacing w:after="0" w:line="160" w:lineRule="exact"/>
              <w:rPr>
                <w:sz w:val="20"/>
                <w:szCs w:val="20"/>
                <w:color w:val="auto"/>
              </w:rPr>
            </w:pPr>
            <w:r>
              <w:rPr>
                <w:rFonts w:ascii="Times New Roman" w:cs="Times New Roman" w:eastAsia="Times New Roman" w:hAnsi="Times New Roman"/>
                <w:sz w:val="16"/>
                <w:szCs w:val="16"/>
                <w:b w:val="1"/>
                <w:bCs w:val="1"/>
                <w:color w:val="1E1E1E"/>
                <w:w w:val="99"/>
              </w:rPr>
              <w:t>Approximate Dollar</w:t>
            </w:r>
          </w:p>
        </w:tc>
        <w:tc>
          <w:tcPr>
            <w:tcW w:w="0" w:type="dxa"/>
            <w:vAlign w:val="bottom"/>
          </w:tcPr>
          <w:p>
            <w:pPr>
              <w:spacing w:after="0"/>
              <w:rPr>
                <w:sz w:val="1"/>
                <w:szCs w:val="1"/>
                <w:color w:val="auto"/>
              </w:rPr>
            </w:pPr>
          </w:p>
        </w:tc>
      </w:tr>
      <w:tr>
        <w:trPr>
          <w:trHeight w:val="160"/>
        </w:trPr>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Price</w:t>
            </w:r>
          </w:p>
        </w:tc>
        <w:tc>
          <w:tcPr>
            <w:tcW w:w="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w w:val="99"/>
              </w:rPr>
              <w:t>Shares Purchased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71"/>
              <w:spacing w:after="0" w:line="160" w:lineRule="exact"/>
              <w:rPr>
                <w:sz w:val="20"/>
                <w:szCs w:val="20"/>
                <w:color w:val="auto"/>
              </w:rPr>
            </w:pPr>
            <w:r>
              <w:rPr>
                <w:rFonts w:ascii="Times New Roman" w:cs="Times New Roman" w:eastAsia="Times New Roman" w:hAnsi="Times New Roman"/>
                <w:sz w:val="16"/>
                <w:szCs w:val="16"/>
                <w:b w:val="1"/>
                <w:bCs w:val="1"/>
                <w:color w:val="1E1E1E"/>
                <w:w w:val="99"/>
              </w:rPr>
              <w:t>Value) of Shares</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Number of</w:t>
            </w:r>
          </w:p>
        </w:tc>
        <w:tc>
          <w:tcPr>
            <w:tcW w:w="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Paid per</w:t>
            </w:r>
          </w:p>
        </w:tc>
        <w:tc>
          <w:tcPr>
            <w:tcW w:w="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as Part of Publicly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71"/>
              <w:spacing w:after="0" w:line="160" w:lineRule="exact"/>
              <w:rPr>
                <w:sz w:val="20"/>
                <w:szCs w:val="20"/>
                <w:color w:val="auto"/>
              </w:rPr>
            </w:pPr>
            <w:r>
              <w:rPr>
                <w:rFonts w:ascii="Times New Roman" w:cs="Times New Roman" w:eastAsia="Times New Roman" w:hAnsi="Times New Roman"/>
                <w:sz w:val="16"/>
                <w:szCs w:val="16"/>
                <w:b w:val="1"/>
                <w:bCs w:val="1"/>
                <w:color w:val="1E1E1E"/>
              </w:rPr>
              <w:t>that May Yet be</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Shares</w:t>
            </w:r>
          </w:p>
        </w:tc>
        <w:tc>
          <w:tcPr>
            <w:tcW w:w="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w w:val="99"/>
              </w:rPr>
              <w:t>Share</w:t>
            </w:r>
          </w:p>
        </w:tc>
        <w:tc>
          <w:tcPr>
            <w:tcW w:w="60" w:type="dxa"/>
            <w:vAlign w:val="bottom"/>
          </w:tcPr>
          <w:p>
            <w:pPr>
              <w:spacing w:after="0"/>
              <w:rPr>
                <w:sz w:val="13"/>
                <w:szCs w:val="13"/>
                <w:color w:val="auto"/>
              </w:rPr>
            </w:pP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1E1E1E"/>
              </w:rPr>
              <w:t>Announced Plans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71"/>
              <w:spacing w:after="0" w:line="160" w:lineRule="exact"/>
              <w:rPr>
                <w:sz w:val="20"/>
                <w:szCs w:val="20"/>
                <w:color w:val="auto"/>
              </w:rPr>
            </w:pPr>
            <w:r>
              <w:rPr>
                <w:rFonts w:ascii="Times New Roman" w:cs="Times New Roman" w:eastAsia="Times New Roman" w:hAnsi="Times New Roman"/>
                <w:sz w:val="16"/>
                <w:szCs w:val="16"/>
                <w:b w:val="1"/>
                <w:bCs w:val="1"/>
                <w:color w:val="1E1E1E"/>
                <w:w w:val="99"/>
              </w:rPr>
              <w:t>Purchased Under the</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Purchased (a)</w:t>
            </w:r>
          </w:p>
        </w:tc>
        <w:tc>
          <w:tcPr>
            <w:tcW w:w="60" w:type="dxa"/>
            <w:vAlign w:val="bottom"/>
          </w:tcPr>
          <w:p>
            <w:pPr>
              <w:spacing w:after="0"/>
              <w:rPr>
                <w:sz w:val="18"/>
                <w:szCs w:val="18"/>
                <w:color w:val="auto"/>
              </w:rPr>
            </w:pPr>
          </w:p>
        </w:tc>
        <w:tc>
          <w:tcPr>
            <w:tcW w:w="7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(b)</w:t>
            </w:r>
          </w:p>
        </w:tc>
        <w:tc>
          <w:tcPr>
            <w:tcW w:w="60" w:type="dxa"/>
            <w:vAlign w:val="bottom"/>
          </w:tcPr>
          <w:p>
            <w:pPr>
              <w:spacing w:after="0"/>
              <w:rPr>
                <w:sz w:val="18"/>
                <w:szCs w:val="18"/>
                <w:color w:val="auto"/>
              </w:rPr>
            </w:pPr>
          </w:p>
        </w:tc>
        <w:tc>
          <w:tcPr>
            <w:tcW w:w="13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or Programs</w:t>
            </w:r>
          </w:p>
        </w:tc>
        <w:tc>
          <w:tcPr>
            <w:tcW w:w="60" w:type="dxa"/>
            <w:vAlign w:val="bottom"/>
          </w:tcPr>
          <w:p>
            <w:pPr>
              <w:spacing w:after="0"/>
              <w:rPr>
                <w:sz w:val="18"/>
                <w:szCs w:val="18"/>
                <w:color w:val="auto"/>
              </w:rPr>
            </w:pPr>
          </w:p>
        </w:tc>
        <w:tc>
          <w:tcPr>
            <w:tcW w:w="18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Plans or Programs (c)</w:t>
            </w:r>
          </w:p>
        </w:tc>
        <w:tc>
          <w:tcPr>
            <w:tcW w:w="0" w:type="dxa"/>
            <w:vAlign w:val="bottom"/>
          </w:tcPr>
          <w:p>
            <w:pPr>
              <w:spacing w:after="0"/>
              <w:rPr>
                <w:sz w:val="1"/>
                <w:szCs w:val="1"/>
                <w:color w:val="auto"/>
              </w:rPr>
            </w:pPr>
          </w:p>
        </w:tc>
      </w:tr>
      <w:tr>
        <w:trPr>
          <w:trHeight w:val="197"/>
        </w:trPr>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(in thousands)</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gridSpan w:val="4"/>
          </w:tcPr>
          <w:p>
            <w:pPr>
              <w:jc w:val="right"/>
              <w:ind w:right="1031"/>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0" w:type="dxa"/>
            <w:vAlign w:val="bottom"/>
          </w:tcPr>
          <w:p>
            <w:pPr>
              <w:spacing w:after="0"/>
              <w:rPr>
                <w:sz w:val="1"/>
                <w:szCs w:val="1"/>
                <w:color w:val="auto"/>
              </w:rPr>
            </w:pPr>
          </w:p>
        </w:tc>
      </w:tr>
      <w:tr>
        <w:trPr>
          <w:trHeight w:val="24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$ 17.77</w:t>
            </w: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1E1E1E"/>
              </w:rPr>
              <w:t>125,000</w:t>
            </w:r>
          </w:p>
        </w:tc>
        <w:tc>
          <w:tcPr>
            <w:tcW w:w="0" w:type="dxa"/>
            <w:vAlign w:val="bottom"/>
          </w:tcPr>
          <w:p>
            <w:pPr>
              <w:spacing w:after="0"/>
              <w:rPr>
                <w:sz w:val="1"/>
                <w:szCs w:val="1"/>
                <w:color w:val="auto"/>
              </w:rPr>
            </w:pPr>
          </w:p>
        </w:tc>
      </w:tr>
      <w:tr>
        <w:trPr>
          <w:trHeight w:val="24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25.67</w:t>
            </w: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1E1E1E"/>
              </w:rPr>
              <w:t>125,000</w:t>
            </w:r>
          </w:p>
        </w:tc>
        <w:tc>
          <w:tcPr>
            <w:tcW w:w="0" w:type="dxa"/>
            <w:vAlign w:val="bottom"/>
          </w:tcPr>
          <w:p>
            <w:pPr>
              <w:spacing w:after="0"/>
              <w:rPr>
                <w:sz w:val="1"/>
                <w:szCs w:val="1"/>
                <w:color w:val="auto"/>
              </w:rPr>
            </w:pPr>
          </w:p>
        </w:tc>
      </w:tr>
      <w:tr>
        <w:trPr>
          <w:trHeight w:val="263"/>
        </w:trPr>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24.99</w:t>
            </w:r>
          </w:p>
        </w:tc>
        <w:tc>
          <w:tcPr>
            <w:tcW w:w="60" w:type="dxa"/>
            <w:vAlign w:val="bottom"/>
          </w:tcPr>
          <w:p>
            <w:pPr>
              <w:spacing w:after="0"/>
              <w:rPr>
                <w:sz w:val="22"/>
                <w:szCs w:val="22"/>
                <w:color w:val="auto"/>
              </w:rPr>
            </w:pPr>
          </w:p>
        </w:tc>
        <w:tc>
          <w:tcPr>
            <w:tcW w:w="1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0"/>
        </w:trPr>
        <w:tc>
          <w:tcPr>
            <w:tcW w:w="108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53</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-3256915</wp:posOffset>
                </wp:positionH>
                <wp:positionV relativeFrom="paragraph">
                  <wp:posOffset>-628015</wp:posOffset>
                </wp:positionV>
                <wp:extent cx="6514465" cy="1524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52400"/>
                        </a:xfrm>
                        <a:prstGeom prst="rect">
                          <a:avLst/>
                        </a:prstGeom>
                        <a:solidFill>
                          <a:srgbClr val="E2E2E2"/>
                        </a:solidFill>
                      </wps:spPr>
                      <wps:bodyPr/>
                    </wps:wsp>
                  </a:graphicData>
                </a:graphic>
              </wp:anchor>
            </w:drawing>
          </mc:Choice>
          <mc:Fallback>
            <w:pict>
              <v:rect id="Shape 49" o:spid="_x0000_s1074" style="position:absolute;margin-left:-256.4499pt;margin-top:-49.4499pt;width:512.9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drawing>
          <wp:anchor simplePos="0" relativeHeight="251657728" behindDoc="1" locked="0" layoutInCell="0" allowOverlap="1">
            <wp:simplePos x="0" y="0"/>
            <wp:positionH relativeFrom="column">
              <wp:posOffset>-3256915</wp:posOffset>
            </wp:positionH>
            <wp:positionV relativeFrom="paragraph">
              <wp:posOffset>-323215</wp:posOffset>
            </wp:positionV>
            <wp:extent cx="6515100" cy="177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a:extLst>
                        <a:ext uri="{28A0092B-C50C-407E-A947-70E740481C1C}"/>
                      </a:extLst>
                    </a:blip>
                    <a:srcRect/>
                    <a:stretch>
                      <a:fillRect/>
                    </a:stretch>
                  </pic:blipFill>
                  <pic:spPr bwMode="auto">
                    <a:xfrm>
                      <a:off x="0" y="0"/>
                      <a:ext cx="6515100" cy="177800"/>
                    </a:xfrm>
                    <a:prstGeom prst="rect">
                      <a:avLst/>
                    </a:prstGeom>
                    <a:noFill/>
                  </pic:spPr>
                </pic:pic>
              </a:graphicData>
            </a:graphic>
          </wp:anchor>
        </w:drawing>
      </w:r>
    </w:p>
    <w:p>
      <w:pPr>
        <w:spacing w:after="0" w:line="268" w:lineRule="exact"/>
        <w:rPr>
          <w:sz w:val="20"/>
          <w:szCs w:val="20"/>
          <w:color w:val="auto"/>
        </w:rPr>
      </w:pPr>
    </w:p>
    <w:p>
      <w:pPr>
        <w:sectPr>
          <w:pgSz w:w="11880" w:h="15480" w:orient="portrait"/>
          <w:cols w:equalWidth="0" w:num="2">
            <w:col w:w="5010" w:space="120"/>
            <w:col w:w="5140"/>
          </w:cols>
          <w:pgMar w:left="810" w:top="453" w:right="800" w:bottom="0" w:gutter="0" w:footer="0" w:header="0"/>
          <w:type w:val="continuous"/>
        </w:sectPr>
      </w:pPr>
    </w:p>
    <w:p>
      <w:pPr>
        <w:jc w:val="both"/>
        <w:ind w:left="730" w:right="140" w:hanging="730"/>
        <w:spacing w:after="0" w:line="263" w:lineRule="auto"/>
        <w:tabs>
          <w:tab w:leader="none" w:pos="730" w:val="left"/>
        </w:tabs>
        <w:numPr>
          <w:ilvl w:val="0"/>
          <w:numId w:val="2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total number of shares repurchased includes shares repurchased as part of publicly announced programs, with the remainder relating to shares repurchased in connection with tax withholding payments due upon vesting of employee restricted stock awards and the use of our common stock to pay the exercise price on employee stock options.</w:t>
      </w:r>
    </w:p>
    <w:p>
      <w:pPr>
        <w:spacing w:after="0" w:line="1" w:lineRule="exact"/>
        <w:rPr>
          <w:rFonts w:ascii="Times New Roman" w:cs="Times New Roman" w:eastAsia="Times New Roman" w:hAnsi="Times New Roman"/>
          <w:sz w:val="19"/>
          <w:szCs w:val="19"/>
          <w:color w:val="1E1E1E"/>
        </w:rPr>
      </w:pPr>
    </w:p>
    <w:p>
      <w:pPr>
        <w:ind w:left="710" w:hanging="710"/>
        <w:spacing w:after="0"/>
        <w:tabs>
          <w:tab w:leader="none" w:pos="710" w:val="left"/>
        </w:tabs>
        <w:numPr>
          <w:ilvl w:val="0"/>
          <w:numId w:val="2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average price paid per share includes any broker commissions.</w:t>
      </w:r>
    </w:p>
    <w:p>
      <w:pPr>
        <w:spacing w:after="0" w:line="10" w:lineRule="exact"/>
        <w:rPr>
          <w:rFonts w:ascii="Times New Roman" w:cs="Times New Roman" w:eastAsia="Times New Roman" w:hAnsi="Times New Roman"/>
          <w:sz w:val="20"/>
          <w:szCs w:val="20"/>
          <w:color w:val="1E1E1E"/>
        </w:rPr>
      </w:pPr>
    </w:p>
    <w:p>
      <w:pPr>
        <w:ind w:left="730" w:right="260" w:hanging="730"/>
        <w:spacing w:after="0" w:line="253" w:lineRule="auto"/>
        <w:tabs>
          <w:tab w:leader="none" w:pos="730" w:val="left"/>
        </w:tabs>
        <w:numPr>
          <w:ilvl w:val="0"/>
          <w:numId w:val="2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share repurchase program announced on January 11, 2023 (the “January 2023 Share Repurchase Program”) authorized the purchase of up to $250 million of our common stock, subject to market conditions and other factors. The January 2023 Share Repurchase Program expired at the end of fiscal year 2023. For additional share repurchase program information, see Note 18 to the Consolidated and Combined Financial Statements included in Item 8. Financial Statements and Supplementary Data.</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ITEM 6. RESERVED.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 w:right="480"/>
        <w:spacing w:after="0" w:line="286" w:lineRule="auto"/>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Safe Harbor Statement Under the Private Securities Litigation Reform Act of 1995</w:t>
      </w:r>
    </w:p>
    <w:p>
      <w:pPr>
        <w:spacing w:after="0" w:line="117"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1E1E1E"/>
        </w:rPr>
        <w:t>We caution that any forward-looking statements (as such term is defined in the U.S. Private Securities Litigation Reform Act of 1995) contained in this Annual Report on Form 10-K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73" w:lineRule="exact"/>
        <w:rPr>
          <w:sz w:val="20"/>
          <w:szCs w:val="20"/>
          <w:color w:val="auto"/>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not realize all of the expected benefits of the spin-off from our Former Parent;</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general economic conditions, inflation and changes in consumer confidence and consumer spending patterns;</w:t>
      </w:r>
    </w:p>
    <w:p>
      <w:pPr>
        <w:spacing w:after="0" w:line="110" w:lineRule="exact"/>
        <w:rPr>
          <w:rFonts w:ascii="Times New Roman" w:cs="Times New Roman" w:eastAsia="Times New Roman" w:hAnsi="Times New Roman"/>
          <w:sz w:val="20"/>
          <w:szCs w:val="20"/>
          <w:color w:val="1E1E1E"/>
        </w:rPr>
      </w:pPr>
    </w:p>
    <w:p>
      <w:pPr>
        <w:ind w:left="730" w:right="420" w:hanging="730"/>
        <w:spacing w:after="0" w:line="281" w:lineRule="auto"/>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market disruptions including pandemics or significant health hazards, severe weather conditions, natural disasters, terrorist activities, financial crises, political crises or other major events, or the prospect of these events;</w:t>
      </w:r>
    </w:p>
    <w:p>
      <w:pPr>
        <w:spacing w:after="0" w:line="41"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successfully implement our strategic plan;</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difficulties arising from turnover in company leadership or other key positions;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attract, develop and retain qualified associates and manage labor-related costs;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dependence on traffic to our stores and the availability of suitable store locations on satisfactory terms;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successfully operate and expand internationally and related risks;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operations and performance of our franchisees, licensees, wholesalers, and joint venture partners;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successfully operate and grow our direct channel business;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protect our reputation and the image and value of our brands;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attract customers with marketing, advertising and promotional programs;</w:t>
      </w:r>
    </w:p>
    <w:p>
      <w:pPr>
        <w:sectPr>
          <w:pgSz w:w="11880" w:h="15480" w:orient="portrait"/>
          <w:cols w:equalWidth="0" w:num="1">
            <w:col w:w="10270"/>
          </w:cols>
          <w:pgMar w:left="810" w:top="453" w:right="800" w:bottom="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270"/>
          </w:cols>
          <w:pgMar w:left="810" w:top="453" w:right="800" w:bottom="0" w:gutter="0" w:footer="0" w:header="0"/>
          <w:type w:val="continuous"/>
        </w:sectPr>
      </w:pPr>
    </w:p>
    <w:bookmarkStart w:id="36" w:name="page37"/>
    <w:bookmarkEnd w:id="36"/>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highly competitive nature of the retail industry and the segments in which we operate;</w:t>
      </w:r>
    </w:p>
    <w:p>
      <w:pPr>
        <w:spacing w:after="0" w:line="110" w:lineRule="exact"/>
        <w:rPr>
          <w:rFonts w:ascii="Times New Roman" w:cs="Times New Roman" w:eastAsia="Times New Roman" w:hAnsi="Times New Roman"/>
          <w:sz w:val="20"/>
          <w:szCs w:val="20"/>
          <w:color w:val="1E1E1E"/>
        </w:rPr>
      </w:pPr>
    </w:p>
    <w:p>
      <w:pPr>
        <w:ind w:left="730" w:right="580" w:hanging="730"/>
        <w:spacing w:after="0" w:line="281" w:lineRule="auto"/>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consumer acceptance of our products and our ability to manage the life cycle of our brands, remain current with fashion trends, and develop and launch new merchandise, product lines and brands successfully;</w:t>
      </w:r>
    </w:p>
    <w:p>
      <w:pPr>
        <w:spacing w:after="0" w:line="41"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realize the potential benefits and synergies sought with the acquisition of Adore Me;</w:t>
      </w:r>
    </w:p>
    <w:p>
      <w:pPr>
        <w:spacing w:after="0" w:line="110" w:lineRule="exact"/>
        <w:rPr>
          <w:rFonts w:ascii="Times New Roman" w:cs="Times New Roman" w:eastAsia="Times New Roman" w:hAnsi="Times New Roman"/>
          <w:sz w:val="20"/>
          <w:szCs w:val="20"/>
          <w:color w:val="1E1E1E"/>
        </w:rPr>
      </w:pPr>
    </w:p>
    <w:p>
      <w:pPr>
        <w:ind w:left="730" w:right="100" w:hanging="730"/>
        <w:spacing w:after="0" w:line="281" w:lineRule="auto"/>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incorporate artificial intelligence into our business operations successfully and ethically while managing associated risks;</w:t>
      </w:r>
    </w:p>
    <w:p>
      <w:pPr>
        <w:spacing w:after="0" w:line="41"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ability to source materials and produce, distribute and sell merchandise on a global basis, including risks related to:</w:t>
      </w:r>
    </w:p>
    <w:p>
      <w:pPr>
        <w:spacing w:after="0" w:line="121" w:lineRule="exact"/>
        <w:rPr>
          <w:rFonts w:ascii="Times New Roman" w:cs="Times New Roman" w:eastAsia="Times New Roman" w:hAnsi="Times New Roman"/>
          <w:sz w:val="19"/>
          <w:szCs w:val="19"/>
          <w:color w:val="1E1E1E"/>
        </w:rPr>
      </w:pPr>
    </w:p>
    <w:p>
      <w:pPr>
        <w:ind w:left="1450" w:hanging="730"/>
        <w:spacing w:after="0"/>
        <w:tabs>
          <w:tab w:leader="none" w:pos="1450" w:val="left"/>
        </w:tabs>
        <w:numPr>
          <w:ilvl w:val="1"/>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political instability and geopolitical conflicts;</w:t>
      </w:r>
    </w:p>
    <w:p>
      <w:pPr>
        <w:spacing w:after="0" w:line="110" w:lineRule="exact"/>
        <w:rPr>
          <w:rFonts w:ascii="Times New Roman" w:cs="Times New Roman" w:eastAsia="Times New Roman" w:hAnsi="Times New Roman"/>
          <w:sz w:val="20"/>
          <w:szCs w:val="20"/>
          <w:color w:val="1E1E1E"/>
        </w:rPr>
      </w:pPr>
    </w:p>
    <w:p>
      <w:pPr>
        <w:ind w:left="1450" w:hanging="730"/>
        <w:spacing w:after="0"/>
        <w:tabs>
          <w:tab w:leader="none" w:pos="1450" w:val="left"/>
        </w:tabs>
        <w:numPr>
          <w:ilvl w:val="1"/>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environmental hazards and natural disasters;</w:t>
      </w:r>
    </w:p>
    <w:p>
      <w:pPr>
        <w:spacing w:after="0" w:line="110" w:lineRule="exact"/>
        <w:rPr>
          <w:rFonts w:ascii="Times New Roman" w:cs="Times New Roman" w:eastAsia="Times New Roman" w:hAnsi="Times New Roman"/>
          <w:sz w:val="20"/>
          <w:szCs w:val="20"/>
          <w:color w:val="1E1E1E"/>
        </w:rPr>
      </w:pPr>
    </w:p>
    <w:p>
      <w:pPr>
        <w:ind w:left="1450" w:hanging="730"/>
        <w:spacing w:after="0"/>
        <w:tabs>
          <w:tab w:leader="none" w:pos="1450" w:val="left"/>
        </w:tabs>
        <w:numPr>
          <w:ilvl w:val="1"/>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significant health hazards and pandemics;</w:t>
      </w:r>
    </w:p>
    <w:p>
      <w:pPr>
        <w:spacing w:after="0" w:line="110" w:lineRule="exact"/>
        <w:rPr>
          <w:rFonts w:ascii="Times New Roman" w:cs="Times New Roman" w:eastAsia="Times New Roman" w:hAnsi="Times New Roman"/>
          <w:sz w:val="20"/>
          <w:szCs w:val="20"/>
          <w:color w:val="1E1E1E"/>
        </w:rPr>
      </w:pPr>
    </w:p>
    <w:p>
      <w:pPr>
        <w:ind w:left="1450" w:hanging="730"/>
        <w:spacing w:after="0"/>
        <w:tabs>
          <w:tab w:leader="none" w:pos="1450" w:val="left"/>
        </w:tabs>
        <w:numPr>
          <w:ilvl w:val="1"/>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delays or disruptions in shipping and transportation and related pricing impacts; and</w:t>
      </w:r>
    </w:p>
    <w:p>
      <w:pPr>
        <w:spacing w:after="0" w:line="110" w:lineRule="exact"/>
        <w:rPr>
          <w:rFonts w:ascii="Times New Roman" w:cs="Times New Roman" w:eastAsia="Times New Roman" w:hAnsi="Times New Roman"/>
          <w:sz w:val="20"/>
          <w:szCs w:val="20"/>
          <w:color w:val="1E1E1E"/>
        </w:rPr>
      </w:pPr>
    </w:p>
    <w:p>
      <w:pPr>
        <w:ind w:left="1450" w:hanging="730"/>
        <w:spacing w:after="0"/>
        <w:tabs>
          <w:tab w:leader="none" w:pos="1450" w:val="left"/>
        </w:tabs>
        <w:numPr>
          <w:ilvl w:val="1"/>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disruption due to labor disputes;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geographic concentration of production and distribution facilities in central Ohio and Southeast Asia;</w:t>
      </w:r>
    </w:p>
    <w:p>
      <w:pPr>
        <w:spacing w:after="0" w:line="110" w:lineRule="exact"/>
        <w:rPr>
          <w:rFonts w:ascii="Times New Roman" w:cs="Times New Roman" w:eastAsia="Times New Roman" w:hAnsi="Times New Roman"/>
          <w:sz w:val="20"/>
          <w:szCs w:val="20"/>
          <w:color w:val="1E1E1E"/>
        </w:rPr>
      </w:pPr>
    </w:p>
    <w:p>
      <w:pPr>
        <w:ind w:left="730" w:right="140" w:hanging="730"/>
        <w:spacing w:after="0" w:line="281" w:lineRule="auto"/>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ability of our vendors to manufacture and deliver products in a timely manner, meet quality standards and comply with applicable laws and regulations;</w:t>
      </w:r>
    </w:p>
    <w:p>
      <w:pPr>
        <w:spacing w:after="0" w:line="41"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fluctuations in freight, product input and energy costs;</w:t>
      </w:r>
    </w:p>
    <w:p>
      <w:pPr>
        <w:spacing w:after="0" w:line="110" w:lineRule="exact"/>
        <w:rPr>
          <w:rFonts w:ascii="Times New Roman" w:cs="Times New Roman" w:eastAsia="Times New Roman" w:hAnsi="Times New Roman"/>
          <w:sz w:val="20"/>
          <w:szCs w:val="20"/>
          <w:color w:val="1E1E1E"/>
        </w:rPr>
      </w:pPr>
    </w:p>
    <w:p>
      <w:pPr>
        <w:ind w:left="730" w:right="300" w:hanging="730"/>
        <w:spacing w:after="0" w:line="281" w:lineRule="auto"/>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and our third-party service providers’ ability to implement and maintain information technology systems and to protect associated data and system availability;</w:t>
      </w:r>
    </w:p>
    <w:p>
      <w:pPr>
        <w:spacing w:after="0" w:line="41"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maintain the security of customer, associate, third-party and company information;</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stock price volatility;</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shareholder activism matters;</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maintain our credit rating;</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comply with regulatory requirements; and</w:t>
      </w:r>
    </w:p>
    <w:p>
      <w:pPr>
        <w:spacing w:after="0" w:line="110" w:lineRule="exact"/>
        <w:rPr>
          <w:rFonts w:ascii="Times New Roman" w:cs="Times New Roman" w:eastAsia="Times New Roman" w:hAnsi="Times New Roman"/>
          <w:sz w:val="20"/>
          <w:szCs w:val="20"/>
          <w:color w:val="1E1E1E"/>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legal, tax, trade and other regulatory matters.</w:t>
      </w:r>
    </w:p>
    <w:p>
      <w:pPr>
        <w:spacing w:after="0" w:line="190" w:lineRule="exact"/>
        <w:rPr>
          <w:sz w:val="20"/>
          <w:szCs w:val="20"/>
          <w:color w:val="auto"/>
        </w:rPr>
      </w:pPr>
    </w:p>
    <w:p>
      <w:pPr>
        <w:ind w:left="10" w:right="260"/>
        <w:spacing w:after="0" w:line="275" w:lineRule="auto"/>
        <w:rPr>
          <w:sz w:val="20"/>
          <w:szCs w:val="20"/>
          <w:color w:val="auto"/>
        </w:rPr>
      </w:pPr>
      <w:r>
        <w:rPr>
          <w:rFonts w:ascii="Times New Roman" w:cs="Times New Roman" w:eastAsia="Times New Roman" w:hAnsi="Times New Roman"/>
          <w:sz w:val="19"/>
          <w:szCs w:val="19"/>
          <w:color w:val="1E1E1E"/>
        </w:rPr>
        <w:t>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spacing w:after="0" w:line="48"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1E1E1E"/>
        </w:rPr>
        <w:t>The following discussion and analysis of financial condition and results of operations are based upon our Consolidated and Combined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64" w:lineRule="exact"/>
        <w:rPr>
          <w:sz w:val="20"/>
          <w:szCs w:val="20"/>
          <w:color w:val="auto"/>
        </w:rPr>
      </w:pPr>
    </w:p>
    <w:p>
      <w:pPr>
        <w:ind w:left="10" w:right="100"/>
        <w:spacing w:after="0" w:line="255" w:lineRule="auto"/>
        <w:rPr>
          <w:sz w:val="20"/>
          <w:szCs w:val="20"/>
          <w:color w:val="auto"/>
        </w:rPr>
      </w:pPr>
      <w:r>
        <w:rPr>
          <w:rFonts w:ascii="Times New Roman" w:cs="Times New Roman" w:eastAsia="Times New Roman" w:hAnsi="Times New Roman"/>
          <w:sz w:val="20"/>
          <w:szCs w:val="20"/>
          <w:color w:val="1E1E1E"/>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ectPr>
          <w:pgSz w:w="11880" w:h="15480" w:orient="portrait"/>
          <w:cols w:equalWidth="0" w:num="1">
            <w:col w:w="10250"/>
          </w:cols>
          <w:pgMar w:left="81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250"/>
          </w:cols>
          <w:pgMar w:left="810" w:top="453" w:right="82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1E1E1E"/>
        </w:rPr>
        <w:t>Executive Overview</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Victoria’s Secret &amp; Co. is an iconic global brand of women’s intimate and other apparel, personal care and beauty products. We sell our products through three brands, Victoria’s Secret, PINK and Adore Me. Victoria’s Secret is a market leading global lingerie brand with a history of serving women across the globe. PINK is a fashion and lifestyle brand for young women built around a strong intimates core. We also sell beauty products under both the Victoria’s Secret and PINK brands. Adore Me is a technology-led, digital first innovative intimates brand serving women of all sizes and budgets at all phases of life. Together, Victoria’s Secret, PINK and Adore Me strive to provide the best products to help women express their confidence, sexiness and power and use our platform to create connection and community while celebrating the extraordinary diversity of women's experiences.</w:t>
      </w:r>
    </w:p>
    <w:p>
      <w:pPr>
        <w:spacing w:after="0" w:line="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1E1E1E"/>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spacing w:after="0" w:line="63"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1E1E1E"/>
        </w:rPr>
        <w:t>We are committed to optimizing our performance by focusing on what is within our control, and we are confident in our strategic direction and remain committed to delivering long-term sustainable value for our stockholders.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Financial Impacts of the Adore Me Acquisition</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We consolidate Adore Me's financial information on an approximate one-month reporting lag. Accordingly, given the acquisition closing date of December 30, 2022, the operating results of Adore Me for the period subsequent to the acquisition date are recorded in our results beginning in 2023.</w:t>
      </w:r>
    </w:p>
    <w:p>
      <w:pPr>
        <w:spacing w:after="0" w:line="5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1E1E1E"/>
        </w:rPr>
        <w:t>In 2023, we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For additional information, see Note 2, “Acquisition.”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of Presentation</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Our financial statements for periods through the Separation date of August 2, 2021 are combined financial statements prepared on a “carve-out” basis, which reflects the business as historically managed within the Former Parent. The balance sheets and cash flows for the periods prior to the Separation include only those assets and liabilities directly related to the Victoria’s Secret business, and the statements of income include the historically reported results of the Victoria’s Secret business along with allocations of a portion of the Former Parent's total corporate expenses. Our financial statements for the period from August 3, 2021 through February 3, 2024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Growth Strategies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Our goal is to be the world's leading fashion retailer of intimate apparel. Our strategic direction is guided by three priorities: 1) accelerating our core; 2) igniting growth; and 3) transforming the foundation of our company. We are evolving the positioning of Victoria's Secret and PINK to drive profitable growth and are focused on accelerating the core of our business by leading with a customer-first approach and rewarding customer loyalty, advancing technology to improve and enhance the customer experience, delivering best-in-class products across all categories and focusing on being “best at bras”. We will focus on igniting growth through maintaining an innovative product pipeline, evolving our store fleet of the future, and through channel expansion and international growth within existing and new markets. We continue to take actions to transform the foundation of our company by making foundational changes to modernize and make our operating model more efficient to help us deliver long-term sustainable value for our stockholders.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a multi-year goal to increase sales and operating income by focusing on these key business priorities:</w:t>
      </w:r>
    </w:p>
    <w:p>
      <w:pPr>
        <w:spacing w:after="0" w:line="11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Invest in our brands, business and new opportunities to drive growth;</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Continue optimizing the customer experience through elevated and profitable company-operated stores;</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Drive penetration and growth in our digital channel and provide an enhanced omni-channel experience; and</w:t>
      </w:r>
    </w:p>
    <w:p>
      <w:pPr>
        <w:spacing w:after="0" w:line="1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Expand our international business.</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240"/>
          </w:cols>
          <w:pgMar w:left="820" w:top="446" w:right="82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1E1E1E"/>
        </w:rPr>
        <w:t>The following is a discussion regarding certain of our key business priorities.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 in our Brands, Business and New Opportunities to Drive Growth</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We continue to make significant investments in our iconic brands, our physical and digital business channels, our customer experience and our organizational capabilities in order to support the growth of our business. We believe our success is significantly enabled by frequent and innovative product launches, which include bra launches and new beauty fragrances. We are making targeted investments in technology related to our strategic initiatives to drive growth, including our new Victoria's Secret and PINK customer loyalty program, and to maintain our high digital penetration and to expand the omni-channel offering for our customers. We are also working to increase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have a world class team to support the execution of our growth strategies. Additionally, we will continue to search for new growth opportunities, including new brands we may develop as well as partnerships with existing brands that help us attract new customers and better meet the needs of existing ones.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Continue Optimizing the Customer Experience through Elevated and Profitable Company-Operated Stores</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and focus to provide flexibility and convenience to our customers through omni-channel capabilities. We are investing in our stores through refreshing existing stores and expanding our store of the future concept that will include smaller, more flexible space in off-mall locations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Drive Penetration and Growth in our Digital Channel and Provide an Enhanced Omni-Channel Experience</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Investing in our digital channel continues to be a key priority and we believe that our global brands and our scaled retail footprint in North America is a unique platform to grow our digital business. Omni-channel initiatives and an increased focus on mobile and application interactions will continue to provide flexibility and convenience to our customers. Our shopping and services initiatives are aimed at modernizing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are designed to create a seamless shopping experience between online and in stores and bolster our performance in the digital channel. In addition, we are scaling the distribution capacity of our digital business in order to support our growth and our omni-channel offerings. These strategies are aimed at increasing our digital channel mix and driving margin accretion.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Expand our International Business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Growing our international business is a key strategy. We plan to drive strong sales growth in franchise, travel retail and joint venture-operated stores through continued improved product offerings and assortments to reflect local preferences. We plan to increase our international store count, enabled by a new store design, lower costs and flexible store formats, which are designed to provide a pathway to profitable growth. Additionally, we expect to continue growing the digital components of our international business, including through country-specific web platforms tailored to local languages and preferences and through additional regional expansion. We believe our joint venture partnership with Regina Miracle in China will continue to allow us to grow the China business through joint investment in product development, distribution and marketing, and also positively impacts the speed and agility of the business due to Regina Miracle's established production base in China.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2023 Overview</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1E1E1E"/>
        </w:rPr>
        <w:t>We utilize the retail calendar for financial reporting. As such, our results for 2023 represent the 53-week period ended February 3, 2024, and the results for 2022 represent the 52-week period ended January 28, 2023. We estimate the extra week in 2023 represented approximately $80 million in incremental net sales and approximately $20 million in incremental operating income.</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240"/>
          </w:cols>
          <w:pgMar w:left="820" w:top="453" w:right="820" w:bottom="0" w:gutter="0" w:footer="0" w:header="0"/>
          <w:type w:val="continuous"/>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20"/>
          <w:szCs w:val="20"/>
          <w:color w:val="1E1E1E"/>
        </w:rPr>
        <w:t>In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In 2023, we invested $125 million to repurchase 3.7 million shares of our common stock. We also paid down our senior secured asset-based revolving credit facility (the “ABL Facility”), ending 2023 with an outstanding balance of $145 million, down significantly from $295 million outstanding at the end of 2022.</w:t>
      </w:r>
    </w:p>
    <w:p>
      <w:pPr>
        <w:spacing w:after="0" w:line="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1E1E1E"/>
        </w:rPr>
        <w:t>In 2023, our net sales decreased $162 million, or 3%, to $6.182 billion compared to $6.344 billion in 2022 and comparable sales decreased 9% in 2023. Our North America store sales decreased 11%, or $429 million, to $3.480 billion compared to $3.909 billion in 2022, primarily driven by a decrease in traffic, average unit retail (which we define as the average price per unit purchased) and conversion (which we define as the percentage of customers who visit our stores and make a purchase). Our direct channel sales increased by 9%, or $172 million, to $2.015 billion compared to $1.843 billion in 2022, primarily driven by the inclusion of Adore Me sales in our results beginning in 2023. On a comparable basis, our direct channel sales decrease was driven by a decrease in average unit retail, conversion and traffic compared to 2022. Operating income was $246 million compared to operating income of $478 million in 2022, and our operating income rate decreased to 4.0% compared to</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1E1E1E"/>
        </w:rPr>
        <w:t>7.5% last year. The operating income decrease in 2023 was primarily driven by an increase in general, administrative and store operating expenses and a decrease in net sales.</w:t>
      </w:r>
    </w:p>
    <w:p>
      <w:pPr>
        <w:spacing w:after="0" w:line="6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1E1E1E"/>
        </w:rPr>
        <w:t>For additional information related to our 2023 financial performance, see “Results of Operations – 2023 Compared to 2022.” For a discussion of our financial condition and results of operations for 2022 compared to 2021, refer to “Part II, Item 7. Management's Discussion and Analysis of Financial Condition and Results of Operations” in our Annual Report on Form 10-K for the year ended January 28, 2023, filed with the SEC on March 17, 2023.</w:t>
      </w:r>
    </w:p>
    <w:p>
      <w:pPr>
        <w:sectPr>
          <w:pgSz w:w="11880" w:h="15480" w:orient="portrait"/>
          <w:cols w:equalWidth="0" w:num="1">
            <w:col w:w="10220"/>
          </w:cols>
          <w:pgMar w:left="820" w:top="45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220"/>
          </w:cols>
          <w:pgMar w:left="820" w:top="453" w:right="840" w:bottom="0" w:gutter="0" w:footer="0" w:header="0"/>
          <w:type w:val="continuous"/>
        </w:sectPr>
      </w:pPr>
    </w:p>
    <w:bookmarkStart w:id="40" w:name="page41"/>
    <w:bookmarkEnd w:id="40"/>
    <w:p>
      <w:pPr>
        <w:ind w:left="10"/>
        <w:spacing w:after="0"/>
        <w:rPr>
          <w:sz w:val="20"/>
          <w:szCs w:val="20"/>
          <w:color w:val="auto"/>
        </w:rPr>
      </w:pPr>
      <w:r>
        <w:rPr>
          <w:rFonts w:ascii="Times New Roman" w:cs="Times New Roman" w:eastAsia="Times New Roman" w:hAnsi="Times New Roman"/>
          <w:sz w:val="20"/>
          <w:szCs w:val="20"/>
          <w:b w:val="1"/>
          <w:bCs w:val="1"/>
          <w:u w:val="single" w:color="auto"/>
          <w:color w:val="1E1E1E"/>
        </w:rPr>
        <w:t>Non-GAAP Financial Information</w:t>
      </w:r>
    </w:p>
    <w:p>
      <w:pPr>
        <w:spacing w:after="0" w:line="117"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20"/>
          <w:szCs w:val="20"/>
          <w:color w:val="1E1E1E"/>
        </w:rPr>
        <w:t>In addition to our results provided in accordance with GAAP above and throughout this Annual Report on Form 10-K, provided below are non-GAAP financial measures that present operating income, net income attributable to Victoria's Secret &amp; Co. and net income per diluted share attributable to Victoria's Secret &amp; Co. in 2023 and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 w:type="dxa"/>
            <w:vAlign w:val="bottom"/>
            <w:tcBorders>
              <w:bottom w:val="single" w:sz="8" w:color="E2E2E2"/>
            </w:tcBorders>
          </w:tcPr>
          <w:p>
            <w:pPr>
              <w:spacing w:after="0"/>
              <w:rPr>
                <w:sz w:val="23"/>
                <w:szCs w:val="23"/>
                <w:color w:val="auto"/>
              </w:rPr>
            </w:pPr>
          </w:p>
        </w:tc>
        <w:tc>
          <w:tcPr>
            <w:tcW w:w="848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b w:val="1"/>
                <w:bCs w:val="1"/>
                <w:color w:val="1E1E1E"/>
              </w:rPr>
              <w:t>(in millions, except per share amounts)</w:t>
            </w:r>
          </w:p>
        </w:tc>
        <w:tc>
          <w:tcPr>
            <w:tcW w:w="200" w:type="dxa"/>
            <w:vAlign w:val="bottom"/>
            <w:tcBorders>
              <w:bottom w:val="single" w:sz="8" w:color="1E1E1E"/>
            </w:tcBorders>
          </w:tcPr>
          <w:p>
            <w:pPr>
              <w:spacing w:after="0"/>
              <w:rPr>
                <w:sz w:val="23"/>
                <w:szCs w:val="23"/>
                <w:color w:val="auto"/>
              </w:rPr>
            </w:pPr>
          </w:p>
        </w:tc>
        <w:tc>
          <w:tcPr>
            <w:tcW w:w="640" w:type="dxa"/>
            <w:vAlign w:val="bottom"/>
            <w:tcBorders>
              <w:bottom w:val="single" w:sz="8" w:color="1E1E1E"/>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1E1E1E"/>
              </w:rPr>
              <w:t>2023</w:t>
            </w:r>
          </w:p>
        </w:tc>
        <w:tc>
          <w:tcPr>
            <w:tcW w:w="60" w:type="dxa"/>
            <w:vAlign w:val="bottom"/>
            <w:tcBorders>
              <w:bottom w:val="single" w:sz="8" w:color="E2E2E2"/>
            </w:tcBorders>
          </w:tcPr>
          <w:p>
            <w:pPr>
              <w:spacing w:after="0"/>
              <w:rPr>
                <w:sz w:val="23"/>
                <w:szCs w:val="23"/>
                <w:color w:val="auto"/>
              </w:rPr>
            </w:pPr>
          </w:p>
        </w:tc>
        <w:tc>
          <w:tcPr>
            <w:tcW w:w="200" w:type="dxa"/>
            <w:vAlign w:val="bottom"/>
            <w:tcBorders>
              <w:bottom w:val="single" w:sz="8" w:color="1E1E1E"/>
            </w:tcBorders>
          </w:tcPr>
          <w:p>
            <w:pPr>
              <w:spacing w:after="0"/>
              <w:rPr>
                <w:sz w:val="23"/>
                <w:szCs w:val="23"/>
                <w:color w:val="auto"/>
              </w:rPr>
            </w:pPr>
          </w:p>
        </w:tc>
        <w:tc>
          <w:tcPr>
            <w:tcW w:w="640" w:type="dxa"/>
            <w:vAlign w:val="bottom"/>
            <w:tcBorders>
              <w:bottom w:val="single" w:sz="8" w:color="1E1E1E"/>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1E1E1E"/>
              </w:rPr>
              <w:t>2022</w:t>
            </w:r>
          </w:p>
        </w:tc>
      </w:tr>
      <w:tr>
        <w:trPr>
          <w:trHeight w:val="255"/>
        </w:trPr>
        <w:tc>
          <w:tcPr>
            <w:tcW w:w="40" w:type="dxa"/>
            <w:vAlign w:val="bottom"/>
            <w:shd w:val="clear" w:color="auto" w:fill="E2E2E2"/>
          </w:tcPr>
          <w:p>
            <w:pPr>
              <w:spacing w:after="0"/>
              <w:rPr>
                <w:sz w:val="22"/>
                <w:szCs w:val="22"/>
                <w:color w:val="auto"/>
              </w:rPr>
            </w:pPr>
          </w:p>
        </w:tc>
        <w:tc>
          <w:tcPr>
            <w:tcW w:w="8480" w:type="dxa"/>
            <w:vAlign w:val="bottom"/>
            <w:gridSpan w:val="3"/>
            <w:shd w:val="clear" w:color="auto" w:fill="E2E2E2"/>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Reconciliation of Reported to Adjusted Operating Income</w:t>
            </w:r>
          </w:p>
        </w:tc>
        <w:tc>
          <w:tcPr>
            <w:tcW w:w="200" w:type="dxa"/>
            <w:vAlign w:val="bottom"/>
            <w:shd w:val="clear" w:color="auto" w:fill="E2E2E2"/>
          </w:tcPr>
          <w:p>
            <w:pPr>
              <w:spacing w:after="0"/>
              <w:rPr>
                <w:sz w:val="22"/>
                <w:szCs w:val="22"/>
                <w:color w:val="auto"/>
              </w:rPr>
            </w:pPr>
          </w:p>
        </w:tc>
        <w:tc>
          <w:tcPr>
            <w:tcW w:w="64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640" w:type="dxa"/>
            <w:vAlign w:val="bottom"/>
            <w:shd w:val="clear" w:color="auto" w:fill="E2E2E2"/>
          </w:tcPr>
          <w:p>
            <w:pPr>
              <w:spacing w:after="0"/>
              <w:rPr>
                <w:sz w:val="22"/>
                <w:szCs w:val="22"/>
                <w:color w:val="auto"/>
              </w:rPr>
            </w:pPr>
          </w:p>
        </w:tc>
      </w:tr>
      <w:tr>
        <w:trPr>
          <w:trHeight w:val="278"/>
        </w:trPr>
        <w:tc>
          <w:tcPr>
            <w:tcW w:w="40" w:type="dxa"/>
            <w:vAlign w:val="bottom"/>
            <w:tcBorders>
              <w:top w:val="single" w:sz="8" w:color="E2E2E2"/>
            </w:tcBorders>
          </w:tcPr>
          <w:p>
            <w:pPr>
              <w:spacing w:after="0"/>
              <w:rPr>
                <w:sz w:val="24"/>
                <w:szCs w:val="24"/>
                <w:color w:val="auto"/>
              </w:rPr>
            </w:pPr>
          </w:p>
        </w:tc>
        <w:tc>
          <w:tcPr>
            <w:tcW w:w="494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Reported Operating Income — GAAP</w:t>
            </w:r>
          </w:p>
        </w:tc>
        <w:tc>
          <w:tcPr>
            <w:tcW w:w="3540" w:type="dxa"/>
            <w:vAlign w:val="bottom"/>
            <w:tcBorders>
              <w:top w:val="single" w:sz="8" w:color="E2E2E2"/>
            </w:tcBorders>
            <w:gridSpan w:val="2"/>
          </w:tcPr>
          <w:p>
            <w:pPr>
              <w:spacing w:after="0"/>
              <w:rPr>
                <w:sz w:val="24"/>
                <w:szCs w:val="24"/>
                <w:color w:val="auto"/>
              </w:rPr>
            </w:pPr>
          </w:p>
        </w:tc>
        <w:tc>
          <w:tcPr>
            <w:tcW w:w="20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Borders>
              <w:top w:val="single" w:sz="8" w:color="E2E2E2"/>
            </w:tcBorders>
          </w:tcPr>
          <w:p>
            <w:pPr>
              <w:jc w:val="right"/>
              <w:ind w:right="1"/>
              <w:spacing w:after="0"/>
              <w:rPr>
                <w:sz w:val="20"/>
                <w:szCs w:val="20"/>
                <w:color w:val="auto"/>
              </w:rPr>
            </w:pPr>
            <w:r>
              <w:rPr>
                <w:rFonts w:ascii="Times New Roman" w:cs="Times New Roman" w:eastAsia="Times New Roman" w:hAnsi="Times New Roman"/>
                <w:sz w:val="20"/>
                <w:szCs w:val="20"/>
                <w:color w:val="1E1E1E"/>
              </w:rPr>
              <w:t>246</w:t>
            </w:r>
          </w:p>
        </w:tc>
        <w:tc>
          <w:tcPr>
            <w:tcW w:w="260" w:type="dxa"/>
            <w:vAlign w:val="bottom"/>
            <w:tcBorders>
              <w:top w:val="single" w:sz="8" w:color="E2E2E2"/>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Borders>
              <w:top w:val="single" w:sz="8" w:color="E2E2E2"/>
            </w:tcBorders>
          </w:tcPr>
          <w:p>
            <w:pPr>
              <w:jc w:val="right"/>
              <w:ind w:right="1"/>
              <w:spacing w:after="0"/>
              <w:rPr>
                <w:sz w:val="20"/>
                <w:szCs w:val="20"/>
                <w:color w:val="auto"/>
              </w:rPr>
            </w:pPr>
            <w:r>
              <w:rPr>
                <w:rFonts w:ascii="Times New Roman" w:cs="Times New Roman" w:eastAsia="Times New Roman" w:hAnsi="Times New Roman"/>
                <w:sz w:val="20"/>
                <w:szCs w:val="20"/>
                <w:color w:val="1E1E1E"/>
              </w:rPr>
              <w:t>478</w:t>
            </w:r>
          </w:p>
        </w:tc>
      </w:tr>
      <w:tr>
        <w:trPr>
          <w:trHeight w:val="292"/>
        </w:trPr>
        <w:tc>
          <w:tcPr>
            <w:tcW w:w="40" w:type="dxa"/>
            <w:vAlign w:val="bottom"/>
            <w:shd w:val="clear" w:color="auto" w:fill="E2E2E2"/>
          </w:tcPr>
          <w:p>
            <w:pPr>
              <w:spacing w:after="0"/>
              <w:rPr>
                <w:sz w:val="24"/>
                <w:szCs w:val="24"/>
                <w:color w:val="auto"/>
              </w:rPr>
            </w:pPr>
          </w:p>
        </w:tc>
        <w:tc>
          <w:tcPr>
            <w:tcW w:w="84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Adore Me Acquisition-related Items (a)</w:t>
            </w: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45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15</w:t>
            </w:r>
          </w:p>
        </w:tc>
      </w:tr>
      <w:tr>
        <w:trPr>
          <w:trHeight w:val="278"/>
        </w:trPr>
        <w:tc>
          <w:tcPr>
            <w:tcW w:w="4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Amortization of Intangible Assets (b)</w:t>
            </w: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40" w:type="dxa"/>
            <w:vAlign w:val="bottom"/>
            <w:shd w:val="clear" w:color="auto" w:fill="E2E2E2"/>
          </w:tcPr>
          <w:p>
            <w:pPr>
              <w:spacing w:after="0"/>
              <w:rPr>
                <w:sz w:val="24"/>
                <w:szCs w:val="24"/>
                <w:color w:val="auto"/>
              </w:rPr>
            </w:pPr>
          </w:p>
        </w:tc>
        <w:tc>
          <w:tcPr>
            <w:tcW w:w="84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Restructuring Charges (c)</w:t>
            </w: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11</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35</w:t>
            </w:r>
          </w:p>
        </w:tc>
      </w:tr>
      <w:tr>
        <w:trPr>
          <w:trHeight w:val="278"/>
        </w:trPr>
        <w:tc>
          <w:tcPr>
            <w:tcW w:w="4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Occupancy-related Legal Matter (d)</w:t>
            </w: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22</w:t>
            </w:r>
          </w:p>
        </w:tc>
      </w:tr>
      <w:tr>
        <w:trPr>
          <w:trHeight w:val="300"/>
        </w:trPr>
        <w:tc>
          <w:tcPr>
            <w:tcW w:w="40" w:type="dxa"/>
            <w:vAlign w:val="bottom"/>
            <w:tcBorders>
              <w:bottom w:val="single" w:sz="8" w:color="E2E2E2"/>
            </w:tcBorders>
            <w:shd w:val="clear" w:color="auto" w:fill="E2E2E2"/>
          </w:tcPr>
          <w:p>
            <w:pPr>
              <w:spacing w:after="0"/>
              <w:rPr>
                <w:sz w:val="24"/>
                <w:szCs w:val="24"/>
                <w:color w:val="auto"/>
              </w:rPr>
            </w:pPr>
          </w:p>
        </w:tc>
        <w:tc>
          <w:tcPr>
            <w:tcW w:w="848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Happy Nation Restructuring Charge (e)</w:t>
            </w:r>
          </w:p>
        </w:tc>
        <w:tc>
          <w:tcPr>
            <w:tcW w:w="20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16</w:t>
            </w:r>
          </w:p>
        </w:tc>
      </w:tr>
      <w:tr>
        <w:trPr>
          <w:trHeight w:val="227"/>
        </w:trPr>
        <w:tc>
          <w:tcPr>
            <w:tcW w:w="40" w:type="dxa"/>
            <w:vAlign w:val="bottom"/>
          </w:tcPr>
          <w:p>
            <w:pPr>
              <w:spacing w:after="0"/>
              <w:rPr>
                <w:sz w:val="19"/>
                <w:szCs w:val="19"/>
                <w:color w:val="auto"/>
              </w:rPr>
            </w:pPr>
          </w:p>
        </w:tc>
        <w:tc>
          <w:tcPr>
            <w:tcW w:w="848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color w:val="1E1E1E"/>
              </w:rPr>
              <w:t>Adjusted Operating Income</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1E1E1E"/>
              </w:rPr>
              <w:t>327</w:t>
            </w:r>
          </w:p>
        </w:tc>
        <w:tc>
          <w:tcPr>
            <w:tcW w:w="260" w:type="dxa"/>
            <w:vAlign w:val="bottom"/>
            <w:gridSpan w:val="2"/>
          </w:tcPr>
          <w:p>
            <w:pPr>
              <w:jc w:val="right"/>
              <w:ind w:right="4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1E1E1E"/>
              </w:rPr>
              <w:t>566</w:t>
            </w:r>
          </w:p>
        </w:tc>
      </w:tr>
      <w:tr>
        <w:trPr>
          <w:trHeight w:val="20"/>
        </w:trPr>
        <w:tc>
          <w:tcPr>
            <w:tcW w:w="40" w:type="dxa"/>
            <w:vAlign w:val="bottom"/>
            <w:tcBorders>
              <w:bottom w:val="single" w:sz="8" w:color="E2E2E2"/>
            </w:tcBorders>
          </w:tcPr>
          <w:p>
            <w:pPr>
              <w:spacing w:after="0" w:line="20" w:lineRule="exact"/>
              <w:rPr>
                <w:sz w:val="1"/>
                <w:szCs w:val="1"/>
                <w:color w:val="auto"/>
              </w:rPr>
            </w:pPr>
          </w:p>
        </w:tc>
        <w:tc>
          <w:tcPr>
            <w:tcW w:w="4940" w:type="dxa"/>
            <w:vAlign w:val="bottom"/>
            <w:tcBorders>
              <w:bottom w:val="single" w:sz="8" w:color="E2E2E2"/>
            </w:tcBorders>
          </w:tcPr>
          <w:p>
            <w:pPr>
              <w:spacing w:after="0" w:line="20" w:lineRule="exact"/>
              <w:rPr>
                <w:sz w:val="1"/>
                <w:szCs w:val="1"/>
                <w:color w:val="auto"/>
              </w:rPr>
            </w:pPr>
          </w:p>
        </w:tc>
        <w:tc>
          <w:tcPr>
            <w:tcW w:w="2780" w:type="dxa"/>
            <w:vAlign w:val="bottom"/>
            <w:tcBorders>
              <w:bottom w:val="single" w:sz="8" w:color="E2E2E2"/>
            </w:tcBorders>
          </w:tcPr>
          <w:p>
            <w:pPr>
              <w:spacing w:after="0" w:line="20" w:lineRule="exact"/>
              <w:rPr>
                <w:sz w:val="1"/>
                <w:szCs w:val="1"/>
                <w:color w:val="auto"/>
              </w:rPr>
            </w:pPr>
          </w:p>
        </w:tc>
        <w:tc>
          <w:tcPr>
            <w:tcW w:w="76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r>
      <w:tr>
        <w:trPr>
          <w:trHeight w:val="195"/>
        </w:trPr>
        <w:tc>
          <w:tcPr>
            <w:tcW w:w="40" w:type="dxa"/>
            <w:vAlign w:val="bottom"/>
            <w:shd w:val="clear" w:color="auto" w:fill="E2E2E2"/>
          </w:tcPr>
          <w:p>
            <w:pPr>
              <w:spacing w:after="0"/>
              <w:rPr>
                <w:sz w:val="16"/>
                <w:szCs w:val="16"/>
                <w:color w:val="auto"/>
              </w:rPr>
            </w:pPr>
          </w:p>
        </w:tc>
        <w:tc>
          <w:tcPr>
            <w:tcW w:w="4940" w:type="dxa"/>
            <w:vAlign w:val="bottom"/>
            <w:shd w:val="clear" w:color="auto" w:fill="E2E2E2"/>
          </w:tcPr>
          <w:p>
            <w:pPr>
              <w:spacing w:after="0"/>
              <w:rPr>
                <w:sz w:val="16"/>
                <w:szCs w:val="16"/>
                <w:color w:val="auto"/>
              </w:rPr>
            </w:pPr>
          </w:p>
        </w:tc>
        <w:tc>
          <w:tcPr>
            <w:tcW w:w="2780" w:type="dxa"/>
            <w:vAlign w:val="bottom"/>
            <w:shd w:val="clear" w:color="auto" w:fill="E2E2E2"/>
          </w:tcPr>
          <w:p>
            <w:pPr>
              <w:spacing w:after="0"/>
              <w:rPr>
                <w:sz w:val="16"/>
                <w:szCs w:val="16"/>
                <w:color w:val="auto"/>
              </w:rPr>
            </w:pPr>
          </w:p>
        </w:tc>
        <w:tc>
          <w:tcPr>
            <w:tcW w:w="76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64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640" w:type="dxa"/>
            <w:vAlign w:val="bottom"/>
            <w:shd w:val="clear" w:color="auto" w:fill="E2E2E2"/>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848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b w:val="1"/>
                <w:bCs w:val="1"/>
                <w:color w:val="1E1E1E"/>
              </w:rPr>
              <w:t>Reconciliation of Reported to Adjusted Net Income Attributable to Victoria's Secret &amp; Co.</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
        </w:trPr>
        <w:tc>
          <w:tcPr>
            <w:tcW w:w="40" w:type="dxa"/>
            <w:vAlign w:val="bottom"/>
          </w:tcPr>
          <w:p>
            <w:pPr>
              <w:spacing w:after="0"/>
              <w:rPr>
                <w:sz w:val="3"/>
                <w:szCs w:val="3"/>
                <w:color w:val="auto"/>
              </w:rPr>
            </w:pPr>
          </w:p>
        </w:tc>
        <w:tc>
          <w:tcPr>
            <w:tcW w:w="4940" w:type="dxa"/>
            <w:vAlign w:val="bottom"/>
            <w:tcBorders>
              <w:top w:val="single" w:sz="8" w:color="1E1E1E"/>
            </w:tcBorders>
          </w:tcPr>
          <w:p>
            <w:pPr>
              <w:spacing w:after="0"/>
              <w:rPr>
                <w:sz w:val="3"/>
                <w:szCs w:val="3"/>
                <w:color w:val="auto"/>
              </w:rPr>
            </w:pPr>
          </w:p>
        </w:tc>
        <w:tc>
          <w:tcPr>
            <w:tcW w:w="2780" w:type="dxa"/>
            <w:vAlign w:val="bottom"/>
            <w:tcBorders>
              <w:top w:val="single" w:sz="8" w:color="1E1E1E"/>
            </w:tcBorders>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85"/>
        </w:trPr>
        <w:tc>
          <w:tcPr>
            <w:tcW w:w="40" w:type="dxa"/>
            <w:vAlign w:val="bottom"/>
            <w:shd w:val="clear" w:color="auto" w:fill="E2E2E2"/>
          </w:tcPr>
          <w:p>
            <w:pPr>
              <w:spacing w:after="0"/>
              <w:rPr>
                <w:sz w:val="24"/>
                <w:szCs w:val="24"/>
                <w:color w:val="auto"/>
              </w:rPr>
            </w:pPr>
          </w:p>
        </w:tc>
        <w:tc>
          <w:tcPr>
            <w:tcW w:w="84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Reported Net Income Attributable to Victoria's Secret &amp; Co. — GAAP</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109</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348</w:t>
            </w:r>
          </w:p>
        </w:tc>
      </w:tr>
      <w:tr>
        <w:trPr>
          <w:trHeight w:val="278"/>
        </w:trPr>
        <w:tc>
          <w:tcPr>
            <w:tcW w:w="4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Adore Me Acquisition-related Items (a)</w:t>
            </w: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15</w:t>
            </w:r>
          </w:p>
        </w:tc>
      </w:tr>
      <w:tr>
        <w:trPr>
          <w:trHeight w:val="292"/>
        </w:trPr>
        <w:tc>
          <w:tcPr>
            <w:tcW w:w="40" w:type="dxa"/>
            <w:vAlign w:val="bottom"/>
            <w:shd w:val="clear" w:color="auto" w:fill="E2E2E2"/>
          </w:tcPr>
          <w:p>
            <w:pPr>
              <w:spacing w:after="0"/>
              <w:rPr>
                <w:sz w:val="24"/>
                <w:szCs w:val="24"/>
                <w:color w:val="auto"/>
              </w:rPr>
            </w:pPr>
          </w:p>
        </w:tc>
        <w:tc>
          <w:tcPr>
            <w:tcW w:w="84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Amortization of Intangible Assets (b)</w:t>
            </w: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25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r>
      <w:tr>
        <w:trPr>
          <w:trHeight w:val="278"/>
        </w:trPr>
        <w:tc>
          <w:tcPr>
            <w:tcW w:w="4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Restructuring Charges (c)</w:t>
            </w: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35</w:t>
            </w:r>
          </w:p>
        </w:tc>
      </w:tr>
      <w:tr>
        <w:trPr>
          <w:trHeight w:val="292"/>
        </w:trPr>
        <w:tc>
          <w:tcPr>
            <w:tcW w:w="40" w:type="dxa"/>
            <w:vAlign w:val="bottom"/>
            <w:shd w:val="clear" w:color="auto" w:fill="E2E2E2"/>
          </w:tcPr>
          <w:p>
            <w:pPr>
              <w:spacing w:after="0"/>
              <w:rPr>
                <w:sz w:val="24"/>
                <w:szCs w:val="24"/>
                <w:color w:val="auto"/>
              </w:rPr>
            </w:pPr>
          </w:p>
        </w:tc>
        <w:tc>
          <w:tcPr>
            <w:tcW w:w="848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Occupancy-related Legal Matter (d)</w:t>
            </w: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1"/>
              <w:spacing w:after="0"/>
              <w:rPr>
                <w:sz w:val="20"/>
                <w:szCs w:val="20"/>
                <w:color w:val="auto"/>
              </w:rPr>
            </w:pPr>
            <w:r>
              <w:rPr>
                <w:rFonts w:ascii="Times New Roman" w:cs="Times New Roman" w:eastAsia="Times New Roman" w:hAnsi="Times New Roman"/>
                <w:sz w:val="20"/>
                <w:szCs w:val="20"/>
                <w:color w:val="1E1E1E"/>
              </w:rPr>
              <w:t>22</w:t>
            </w:r>
          </w:p>
        </w:tc>
      </w:tr>
      <w:tr>
        <w:trPr>
          <w:trHeight w:val="278"/>
        </w:trPr>
        <w:tc>
          <w:tcPr>
            <w:tcW w:w="4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Happy Nation Restructuring Charge (e)</w:t>
            </w: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E1E1E"/>
              </w:rPr>
              <w:t>16</w:t>
            </w:r>
          </w:p>
        </w:tc>
      </w:tr>
      <w:tr>
        <w:trPr>
          <w:trHeight w:val="300"/>
        </w:trPr>
        <w:tc>
          <w:tcPr>
            <w:tcW w:w="40" w:type="dxa"/>
            <w:vAlign w:val="bottom"/>
            <w:tcBorders>
              <w:bottom w:val="single" w:sz="8" w:color="E2E2E2"/>
            </w:tcBorders>
            <w:shd w:val="clear" w:color="auto" w:fill="E2E2E2"/>
          </w:tcPr>
          <w:p>
            <w:pPr>
              <w:spacing w:after="0"/>
              <w:rPr>
                <w:sz w:val="24"/>
                <w:szCs w:val="24"/>
                <w:color w:val="auto"/>
              </w:rPr>
            </w:pPr>
          </w:p>
        </w:tc>
        <w:tc>
          <w:tcPr>
            <w:tcW w:w="848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Tax Effect of Adjusted Items</w:t>
            </w:r>
          </w:p>
        </w:tc>
        <w:tc>
          <w:tcPr>
            <w:tcW w:w="20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27"/>
        </w:trPr>
        <w:tc>
          <w:tcPr>
            <w:tcW w:w="40" w:type="dxa"/>
            <w:vAlign w:val="bottom"/>
          </w:tcPr>
          <w:p>
            <w:pPr>
              <w:spacing w:after="0"/>
              <w:rPr>
                <w:sz w:val="19"/>
                <w:szCs w:val="19"/>
                <w:color w:val="auto"/>
              </w:rPr>
            </w:pPr>
          </w:p>
        </w:tc>
        <w:tc>
          <w:tcPr>
            <w:tcW w:w="848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color w:val="1E1E1E"/>
              </w:rPr>
              <w:t>Adjusted Net Income Attributable to Victoria's Secret &amp; Co.</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1E1E1E"/>
              </w:rPr>
              <w:t>178</w:t>
            </w:r>
          </w:p>
        </w:tc>
        <w:tc>
          <w:tcPr>
            <w:tcW w:w="260" w:type="dxa"/>
            <w:vAlign w:val="bottom"/>
            <w:gridSpan w:val="2"/>
          </w:tcPr>
          <w:p>
            <w:pPr>
              <w:jc w:val="right"/>
              <w:ind w:right="4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1E1E1E"/>
              </w:rPr>
              <w:t>416</w:t>
            </w:r>
          </w:p>
        </w:tc>
      </w:tr>
      <w:tr>
        <w:trPr>
          <w:trHeight w:val="20"/>
        </w:trPr>
        <w:tc>
          <w:tcPr>
            <w:tcW w:w="40" w:type="dxa"/>
            <w:vAlign w:val="bottom"/>
            <w:tcBorders>
              <w:bottom w:val="single" w:sz="8" w:color="E2E2E2"/>
            </w:tcBorders>
          </w:tcPr>
          <w:p>
            <w:pPr>
              <w:spacing w:after="0" w:line="20" w:lineRule="exact"/>
              <w:rPr>
                <w:sz w:val="1"/>
                <w:szCs w:val="1"/>
                <w:color w:val="auto"/>
              </w:rPr>
            </w:pPr>
          </w:p>
        </w:tc>
        <w:tc>
          <w:tcPr>
            <w:tcW w:w="4940" w:type="dxa"/>
            <w:vAlign w:val="bottom"/>
            <w:tcBorders>
              <w:bottom w:val="single" w:sz="8" w:color="E2E2E2"/>
            </w:tcBorders>
          </w:tcPr>
          <w:p>
            <w:pPr>
              <w:spacing w:after="0" w:line="20" w:lineRule="exact"/>
              <w:rPr>
                <w:sz w:val="1"/>
                <w:szCs w:val="1"/>
                <w:color w:val="auto"/>
              </w:rPr>
            </w:pPr>
          </w:p>
        </w:tc>
        <w:tc>
          <w:tcPr>
            <w:tcW w:w="2780" w:type="dxa"/>
            <w:vAlign w:val="bottom"/>
            <w:tcBorders>
              <w:bottom w:val="single" w:sz="8" w:color="E2E2E2"/>
            </w:tcBorders>
          </w:tcPr>
          <w:p>
            <w:pPr>
              <w:spacing w:after="0" w:line="20" w:lineRule="exact"/>
              <w:rPr>
                <w:sz w:val="1"/>
                <w:szCs w:val="1"/>
                <w:color w:val="auto"/>
              </w:rPr>
            </w:pPr>
          </w:p>
        </w:tc>
        <w:tc>
          <w:tcPr>
            <w:tcW w:w="76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r>
      <w:tr>
        <w:trPr>
          <w:trHeight w:val="195"/>
        </w:trPr>
        <w:tc>
          <w:tcPr>
            <w:tcW w:w="40" w:type="dxa"/>
            <w:vAlign w:val="bottom"/>
            <w:shd w:val="clear" w:color="auto" w:fill="E2E2E2"/>
          </w:tcPr>
          <w:p>
            <w:pPr>
              <w:spacing w:after="0"/>
              <w:rPr>
                <w:sz w:val="16"/>
                <w:szCs w:val="16"/>
                <w:color w:val="auto"/>
              </w:rPr>
            </w:pPr>
          </w:p>
        </w:tc>
        <w:tc>
          <w:tcPr>
            <w:tcW w:w="4940" w:type="dxa"/>
            <w:vAlign w:val="bottom"/>
            <w:shd w:val="clear" w:color="auto" w:fill="E2E2E2"/>
          </w:tcPr>
          <w:p>
            <w:pPr>
              <w:spacing w:after="0"/>
              <w:rPr>
                <w:sz w:val="16"/>
                <w:szCs w:val="16"/>
                <w:color w:val="auto"/>
              </w:rPr>
            </w:pPr>
          </w:p>
        </w:tc>
        <w:tc>
          <w:tcPr>
            <w:tcW w:w="2780" w:type="dxa"/>
            <w:vAlign w:val="bottom"/>
            <w:shd w:val="clear" w:color="auto" w:fill="E2E2E2"/>
          </w:tcPr>
          <w:p>
            <w:pPr>
              <w:spacing w:after="0"/>
              <w:rPr>
                <w:sz w:val="16"/>
                <w:szCs w:val="16"/>
                <w:color w:val="auto"/>
              </w:rPr>
            </w:pPr>
          </w:p>
        </w:tc>
        <w:tc>
          <w:tcPr>
            <w:tcW w:w="76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64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640" w:type="dxa"/>
            <w:vAlign w:val="bottom"/>
            <w:shd w:val="clear" w:color="auto" w:fill="E2E2E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5407025</wp:posOffset>
            </wp:positionH>
            <wp:positionV relativeFrom="paragraph">
              <wp:posOffset>-3387090</wp:posOffset>
            </wp:positionV>
            <wp:extent cx="113347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1">
                      <a:extLst>
                        <a:ext uri="{28A0092B-C50C-407E-A947-70E740481C1C}"/>
                      </a:extLst>
                    </a:blip>
                    <a:srcRect/>
                    <a:stretch>
                      <a:fillRect/>
                    </a:stretch>
                  </pic:blipFill>
                  <pic:spPr bwMode="auto">
                    <a:xfrm>
                      <a:off x="0" y="0"/>
                      <a:ext cx="1133475" cy="5080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-2120265</wp:posOffset>
            </wp:positionV>
            <wp:extent cx="59690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extLst>
                        <a:ext uri="{28A0092B-C50C-407E-A947-70E740481C1C}"/>
                      </a:extLst>
                    </a:blip>
                    <a:srcRect/>
                    <a:stretch>
                      <a:fillRect/>
                    </a:stretch>
                  </pic:blipFill>
                  <pic:spPr bwMode="auto">
                    <a:xfrm>
                      <a:off x="0" y="0"/>
                      <a:ext cx="596900" cy="5080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-1951990</wp:posOffset>
            </wp:positionV>
            <wp:extent cx="1146175" cy="76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extLst>
                    </a:blip>
                    <a:srcRect/>
                    <a:stretch>
                      <a:fillRect/>
                    </a:stretch>
                  </pic:blipFill>
                  <pic:spPr bwMode="auto">
                    <a:xfrm>
                      <a:off x="0" y="0"/>
                      <a:ext cx="1146175" cy="7620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-348615</wp:posOffset>
            </wp:positionV>
            <wp:extent cx="59690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
                      <a:extLst>
                        <a:ext uri="{28A0092B-C50C-407E-A947-70E740481C1C}"/>
                      </a:extLst>
                    </a:blip>
                    <a:srcRect/>
                    <a:stretch>
                      <a:fillRect/>
                    </a:stretch>
                  </pic:blipFill>
                  <pic:spPr bwMode="auto">
                    <a:xfrm>
                      <a:off x="0" y="0"/>
                      <a:ext cx="596900" cy="5080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-180340</wp:posOffset>
            </wp:positionV>
            <wp:extent cx="1146175" cy="76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a:extLst>
                        <a:ext uri="{28A0092B-C50C-407E-A947-70E740481C1C}"/>
                      </a:extLst>
                    </a:blip>
                    <a:srcRect/>
                    <a:stretch>
                      <a:fillRect/>
                    </a:stretch>
                  </pic:blipFill>
                  <pic:spPr bwMode="auto">
                    <a:xfrm>
                      <a:off x="0" y="0"/>
                      <a:ext cx="1146175" cy="76200"/>
                    </a:xfrm>
                    <a:prstGeom prst="rect">
                      <a:avLst/>
                    </a:prstGeom>
                    <a:noFill/>
                  </pic:spPr>
                </pic:pic>
              </a:graphicData>
            </a:graphic>
          </wp:anchor>
        </w:drawing>
      </w:r>
    </w:p>
    <w:p>
      <w:pPr>
        <w:ind w:left="50"/>
        <w:spacing w:after="0"/>
        <w:rPr>
          <w:sz w:val="20"/>
          <w:szCs w:val="20"/>
          <w:color w:val="auto"/>
        </w:rPr>
      </w:pPr>
      <w:r>
        <w:rPr>
          <w:rFonts w:ascii="Times New Roman" w:cs="Times New Roman" w:eastAsia="Times New Roman" w:hAnsi="Times New Roman"/>
          <w:sz w:val="20"/>
          <w:szCs w:val="20"/>
          <w:b w:val="1"/>
          <w:bCs w:val="1"/>
          <w:u w:val="single" w:color="auto"/>
          <w:color w:val="1E1E1E"/>
        </w:rPr>
        <w:t>Reconciliation of Reported to Adjusted Net Income Per Diluted Share Attributable to Victoria's Secret &amp; Co.</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85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Reported Net Income Per Diluted Share Attributable to Victoria's Secret &amp; Co. — GAAP</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3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4.14</w:t>
            </w:r>
          </w:p>
        </w:tc>
        <w:tc>
          <w:tcPr>
            <w:tcW w:w="0" w:type="dxa"/>
            <w:vAlign w:val="bottom"/>
          </w:tcPr>
          <w:p>
            <w:pPr>
              <w:spacing w:after="0"/>
              <w:rPr>
                <w:sz w:val="1"/>
                <w:szCs w:val="1"/>
                <w:color w:val="auto"/>
              </w:rPr>
            </w:pPr>
          </w:p>
        </w:tc>
      </w:tr>
      <w:tr>
        <w:trPr>
          <w:trHeight w:val="279"/>
        </w:trPr>
        <w:tc>
          <w:tcPr>
            <w:tcW w:w="85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Adore Me Acquisition-related Items (a)</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0.16</w:t>
            </w:r>
          </w:p>
        </w:tc>
        <w:tc>
          <w:tcPr>
            <w:tcW w:w="0" w:type="dxa"/>
            <w:vAlign w:val="bottom"/>
          </w:tcPr>
          <w:p>
            <w:pPr>
              <w:spacing w:after="0"/>
              <w:rPr>
                <w:sz w:val="1"/>
                <w:szCs w:val="1"/>
                <w:color w:val="auto"/>
              </w:rPr>
            </w:pPr>
          </w:p>
        </w:tc>
      </w:tr>
      <w:tr>
        <w:trPr>
          <w:trHeight w:val="291"/>
        </w:trPr>
        <w:tc>
          <w:tcPr>
            <w:tcW w:w="85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Amortization of Intangible Assets (b)</w:t>
            </w:r>
          </w:p>
        </w:tc>
        <w:tc>
          <w:tcPr>
            <w:tcW w:w="280" w:type="dxa"/>
            <w:vAlign w:val="bottom"/>
            <w:shd w:val="clear" w:color="auto" w:fill="E2E2E2"/>
          </w:tcPr>
          <w:p>
            <w:pPr>
              <w:spacing w:after="0"/>
              <w:rPr>
                <w:sz w:val="24"/>
                <w:szCs w:val="24"/>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0.24</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85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Restructuring Charges (c)</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0.31</w:t>
            </w:r>
          </w:p>
        </w:tc>
        <w:tc>
          <w:tcPr>
            <w:tcW w:w="0" w:type="dxa"/>
            <w:vAlign w:val="bottom"/>
          </w:tcPr>
          <w:p>
            <w:pPr>
              <w:spacing w:after="0"/>
              <w:rPr>
                <w:sz w:val="1"/>
                <w:szCs w:val="1"/>
                <w:color w:val="auto"/>
              </w:rPr>
            </w:pPr>
          </w:p>
        </w:tc>
      </w:tr>
      <w:tr>
        <w:trPr>
          <w:trHeight w:val="291"/>
        </w:trPr>
        <w:tc>
          <w:tcPr>
            <w:tcW w:w="85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Occupancy-related Legal Matter (d)</w:t>
            </w:r>
          </w:p>
        </w:tc>
        <w:tc>
          <w:tcPr>
            <w:tcW w:w="280" w:type="dxa"/>
            <w:vAlign w:val="bottom"/>
            <w:shd w:val="clear" w:color="auto" w:fill="E2E2E2"/>
          </w:tcPr>
          <w:p>
            <w:pPr>
              <w:spacing w:after="0"/>
              <w:rPr>
                <w:sz w:val="24"/>
                <w:szCs w:val="24"/>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0.19</w:t>
            </w:r>
          </w:p>
        </w:tc>
        <w:tc>
          <w:tcPr>
            <w:tcW w:w="0" w:type="dxa"/>
            <w:vAlign w:val="bottom"/>
          </w:tcPr>
          <w:p>
            <w:pPr>
              <w:spacing w:after="0"/>
              <w:rPr>
                <w:sz w:val="1"/>
                <w:szCs w:val="1"/>
                <w:color w:val="auto"/>
              </w:rPr>
            </w:pPr>
          </w:p>
        </w:tc>
      </w:tr>
      <w:tr>
        <w:trPr>
          <w:trHeight w:val="275"/>
        </w:trPr>
        <w:tc>
          <w:tcPr>
            <w:tcW w:w="85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Happy Nation Restructuring Charge (e)</w:t>
            </w:r>
          </w:p>
        </w:tc>
        <w:tc>
          <w:tcPr>
            <w:tcW w:w="280" w:type="dxa"/>
            <w:vAlign w:val="bottom"/>
            <w:tcBorders>
              <w:bottom w:val="single" w:sz="8" w:color="1E1E1E"/>
            </w:tcBorders>
          </w:tcPr>
          <w:p>
            <w:pPr>
              <w:spacing w:after="0"/>
              <w:rPr>
                <w:sz w:val="23"/>
                <w:szCs w:val="23"/>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E2E2E2"/>
            </w:tcBorders>
          </w:tcPr>
          <w:p>
            <w:pPr>
              <w:spacing w:after="0"/>
              <w:rPr>
                <w:sz w:val="23"/>
                <w:szCs w:val="23"/>
                <w:color w:val="auto"/>
              </w:rPr>
            </w:pPr>
          </w:p>
        </w:tc>
        <w:tc>
          <w:tcPr>
            <w:tcW w:w="280" w:type="dxa"/>
            <w:vAlign w:val="bottom"/>
            <w:tcBorders>
              <w:bottom w:val="single" w:sz="8" w:color="1E1E1E"/>
            </w:tcBorders>
          </w:tcPr>
          <w:p>
            <w:pPr>
              <w:spacing w:after="0"/>
              <w:rPr>
                <w:sz w:val="23"/>
                <w:szCs w:val="23"/>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0.14</w:t>
            </w:r>
          </w:p>
        </w:tc>
        <w:tc>
          <w:tcPr>
            <w:tcW w:w="0" w:type="dxa"/>
            <w:vAlign w:val="bottom"/>
          </w:tcPr>
          <w:p>
            <w:pPr>
              <w:spacing w:after="0"/>
              <w:rPr>
                <w:sz w:val="1"/>
                <w:szCs w:val="1"/>
                <w:color w:val="auto"/>
              </w:rPr>
            </w:pPr>
          </w:p>
        </w:tc>
      </w:tr>
      <w:tr>
        <w:trPr>
          <w:trHeight w:val="265"/>
        </w:trPr>
        <w:tc>
          <w:tcPr>
            <w:tcW w:w="85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Adjusted Net Income Per Diluted Share Attributable to Victoria's Secret &amp; Co.</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2.27</w:t>
            </w:r>
          </w:p>
        </w:tc>
        <w:tc>
          <w:tcPr>
            <w:tcW w:w="34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4.95</w:t>
            </w:r>
          </w:p>
        </w:tc>
        <w:tc>
          <w:tcPr>
            <w:tcW w:w="0" w:type="dxa"/>
            <w:vAlign w:val="bottom"/>
          </w:tcPr>
          <w:p>
            <w:pPr>
              <w:spacing w:after="0"/>
              <w:rPr>
                <w:sz w:val="1"/>
                <w:szCs w:val="1"/>
                <w:color w:val="auto"/>
              </w:rPr>
            </w:pPr>
          </w:p>
        </w:tc>
      </w:tr>
      <w:tr>
        <w:trPr>
          <w:trHeight w:val="20"/>
        </w:trPr>
        <w:tc>
          <w:tcPr>
            <w:tcW w:w="852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color w:val="1E1E1E"/>
              </w:rPr>
              <w:t>________________</w:t>
            </w: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56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5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5394325</wp:posOffset>
            </wp:positionH>
            <wp:positionV relativeFrom="paragraph">
              <wp:posOffset>-395605</wp:posOffset>
            </wp:positionV>
            <wp:extent cx="59690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a:extLst>
                        <a:ext uri="{28A0092B-C50C-407E-A947-70E740481C1C}"/>
                      </a:extLst>
                    </a:blip>
                    <a:srcRect/>
                    <a:stretch>
                      <a:fillRect/>
                    </a:stretch>
                  </pic:blipFill>
                  <pic:spPr bwMode="auto">
                    <a:xfrm>
                      <a:off x="0" y="0"/>
                      <a:ext cx="596900" cy="5080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-227330</wp:posOffset>
            </wp:positionV>
            <wp:extent cx="1146175" cy="76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7">
                      <a:extLst>
                        <a:ext uri="{28A0092B-C50C-407E-A947-70E740481C1C}"/>
                      </a:extLst>
                    </a:blip>
                    <a:srcRect/>
                    <a:stretch>
                      <a:fillRect/>
                    </a:stretch>
                  </pic:blipFill>
                  <pic:spPr bwMode="auto">
                    <a:xfrm>
                      <a:off x="0" y="0"/>
                      <a:ext cx="1146175" cy="76200"/>
                    </a:xfrm>
                    <a:prstGeom prst="rect">
                      <a:avLst/>
                    </a:prstGeom>
                    <a:noFill/>
                  </pic:spPr>
                </pic:pic>
              </a:graphicData>
            </a:graphic>
          </wp:anchor>
        </w:drawing>
      </w:r>
    </w:p>
    <w:p>
      <w:pPr>
        <w:ind w:left="730" w:right="40" w:hanging="730"/>
        <w:spacing w:after="0" w:line="251" w:lineRule="auto"/>
        <w:tabs>
          <w:tab w:leader="none" w:pos="730" w:val="left"/>
        </w:tabs>
        <w:numPr>
          <w:ilvl w:val="0"/>
          <w:numId w:val="2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2023, we recognized pre-tax charges of $50 million ($42 million after-tax) within net income, $29 million included in costs of goods sold, buying and occupancy expense, $16 million included in general, administrative and store operating expense and $5 million included in interest expense, related to the financial impact of purchase accounting items and professional service costs related to the acquisition of Adore Me. In the fourth quarter of 2022, we recognized a pre-tax charge of $15 million ($14 million after-tax), included in general, administrative and store operating expense, related to professional services and other transaction-related costs associated with the acquisition of Adore Me. For additional information, see Note 2, “Acquisition” included in Item 8. Financial Statements and Supplementary Data.</w:t>
      </w:r>
    </w:p>
    <w:p>
      <w:pPr>
        <w:sectPr>
          <w:pgSz w:w="11880" w:h="15480" w:orient="portrait"/>
          <w:cols w:equalWidth="0" w:num="1">
            <w:col w:w="10270"/>
          </w:cols>
          <w:pgMar w:left="81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270"/>
          </w:cols>
          <w:pgMar w:left="810" w:top="446" w:right="800" w:bottom="0" w:gutter="0" w:footer="0" w:header="0"/>
          <w:type w:val="continuous"/>
        </w:sectPr>
      </w:pPr>
    </w:p>
    <w:bookmarkStart w:id="41" w:name="page42"/>
    <w:bookmarkEnd w:id="41"/>
    <w:p>
      <w:pPr>
        <w:ind w:left="730" w:right="360" w:hanging="730"/>
        <w:spacing w:after="0" w:line="257" w:lineRule="auto"/>
        <w:tabs>
          <w:tab w:leader="none" w:pos="73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2023, we recognized $25 million ($19 million after-tax) included in general, administrative and store operating expense related to the acquisition of Adore Me. For additional information, see Note 2, “Acquisition” and Note 10, “Intangible Assets” included in Item 8. Financial Statements and Supplementary Data.</w:t>
      </w:r>
    </w:p>
    <w:p>
      <w:pPr>
        <w:spacing w:after="0" w:line="1" w:lineRule="exact"/>
        <w:rPr>
          <w:rFonts w:ascii="Times New Roman" w:cs="Times New Roman" w:eastAsia="Times New Roman" w:hAnsi="Times New Roman"/>
          <w:sz w:val="20"/>
          <w:szCs w:val="20"/>
          <w:color w:val="1E1E1E"/>
        </w:rPr>
      </w:pPr>
    </w:p>
    <w:p>
      <w:pPr>
        <w:ind w:left="730" w:hanging="730"/>
        <w:spacing w:after="0" w:line="250" w:lineRule="auto"/>
        <w:tabs>
          <w:tab w:leader="none" w:pos="73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the first quarter of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2022, we recognized pre-tax charges of $35 million ($26 million after-tax), $21 million included in general, administrative and store operating expense and $14 million included in buying and occupancy expense, related to restructuring activities to continue to reorganize and improve our organizational structure. For additional information, see Note 6, “Restructuring Activities” included in Item 8. Financial Statements and Supplementary Data.</w:t>
      </w:r>
    </w:p>
    <w:p>
      <w:pPr>
        <w:spacing w:after="0" w:line="3" w:lineRule="exact"/>
        <w:rPr>
          <w:rFonts w:ascii="Times New Roman" w:cs="Times New Roman" w:eastAsia="Times New Roman" w:hAnsi="Times New Roman"/>
          <w:sz w:val="20"/>
          <w:szCs w:val="20"/>
          <w:color w:val="1E1E1E"/>
        </w:rPr>
      </w:pPr>
    </w:p>
    <w:p>
      <w:pPr>
        <w:ind w:left="730" w:right="180" w:hanging="730"/>
        <w:spacing w:after="0" w:line="250" w:lineRule="auto"/>
        <w:tabs>
          <w:tab w:leader="none" w:pos="73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16, “Commitments and Contingencies” included in Item 8. Financial Statements and Supplementary Data.</w:t>
      </w:r>
    </w:p>
    <w:p>
      <w:pPr>
        <w:spacing w:after="0" w:line="1" w:lineRule="exact"/>
        <w:rPr>
          <w:rFonts w:ascii="Times New Roman" w:cs="Times New Roman" w:eastAsia="Times New Roman" w:hAnsi="Times New Roman"/>
          <w:sz w:val="20"/>
          <w:szCs w:val="20"/>
          <w:color w:val="1E1E1E"/>
        </w:rPr>
      </w:pPr>
    </w:p>
    <w:p>
      <w:pPr>
        <w:ind w:left="730" w:right="60" w:hanging="730"/>
        <w:spacing w:after="0" w:line="255" w:lineRule="auto"/>
        <w:tabs>
          <w:tab w:leader="none" w:pos="73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 the fourth quarter of 2022, we recognized a $16 million charge ($12 million after-tax), $15 million included in costs of goods sold, buying and occupancy expense and $1 million included in general, administrative and store operating expense, for inventory and other costs related to restructuring actions associated with Happy Nation.</w:t>
      </w:r>
    </w:p>
    <w:p>
      <w:pPr>
        <w:spacing w:after="0" w:line="1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Company-Operated Store Data</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compares 2023 U.S. company-operated store data to the comparable period for 2022:</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900" w:type="dxa"/>
            <w:vAlign w:val="bottom"/>
            <w:tcBorders>
              <w:bottom w:val="single" w:sz="8" w:color="E2E2E2"/>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2E2E2"/>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Borders>
              <w:bottom w:val="single" w:sz="8" w:color="E2E2E2"/>
            </w:tcBorders>
          </w:tcPr>
          <w:p>
            <w:pPr>
              <w:spacing w:after="0"/>
              <w:rPr>
                <w:sz w:val="18"/>
                <w:szCs w:val="18"/>
                <w:color w:val="auto"/>
              </w:rPr>
            </w:pPr>
          </w:p>
        </w:tc>
        <w:tc>
          <w:tcPr>
            <w:tcW w:w="108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 Change</w:t>
            </w:r>
          </w:p>
        </w:tc>
      </w:tr>
      <w:tr>
        <w:trPr>
          <w:trHeight w:val="275"/>
        </w:trPr>
        <w:tc>
          <w:tcPr>
            <w:tcW w:w="69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Sales per Average Selling Square Foot (a)</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588</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658</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7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Sales per Average Store (in thousands) (a)</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4,038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4,558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92"/>
        </w:trPr>
        <w:tc>
          <w:tcPr>
            <w:tcW w:w="69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Average Store Size (selling square feet)</w:t>
            </w:r>
          </w:p>
        </w:tc>
        <w:tc>
          <w:tcPr>
            <w:tcW w:w="260" w:type="dxa"/>
            <w:vAlign w:val="bottom"/>
            <w:shd w:val="clear" w:color="auto" w:fill="E2E2E2"/>
          </w:tcPr>
          <w:p>
            <w:pPr>
              <w:spacing w:after="0"/>
              <w:rPr>
                <w:sz w:val="24"/>
                <w:szCs w:val="24"/>
                <w:color w:val="auto"/>
              </w:rPr>
            </w:pPr>
          </w:p>
        </w:tc>
        <w:tc>
          <w:tcPr>
            <w:tcW w:w="8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6,837</w:t>
            </w:r>
          </w:p>
        </w:tc>
        <w:tc>
          <w:tcPr>
            <w:tcW w:w="6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6,918</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7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Selling Square Feet (in thousands)</w:t>
            </w:r>
          </w:p>
        </w:tc>
        <w:tc>
          <w:tcPr>
            <w:tcW w:w="26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5,565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5,617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312"/>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________________</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-938530</wp:posOffset>
            </wp:positionV>
            <wp:extent cx="216217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a:extLst>
                        <a:ext uri="{28A0092B-C50C-407E-A947-70E740481C1C}"/>
                      </a:extLst>
                    </a:blip>
                    <a:srcRect/>
                    <a:stretch>
                      <a:fillRect/>
                    </a:stretch>
                  </pic:blipFill>
                  <pic:spPr bwMode="auto">
                    <a:xfrm>
                      <a:off x="0" y="0"/>
                      <a:ext cx="2162175" cy="50800"/>
                    </a:xfrm>
                    <a:prstGeom prst="rect">
                      <a:avLst/>
                    </a:prstGeom>
                    <a:noFill/>
                  </pic:spPr>
                </pic:pic>
              </a:graphicData>
            </a:graphic>
          </wp:anchor>
        </w:drawing>
      </w:r>
    </w:p>
    <w:p>
      <w:pPr>
        <w:ind w:left="730" w:right="380" w:hanging="730"/>
        <w:spacing w:after="0" w:line="255" w:lineRule="auto"/>
        <w:tabs>
          <w:tab w:leader="none" w:pos="730" w:val="left"/>
        </w:tabs>
        <w:numPr>
          <w:ilvl w:val="0"/>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represents store data for 2023:</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1E1E1E"/>
              </w:rPr>
              <w:t>Stores at</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1E1E1E"/>
              </w:rPr>
              <w:t>Stores at</w:t>
            </w:r>
          </w:p>
        </w:tc>
      </w:tr>
      <w:tr>
        <w:trPr>
          <w:trHeight w:val="246"/>
        </w:trPr>
        <w:tc>
          <w:tcPr>
            <w:tcW w:w="60" w:type="dxa"/>
            <w:vAlign w:val="bottom"/>
            <w:tcBorders>
              <w:bottom w:val="single" w:sz="8" w:color="E2E2E2"/>
            </w:tcBorders>
          </w:tcPr>
          <w:p>
            <w:pPr>
              <w:spacing w:after="0"/>
              <w:rPr>
                <w:sz w:val="21"/>
                <w:szCs w:val="21"/>
                <w:color w:val="auto"/>
              </w:rPr>
            </w:pPr>
          </w:p>
        </w:tc>
        <w:tc>
          <w:tcPr>
            <w:tcW w:w="1600" w:type="dxa"/>
            <w:vAlign w:val="bottom"/>
            <w:tcBorders>
              <w:bottom w:val="single" w:sz="8" w:color="E2E2E2"/>
            </w:tcBorders>
          </w:tcPr>
          <w:p>
            <w:pPr>
              <w:spacing w:after="0"/>
              <w:rPr>
                <w:sz w:val="21"/>
                <w:szCs w:val="21"/>
                <w:color w:val="auto"/>
              </w:rPr>
            </w:pPr>
          </w:p>
        </w:tc>
        <w:tc>
          <w:tcPr>
            <w:tcW w:w="160" w:type="dxa"/>
            <w:vAlign w:val="bottom"/>
            <w:tcBorders>
              <w:bottom w:val="single" w:sz="8" w:color="E2E2E2"/>
            </w:tcBorders>
          </w:tcPr>
          <w:p>
            <w:pPr>
              <w:spacing w:after="0"/>
              <w:rPr>
                <w:sz w:val="21"/>
                <w:szCs w:val="21"/>
                <w:color w:val="auto"/>
              </w:rPr>
            </w:pPr>
          </w:p>
        </w:tc>
        <w:tc>
          <w:tcPr>
            <w:tcW w:w="60" w:type="dxa"/>
            <w:vAlign w:val="bottom"/>
            <w:tcBorders>
              <w:bottom w:val="single" w:sz="8" w:color="E2E2E2"/>
            </w:tcBorders>
          </w:tcPr>
          <w:p>
            <w:pPr>
              <w:spacing w:after="0"/>
              <w:rPr>
                <w:sz w:val="21"/>
                <w:szCs w:val="21"/>
                <w:color w:val="auto"/>
              </w:rPr>
            </w:pPr>
          </w:p>
        </w:tc>
        <w:tc>
          <w:tcPr>
            <w:tcW w:w="3040" w:type="dxa"/>
            <w:vAlign w:val="bottom"/>
            <w:tcBorders>
              <w:bottom w:val="single" w:sz="8" w:color="E2E2E2"/>
            </w:tcBorders>
          </w:tcPr>
          <w:p>
            <w:pPr>
              <w:spacing w:after="0"/>
              <w:rPr>
                <w:sz w:val="21"/>
                <w:szCs w:val="21"/>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January 28, 2023</w:t>
            </w:r>
          </w:p>
        </w:tc>
        <w:tc>
          <w:tcPr>
            <w:tcW w:w="60" w:type="dxa"/>
            <w:vAlign w:val="bottom"/>
            <w:tcBorders>
              <w:bottom w:val="single" w:sz="8" w:color="E2E2E2"/>
            </w:tcBorders>
          </w:tcPr>
          <w:p>
            <w:pPr>
              <w:spacing w:after="0"/>
              <w:rPr>
                <w:sz w:val="21"/>
                <w:szCs w:val="21"/>
                <w:color w:val="auto"/>
              </w:rPr>
            </w:pPr>
          </w:p>
        </w:tc>
        <w:tc>
          <w:tcPr>
            <w:tcW w:w="1280" w:type="dxa"/>
            <w:vAlign w:val="bottom"/>
            <w:tcBorders>
              <w:bottom w:val="single" w:sz="8" w:color="1E1E1E"/>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1E1E1E"/>
              </w:rPr>
              <w:t>Opened</w:t>
            </w:r>
          </w:p>
        </w:tc>
        <w:tc>
          <w:tcPr>
            <w:tcW w:w="80" w:type="dxa"/>
            <w:vAlign w:val="bottom"/>
            <w:tcBorders>
              <w:bottom w:val="single" w:sz="8" w:color="E2E2E2"/>
            </w:tcBorders>
          </w:tcPr>
          <w:p>
            <w:pPr>
              <w:spacing w:after="0"/>
              <w:rPr>
                <w:sz w:val="21"/>
                <w:szCs w:val="21"/>
                <w:color w:val="auto"/>
              </w:rPr>
            </w:pPr>
          </w:p>
        </w:tc>
        <w:tc>
          <w:tcPr>
            <w:tcW w:w="1280" w:type="dxa"/>
            <w:vAlign w:val="bottom"/>
            <w:tcBorders>
              <w:bottom w:val="single" w:sz="8" w:color="1E1E1E"/>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Closed</w:t>
            </w:r>
          </w:p>
        </w:tc>
        <w:tc>
          <w:tcPr>
            <w:tcW w:w="60" w:type="dxa"/>
            <w:vAlign w:val="bottom"/>
            <w:tcBorders>
              <w:bottom w:val="single" w:sz="8" w:color="E2E2E2"/>
            </w:tcBorders>
          </w:tcPr>
          <w:p>
            <w:pPr>
              <w:spacing w:after="0"/>
              <w:rPr>
                <w:sz w:val="21"/>
                <w:szCs w:val="21"/>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February 3, 2024</w:t>
            </w:r>
          </w:p>
        </w:tc>
      </w:tr>
      <w:tr>
        <w:trPr>
          <w:trHeight w:val="255"/>
        </w:trPr>
        <w:tc>
          <w:tcPr>
            <w:tcW w:w="60" w:type="dxa"/>
            <w:vAlign w:val="bottom"/>
            <w:shd w:val="clear" w:color="auto" w:fill="E2E2E2"/>
          </w:tcPr>
          <w:p>
            <w:pPr>
              <w:spacing w:after="0"/>
              <w:rPr>
                <w:sz w:val="22"/>
                <w:szCs w:val="22"/>
                <w:color w:val="auto"/>
              </w:rPr>
            </w:pPr>
          </w:p>
        </w:tc>
        <w:tc>
          <w:tcPr>
            <w:tcW w:w="4860" w:type="dxa"/>
            <w:vAlign w:val="bottom"/>
            <w:gridSpan w:val="4"/>
            <w:shd w:val="clear" w:color="auto" w:fill="E2E2E2"/>
          </w:tcPr>
          <w:p>
            <w:pPr>
              <w:spacing w:after="0" w:line="219" w:lineRule="exact"/>
              <w:rPr>
                <w:sz w:val="20"/>
                <w:szCs w:val="20"/>
                <w:color w:val="auto"/>
              </w:rPr>
            </w:pPr>
            <w:r>
              <w:rPr>
                <w:rFonts w:ascii="Times New Roman" w:cs="Times New Roman" w:eastAsia="Times New Roman" w:hAnsi="Times New Roman"/>
                <w:sz w:val="20"/>
                <w:szCs w:val="20"/>
                <w:b w:val="1"/>
                <w:bCs w:val="1"/>
                <w:color w:val="1E1E1E"/>
              </w:rPr>
              <w:t>Company-Operated:</w:t>
            </w:r>
          </w:p>
        </w:tc>
        <w:tc>
          <w:tcPr>
            <w:tcW w:w="128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28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28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280" w:type="dxa"/>
            <w:vAlign w:val="bottom"/>
            <w:shd w:val="clear" w:color="auto" w:fill="E2E2E2"/>
          </w:tcPr>
          <w:p>
            <w:pPr>
              <w:spacing w:after="0"/>
              <w:rPr>
                <w:sz w:val="22"/>
                <w:szCs w:val="22"/>
                <w:color w:val="auto"/>
              </w:rPr>
            </w:pPr>
          </w:p>
        </w:tc>
      </w:tr>
      <w:tr>
        <w:trPr>
          <w:trHeight w:val="278"/>
        </w:trPr>
        <w:tc>
          <w:tcPr>
            <w:tcW w:w="60" w:type="dxa"/>
            <w:vAlign w:val="bottom"/>
            <w:tcBorders>
              <w:top w:val="single" w:sz="8" w:color="E2E2E2"/>
            </w:tcBorders>
          </w:tcPr>
          <w:p>
            <w:pPr>
              <w:spacing w:after="0"/>
              <w:rPr>
                <w:sz w:val="24"/>
                <w:szCs w:val="24"/>
                <w:color w:val="auto"/>
              </w:rPr>
            </w:pPr>
          </w:p>
        </w:tc>
        <w:tc>
          <w:tcPr>
            <w:tcW w:w="176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U.S.</w:t>
            </w:r>
          </w:p>
        </w:tc>
        <w:tc>
          <w:tcPr>
            <w:tcW w:w="3100" w:type="dxa"/>
            <w:vAlign w:val="bottom"/>
            <w:tcBorders>
              <w:top w:val="single" w:sz="8" w:color="E2E2E2"/>
            </w:tcBorders>
            <w:gridSpan w:val="2"/>
          </w:tcPr>
          <w:p>
            <w:pPr>
              <w:spacing w:after="0"/>
              <w:rPr>
                <w:sz w:val="24"/>
                <w:szCs w:val="24"/>
                <w:color w:val="auto"/>
              </w:rPr>
            </w:pPr>
          </w:p>
        </w:tc>
        <w:tc>
          <w:tcPr>
            <w:tcW w:w="128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812</w:t>
            </w:r>
          </w:p>
        </w:tc>
        <w:tc>
          <w:tcPr>
            <w:tcW w:w="134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136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34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808</w:t>
            </w:r>
          </w:p>
        </w:tc>
      </w:tr>
      <w:tr>
        <w:trPr>
          <w:trHeight w:val="300"/>
        </w:trPr>
        <w:tc>
          <w:tcPr>
            <w:tcW w:w="60" w:type="dxa"/>
            <w:vAlign w:val="bottom"/>
            <w:tcBorders>
              <w:bottom w:val="single" w:sz="8" w:color="E2E2E2"/>
            </w:tcBorders>
            <w:shd w:val="clear" w:color="auto" w:fill="E2E2E2"/>
          </w:tcPr>
          <w:p>
            <w:pPr>
              <w:spacing w:after="0"/>
              <w:rPr>
                <w:sz w:val="24"/>
                <w:szCs w:val="24"/>
                <w:color w:val="auto"/>
              </w:rPr>
            </w:pPr>
          </w:p>
        </w:tc>
        <w:tc>
          <w:tcPr>
            <w:tcW w:w="4860" w:type="dxa"/>
            <w:vAlign w:val="bottom"/>
            <w:tcBorders>
              <w:bottom w:val="single" w:sz="8" w:color="E2E2E2"/>
            </w:tcBorders>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Canada</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6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50"/>
        </w:trPr>
        <w:tc>
          <w:tcPr>
            <w:tcW w:w="60" w:type="dxa"/>
            <w:vAlign w:val="bottom"/>
          </w:tcPr>
          <w:p>
            <w:pPr>
              <w:spacing w:after="0"/>
              <w:rPr>
                <w:sz w:val="21"/>
                <w:szCs w:val="21"/>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Subtotal Company-Operated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831</w:t>
            </w:r>
          </w:p>
        </w:tc>
      </w:tr>
      <w:tr>
        <w:trPr>
          <w:trHeight w:val="292"/>
        </w:trPr>
        <w:tc>
          <w:tcPr>
            <w:tcW w:w="60" w:type="dxa"/>
            <w:vAlign w:val="bottom"/>
            <w:shd w:val="clear" w:color="auto" w:fill="E2E2E2"/>
          </w:tcPr>
          <w:p>
            <w:pPr>
              <w:spacing w:after="0"/>
              <w:rPr>
                <w:sz w:val="24"/>
                <w:szCs w:val="24"/>
                <w:color w:val="auto"/>
              </w:rPr>
            </w:pPr>
          </w:p>
        </w:tc>
        <w:tc>
          <w:tcPr>
            <w:tcW w:w="16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04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r>
      <w:tr>
        <w:trPr>
          <w:trHeight w:val="229"/>
        </w:trPr>
        <w:tc>
          <w:tcPr>
            <w:tcW w:w="60" w:type="dxa"/>
            <w:vAlign w:val="bottom"/>
          </w:tcPr>
          <w:p>
            <w:pPr>
              <w:spacing w:after="0"/>
              <w:rPr>
                <w:sz w:val="19"/>
                <w:szCs w:val="19"/>
                <w:color w:val="auto"/>
              </w:rPr>
            </w:pPr>
          </w:p>
        </w:tc>
        <w:tc>
          <w:tcPr>
            <w:tcW w:w="4860" w:type="dxa"/>
            <w:vAlign w:val="bottom"/>
            <w:gridSpan w:val="4"/>
          </w:tcPr>
          <w:p>
            <w:pPr>
              <w:spacing w:after="0" w:line="229" w:lineRule="exact"/>
              <w:rPr>
                <w:sz w:val="20"/>
                <w:szCs w:val="20"/>
                <w:color w:val="auto"/>
              </w:rPr>
            </w:pPr>
            <w:r>
              <w:rPr>
                <w:rFonts w:ascii="Times New Roman" w:cs="Times New Roman" w:eastAsia="Times New Roman" w:hAnsi="Times New Roman"/>
                <w:sz w:val="20"/>
                <w:szCs w:val="20"/>
                <w:b w:val="1"/>
                <w:bCs w:val="1"/>
                <w:color w:val="1E1E1E"/>
              </w:rPr>
              <w:t>China Joint Venture:</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6"/>
        </w:trPr>
        <w:tc>
          <w:tcPr>
            <w:tcW w:w="60" w:type="dxa"/>
            <w:vAlign w:val="bottom"/>
          </w:tcPr>
          <w:p>
            <w:pPr>
              <w:spacing w:after="0"/>
              <w:rPr>
                <w:sz w:val="3"/>
                <w:szCs w:val="3"/>
                <w:color w:val="auto"/>
              </w:rPr>
            </w:pPr>
          </w:p>
        </w:tc>
        <w:tc>
          <w:tcPr>
            <w:tcW w:w="1600" w:type="dxa"/>
            <w:vAlign w:val="bottom"/>
            <w:tcBorders>
              <w:top w:val="single" w:sz="8" w:color="1E1E1E"/>
            </w:tcBorders>
          </w:tcPr>
          <w:p>
            <w:pPr>
              <w:spacing w:after="0"/>
              <w:rPr>
                <w:sz w:val="3"/>
                <w:szCs w:val="3"/>
                <w:color w:val="auto"/>
              </w:rPr>
            </w:pPr>
          </w:p>
        </w:tc>
        <w:tc>
          <w:tcPr>
            <w:tcW w:w="160" w:type="dxa"/>
            <w:vAlign w:val="bottom"/>
            <w:tcBorders>
              <w:top w:val="single" w:sz="8" w:color="1E1E1E"/>
            </w:tcBorders>
          </w:tcPr>
          <w:p>
            <w:pPr>
              <w:spacing w:after="0"/>
              <w:rPr>
                <w:sz w:val="3"/>
                <w:szCs w:val="3"/>
                <w:color w:val="auto"/>
              </w:rPr>
            </w:pPr>
          </w:p>
        </w:tc>
        <w:tc>
          <w:tcPr>
            <w:tcW w:w="60" w:type="dxa"/>
            <w:vAlign w:val="bottom"/>
            <w:tcBorders>
              <w:top w:val="single" w:sz="8" w:color="1E1E1E"/>
            </w:tcBorders>
          </w:tcPr>
          <w:p>
            <w:pPr>
              <w:spacing w:after="0"/>
              <w:rPr>
                <w:sz w:val="3"/>
                <w:szCs w:val="3"/>
                <w:color w:val="auto"/>
              </w:rPr>
            </w:pPr>
          </w:p>
        </w:tc>
        <w:tc>
          <w:tcPr>
            <w:tcW w:w="3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5"/>
        </w:trPr>
        <w:tc>
          <w:tcPr>
            <w:tcW w:w="60" w:type="dxa"/>
            <w:vAlign w:val="bottom"/>
            <w:shd w:val="clear" w:color="auto" w:fill="E2E2E2"/>
          </w:tcPr>
          <w:p>
            <w:pPr>
              <w:spacing w:after="0"/>
              <w:rPr>
                <w:sz w:val="24"/>
                <w:szCs w:val="24"/>
                <w:color w:val="auto"/>
              </w:rPr>
            </w:pPr>
          </w:p>
        </w:tc>
        <w:tc>
          <w:tcPr>
            <w:tcW w:w="486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Beauty &amp; Accessories (a)</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3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275"/>
        </w:trPr>
        <w:tc>
          <w:tcPr>
            <w:tcW w:w="60" w:type="dxa"/>
            <w:vAlign w:val="bottom"/>
            <w:tcBorders>
              <w:bottom w:val="single" w:sz="8" w:color="E2E2E2"/>
            </w:tcBorders>
          </w:tcPr>
          <w:p>
            <w:pPr>
              <w:spacing w:after="0"/>
              <w:rPr>
                <w:sz w:val="23"/>
                <w:szCs w:val="23"/>
                <w:color w:val="auto"/>
              </w:rPr>
            </w:pPr>
          </w:p>
        </w:tc>
        <w:tc>
          <w:tcPr>
            <w:tcW w:w="486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Full Assortment</w:t>
            </w: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60" w:type="dxa"/>
            <w:vAlign w:val="bottom"/>
            <w:tcBorders>
              <w:bottom w:val="single" w:sz="8" w:color="E2E2E2"/>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Borders>
              <w:bottom w:val="single" w:sz="8" w:color="E2E2E2"/>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tcBorders>
              <w:bottom w:val="single" w:sz="8" w:color="E2E2E2"/>
            </w:tcBorders>
          </w:tcPr>
          <w:p>
            <w:pPr>
              <w:spacing w:after="0"/>
              <w:rPr>
                <w:sz w:val="23"/>
                <w:szCs w:val="23"/>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w:t>
            </w:r>
          </w:p>
        </w:tc>
      </w:tr>
      <w:tr>
        <w:trPr>
          <w:trHeight w:val="275"/>
        </w:trPr>
        <w:tc>
          <w:tcPr>
            <w:tcW w:w="60" w:type="dxa"/>
            <w:vAlign w:val="bottom"/>
            <w:shd w:val="clear" w:color="auto" w:fill="E2E2E2"/>
          </w:tcPr>
          <w:p>
            <w:pPr>
              <w:spacing w:after="0"/>
              <w:rPr>
                <w:sz w:val="23"/>
                <w:szCs w:val="23"/>
                <w:color w:val="auto"/>
              </w:rPr>
            </w:pPr>
          </w:p>
        </w:tc>
        <w:tc>
          <w:tcPr>
            <w:tcW w:w="486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Subtotal China Joint Venture</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3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w:t>
            </w:r>
          </w:p>
        </w:tc>
      </w:tr>
      <w:tr>
        <w:trPr>
          <w:trHeight w:val="285"/>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60" w:type="dxa"/>
            <w:vAlign w:val="bottom"/>
            <w:tcBorders>
              <w:bottom w:val="single" w:sz="8" w:color="E2E2E2"/>
            </w:tcBorders>
            <w:shd w:val="clear" w:color="auto" w:fill="E2E2E2"/>
          </w:tcPr>
          <w:p>
            <w:pPr>
              <w:spacing w:after="0"/>
              <w:rPr>
                <w:sz w:val="23"/>
                <w:szCs w:val="23"/>
                <w:color w:val="auto"/>
              </w:rPr>
            </w:pPr>
          </w:p>
        </w:tc>
        <w:tc>
          <w:tcPr>
            <w:tcW w:w="1600" w:type="dxa"/>
            <w:vAlign w:val="bottom"/>
            <w:tcBorders>
              <w:bottom w:val="single" w:sz="8" w:color="1E1E1E"/>
            </w:tcBorders>
            <w:shd w:val="clear" w:color="auto" w:fill="E2E2E2"/>
          </w:tcPr>
          <w:p>
            <w:pPr>
              <w:spacing w:after="0" w:line="229" w:lineRule="exact"/>
              <w:rPr>
                <w:sz w:val="20"/>
                <w:szCs w:val="20"/>
                <w:color w:val="auto"/>
              </w:rPr>
            </w:pPr>
            <w:r>
              <w:rPr>
                <w:rFonts w:ascii="Times New Roman" w:cs="Times New Roman" w:eastAsia="Times New Roman" w:hAnsi="Times New Roman"/>
                <w:sz w:val="20"/>
                <w:szCs w:val="20"/>
                <w:b w:val="1"/>
                <w:bCs w:val="1"/>
                <w:color w:val="1E1E1E"/>
                <w:w w:val="98"/>
              </w:rPr>
              <w:t>Partner-Operated:</w:t>
            </w:r>
          </w:p>
        </w:tc>
        <w:tc>
          <w:tcPr>
            <w:tcW w:w="3260" w:type="dxa"/>
            <w:vAlign w:val="bottom"/>
            <w:tcBorders>
              <w:bottom w:val="single" w:sz="8" w:color="E2E2E2"/>
            </w:tcBorders>
            <w:gridSpan w:val="3"/>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1280" w:type="dxa"/>
            <w:vAlign w:val="bottom"/>
            <w:tcBorders>
              <w:bottom w:val="single" w:sz="8" w:color="E2E2E2"/>
            </w:tcBorders>
            <w:shd w:val="clear" w:color="auto" w:fill="E2E2E2"/>
          </w:tcPr>
          <w:p>
            <w:pPr>
              <w:spacing w:after="0"/>
              <w:rPr>
                <w:sz w:val="23"/>
                <w:szCs w:val="23"/>
                <w:color w:val="auto"/>
              </w:rPr>
            </w:pPr>
          </w:p>
        </w:tc>
      </w:tr>
      <w:tr>
        <w:trPr>
          <w:trHeight w:val="279"/>
        </w:trPr>
        <w:tc>
          <w:tcPr>
            <w:tcW w:w="60" w:type="dxa"/>
            <w:vAlign w:val="bottom"/>
          </w:tcPr>
          <w:p>
            <w:pPr>
              <w:spacing w:after="0"/>
              <w:rPr>
                <w:sz w:val="24"/>
                <w:szCs w:val="24"/>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Beauty &amp; Accessories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307</w:t>
            </w:r>
          </w:p>
        </w:tc>
      </w:tr>
      <w:tr>
        <w:trPr>
          <w:trHeight w:val="300"/>
        </w:trPr>
        <w:tc>
          <w:tcPr>
            <w:tcW w:w="60" w:type="dxa"/>
            <w:vAlign w:val="bottom"/>
            <w:tcBorders>
              <w:bottom w:val="single" w:sz="8" w:color="E2E2E2"/>
            </w:tcBorders>
            <w:shd w:val="clear" w:color="auto" w:fill="E2E2E2"/>
          </w:tcPr>
          <w:p>
            <w:pPr>
              <w:spacing w:after="0"/>
              <w:rPr>
                <w:sz w:val="24"/>
                <w:szCs w:val="24"/>
                <w:color w:val="auto"/>
              </w:rPr>
            </w:pPr>
          </w:p>
        </w:tc>
        <w:tc>
          <w:tcPr>
            <w:tcW w:w="4860" w:type="dxa"/>
            <w:vAlign w:val="bottom"/>
            <w:tcBorders>
              <w:bottom w:val="single" w:sz="8" w:color="E2E2E2"/>
            </w:tcBorders>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Full Assortment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6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8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60" w:type="dxa"/>
            <w:vAlign w:val="bottom"/>
            <w:tcBorders>
              <w:bottom w:val="single" w:sz="8" w:color="E2E2E2"/>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156</w:t>
            </w:r>
          </w:p>
        </w:tc>
      </w:tr>
      <w:tr>
        <w:trPr>
          <w:trHeight w:val="250"/>
        </w:trPr>
        <w:tc>
          <w:tcPr>
            <w:tcW w:w="60" w:type="dxa"/>
            <w:vAlign w:val="bottom"/>
          </w:tcPr>
          <w:p>
            <w:pPr>
              <w:spacing w:after="0"/>
              <w:rPr>
                <w:sz w:val="21"/>
                <w:szCs w:val="21"/>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Subtotal Partner-Operated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463</w:t>
            </w:r>
          </w:p>
        </w:tc>
      </w:tr>
      <w:tr>
        <w:trPr>
          <w:trHeight w:val="291"/>
        </w:trPr>
        <w:tc>
          <w:tcPr>
            <w:tcW w:w="60" w:type="dxa"/>
            <w:vAlign w:val="bottom"/>
            <w:shd w:val="clear" w:color="auto" w:fill="E2E2E2"/>
          </w:tcPr>
          <w:p>
            <w:pPr>
              <w:spacing w:after="0"/>
              <w:rPr>
                <w:sz w:val="24"/>
                <w:szCs w:val="24"/>
                <w:color w:val="auto"/>
              </w:rPr>
            </w:pPr>
          </w:p>
        </w:tc>
        <w:tc>
          <w:tcPr>
            <w:tcW w:w="16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04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r>
      <w:tr>
        <w:trPr>
          <w:trHeight w:val="275"/>
        </w:trPr>
        <w:tc>
          <w:tcPr>
            <w:tcW w:w="60" w:type="dxa"/>
            <w:vAlign w:val="bottom"/>
          </w:tcPr>
          <w:p>
            <w:pPr>
              <w:spacing w:after="0"/>
              <w:rPr>
                <w:sz w:val="23"/>
                <w:szCs w:val="23"/>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1E1E1E"/>
              </w:rPr>
              <w:t>Adore Me</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70"/>
        </w:trPr>
        <w:tc>
          <w:tcPr>
            <w:tcW w:w="60" w:type="dxa"/>
            <w:vAlign w:val="bottom"/>
            <w:tcBorders>
              <w:top w:val="single" w:sz="8" w:color="E2E2E2"/>
              <w:bottom w:val="single" w:sz="8" w:color="E2E2E2"/>
            </w:tcBorders>
            <w:shd w:val="clear" w:color="auto" w:fill="E2E2E2"/>
          </w:tcPr>
          <w:p>
            <w:pPr>
              <w:spacing w:after="0"/>
              <w:rPr>
                <w:sz w:val="23"/>
                <w:szCs w:val="23"/>
                <w:color w:val="auto"/>
              </w:rPr>
            </w:pPr>
          </w:p>
        </w:tc>
        <w:tc>
          <w:tcPr>
            <w:tcW w:w="4860" w:type="dxa"/>
            <w:vAlign w:val="bottom"/>
            <w:tcBorders>
              <w:top w:val="single" w:sz="8" w:color="E2E2E2"/>
              <w:bottom w:val="single" w:sz="8" w:color="E2E2E2"/>
            </w:tcBorders>
            <w:gridSpan w:val="4"/>
            <w:shd w:val="clear" w:color="auto" w:fill="E2E2E2"/>
          </w:tcPr>
          <w:p>
            <w:pPr>
              <w:ind w:left="180"/>
              <w:spacing w:after="0"/>
              <w:rPr>
                <w:sz w:val="20"/>
                <w:szCs w:val="20"/>
                <w:color w:val="auto"/>
              </w:rPr>
            </w:pPr>
            <w:r>
              <w:rPr>
                <w:rFonts w:ascii="Times New Roman" w:cs="Times New Roman" w:eastAsia="Times New Roman" w:hAnsi="Times New Roman"/>
                <w:sz w:val="20"/>
                <w:szCs w:val="20"/>
                <w:b w:val="1"/>
                <w:bCs w:val="1"/>
                <w:color w:val="1E1E1E"/>
              </w:rPr>
              <w:t>Total</w:t>
            </w:r>
          </w:p>
        </w:tc>
        <w:tc>
          <w:tcPr>
            <w:tcW w:w="12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1,358</w:t>
            </w:r>
          </w:p>
        </w:tc>
        <w:tc>
          <w:tcPr>
            <w:tcW w:w="60" w:type="dxa"/>
            <w:vAlign w:val="bottom"/>
            <w:tcBorders>
              <w:top w:val="single" w:sz="8" w:color="E2E2E2"/>
              <w:bottom w:val="single" w:sz="8" w:color="E2E2E2"/>
            </w:tcBorders>
            <w:shd w:val="clear" w:color="auto" w:fill="E2E2E2"/>
          </w:tcPr>
          <w:p>
            <w:pPr>
              <w:spacing w:after="0"/>
              <w:rPr>
                <w:sz w:val="23"/>
                <w:szCs w:val="23"/>
                <w:color w:val="auto"/>
              </w:rPr>
            </w:pPr>
          </w:p>
        </w:tc>
        <w:tc>
          <w:tcPr>
            <w:tcW w:w="12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85</w:t>
            </w:r>
          </w:p>
        </w:tc>
        <w:tc>
          <w:tcPr>
            <w:tcW w:w="80" w:type="dxa"/>
            <w:vAlign w:val="bottom"/>
            <w:tcBorders>
              <w:top w:val="single" w:sz="8" w:color="E2E2E2"/>
              <w:bottom w:val="single" w:sz="8" w:color="E2E2E2"/>
            </w:tcBorders>
            <w:shd w:val="clear" w:color="auto" w:fill="E2E2E2"/>
          </w:tcPr>
          <w:p>
            <w:pPr>
              <w:spacing w:after="0"/>
              <w:rPr>
                <w:sz w:val="23"/>
                <w:szCs w:val="23"/>
                <w:color w:val="auto"/>
              </w:rPr>
            </w:pPr>
          </w:p>
        </w:tc>
        <w:tc>
          <w:tcPr>
            <w:tcW w:w="12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(73)</w:t>
            </w:r>
          </w:p>
        </w:tc>
        <w:tc>
          <w:tcPr>
            <w:tcW w:w="60" w:type="dxa"/>
            <w:vAlign w:val="bottom"/>
            <w:tcBorders>
              <w:top w:val="single" w:sz="8" w:color="E2E2E2"/>
              <w:bottom w:val="single" w:sz="8" w:color="E2E2E2"/>
            </w:tcBorders>
            <w:shd w:val="clear" w:color="auto" w:fill="E2E2E2"/>
          </w:tcPr>
          <w:p>
            <w:pPr>
              <w:spacing w:after="0"/>
              <w:rPr>
                <w:sz w:val="23"/>
                <w:szCs w:val="23"/>
                <w:color w:val="auto"/>
              </w:rPr>
            </w:pPr>
          </w:p>
        </w:tc>
        <w:tc>
          <w:tcPr>
            <w:tcW w:w="12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1,370</w:t>
            </w: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160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304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-3120390</wp:posOffset>
            </wp:positionV>
            <wp:extent cx="341947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a:extLst>
                        <a:ext uri="{28A0092B-C50C-407E-A947-70E740481C1C}"/>
                      </a:extLst>
                    </a:blip>
                    <a:srcRect/>
                    <a:stretch>
                      <a:fillRect/>
                    </a:stretch>
                  </pic:blipFill>
                  <pic:spPr bwMode="auto">
                    <a:xfrm>
                      <a:off x="0" y="0"/>
                      <a:ext cx="3419475" cy="5080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-2577465</wp:posOffset>
            </wp:positionV>
            <wp:extent cx="259715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extLst>
                    </a:blip>
                    <a:srcRect/>
                    <a:stretch>
                      <a:fillRect/>
                    </a:stretch>
                  </pic:blipFill>
                  <pic:spPr bwMode="auto">
                    <a:xfrm>
                      <a:off x="0" y="0"/>
                      <a:ext cx="2597150" cy="5080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-1672590</wp:posOffset>
            </wp:positionV>
            <wp:extent cx="259715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1">
                      <a:extLst>
                        <a:ext uri="{28A0092B-C50C-407E-A947-70E740481C1C}"/>
                      </a:extLst>
                    </a:blip>
                    <a:srcRect/>
                    <a:stretch>
                      <a:fillRect/>
                    </a:stretch>
                  </pic:blipFill>
                  <pic:spPr bwMode="auto">
                    <a:xfrm>
                      <a:off x="0" y="0"/>
                      <a:ext cx="2597150" cy="5080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-767715</wp:posOffset>
            </wp:positionV>
            <wp:extent cx="259715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
                      <a:extLst>
                        <a:ext uri="{28A0092B-C50C-407E-A947-70E740481C1C}"/>
                      </a:extLst>
                    </a:blip>
                    <a:srcRect/>
                    <a:stretch>
                      <a:fillRect/>
                    </a:stretch>
                  </pic:blipFill>
                  <pic:spPr bwMode="auto">
                    <a:xfrm>
                      <a:off x="0" y="0"/>
                      <a:ext cx="2597150" cy="5080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-224790</wp:posOffset>
            </wp:positionV>
            <wp:extent cx="259715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
                      <a:extLst>
                        <a:ext uri="{28A0092B-C50C-407E-A947-70E740481C1C}"/>
                      </a:extLst>
                    </a:blip>
                    <a:srcRect/>
                    <a:stretch>
                      <a:fillRect/>
                    </a:stretch>
                  </pic:blipFill>
                  <pic:spPr bwMode="auto">
                    <a:xfrm>
                      <a:off x="0" y="0"/>
                      <a:ext cx="2597150" cy="5080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-56515</wp:posOffset>
            </wp:positionV>
            <wp:extent cx="3432175" cy="76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a:extLst>
                        <a:ext uri="{28A0092B-C50C-407E-A947-70E740481C1C}"/>
                      </a:extLst>
                    </a:blip>
                    <a:srcRect/>
                    <a:stretch>
                      <a:fillRect/>
                    </a:stretch>
                  </pic:blipFill>
                  <pic:spPr bwMode="auto">
                    <a:xfrm>
                      <a:off x="0" y="0"/>
                      <a:ext cx="3432175" cy="762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1E1E1E"/>
        </w:rPr>
        <w:t>_______________</w:t>
      </w:r>
    </w:p>
    <w:p>
      <w:pPr>
        <w:spacing w:after="0" w:line="30" w:lineRule="exact"/>
        <w:rPr>
          <w:sz w:val="20"/>
          <w:szCs w:val="20"/>
          <w:color w:val="auto"/>
        </w:rPr>
      </w:pPr>
    </w:p>
    <w:p>
      <w:pPr>
        <w:ind w:left="730" w:hanging="730"/>
        <w:spacing w:after="0"/>
        <w:tabs>
          <w:tab w:leader="none" w:pos="730" w:val="left"/>
        </w:tabs>
        <w:numPr>
          <w:ilvl w:val="0"/>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Includes thirteen partner-operated stores at February 3, 2024.</w:t>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270"/>
          </w:cols>
          <w:pgMar w:left="810" w:top="453" w:right="800" w:bottom="0" w:gutter="0" w:footer="0" w:header="0"/>
          <w:type w:val="continuous"/>
        </w:sectPr>
      </w:pPr>
    </w:p>
    <w:bookmarkStart w:id="42" w:name="page43"/>
    <w:bookmarkEnd w:id="42"/>
    <w:p>
      <w:pPr>
        <w:ind w:left="10"/>
        <w:spacing w:after="0"/>
        <w:rPr>
          <w:sz w:val="20"/>
          <w:szCs w:val="20"/>
          <w:color w:val="auto"/>
        </w:rPr>
      </w:pPr>
      <w:r>
        <w:rPr>
          <w:rFonts w:ascii="Times New Roman" w:cs="Times New Roman" w:eastAsia="Times New Roman" w:hAnsi="Times New Roman"/>
          <w:sz w:val="20"/>
          <w:szCs w:val="20"/>
          <w:color w:val="1E1E1E"/>
        </w:rPr>
        <w:t>The following table represents store data for 2022: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1E1E1E"/>
              </w:rPr>
              <w:t>Stores at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1E1E1E"/>
              </w:rPr>
              <w:t>Reclassed to</w:t>
            </w:r>
          </w:p>
        </w:tc>
        <w:tc>
          <w:tcPr>
            <w:tcW w:w="80" w:type="dxa"/>
            <w:vAlign w:val="bottom"/>
          </w:tcPr>
          <w:p>
            <w:pPr>
              <w:spacing w:after="0"/>
              <w:rPr>
                <w:sz w:val="18"/>
                <w:szCs w:val="18"/>
                <w:color w:val="auto"/>
              </w:rPr>
            </w:pPr>
          </w:p>
        </w:tc>
        <w:tc>
          <w:tcPr>
            <w:tcW w:w="1260" w:type="dxa"/>
            <w:vAlign w:val="bottom"/>
          </w:tcPr>
          <w:p>
            <w:pPr>
              <w:jc w:val="right"/>
              <w:ind w:right="246"/>
              <w:spacing w:after="0"/>
              <w:rPr>
                <w:sz w:val="20"/>
                <w:szCs w:val="20"/>
                <w:color w:val="auto"/>
              </w:rPr>
            </w:pPr>
            <w:r>
              <w:rPr>
                <w:rFonts w:ascii="Times New Roman" w:cs="Times New Roman" w:eastAsia="Times New Roman" w:hAnsi="Times New Roman"/>
                <w:sz w:val="16"/>
                <w:szCs w:val="16"/>
                <w:b w:val="1"/>
                <w:bCs w:val="1"/>
                <w:color w:val="1E1E1E"/>
              </w:rPr>
              <w:t>Stores at</w:t>
            </w: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1620" w:type="dxa"/>
            <w:vAlign w:val="bottom"/>
            <w:tcBorders>
              <w:bottom w:val="single" w:sz="8" w:color="E2E2E2"/>
            </w:tcBorders>
          </w:tcPr>
          <w:p>
            <w:pPr>
              <w:spacing w:after="0"/>
              <w:rPr>
                <w:sz w:val="22"/>
                <w:szCs w:val="22"/>
                <w:color w:val="auto"/>
              </w:rPr>
            </w:pPr>
          </w:p>
        </w:tc>
        <w:tc>
          <w:tcPr>
            <w:tcW w:w="160" w:type="dxa"/>
            <w:vAlign w:val="bottom"/>
            <w:tcBorders>
              <w:bottom w:val="single" w:sz="8" w:color="E2E2E2"/>
            </w:tcBorders>
          </w:tcPr>
          <w:p>
            <w:pPr>
              <w:spacing w:after="0"/>
              <w:rPr>
                <w:sz w:val="22"/>
                <w:szCs w:val="22"/>
                <w:color w:val="auto"/>
              </w:rPr>
            </w:pPr>
          </w:p>
        </w:tc>
        <w:tc>
          <w:tcPr>
            <w:tcW w:w="40" w:type="dxa"/>
            <w:vAlign w:val="bottom"/>
            <w:tcBorders>
              <w:bottom w:val="single" w:sz="8" w:color="E2E2E2"/>
            </w:tcBorders>
          </w:tcPr>
          <w:p>
            <w:pPr>
              <w:spacing w:after="0"/>
              <w:rPr>
                <w:sz w:val="22"/>
                <w:szCs w:val="22"/>
                <w:color w:val="auto"/>
              </w:rPr>
            </w:pPr>
          </w:p>
        </w:tc>
        <w:tc>
          <w:tcPr>
            <w:tcW w:w="1120" w:type="dxa"/>
            <w:vAlign w:val="bottom"/>
            <w:tcBorders>
              <w:bottom w:val="single" w:sz="8" w:color="E2E2E2"/>
            </w:tcBorders>
          </w:tcPr>
          <w:p>
            <w:pPr>
              <w:spacing w:after="0"/>
              <w:rPr>
                <w:sz w:val="22"/>
                <w:szCs w:val="22"/>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January 29, 2022</w:t>
            </w:r>
          </w:p>
        </w:tc>
        <w:tc>
          <w:tcPr>
            <w:tcW w:w="8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1E1E1E"/>
              </w:rPr>
              <w:t>Opened</w:t>
            </w:r>
          </w:p>
        </w:tc>
        <w:tc>
          <w:tcPr>
            <w:tcW w:w="8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1E1E1E"/>
              </w:rPr>
              <w:t>Closed</w:t>
            </w:r>
          </w:p>
        </w:tc>
        <w:tc>
          <w:tcPr>
            <w:tcW w:w="8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1E1E1E"/>
              </w:rPr>
              <w:t>Acquired (b)</w:t>
            </w:r>
          </w:p>
        </w:tc>
        <w:tc>
          <w:tcPr>
            <w:tcW w:w="80" w:type="dxa"/>
            <w:vAlign w:val="bottom"/>
            <w:tcBorders>
              <w:bottom w:val="single" w:sz="8" w:color="E2E2E2"/>
            </w:tcBorders>
          </w:tcPr>
          <w:p>
            <w:pPr>
              <w:spacing w:after="0"/>
              <w:rPr>
                <w:sz w:val="22"/>
                <w:szCs w:val="22"/>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Joint Venture</w:t>
            </w:r>
          </w:p>
        </w:tc>
        <w:tc>
          <w:tcPr>
            <w:tcW w:w="80" w:type="dxa"/>
            <w:vAlign w:val="bottom"/>
            <w:tcBorders>
              <w:bottom w:val="single" w:sz="8" w:color="E2E2E2"/>
            </w:tcBorders>
          </w:tcPr>
          <w:p>
            <w:pPr>
              <w:spacing w:after="0"/>
              <w:rPr>
                <w:sz w:val="22"/>
                <w:szCs w:val="22"/>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January 28, 2023</w:t>
            </w:r>
          </w:p>
        </w:tc>
        <w:tc>
          <w:tcPr>
            <w:tcW w:w="0" w:type="dxa"/>
            <w:vAlign w:val="bottom"/>
          </w:tcPr>
          <w:p>
            <w:pPr>
              <w:spacing w:after="0"/>
              <w:rPr>
                <w:sz w:val="1"/>
                <w:szCs w:val="1"/>
                <w:color w:val="auto"/>
              </w:rPr>
            </w:pPr>
          </w:p>
        </w:tc>
      </w:tr>
      <w:tr>
        <w:trPr>
          <w:trHeight w:val="270"/>
        </w:trPr>
        <w:tc>
          <w:tcPr>
            <w:tcW w:w="80" w:type="dxa"/>
            <w:vAlign w:val="bottom"/>
            <w:tcBorders>
              <w:right w:val="single" w:sz="8" w:color="E2E2E2"/>
            </w:tcBorders>
          </w:tcPr>
          <w:p>
            <w:pPr>
              <w:spacing w:after="0"/>
              <w:rPr>
                <w:sz w:val="23"/>
                <w:szCs w:val="23"/>
                <w:color w:val="auto"/>
              </w:rPr>
            </w:pPr>
          </w:p>
        </w:tc>
        <w:tc>
          <w:tcPr>
            <w:tcW w:w="294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Company-Operated:</w:t>
            </w:r>
          </w:p>
        </w:tc>
        <w:tc>
          <w:tcPr>
            <w:tcW w:w="128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06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260" w:type="dxa"/>
            <w:vAlign w:val="bottom"/>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80" w:type="dxa"/>
            <w:vAlign w:val="bottom"/>
          </w:tcPr>
          <w:p>
            <w:pPr>
              <w:spacing w:after="0"/>
              <w:rPr>
                <w:sz w:val="24"/>
                <w:szCs w:val="24"/>
                <w:color w:val="auto"/>
              </w:rPr>
            </w:pPr>
          </w:p>
        </w:tc>
        <w:tc>
          <w:tcPr>
            <w:tcW w:w="178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U.S.</w:t>
            </w:r>
          </w:p>
        </w:tc>
        <w:tc>
          <w:tcPr>
            <w:tcW w:w="1160" w:type="dxa"/>
            <w:vAlign w:val="bottom"/>
            <w:tcBorders>
              <w:top w:val="single" w:sz="8" w:color="E2E2E2"/>
            </w:tcBorders>
            <w:gridSpan w:val="2"/>
          </w:tcPr>
          <w:p>
            <w:pPr>
              <w:spacing w:after="0"/>
              <w:rPr>
                <w:sz w:val="24"/>
                <w:szCs w:val="24"/>
                <w:color w:val="auto"/>
              </w:rPr>
            </w:pPr>
          </w:p>
        </w:tc>
        <w:tc>
          <w:tcPr>
            <w:tcW w:w="128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808</w:t>
            </w:r>
          </w:p>
        </w:tc>
        <w:tc>
          <w:tcPr>
            <w:tcW w:w="114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14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80" w:type="dxa"/>
            <w:vAlign w:val="bottom"/>
            <w:tcBorders>
              <w:top w:val="single" w:sz="8" w:color="E2E2E2"/>
            </w:tcBorders>
          </w:tcPr>
          <w:p>
            <w:pPr>
              <w:spacing w:after="0"/>
              <w:rPr>
                <w:sz w:val="24"/>
                <w:szCs w:val="24"/>
                <w:color w:val="auto"/>
              </w:rPr>
            </w:pPr>
          </w:p>
        </w:tc>
        <w:tc>
          <w:tcPr>
            <w:tcW w:w="106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top w:val="single" w:sz="8" w:color="E2E2E2"/>
            </w:tcBorders>
          </w:tcPr>
          <w:p>
            <w:pPr>
              <w:spacing w:after="0"/>
              <w:rPr>
                <w:sz w:val="24"/>
                <w:szCs w:val="24"/>
                <w:color w:val="auto"/>
              </w:rPr>
            </w:pPr>
          </w:p>
        </w:tc>
        <w:tc>
          <w:tcPr>
            <w:tcW w:w="106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Borders>
              <w:top w:val="single" w:sz="8" w:color="E2E2E2"/>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812</w:t>
            </w:r>
          </w:p>
        </w:tc>
        <w:tc>
          <w:tcPr>
            <w:tcW w:w="0" w:type="dxa"/>
            <w:vAlign w:val="bottom"/>
          </w:tcPr>
          <w:p>
            <w:pPr>
              <w:spacing w:after="0"/>
              <w:rPr>
                <w:sz w:val="1"/>
                <w:szCs w:val="1"/>
                <w:color w:val="auto"/>
              </w:rPr>
            </w:pPr>
          </w:p>
        </w:tc>
      </w:tr>
      <w:tr>
        <w:trPr>
          <w:trHeight w:val="315"/>
        </w:trPr>
        <w:tc>
          <w:tcPr>
            <w:tcW w:w="80" w:type="dxa"/>
            <w:vAlign w:val="bottom"/>
            <w:tcBorders>
              <w:right w:val="single" w:sz="8" w:color="E2E2E2"/>
            </w:tcBorders>
          </w:tcPr>
          <w:p>
            <w:pPr>
              <w:spacing w:after="0"/>
              <w:rPr>
                <w:sz w:val="24"/>
                <w:szCs w:val="24"/>
                <w:color w:val="auto"/>
              </w:rPr>
            </w:pPr>
          </w:p>
        </w:tc>
        <w:tc>
          <w:tcPr>
            <w:tcW w:w="2940" w:type="dxa"/>
            <w:vAlign w:val="bottom"/>
            <w:tcBorders>
              <w:bottom w:val="single" w:sz="8" w:color="E2E2E2"/>
            </w:tcBorders>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Canada</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Subtotal Company-Operated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837</w:t>
            </w:r>
          </w:p>
        </w:tc>
        <w:tc>
          <w:tcPr>
            <w:tcW w:w="0" w:type="dxa"/>
            <w:vAlign w:val="bottom"/>
          </w:tcPr>
          <w:p>
            <w:pPr>
              <w:spacing w:after="0"/>
              <w:rPr>
                <w:sz w:val="1"/>
                <w:szCs w:val="1"/>
                <w:color w:val="auto"/>
              </w:rPr>
            </w:pPr>
          </w:p>
        </w:tc>
      </w:tr>
      <w:tr>
        <w:trPr>
          <w:trHeight w:val="292"/>
        </w:trPr>
        <w:tc>
          <w:tcPr>
            <w:tcW w:w="80" w:type="dxa"/>
            <w:vAlign w:val="bottom"/>
            <w:tcBorders>
              <w:right w:val="single" w:sz="8" w:color="E2E2E2"/>
            </w:tcBorders>
          </w:tcPr>
          <w:p>
            <w:pPr>
              <w:spacing w:after="0"/>
              <w:rPr>
                <w:sz w:val="24"/>
                <w:szCs w:val="24"/>
                <w:color w:val="auto"/>
              </w:rPr>
            </w:pPr>
          </w:p>
        </w:tc>
        <w:tc>
          <w:tcPr>
            <w:tcW w:w="16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40" w:type="dxa"/>
            <w:vAlign w:val="bottom"/>
            <w:gridSpan w:val="4"/>
          </w:tcPr>
          <w:p>
            <w:pPr>
              <w:spacing w:after="0" w:line="229" w:lineRule="exact"/>
              <w:rPr>
                <w:sz w:val="20"/>
                <w:szCs w:val="20"/>
                <w:color w:val="auto"/>
              </w:rPr>
            </w:pPr>
            <w:r>
              <w:rPr>
                <w:rFonts w:ascii="Times New Roman" w:cs="Times New Roman" w:eastAsia="Times New Roman" w:hAnsi="Times New Roman"/>
                <w:sz w:val="20"/>
                <w:szCs w:val="20"/>
                <w:b w:val="1"/>
                <w:bCs w:val="1"/>
                <w:color w:val="1E1E1E"/>
              </w:rPr>
              <w:t>China Joint Venture: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1620" w:type="dxa"/>
            <w:vAlign w:val="bottom"/>
            <w:tcBorders>
              <w:top w:val="single" w:sz="8" w:color="1E1E1E"/>
            </w:tcBorders>
          </w:tcPr>
          <w:p>
            <w:pPr>
              <w:spacing w:after="0"/>
              <w:rPr>
                <w:sz w:val="3"/>
                <w:szCs w:val="3"/>
                <w:color w:val="auto"/>
              </w:rPr>
            </w:pPr>
          </w:p>
        </w:tc>
        <w:tc>
          <w:tcPr>
            <w:tcW w:w="160" w:type="dxa"/>
            <w:vAlign w:val="bottom"/>
            <w:tcBorders>
              <w:top w:val="single" w:sz="8" w:color="1E1E1E"/>
            </w:tcBorders>
          </w:tcPr>
          <w:p>
            <w:pPr>
              <w:spacing w:after="0"/>
              <w:rPr>
                <w:sz w:val="3"/>
                <w:szCs w:val="3"/>
                <w:color w:val="auto"/>
              </w:rPr>
            </w:pPr>
          </w:p>
        </w:tc>
        <w:tc>
          <w:tcPr>
            <w:tcW w:w="40" w:type="dxa"/>
            <w:vAlign w:val="bottom"/>
            <w:tcBorders>
              <w:top w:val="single" w:sz="8" w:color="1E1E1E"/>
            </w:tcBorders>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80" w:type="dxa"/>
            <w:vAlign w:val="bottom"/>
            <w:tcBorders>
              <w:right w:val="single" w:sz="8" w:color="E2E2E2"/>
            </w:tcBorders>
          </w:tcPr>
          <w:p>
            <w:pPr>
              <w:spacing w:after="0"/>
              <w:rPr>
                <w:sz w:val="24"/>
                <w:szCs w:val="24"/>
                <w:color w:val="auto"/>
              </w:rPr>
            </w:pPr>
          </w:p>
        </w:tc>
        <w:tc>
          <w:tcPr>
            <w:tcW w:w="294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Beauty &amp; Accessories (a)</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94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color w:val="1E1E1E"/>
              </w:rPr>
              <w:t>Full Assortment</w:t>
            </w: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0" w:type="dxa"/>
            <w:vAlign w:val="bottom"/>
            <w:tcBorders>
              <w:bottom w:val="single" w:sz="8" w:color="E2E2E2"/>
            </w:tcBorders>
          </w:tcPr>
          <w:p>
            <w:pPr>
              <w:spacing w:after="0"/>
              <w:rPr>
                <w:sz w:val="24"/>
                <w:szCs w:val="24"/>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0" w:type="dxa"/>
            <w:vAlign w:val="bottom"/>
          </w:tcPr>
          <w:p>
            <w:pPr>
              <w:spacing w:after="0"/>
              <w:rPr>
                <w:sz w:val="1"/>
                <w:szCs w:val="1"/>
                <w:color w:val="auto"/>
              </w:rPr>
            </w:pPr>
          </w:p>
        </w:tc>
      </w:tr>
      <w:tr>
        <w:trPr>
          <w:trHeight w:val="290"/>
        </w:trPr>
        <w:tc>
          <w:tcPr>
            <w:tcW w:w="80" w:type="dxa"/>
            <w:vAlign w:val="bottom"/>
            <w:tcBorders>
              <w:right w:val="single" w:sz="8" w:color="E2E2E2"/>
            </w:tcBorders>
          </w:tcPr>
          <w:p>
            <w:pPr>
              <w:spacing w:after="0"/>
              <w:rPr>
                <w:sz w:val="24"/>
                <w:szCs w:val="24"/>
                <w:color w:val="auto"/>
              </w:rPr>
            </w:pPr>
          </w:p>
        </w:tc>
        <w:tc>
          <w:tcPr>
            <w:tcW w:w="294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Subtotal China Joint Venture</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3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300"/>
        </w:trPr>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 w:type="dxa"/>
            <w:vAlign w:val="bottom"/>
            <w:tcBorders>
              <w:right w:val="single" w:sz="8" w:color="E2E2E2"/>
            </w:tcBorders>
          </w:tcPr>
          <w:p>
            <w:pPr>
              <w:spacing w:after="0"/>
              <w:rPr>
                <w:sz w:val="24"/>
                <w:szCs w:val="24"/>
                <w:color w:val="auto"/>
              </w:rPr>
            </w:pPr>
          </w:p>
        </w:tc>
        <w:tc>
          <w:tcPr>
            <w:tcW w:w="162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w w:val="99"/>
              </w:rPr>
              <w:t>Partner-Operated:</w:t>
            </w:r>
          </w:p>
        </w:tc>
        <w:tc>
          <w:tcPr>
            <w:tcW w:w="1320" w:type="dxa"/>
            <w:vAlign w:val="bottom"/>
            <w:tcBorders>
              <w:bottom w:val="single" w:sz="8" w:color="E2E2E2"/>
            </w:tcBorders>
            <w:gridSpan w:val="3"/>
            <w:shd w:val="clear" w:color="auto" w:fill="E2E2E2"/>
          </w:tcPr>
          <w:p>
            <w:pPr>
              <w:spacing w:after="0"/>
              <w:rPr>
                <w:sz w:val="24"/>
                <w:szCs w:val="24"/>
                <w:color w:val="auto"/>
              </w:rPr>
            </w:pPr>
          </w:p>
        </w:tc>
        <w:tc>
          <w:tcPr>
            <w:tcW w:w="128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26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Beauty &amp; Accessories</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308</w:t>
            </w:r>
          </w:p>
        </w:tc>
        <w:tc>
          <w:tcPr>
            <w:tcW w:w="0" w:type="dxa"/>
            <w:vAlign w:val="bottom"/>
          </w:tcPr>
          <w:p>
            <w:pPr>
              <w:spacing w:after="0"/>
              <w:rPr>
                <w:sz w:val="1"/>
                <w:szCs w:val="1"/>
                <w:color w:val="auto"/>
              </w:rPr>
            </w:pPr>
          </w:p>
        </w:tc>
      </w:tr>
      <w:tr>
        <w:trPr>
          <w:trHeight w:val="297"/>
        </w:trPr>
        <w:tc>
          <w:tcPr>
            <w:tcW w:w="80" w:type="dxa"/>
            <w:vAlign w:val="bottom"/>
            <w:tcBorders>
              <w:right w:val="single" w:sz="8" w:color="E2E2E2"/>
            </w:tcBorders>
          </w:tcPr>
          <w:p>
            <w:pPr>
              <w:spacing w:after="0"/>
              <w:rPr>
                <w:sz w:val="24"/>
                <w:szCs w:val="24"/>
                <w:color w:val="auto"/>
              </w:rPr>
            </w:pPr>
          </w:p>
        </w:tc>
        <w:tc>
          <w:tcPr>
            <w:tcW w:w="2940" w:type="dxa"/>
            <w:vAlign w:val="bottom"/>
            <w:tcBorders>
              <w:bottom w:val="single" w:sz="8" w:color="E2E2E2"/>
            </w:tcBorders>
            <w:gridSpan w:val="4"/>
            <w:shd w:val="clear" w:color="auto" w:fill="E2E2E2"/>
          </w:tcPr>
          <w:p>
            <w:pPr>
              <w:spacing w:after="0"/>
              <w:rPr>
                <w:sz w:val="20"/>
                <w:szCs w:val="20"/>
                <w:color w:val="auto"/>
              </w:rPr>
            </w:pPr>
            <w:r>
              <w:rPr>
                <w:rFonts w:ascii="Times New Roman" w:cs="Times New Roman" w:eastAsia="Times New Roman" w:hAnsi="Times New Roman"/>
                <w:sz w:val="20"/>
                <w:szCs w:val="20"/>
                <w:color w:val="1E1E1E"/>
              </w:rPr>
              <w:t>Full Assortment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128</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Subtotal Partner-Operated</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443</w:t>
            </w:r>
          </w:p>
        </w:tc>
        <w:tc>
          <w:tcPr>
            <w:tcW w:w="0" w:type="dxa"/>
            <w:vAlign w:val="bottom"/>
          </w:tcPr>
          <w:p>
            <w:pPr>
              <w:spacing w:after="0"/>
              <w:rPr>
                <w:sz w:val="1"/>
                <w:szCs w:val="1"/>
                <w:color w:val="auto"/>
              </w:rPr>
            </w:pPr>
          </w:p>
        </w:tc>
      </w:tr>
      <w:tr>
        <w:trPr>
          <w:trHeight w:val="307"/>
        </w:trPr>
        <w:tc>
          <w:tcPr>
            <w:tcW w:w="80" w:type="dxa"/>
            <w:vAlign w:val="bottom"/>
            <w:tcBorders>
              <w:right w:val="single" w:sz="8" w:color="E2E2E2"/>
            </w:tcBorders>
          </w:tcPr>
          <w:p>
            <w:pPr>
              <w:spacing w:after="0"/>
              <w:rPr>
                <w:sz w:val="24"/>
                <w:szCs w:val="24"/>
                <w:color w:val="auto"/>
              </w:rPr>
            </w:pPr>
          </w:p>
        </w:tc>
        <w:tc>
          <w:tcPr>
            <w:tcW w:w="16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12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 w:type="dxa"/>
            <w:vAlign w:val="bottom"/>
          </w:tcPr>
          <w:p>
            <w:pPr>
              <w:spacing w:after="0"/>
              <w:rPr>
                <w:sz w:val="24"/>
                <w:szCs w:val="24"/>
                <w:color w:val="auto"/>
              </w:rPr>
            </w:pPr>
          </w:p>
        </w:tc>
        <w:tc>
          <w:tcPr>
            <w:tcW w:w="2940" w:type="dxa"/>
            <w:vAlign w:val="bottom"/>
            <w:tcBorders>
              <w:bottom w:val="single" w:sz="8" w:color="E2E2E2"/>
            </w:tcBorders>
            <w:gridSpan w:val="4"/>
          </w:tcPr>
          <w:p>
            <w:pPr>
              <w:spacing w:after="0"/>
              <w:rPr>
                <w:sz w:val="20"/>
                <w:szCs w:val="20"/>
                <w:color w:val="auto"/>
              </w:rPr>
            </w:pPr>
            <w:r>
              <w:rPr>
                <w:rFonts w:ascii="Times New Roman" w:cs="Times New Roman" w:eastAsia="Times New Roman" w:hAnsi="Times New Roman"/>
                <w:sz w:val="20"/>
                <w:szCs w:val="20"/>
                <w:b w:val="1"/>
                <w:bCs w:val="1"/>
                <w:color w:val="1E1E1E"/>
              </w:rPr>
              <w:t>Adore Me</w:t>
            </w: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80" w:type="dxa"/>
            <w:vAlign w:val="bottom"/>
            <w:tcBorders>
              <w:bottom w:val="single" w:sz="8" w:color="E2E2E2"/>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tcPr>
          <w:p>
            <w:pPr>
              <w:spacing w:after="0"/>
              <w:rPr>
                <w:sz w:val="24"/>
                <w:szCs w:val="24"/>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0" w:type="dxa"/>
            <w:vAlign w:val="bottom"/>
          </w:tcPr>
          <w:p>
            <w:pPr>
              <w:spacing w:after="0"/>
              <w:rPr>
                <w:sz w:val="1"/>
                <w:szCs w:val="1"/>
                <w:color w:val="auto"/>
              </w:rPr>
            </w:pPr>
          </w:p>
        </w:tc>
      </w:tr>
      <w:tr>
        <w:trPr>
          <w:trHeight w:val="280"/>
        </w:trPr>
        <w:tc>
          <w:tcPr>
            <w:tcW w:w="80" w:type="dxa"/>
            <w:vAlign w:val="bottom"/>
            <w:tcBorders>
              <w:right w:val="single" w:sz="8" w:color="E2E2E2"/>
            </w:tcBorders>
          </w:tcPr>
          <w:p>
            <w:pPr>
              <w:spacing w:after="0"/>
              <w:rPr>
                <w:sz w:val="24"/>
                <w:szCs w:val="24"/>
                <w:color w:val="auto"/>
              </w:rPr>
            </w:pPr>
          </w:p>
        </w:tc>
        <w:tc>
          <w:tcPr>
            <w:tcW w:w="2940" w:type="dxa"/>
            <w:vAlign w:val="bottom"/>
            <w:tcBorders>
              <w:bottom w:val="single" w:sz="8" w:color="E2E2E2"/>
            </w:tcBorders>
            <w:gridSpan w:val="4"/>
            <w:shd w:val="clear" w:color="auto" w:fill="E2E2E2"/>
          </w:tcPr>
          <w:p>
            <w:pPr>
              <w:ind w:left="180"/>
              <w:spacing w:after="0"/>
              <w:rPr>
                <w:sz w:val="20"/>
                <w:szCs w:val="20"/>
                <w:color w:val="auto"/>
              </w:rPr>
            </w:pPr>
            <w:r>
              <w:rPr>
                <w:rFonts w:ascii="Times New Roman" w:cs="Times New Roman" w:eastAsia="Times New Roman" w:hAnsi="Times New Roman"/>
                <w:sz w:val="20"/>
                <w:szCs w:val="20"/>
                <w:b w:val="1"/>
                <w:bCs w:val="1"/>
                <w:color w:val="1E1E1E"/>
              </w:rPr>
              <w:t>Total</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1,362</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67</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(77)</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6</w:t>
            </w:r>
          </w:p>
        </w:tc>
        <w:tc>
          <w:tcPr>
            <w:tcW w:w="8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1,358</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1E1E1E"/>
                <w:w w:val="98"/>
              </w:rPr>
              <w:t>_______________</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-3415030</wp:posOffset>
            </wp:positionV>
            <wp:extent cx="46005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extLst>
                    </a:blip>
                    <a:srcRect/>
                    <a:stretch>
                      <a:fillRect/>
                    </a:stretch>
                  </pic:blipFill>
                  <pic:spPr bwMode="auto">
                    <a:xfrm>
                      <a:off x="0" y="0"/>
                      <a:ext cx="4600575" cy="5080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-2843530</wp:posOffset>
            </wp:positionV>
            <wp:extent cx="377825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a:extLst>
                        <a:ext uri="{28A0092B-C50C-407E-A947-70E740481C1C}"/>
                      </a:extLst>
                    </a:blip>
                    <a:srcRect/>
                    <a:stretch>
                      <a:fillRect/>
                    </a:stretch>
                  </pic:blipFill>
                  <pic:spPr bwMode="auto">
                    <a:xfrm>
                      <a:off x="0" y="0"/>
                      <a:ext cx="3778250" cy="5080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-1929130</wp:posOffset>
            </wp:positionV>
            <wp:extent cx="377825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7">
                      <a:extLst>
                        <a:ext uri="{28A0092B-C50C-407E-A947-70E740481C1C}"/>
                      </a:extLst>
                    </a:blip>
                    <a:srcRect/>
                    <a:stretch>
                      <a:fillRect/>
                    </a:stretch>
                  </pic:blipFill>
                  <pic:spPr bwMode="auto">
                    <a:xfrm>
                      <a:off x="0" y="0"/>
                      <a:ext cx="3778250" cy="5080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-976630</wp:posOffset>
            </wp:positionV>
            <wp:extent cx="377825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a:extLst>
                        <a:ext uri="{28A0092B-C50C-407E-A947-70E740481C1C}"/>
                      </a:extLst>
                    </a:blip>
                    <a:srcRect/>
                    <a:stretch>
                      <a:fillRect/>
                    </a:stretch>
                  </pic:blipFill>
                  <pic:spPr bwMode="auto">
                    <a:xfrm>
                      <a:off x="0" y="0"/>
                      <a:ext cx="3778250" cy="5080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-405130</wp:posOffset>
            </wp:positionV>
            <wp:extent cx="377825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extLst>
                        <a:ext uri="{28A0092B-C50C-407E-A947-70E740481C1C}"/>
                      </a:extLst>
                    </a:blip>
                    <a:srcRect/>
                    <a:stretch>
                      <a:fillRect/>
                    </a:stretch>
                  </pic:blipFill>
                  <pic:spPr bwMode="auto">
                    <a:xfrm>
                      <a:off x="0" y="0"/>
                      <a:ext cx="3778250" cy="5080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-227330</wp:posOffset>
            </wp:positionV>
            <wp:extent cx="4613275" cy="76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0">
                      <a:extLst>
                        <a:ext uri="{28A0092B-C50C-407E-A947-70E740481C1C}"/>
                      </a:extLst>
                    </a:blip>
                    <a:srcRect/>
                    <a:stretch>
                      <a:fillRect/>
                    </a:stretch>
                  </pic:blipFill>
                  <pic:spPr bwMode="auto">
                    <a:xfrm>
                      <a:off x="0" y="0"/>
                      <a:ext cx="4613275" cy="76200"/>
                    </a:xfrm>
                    <a:prstGeom prst="rect">
                      <a:avLst/>
                    </a:prstGeom>
                    <a:noFill/>
                  </pic:spPr>
                </pic:pic>
              </a:graphicData>
            </a:graphic>
          </wp:anchor>
        </w:drawing>
      </w:r>
    </w:p>
    <w:p>
      <w:pPr>
        <w:ind w:left="730" w:hanging="730"/>
        <w:spacing w:after="0"/>
        <w:tabs>
          <w:tab w:leader="none" w:pos="73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Includes thirteen partner-operated stores at January 28, 2023.</w:t>
      </w:r>
    </w:p>
    <w:p>
      <w:pPr>
        <w:spacing w:after="0" w:line="10" w:lineRule="exact"/>
        <w:rPr>
          <w:rFonts w:ascii="Times New Roman" w:cs="Times New Roman" w:eastAsia="Times New Roman" w:hAnsi="Times New Roman"/>
          <w:sz w:val="20"/>
          <w:szCs w:val="20"/>
          <w:color w:val="1E1E1E"/>
        </w:rPr>
      </w:pPr>
    </w:p>
    <w:p>
      <w:pPr>
        <w:ind w:left="730" w:right="380" w:hanging="730"/>
        <w:spacing w:after="0" w:line="260" w:lineRule="auto"/>
        <w:tabs>
          <w:tab w:leader="none" w:pos="73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 additional information, see Note 2, “Acquisition” included in Item 8. Financial Statements and Supplementary Data.</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Results of Operations — 2023 Compared to 2022</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information summarizes our results of operations for 2023 compared to 2022.</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Operating Income</w:t>
      </w:r>
    </w:p>
    <w:p>
      <w:pPr>
        <w:spacing w:after="0" w:line="117"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1E1E1E"/>
        </w:rPr>
        <w:t>For 2023, operating income decreased $232 million, to $246 million, compared to operating income of $478 million in 2022, and the operating income rate (expressed as a percentage of net sales) decreased to 4.0% from 7.5%. The drivers of the operating income results are discussed in the following sections.</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Net Sales</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net sales for 2023 in comparison to 2022:</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1E1E1E"/>
            </w:tcBorders>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86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8"/>
                <w:szCs w:val="18"/>
                <w:color w:val="auto"/>
              </w:rPr>
            </w:pPr>
          </w:p>
        </w:tc>
        <w:tc>
          <w:tcPr>
            <w:tcW w:w="1300" w:type="dxa"/>
            <w:vAlign w:val="bottom"/>
            <w:tcBorders>
              <w:bottom w:val="single" w:sz="8" w:color="1E1E1E"/>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1E1E1E"/>
              </w:rPr>
              <w:t>% Change</w:t>
            </w:r>
          </w:p>
        </w:tc>
      </w:tr>
      <w:tr>
        <w:trPr>
          <w:trHeight w:val="222"/>
        </w:trPr>
        <w:tc>
          <w:tcPr>
            <w:tcW w:w="6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3"/>
        </w:trPr>
        <w:tc>
          <w:tcPr>
            <w:tcW w:w="6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Stores — North America (a)</w:t>
            </w:r>
          </w:p>
        </w:tc>
        <w:tc>
          <w:tcPr>
            <w:tcW w:w="32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3,480</w:t>
            </w:r>
          </w:p>
        </w:tc>
        <w:tc>
          <w:tcPr>
            <w:tcW w:w="52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3,909</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279"/>
        </w:trPr>
        <w:tc>
          <w:tcPr>
            <w:tcW w:w="61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Direct (a)</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2,015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1,843</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1E1E1E"/>
              </w:rPr>
              <w:t>9%</w:t>
            </w:r>
          </w:p>
        </w:tc>
      </w:tr>
      <w:tr>
        <w:trPr>
          <w:trHeight w:val="300"/>
        </w:trPr>
        <w:tc>
          <w:tcPr>
            <w:tcW w:w="61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International (b)</w:t>
            </w: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687</w:t>
            </w:r>
          </w:p>
        </w:tc>
        <w:tc>
          <w:tcPr>
            <w:tcW w:w="8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592</w:t>
            </w:r>
          </w:p>
        </w:tc>
        <w:tc>
          <w:tcPr>
            <w:tcW w:w="1380" w:type="dxa"/>
            <w:vAlign w:val="bottom"/>
            <w:gridSpan w:val="2"/>
            <w:shd w:val="clear" w:color="auto" w:fill="E2E2E2"/>
          </w:tcPr>
          <w:p>
            <w:pPr>
              <w:jc w:val="right"/>
              <w:ind w:right="30"/>
              <w:spacing w:after="0"/>
              <w:rPr>
                <w:sz w:val="20"/>
                <w:szCs w:val="20"/>
                <w:color w:val="auto"/>
              </w:rPr>
            </w:pPr>
            <w:r>
              <w:rPr>
                <w:rFonts w:ascii="Times New Roman" w:cs="Times New Roman" w:eastAsia="Times New Roman" w:hAnsi="Times New Roman"/>
                <w:sz w:val="20"/>
                <w:szCs w:val="20"/>
                <w:color w:val="1E1E1E"/>
              </w:rPr>
              <w:t>16%</w:t>
            </w:r>
          </w:p>
        </w:tc>
      </w:tr>
      <w:tr>
        <w:trPr>
          <w:trHeight w:val="226"/>
        </w:trPr>
        <w:tc>
          <w:tcPr>
            <w:tcW w:w="6180" w:type="dxa"/>
            <w:vAlign w:val="bottom"/>
            <w:tcBorders>
              <w:top w:val="single" w:sz="8" w:color="E2E2E2"/>
            </w:tcBorders>
          </w:tcPr>
          <w:p>
            <w:pPr>
              <w:ind w:left="240"/>
              <w:spacing w:after="0" w:line="227" w:lineRule="exact"/>
              <w:rPr>
                <w:sz w:val="20"/>
                <w:szCs w:val="20"/>
                <w:color w:val="auto"/>
              </w:rPr>
            </w:pPr>
            <w:r>
              <w:rPr>
                <w:rFonts w:ascii="Times New Roman" w:cs="Times New Roman" w:eastAsia="Times New Roman" w:hAnsi="Times New Roman"/>
                <w:sz w:val="20"/>
                <w:szCs w:val="20"/>
                <w:b w:val="1"/>
                <w:bCs w:val="1"/>
                <w:color w:val="1E1E1E"/>
              </w:rPr>
              <w:t>Total Net Sales</w:t>
            </w:r>
          </w:p>
        </w:tc>
        <w:tc>
          <w:tcPr>
            <w:tcW w:w="320" w:type="dxa"/>
            <w:vAlign w:val="bottom"/>
            <w:tcBorders>
              <w:top w:val="single" w:sz="8" w:color="1E1E1E"/>
              <w:bottom w:val="single" w:sz="8" w:color="1E1E1E"/>
            </w:tcBorders>
          </w:tcPr>
          <w:p>
            <w:pPr>
              <w:jc w:val="right"/>
              <w:ind w:right="6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Borders>
              <w:top w:val="single" w:sz="8" w:color="1E1E1E"/>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6,182</w:t>
            </w:r>
          </w:p>
        </w:tc>
        <w:tc>
          <w:tcPr>
            <w:tcW w:w="80" w:type="dxa"/>
            <w:vAlign w:val="bottom"/>
            <w:tcBorders>
              <w:top w:val="single" w:sz="8" w:color="E2E2E2"/>
            </w:tcBorders>
          </w:tcPr>
          <w:p>
            <w:pPr>
              <w:spacing w:after="0"/>
              <w:rPr>
                <w:sz w:val="19"/>
                <w:szCs w:val="19"/>
                <w:color w:val="auto"/>
              </w:rPr>
            </w:pPr>
          </w:p>
        </w:tc>
        <w:tc>
          <w:tcPr>
            <w:tcW w:w="440" w:type="dxa"/>
            <w:vAlign w:val="bottom"/>
            <w:tcBorders>
              <w:top w:val="single" w:sz="8" w:color="1E1E1E"/>
              <w:bottom w:val="single" w:sz="8" w:color="1E1E1E"/>
            </w:tcBorders>
          </w:tcPr>
          <w:p>
            <w:pPr>
              <w:jc w:val="right"/>
              <w:ind w:right="18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60" w:type="dxa"/>
            <w:vAlign w:val="bottom"/>
            <w:tcBorders>
              <w:top w:val="single" w:sz="8" w:color="1E1E1E"/>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6,344</w:t>
            </w:r>
          </w:p>
        </w:tc>
        <w:tc>
          <w:tcPr>
            <w:tcW w:w="80" w:type="dxa"/>
            <w:vAlign w:val="bottom"/>
            <w:tcBorders>
              <w:top w:val="single" w:sz="8" w:color="E2E2E2"/>
            </w:tcBorders>
          </w:tcPr>
          <w:p>
            <w:pPr>
              <w:spacing w:after="0"/>
              <w:rPr>
                <w:sz w:val="19"/>
                <w:szCs w:val="19"/>
                <w:color w:val="auto"/>
              </w:rPr>
            </w:pPr>
          </w:p>
        </w:tc>
        <w:tc>
          <w:tcPr>
            <w:tcW w:w="1300" w:type="dxa"/>
            <w:vAlign w:val="bottom"/>
            <w:tcBorders>
              <w:top w:val="single" w:sz="8" w:color="1E1E1E"/>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(3%)</w:t>
            </w:r>
          </w:p>
        </w:tc>
      </w:tr>
      <w:tr>
        <w:trPr>
          <w:trHeight w:val="20"/>
        </w:trPr>
        <w:tc>
          <w:tcPr>
            <w:tcW w:w="61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-224790</wp:posOffset>
            </wp:positionV>
            <wp:extent cx="177800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1">
                      <a:extLst>
                        <a:ext uri="{28A0092B-C50C-407E-A947-70E740481C1C}"/>
                      </a:extLst>
                    </a:blip>
                    <a:srcRect/>
                    <a:stretch>
                      <a:fillRect/>
                    </a:stretch>
                  </pic:blipFill>
                  <pic:spPr bwMode="auto">
                    <a:xfrm>
                      <a:off x="0" y="0"/>
                      <a:ext cx="177800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30" w:lineRule="exact"/>
        <w:rPr>
          <w:sz w:val="20"/>
          <w:szCs w:val="20"/>
          <w:color w:val="auto"/>
        </w:rPr>
      </w:pPr>
    </w:p>
    <w:p>
      <w:pPr>
        <w:ind w:left="730" w:hanging="730"/>
        <w:spacing w:after="0"/>
        <w:tabs>
          <w:tab w:leader="none" w:pos="73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 2023 include Adore Me sales.</w:t>
      </w:r>
    </w:p>
    <w:p>
      <w:pPr>
        <w:spacing w:after="0" w:line="10" w:lineRule="exact"/>
        <w:rPr>
          <w:rFonts w:ascii="Times New Roman" w:cs="Times New Roman" w:eastAsia="Times New Roman" w:hAnsi="Times New Roman"/>
          <w:sz w:val="20"/>
          <w:szCs w:val="20"/>
          <w:color w:val="1E1E1E"/>
        </w:rPr>
      </w:pPr>
    </w:p>
    <w:p>
      <w:pPr>
        <w:ind w:left="730" w:right="360" w:hanging="730"/>
        <w:spacing w:after="0" w:line="260" w:lineRule="auto"/>
        <w:tabs>
          <w:tab w:leader="none" w:pos="73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include consolidated joint venture sales in China, royalties associated with franchised stores and wholesale sales.</w:t>
      </w:r>
    </w:p>
    <w:p>
      <w:pPr>
        <w:sectPr>
          <w:pgSz w:w="11880" w:h="15480" w:orient="portrait"/>
          <w:cols w:equalWidth="0" w:num="1">
            <w:col w:w="10250"/>
          </w:cols>
          <w:pgMar w:left="81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250"/>
          </w:cols>
          <w:pgMar w:left="810" w:top="453" w:right="820" w:bottom="0" w:gutter="0" w:footer="0" w:header="0"/>
          <w:type w:val="continuous"/>
        </w:sectPr>
      </w:pPr>
    </w:p>
    <w:bookmarkStart w:id="43" w:name="page44"/>
    <w:bookmarkEnd w:id="43"/>
    <w:p>
      <w:pPr>
        <w:ind w:left="10"/>
        <w:spacing w:after="0"/>
        <w:rPr>
          <w:sz w:val="20"/>
          <w:szCs w:val="20"/>
          <w:color w:val="auto"/>
        </w:rPr>
      </w:pPr>
      <w:r>
        <w:rPr>
          <w:rFonts w:ascii="Times New Roman" w:cs="Times New Roman" w:eastAsia="Times New Roman" w:hAnsi="Times New Roman"/>
          <w:sz w:val="20"/>
          <w:szCs w:val="20"/>
          <w:color w:val="1E1E1E"/>
        </w:rPr>
        <w:t>The following table provides a reconciliation of net sales from 2022 to 2023:</w:t>
      </w:r>
    </w:p>
    <w:p>
      <w:pPr>
        <w:spacing w:after="0" w:line="29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1E1E1E"/>
        </w:rPr>
        <w:t>2022 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515100" cy="1803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340"/>
                        </a:xfrm>
                        <a:prstGeom prst="rect">
                          <a:avLst/>
                        </a:prstGeom>
                        <a:solidFill>
                          <a:srgbClr val="E2E2E2"/>
                        </a:solidFill>
                      </wps:spPr>
                      <wps:bodyPr/>
                    </wps:wsp>
                  </a:graphicData>
                </a:graphic>
              </wp:anchor>
            </w:drawing>
          </mc:Choice>
          <mc:Fallback>
            <w:pict>
              <v:rect id="Shape 72" o:spid="_x0000_s1097" style="position:absolute;margin-left:0pt;margin-top:-10.6499pt;width:513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42"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1E1E1E"/>
        </w:rPr>
        <w:t>Sales Associated with Stores Included in the Comparable Stores Calculation</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9"/>
          <w:szCs w:val="19"/>
          <w:color w:val="1E1E1E"/>
        </w:rPr>
        <w:t>Sales Associated with New, Closed and Non-comparable Remodeled Stores, Net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515100" cy="1803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340"/>
                        </a:xfrm>
                        <a:prstGeom prst="rect">
                          <a:avLst/>
                        </a:prstGeom>
                        <a:solidFill>
                          <a:srgbClr val="E2E2E2"/>
                        </a:solidFill>
                      </wps:spPr>
                      <wps:bodyPr/>
                    </wps:wsp>
                  </a:graphicData>
                </a:graphic>
              </wp:anchor>
            </w:drawing>
          </mc:Choice>
          <mc:Fallback>
            <w:pict>
              <v:rect id="Shape 73" o:spid="_x0000_s1098" style="position:absolute;margin-left:0pt;margin-top:-10.3999pt;width:513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47"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1E1E1E"/>
        </w:rPr>
        <w:t>Direct Channels (a)(b)</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1E1E1E"/>
        </w:rPr>
        <w:t>Credit Card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6515100" cy="1803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340"/>
                        </a:xfrm>
                        <a:prstGeom prst="rect">
                          <a:avLst/>
                        </a:prstGeom>
                        <a:solidFill>
                          <a:srgbClr val="E2E2E2"/>
                        </a:solidFill>
                      </wps:spPr>
                      <wps:bodyPr/>
                    </wps:wsp>
                  </a:graphicData>
                </a:graphic>
              </wp:anchor>
            </w:drawing>
          </mc:Choice>
          <mc:Fallback>
            <w:pict>
              <v:rect id="Shape 74" o:spid="_x0000_s1099" style="position:absolute;margin-left:0pt;margin-top:-11pt;width:513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1E1E1E"/>
        </w:rPr>
        <w:t>International Wholesale, Royalty and Sourcing</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1E1E1E"/>
        </w:rPr>
        <w:t>Foreign Currency Translation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6515100" cy="18034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0340"/>
                        </a:xfrm>
                        <a:prstGeom prst="rect">
                          <a:avLst/>
                        </a:prstGeom>
                        <a:solidFill>
                          <a:srgbClr val="E2E2E2"/>
                        </a:solidFill>
                      </wps:spPr>
                      <wps:bodyPr/>
                    </wps:wsp>
                  </a:graphicData>
                </a:graphic>
              </wp:anchor>
            </w:drawing>
          </mc:Choice>
          <mc:Fallback>
            <w:pict>
              <v:rect id="Shape 75" o:spid="_x0000_s1100" style="position:absolute;margin-left:0pt;margin-top:-11pt;width:513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1E1E1E"/>
        </w:rPr>
        <w:t>2023 Net Sales</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30" w:lineRule="exact"/>
        <w:rPr>
          <w:sz w:val="20"/>
          <w:szCs w:val="20"/>
          <w:color w:val="auto"/>
        </w:rPr>
      </w:pPr>
    </w:p>
    <w:p>
      <w:pPr>
        <w:ind w:left="730" w:hanging="730"/>
        <w:spacing w:after="0"/>
        <w:tabs>
          <w:tab w:leader="none" w:pos="730" w:val="left"/>
        </w:tabs>
        <w:numPr>
          <w:ilvl w:val="0"/>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 2023 include Adore Me sales.</w:t>
      </w:r>
    </w:p>
    <w:p>
      <w:pPr>
        <w:spacing w:after="0" w:line="10" w:lineRule="exact"/>
        <w:rPr>
          <w:rFonts w:ascii="Times New Roman" w:cs="Times New Roman" w:eastAsia="Times New Roman" w:hAnsi="Times New Roman"/>
          <w:sz w:val="20"/>
          <w:szCs w:val="20"/>
          <w:color w:val="1E1E1E"/>
        </w:rPr>
      </w:pPr>
    </w:p>
    <w:p>
      <w:pPr>
        <w:ind w:left="710" w:hanging="710"/>
        <w:spacing w:after="0"/>
        <w:tabs>
          <w:tab w:leader="none" w:pos="710" w:val="left"/>
        </w:tabs>
        <w:numPr>
          <w:ilvl w:val="0"/>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include consolidated joint venture direct sales in China.</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compares 2023 comparable sales to 2022:</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color w:val="1E1E1E"/>
        </w:rPr>
        <w:t>(in millions)</w:t>
      </w:r>
    </w:p>
    <w:p>
      <w:pPr>
        <w:spacing w:after="0" w:line="55" w:lineRule="exact"/>
        <w:rPr>
          <w:sz w:val="20"/>
          <w:szCs w:val="20"/>
          <w:color w:val="auto"/>
        </w:rPr>
      </w:pPr>
    </w:p>
    <w:p>
      <w:pPr>
        <w:ind w:left="880"/>
        <w:spacing w:after="0"/>
        <w:tabs>
          <w:tab w:leader="none" w:pos="1660" w:val="left"/>
        </w:tabs>
        <w:rPr>
          <w:sz w:val="20"/>
          <w:szCs w:val="20"/>
          <w:color w:val="auto"/>
        </w:rPr>
      </w:pPr>
      <w:r>
        <w:rPr>
          <w:rFonts w:ascii="Times New Roman" w:cs="Times New Roman" w:eastAsia="Times New Roman" w:hAnsi="Times New Roman"/>
          <w:sz w:val="20"/>
          <w:szCs w:val="20"/>
          <w:color w:val="1E1E1E"/>
        </w:rPr>
        <w:t>$</w:t>
      </w:r>
      <w:r>
        <w:rPr>
          <w:sz w:val="20"/>
          <w:szCs w:val="20"/>
          <w:color w:val="auto"/>
        </w:rPr>
        <w:tab/>
      </w:r>
      <w:r>
        <w:rPr>
          <w:rFonts w:ascii="Times New Roman" w:cs="Times New Roman" w:eastAsia="Times New Roman" w:hAnsi="Times New Roman"/>
          <w:sz w:val="20"/>
          <w:szCs w:val="20"/>
          <w:color w:val="1E1E1E"/>
        </w:rPr>
        <w:t>6,344</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(370)</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(15)</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1E1E1E"/>
        </w:rPr>
        <w:t>239</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(28)</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1E1E1E"/>
        </w:rPr>
        <w:t>22</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1E1E1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27305</wp:posOffset>
            </wp:positionV>
            <wp:extent cx="8763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2">
                      <a:extLst>
                        <a:ext uri="{28A0092B-C50C-407E-A947-70E740481C1C}"/>
                      </a:extLst>
                    </a:blip>
                    <a:srcRect/>
                    <a:stretch>
                      <a:fillRect/>
                    </a:stretch>
                  </pic:blipFill>
                  <pic:spPr bwMode="auto">
                    <a:xfrm>
                      <a:off x="0" y="0"/>
                      <a:ext cx="876300" cy="6350"/>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27305</wp:posOffset>
            </wp:positionV>
            <wp:extent cx="8763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3">
                      <a:extLst>
                        <a:ext uri="{28A0092B-C50C-407E-A947-70E740481C1C}"/>
                      </a:extLst>
                    </a:blip>
                    <a:srcRect/>
                    <a:stretch>
                      <a:fillRect/>
                    </a:stretch>
                  </pic:blipFill>
                  <pic:spPr bwMode="auto">
                    <a:xfrm>
                      <a:off x="0" y="0"/>
                      <a:ext cx="876300" cy="6350"/>
                    </a:xfrm>
                    <a:prstGeom prst="rect">
                      <a:avLst/>
                    </a:prstGeom>
                    <a:noFill/>
                  </pic:spPr>
                </pic:pic>
              </a:graphicData>
            </a:graphic>
          </wp:anchor>
        </w:drawing>
      </w:r>
    </w:p>
    <w:p>
      <w:pPr>
        <w:spacing w:after="0" w:line="31" w:lineRule="exact"/>
        <w:rPr>
          <w:sz w:val="20"/>
          <w:szCs w:val="20"/>
          <w:color w:val="auto"/>
        </w:rPr>
      </w:pPr>
    </w:p>
    <w:p>
      <w:pPr>
        <w:ind w:left="88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1E1E1E"/>
        </w:rPr>
        <w:t>$</w:t>
      </w:r>
      <w:r>
        <w:rPr>
          <w:sz w:val="20"/>
          <w:szCs w:val="20"/>
          <w:color w:val="auto"/>
        </w:rPr>
        <w:tab/>
      </w:r>
      <w:r>
        <w:rPr>
          <w:rFonts w:ascii="Times New Roman" w:cs="Times New Roman" w:eastAsia="Times New Roman" w:hAnsi="Times New Roman"/>
          <w:sz w:val="20"/>
          <w:szCs w:val="20"/>
          <w:b w:val="1"/>
          <w:bCs w:val="1"/>
          <w:color w:val="1E1E1E"/>
        </w:rPr>
        <w:t>6,182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527050</wp:posOffset>
                </wp:positionH>
                <wp:positionV relativeFrom="paragraph">
                  <wp:posOffset>42545</wp:posOffset>
                </wp:positionV>
                <wp:extent cx="8763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pt,3.35pt" to="110.5pt,3.35pt" o:allowincell="f" strokecolor="#1E1E1E" strokeweight="1pt"/>
            </w:pict>
          </mc:Fallback>
        </mc:AlternateContent>
        <w:drawing>
          <wp:anchor simplePos="0" relativeHeight="251657728" behindDoc="1" locked="0" layoutInCell="0" allowOverlap="1">
            <wp:simplePos x="0" y="0"/>
            <wp:positionH relativeFrom="column">
              <wp:posOffset>527050</wp:posOffset>
            </wp:positionH>
            <wp:positionV relativeFrom="paragraph">
              <wp:posOffset>10795</wp:posOffset>
            </wp:positionV>
            <wp:extent cx="87630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4">
                      <a:extLst>
                        <a:ext uri="{28A0092B-C50C-407E-A947-70E740481C1C}"/>
                      </a:extLst>
                    </a:blip>
                    <a:srcRect/>
                    <a:stretch>
                      <a:fillRect/>
                    </a:stretch>
                  </pic:blipFill>
                  <pic:spPr bwMode="auto">
                    <a:xfrm>
                      <a:off x="0" y="0"/>
                      <a:ext cx="8763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6"/>
          <w:szCs w:val="16"/>
          <w:b w:val="1"/>
          <w:bCs w:val="1"/>
          <w:color w:val="1E1E1E"/>
        </w:rPr>
        <w:t>2023</w:t>
      </w:r>
      <w:r>
        <w:rPr>
          <w:sz w:val="20"/>
          <w:szCs w:val="20"/>
          <w:color w:val="auto"/>
        </w:rPr>
        <w:tab/>
      </w:r>
      <w:r>
        <w:rPr>
          <w:rFonts w:ascii="Times New Roman" w:cs="Times New Roman" w:eastAsia="Times New Roman" w:hAnsi="Times New Roman"/>
          <w:sz w:val="16"/>
          <w:szCs w:val="16"/>
          <w:b w:val="1"/>
          <w:bCs w:val="1"/>
          <w:color w:val="1E1E1E"/>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1905</wp:posOffset>
            </wp:positionV>
            <wp:extent cx="17557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27" w:lineRule="exact"/>
        <w:rPr>
          <w:sz w:val="20"/>
          <w:szCs w:val="20"/>
          <w:color w:val="auto"/>
        </w:rPr>
      </w:pPr>
    </w:p>
    <w:p>
      <w:pPr>
        <w:sectPr>
          <w:pgSz w:w="11880" w:h="15480" w:orient="portrait"/>
          <w:cols w:equalWidth="0" w:num="2">
            <w:col w:w="7330" w:space="720"/>
            <w:col w:w="2200"/>
          </w:cols>
          <w:pgMar w:left="810" w:top="453" w:right="820" w:bottom="0" w:gutter="0" w:footer="0" w:header="0"/>
        </w:sectPr>
      </w:pPr>
    </w:p>
    <w:tbl>
      <w:tblPr>
        <w:tblLayout w:type="fixed"/>
        <w:tblInd w:w="10" w:type="dxa"/>
        <w:tblCellMar>
          <w:top w:w="0" w:type="dxa"/>
          <w:left w:w="0" w:type="dxa"/>
          <w:bottom w:w="0" w:type="dxa"/>
          <w:right w:w="0" w:type="dxa"/>
        </w:tblCellMar>
      </w:tblPr>
      <w:tr>
        <w:trPr>
          <w:trHeight w:val="281"/>
        </w:trPr>
        <w:tc>
          <w:tcPr>
            <w:tcW w:w="756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Comparable Sales (Stores and Direct) (a)</w:t>
            </w:r>
          </w:p>
        </w:tc>
        <w:tc>
          <w:tcPr>
            <w:tcW w:w="13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80" w:type="dxa"/>
            <w:vAlign w:val="bottom"/>
            <w:tcBorders>
              <w:top w:val="single" w:sz="8" w:color="E2E2E2"/>
            </w:tcBorders>
            <w:shd w:val="clear" w:color="auto" w:fill="E2E2E2"/>
          </w:tcPr>
          <w:p>
            <w:pPr>
              <w:spacing w:after="0"/>
              <w:rPr>
                <w:sz w:val="24"/>
                <w:szCs w:val="24"/>
                <w:color w:val="auto"/>
              </w:rPr>
            </w:pPr>
          </w:p>
        </w:tc>
        <w:tc>
          <w:tcPr>
            <w:tcW w:w="13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r>
      <w:tr>
        <w:trPr>
          <w:trHeight w:val="272"/>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Comparable Store Sales (a)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(7%)</w:t>
            </w:r>
          </w:p>
        </w:tc>
      </w:tr>
      <w:tr>
        <w:trPr>
          <w:trHeight w:val="312"/>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________________</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730" w:right="60" w:hanging="730"/>
        <w:spacing w:after="0" w:line="251" w:lineRule="auto"/>
        <w:tabs>
          <w:tab w:leader="none" w:pos="73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Therefore, the percentage change in comparable sales for 2023 was calculated on a 53-to-53-week basis and the percentage change in comparable sales for 2022 was calculated on a 52-to-52-week basis. Comparable sales attributable to our international stores are calculated on a constant currency basis.</w:t>
      </w:r>
    </w:p>
    <w:p>
      <w:pPr>
        <w:spacing w:after="0" w:line="74" w:lineRule="exact"/>
        <w:rPr>
          <w:sz w:val="20"/>
          <w:szCs w:val="20"/>
          <w:color w:val="auto"/>
        </w:rPr>
      </w:pPr>
    </w:p>
    <w:p>
      <w:pPr>
        <w:ind w:left="10" w:right="240"/>
        <w:spacing w:after="0" w:line="281" w:lineRule="auto"/>
        <w:rPr>
          <w:sz w:val="20"/>
          <w:szCs w:val="20"/>
          <w:color w:val="auto"/>
        </w:rPr>
      </w:pPr>
      <w:r>
        <w:rPr>
          <w:rFonts w:ascii="Times New Roman" w:cs="Times New Roman" w:eastAsia="Times New Roman" w:hAnsi="Times New Roman"/>
          <w:sz w:val="20"/>
          <w:szCs w:val="20"/>
          <w:color w:val="1E1E1E"/>
        </w:rPr>
        <w:t>Net sales in 2023 decreased $162 million, or 3%, to $6.182 billion compared to $6.344 billion in 2022. We estimate the extra week in 2023 represented approximately $80 million in incremental net sales.</w:t>
      </w:r>
    </w:p>
    <w:p>
      <w:pPr>
        <w:spacing w:after="0" w:line="41" w:lineRule="exact"/>
        <w:rPr>
          <w:sz w:val="20"/>
          <w:szCs w:val="20"/>
          <w:color w:val="auto"/>
        </w:rPr>
      </w:pPr>
    </w:p>
    <w:p>
      <w:pPr>
        <w:jc w:val="both"/>
        <w:ind w:left="10" w:right="20"/>
        <w:spacing w:after="0" w:line="309" w:lineRule="auto"/>
        <w:rPr>
          <w:sz w:val="20"/>
          <w:szCs w:val="20"/>
          <w:color w:val="auto"/>
        </w:rPr>
      </w:pPr>
      <w:r>
        <w:rPr>
          <w:rFonts w:ascii="Times New Roman" w:cs="Times New Roman" w:eastAsia="Times New Roman" w:hAnsi="Times New Roman"/>
          <w:sz w:val="19"/>
          <w:szCs w:val="19"/>
          <w:color w:val="1E1E1E"/>
        </w:rPr>
        <w:t>In the stores channel, our North America net sales decreased $429 million, or 11%, to $3.480 billion compared to 2022 driven by a decrease in traffic, average unit retail and conversion, partially offset by incremental net sales from the extra week in 2023.</w:t>
      </w:r>
    </w:p>
    <w:p>
      <w:pPr>
        <w:spacing w:after="0" w:line="17"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1E1E1E"/>
        </w:rPr>
        <w:t>In the direct channel, net sales increased $172 million, or 9%, to $2.015 billion driven by the inclusion of Adore Me sales in our results beginning in 2023 and the incremental net sales from the extra week in 2023. On a comparable basis, our direct channel sales decrease was driven by a decrease in average unit retail, conversion and traffic.</w:t>
      </w:r>
    </w:p>
    <w:p>
      <w:pPr>
        <w:spacing w:after="0" w:line="55"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1E1E1E"/>
        </w:rPr>
        <w:t>In the international channel, net sales increased $95 million, or 16%, to $687 million compared to 2022, as stores and online sales increased in many countries outside of North America driven by new full assortment store growth, comparable store sales growth driven in part by increased traffic and strong e-commerce performance, positive customer acceptance of our product assortment and the incremental net sales from the extra week in 2023.</w:t>
      </w:r>
    </w:p>
    <w:p>
      <w:pPr>
        <w:spacing w:after="0" w:line="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Gross Profit</w:t>
      </w:r>
    </w:p>
    <w:p>
      <w:pPr>
        <w:spacing w:after="0" w:line="117"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1E1E1E"/>
        </w:rPr>
        <w:t>For 2023, our gross profit decreased $16 million to $2.242 billion, and our gross profit rate (expressed as a percentage of net sales) increased to 36.3% from 35.6%.</w:t>
      </w:r>
    </w:p>
    <w:p>
      <w:pPr>
        <w:spacing w:after="0" w:line="41" w:lineRule="exact"/>
        <w:rPr>
          <w:sz w:val="20"/>
          <w:szCs w:val="20"/>
          <w:color w:val="auto"/>
        </w:rPr>
      </w:pPr>
    </w:p>
    <w:p>
      <w:pPr>
        <w:ind w:left="10" w:right="140"/>
        <w:spacing w:after="0" w:line="254" w:lineRule="auto"/>
        <w:rPr>
          <w:sz w:val="20"/>
          <w:szCs w:val="20"/>
          <w:color w:val="auto"/>
        </w:rPr>
      </w:pPr>
      <w:r>
        <w:rPr>
          <w:rFonts w:ascii="Times New Roman" w:cs="Times New Roman" w:eastAsia="Times New Roman" w:hAnsi="Times New Roman"/>
          <w:sz w:val="20"/>
          <w:szCs w:val="20"/>
          <w:color w:val="1E1E1E"/>
        </w:rPr>
        <w:t>For 2023, the decrease in gross profit dollars was primarily due to the decrease in merchandise margin dollars driven by the decrease in net sales and an increase in promotional activity, partially offset by a decrease in supply chain costs, reductions in costs of goods sold related to our supply chain initiative and incremental profit related to the extra week in 2023. Buying and occupancy expenses were down compared to 2022, primarily driven by a legal reserve of $22 million related to a landlord matter in the first quarter of 2022 and restructuring charges of $14 million in 2022, partially offset by the inclusion of Adore Me buying and occupancy expenses beginning in 2023. Additionally, the decrease in gross profit dollars was driven by the recognition in gross profit of the $29 million inventory fair value step-up adjustment related to acquired inventory from Adore Me.</w:t>
      </w:r>
    </w:p>
    <w:p>
      <w:pPr>
        <w:sectPr>
          <w:pgSz w:w="11880" w:h="15480" w:orient="portrait"/>
          <w:cols w:equalWidth="0" w:num="1">
            <w:col w:w="10250"/>
          </w:cols>
          <w:pgMar w:left="810" w:top="453" w:right="820" w:bottom="0" w:gutter="0" w:footer="0" w:header="0"/>
          <w:type w:val="continuous"/>
        </w:sectPr>
      </w:pPr>
    </w:p>
    <w:p>
      <w:pPr>
        <w:spacing w:after="0" w:line="3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250"/>
          </w:cols>
          <w:pgMar w:left="810" w:top="453" w:right="820" w:bottom="0" w:gutter="0" w:footer="0" w:header="0"/>
          <w:type w:val="continuous"/>
        </w:sectPr>
      </w:pPr>
    </w:p>
    <w:bookmarkStart w:id="44" w:name="page45"/>
    <w:bookmarkEnd w:id="44"/>
    <w:p>
      <w:pPr>
        <w:ind w:right="240"/>
        <w:spacing w:after="0" w:line="281" w:lineRule="auto"/>
        <w:rPr>
          <w:sz w:val="20"/>
          <w:szCs w:val="20"/>
          <w:color w:val="auto"/>
        </w:rPr>
      </w:pPr>
      <w:r>
        <w:rPr>
          <w:rFonts w:ascii="Times New Roman" w:cs="Times New Roman" w:eastAsia="Times New Roman" w:hAnsi="Times New Roman"/>
          <w:sz w:val="20"/>
          <w:szCs w:val="20"/>
          <w:color w:val="1E1E1E"/>
        </w:rPr>
        <w:t>The gross profit rate increase was driven by a decrease in supply chain costs, reductions in costs of goods sold related to our supply chain initiative, partially offset by increased promotional activity.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General, Administrative and Store Operating Expenses</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For 2023, our general, administrative and store operating expenses increased $216 million, or 12%, to $1.996 billion. The increase in general, administrative and store operating expenses compared to 2022 was primarily due to the inclusion of Adore Me general, administrative and store operating expenses beginning in 2023 and strategic marketing investments including the Victoria’s Secret World Tour in 2023. The increase in general, administrative and store operating expenses in 2023 was also due to the amortization of intangible assets acquired from Adore Me of $25 million, incremental expenses in the extra week in 2023, recognition of $8 million of restructuring charges to continue to reorganize and improve our organizational structure in the first quarter of 2023, partially offset by restructuring charges of $21 million in 2022.</w:t>
      </w:r>
    </w:p>
    <w:p>
      <w:pPr>
        <w:spacing w:after="0" w:line="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1E1E1E"/>
        </w:rPr>
        <w:t>The general, administrative and store operating expense rate (expressed as a percentage of net sales) increased to 32.3% from 28.1% due to the inclusion of Adore Me general, administrative and store operating expenses beginning in 2023, strategic marketing investments including the Victoria’s Secret World Tour and deleverage driven by the decrease in sales compared to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Interest Expense</w:t>
      </w:r>
    </w:p>
    <w:p>
      <w:pPr>
        <w:spacing w:after="0" w:line="13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1E1E1E"/>
        </w:rPr>
        <w:t>For 2023, our interest expense increased $39 million to $99 million compared to 2022, primarily driven by the increase in our outstanding debt due to the borrowings from the ABL Facility during 2023 and a higher average borrowing rate for our Term Loan Facility and ABL Facility.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Provision for Income Taxes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For 2023, the Company's effective tax rate was 21.4% compared to 19.0% in 2022. The 2023 rate differed from the Company's combined estimated federal and state statutory rate primarily due to foreign earnings taxed at a rate lower than our combined estimated federal and state statutory rate and due to the resolution of certain tax matters. The 2022 rate was lower than the Company's combined estimated federal and state statutory rate primarily due to the recognition of excess tax benefits related to shared-based compensation awards that vested in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1E1E1E"/>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our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1E1E1E"/>
        </w:rPr>
        <w:t>We expect to utilize our cash flows to continue to invest in our brands, talent and capabilities, and growth strategies as well as to repay our indebtedness over time. We believe that our available short-term and long-term capital resources are sufficient to fund our working capital and other cash flow requirements over the next 12 months.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Working Capital and Capitalization</w:t>
      </w:r>
    </w:p>
    <w:p>
      <w:pPr>
        <w:spacing w:after="0" w:line="11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1E1E1E"/>
        </w:rPr>
        <w:t>Based upon our cash balances and net cash provided by our operating activities, along with the borrowing capacity under our ABL Facility, we believe we will be able to continue to meet our working capital needs.</w:t>
      </w:r>
    </w:p>
    <w:p>
      <w:pPr>
        <w:sectPr>
          <w:pgSz w:w="11880" w:h="15480" w:orient="portrait"/>
          <w:cols w:equalWidth="0" w:num="1">
            <w:col w:w="10160"/>
          </w:cols>
          <w:pgMar w:left="820" w:top="45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160"/>
          </w:cols>
          <w:pgMar w:left="820" w:top="453" w:right="900" w:bottom="0" w:gutter="0" w:footer="0" w:header="0"/>
          <w:type w:val="continuous"/>
        </w:sectPr>
      </w:pPr>
    </w:p>
    <w:bookmarkStart w:id="45" w:name="page46"/>
    <w:bookmarkEnd w:id="45"/>
    <w:p>
      <w:pPr>
        <w:ind w:left="10"/>
        <w:spacing w:after="0"/>
        <w:rPr>
          <w:sz w:val="20"/>
          <w:szCs w:val="20"/>
          <w:color w:val="auto"/>
        </w:rPr>
      </w:pPr>
      <w:r>
        <w:rPr>
          <w:rFonts w:ascii="Times New Roman" w:cs="Times New Roman" w:eastAsia="Times New Roman" w:hAnsi="Times New Roman"/>
          <w:sz w:val="20"/>
          <w:szCs w:val="20"/>
          <w:color w:val="1E1E1E"/>
        </w:rPr>
        <w:t>The following table provides a summary of our working capital position and capitalization as of February 3, 2024 and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January 28, 2023:</w:t>
      </w: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420" w:type="dxa"/>
            <w:vAlign w:val="bottom"/>
          </w:tcPr>
          <w:p>
            <w:pPr>
              <w:spacing w:after="0"/>
              <w:rPr>
                <w:sz w:val="18"/>
                <w:szCs w:val="18"/>
                <w:color w:val="auto"/>
              </w:rPr>
            </w:pPr>
          </w:p>
        </w:tc>
        <w:tc>
          <w:tcPr>
            <w:tcW w:w="1380" w:type="dxa"/>
            <w:vAlign w:val="bottom"/>
            <w:tcBorders>
              <w:bottom w:val="single" w:sz="8" w:color="1E1E1E"/>
            </w:tcBorders>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rPr>
              <w:t>February 3, 2024</w:t>
            </w:r>
          </w:p>
        </w:tc>
        <w:tc>
          <w:tcPr>
            <w:tcW w:w="80" w:type="dxa"/>
            <w:vAlign w:val="bottom"/>
          </w:tcPr>
          <w:p>
            <w:pPr>
              <w:spacing w:after="0"/>
              <w:rPr>
                <w:sz w:val="18"/>
                <w:szCs w:val="18"/>
                <w:color w:val="auto"/>
              </w:rPr>
            </w:pPr>
          </w:p>
        </w:tc>
        <w:tc>
          <w:tcPr>
            <w:tcW w:w="138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January 28, 2023</w:t>
            </w:r>
          </w:p>
        </w:tc>
      </w:tr>
      <w:tr>
        <w:trPr>
          <w:trHeight w:val="222"/>
        </w:trPr>
        <w:tc>
          <w:tcPr>
            <w:tcW w:w="7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780" w:type="dxa"/>
            <w:vAlign w:val="bottom"/>
          </w:tcPr>
          <w:p>
            <w:pPr>
              <w:spacing w:after="0"/>
              <w:rPr>
                <w:sz w:val="19"/>
                <w:szCs w:val="19"/>
                <w:color w:val="auto"/>
              </w:rPr>
            </w:pPr>
          </w:p>
        </w:tc>
      </w:tr>
      <w:tr>
        <w:trPr>
          <w:trHeight w:val="293"/>
        </w:trPr>
        <w:tc>
          <w:tcPr>
            <w:tcW w:w="7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Cash Provided by Operating Activities (a)</w:t>
            </w:r>
          </w:p>
        </w:tc>
        <w:tc>
          <w:tcPr>
            <w:tcW w:w="500" w:type="dxa"/>
            <w:vAlign w:val="bottom"/>
            <w:shd w:val="clear" w:color="auto" w:fill="E2E2E2"/>
          </w:tcPr>
          <w:p>
            <w:pPr>
              <w:jc w:val="right"/>
              <w:ind w:right="265"/>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389</w:t>
            </w:r>
          </w:p>
        </w:tc>
        <w:tc>
          <w:tcPr>
            <w:tcW w:w="680" w:type="dxa"/>
            <w:vAlign w:val="bottom"/>
            <w:gridSpan w:val="2"/>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437</w:t>
            </w:r>
          </w:p>
        </w:tc>
      </w:tr>
      <w:tr>
        <w:trPr>
          <w:trHeight w:val="279"/>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Capital Expenditures (a)</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164</w:t>
            </w:r>
          </w:p>
        </w:tc>
      </w:tr>
      <w:tr>
        <w:trPr>
          <w:trHeight w:val="291"/>
        </w:trPr>
        <w:tc>
          <w:tcPr>
            <w:tcW w:w="7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Working Capital</w:t>
            </w:r>
          </w:p>
        </w:tc>
        <w:tc>
          <w:tcPr>
            <w:tcW w:w="5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w:t>
            </w:r>
          </w:p>
        </w:tc>
        <w:tc>
          <w:tcPr>
            <w:tcW w:w="80" w:type="dxa"/>
            <w:vAlign w:val="bottom"/>
            <w:shd w:val="clear" w:color="auto" w:fill="E2E2E2"/>
          </w:tcPr>
          <w:p>
            <w:pPr>
              <w:spacing w:after="0"/>
              <w:rPr>
                <w:sz w:val="24"/>
                <w:szCs w:val="24"/>
                <w:color w:val="auto"/>
              </w:rPr>
            </w:pPr>
          </w:p>
        </w:tc>
        <w:tc>
          <w:tcPr>
            <w:tcW w:w="6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158</w:t>
            </w:r>
          </w:p>
        </w:tc>
      </w:tr>
      <w:tr>
        <w:trPr>
          <w:trHeight w:val="260"/>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Capitalization:</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
        </w:trPr>
        <w:tc>
          <w:tcPr>
            <w:tcW w:w="7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85"/>
        </w:trPr>
        <w:tc>
          <w:tcPr>
            <w:tcW w:w="74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Long-term Debt</w:t>
            </w:r>
          </w:p>
        </w:tc>
        <w:tc>
          <w:tcPr>
            <w:tcW w:w="5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1,120</w:t>
            </w:r>
          </w:p>
        </w:tc>
        <w:tc>
          <w:tcPr>
            <w:tcW w:w="80" w:type="dxa"/>
            <w:vAlign w:val="bottom"/>
            <w:shd w:val="clear" w:color="auto" w:fill="E2E2E2"/>
          </w:tcPr>
          <w:p>
            <w:pPr>
              <w:spacing w:after="0"/>
              <w:rPr>
                <w:sz w:val="24"/>
                <w:szCs w:val="24"/>
                <w:color w:val="auto"/>
              </w:rPr>
            </w:pPr>
          </w:p>
        </w:tc>
        <w:tc>
          <w:tcPr>
            <w:tcW w:w="6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1,271</w:t>
            </w:r>
          </w:p>
        </w:tc>
      </w:tr>
      <w:tr>
        <w:trPr>
          <w:trHeight w:val="275"/>
        </w:trPr>
        <w:tc>
          <w:tcPr>
            <w:tcW w:w="742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Victoria's Secret &amp; Co. Shareholders’ Equity</w:t>
            </w:r>
          </w:p>
        </w:tc>
        <w:tc>
          <w:tcPr>
            <w:tcW w:w="500" w:type="dxa"/>
            <w:vAlign w:val="bottom"/>
            <w:tcBorders>
              <w:bottom w:val="single" w:sz="8" w:color="1E1E1E"/>
            </w:tcBorders>
          </w:tcPr>
          <w:p>
            <w:pPr>
              <w:spacing w:after="0"/>
              <w:rPr>
                <w:sz w:val="23"/>
                <w:szCs w:val="23"/>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417</w:t>
            </w:r>
          </w:p>
        </w:tc>
        <w:tc>
          <w:tcPr>
            <w:tcW w:w="80" w:type="dxa"/>
            <w:vAlign w:val="bottom"/>
            <w:tcBorders>
              <w:bottom w:val="single" w:sz="8" w:color="E2E2E2"/>
            </w:tcBorders>
          </w:tcPr>
          <w:p>
            <w:pPr>
              <w:spacing w:after="0"/>
              <w:rPr>
                <w:sz w:val="23"/>
                <w:szCs w:val="23"/>
                <w:color w:val="auto"/>
              </w:rPr>
            </w:pPr>
          </w:p>
        </w:tc>
        <w:tc>
          <w:tcPr>
            <w:tcW w:w="600" w:type="dxa"/>
            <w:vAlign w:val="bottom"/>
            <w:tcBorders>
              <w:bottom w:val="single" w:sz="8" w:color="1E1E1E"/>
            </w:tcBorders>
          </w:tcPr>
          <w:p>
            <w:pPr>
              <w:spacing w:after="0"/>
              <w:rPr>
                <w:sz w:val="23"/>
                <w:szCs w:val="23"/>
                <w:color w:val="auto"/>
              </w:rPr>
            </w:pPr>
          </w:p>
        </w:tc>
        <w:tc>
          <w:tcPr>
            <w:tcW w:w="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383</w:t>
            </w:r>
          </w:p>
        </w:tc>
      </w:tr>
      <w:tr>
        <w:trPr>
          <w:trHeight w:val="275"/>
        </w:trPr>
        <w:tc>
          <w:tcPr>
            <w:tcW w:w="74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Capitalization</w:t>
            </w:r>
          </w:p>
        </w:tc>
        <w:tc>
          <w:tcPr>
            <w:tcW w:w="500" w:type="dxa"/>
            <w:vAlign w:val="bottom"/>
            <w:shd w:val="clear" w:color="auto" w:fill="E2E2E2"/>
          </w:tcPr>
          <w:p>
            <w:pPr>
              <w:jc w:val="right"/>
              <w:ind w:right="265"/>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1,537</w:t>
            </w:r>
          </w:p>
        </w:tc>
        <w:tc>
          <w:tcPr>
            <w:tcW w:w="680" w:type="dxa"/>
            <w:vAlign w:val="bottom"/>
            <w:gridSpan w:val="2"/>
            <w:shd w:val="clear" w:color="auto" w:fill="E2E2E2"/>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1,654</w:t>
            </w:r>
          </w:p>
        </w:tc>
      </w:tr>
      <w:tr>
        <w:trPr>
          <w:trHeight w:val="272"/>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Amounts Available Under the ABL Facility (b)</w:t>
            </w:r>
          </w:p>
        </w:tc>
        <w:tc>
          <w:tcPr>
            <w:tcW w:w="500" w:type="dxa"/>
            <w:vAlign w:val="bottom"/>
          </w:tcPr>
          <w:p>
            <w:pPr>
              <w:jc w:val="right"/>
              <w:ind w:right="265"/>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423</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259</w:t>
            </w:r>
          </w:p>
        </w:tc>
      </w:tr>
      <w:tr>
        <w:trPr>
          <w:trHeight w:val="312"/>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________________</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-576580</wp:posOffset>
            </wp:positionV>
            <wp:extent cx="94932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6">
                      <a:extLst>
                        <a:ext uri="{28A0092B-C50C-407E-A947-70E740481C1C}"/>
                      </a:extLst>
                    </a:blip>
                    <a:srcRect/>
                    <a:stretch>
                      <a:fillRect/>
                    </a:stretch>
                  </pic:blipFill>
                  <pic:spPr bwMode="auto">
                    <a:xfrm>
                      <a:off x="0" y="0"/>
                      <a:ext cx="949325" cy="50800"/>
                    </a:xfrm>
                    <a:prstGeom prst="rect">
                      <a:avLst/>
                    </a:prstGeom>
                    <a:noFill/>
                  </pic:spPr>
                </pic:pic>
              </a:graphicData>
            </a:graphic>
          </wp:anchor>
        </w:drawing>
      </w:r>
    </w:p>
    <w:p>
      <w:pPr>
        <w:ind w:left="730" w:right="340" w:hanging="730"/>
        <w:spacing w:after="0" w:line="250" w:lineRule="auto"/>
        <w:tabs>
          <w:tab w:leader="none" w:pos="730" w:val="left"/>
        </w:tabs>
        <w:numPr>
          <w:ilvl w:val="0"/>
          <w:numId w:val="3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Amounts shown represent the fifty-three-week period ended February 3, 2024 and the fifty-two-week period ended January 28, 2023.</w:t>
      </w:r>
    </w:p>
    <w:p>
      <w:pPr>
        <w:ind w:left="730" w:right="200" w:hanging="730"/>
        <w:spacing w:after="0" w:line="253" w:lineRule="auto"/>
        <w:tabs>
          <w:tab w:leader="none" w:pos="730" w:val="left"/>
        </w:tabs>
        <w:numPr>
          <w:ilvl w:val="0"/>
          <w:numId w:val="3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 the period ended February 3, 2024, the availability under the ABL Facility was limited by our borrowing base of $587 million, less outstanding borrowings of $145 million and letters of credit of $19 million. For the period ended January 28, 2023, the availability was limited by our borrowing base of $596 million, less outstanding borrowings of $295 million and letters of credit of $42 million.</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certain measures of liquidity and capital resources as of February 3, 2024 and January 28, 2023:</w:t>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1E1E1E"/>
        </w:rPr>
        <w:t>Debt-to-capitalization Ratio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6540500" cy="206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7">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1E1E1E"/>
        </w:rPr>
        <w:t>Net Cash Provided By Operating Activities to Capital Expenditures</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30" w:lineRule="exact"/>
        <w:rPr>
          <w:sz w:val="20"/>
          <w:szCs w:val="20"/>
          <w:color w:val="auto"/>
        </w:rPr>
      </w:pPr>
    </w:p>
    <w:p>
      <w:pPr>
        <w:ind w:left="730" w:hanging="730"/>
        <w:spacing w:after="0"/>
        <w:tabs>
          <w:tab w:leader="none" w:pos="730" w:val="left"/>
        </w:tabs>
        <w:numPr>
          <w:ilvl w:val="0"/>
          <w:numId w:val="3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Long-term debt divided by total capitalization.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Cash Flow</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right"/>
        <w:ind w:right="12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1E1E1E"/>
        </w:rPr>
        <w:t>February 3, 2024</w:t>
      </w:r>
      <w:r>
        <w:rPr>
          <w:sz w:val="20"/>
          <w:szCs w:val="20"/>
          <w:color w:val="auto"/>
        </w:rPr>
        <w:tab/>
      </w:r>
      <w:r>
        <w:rPr>
          <w:rFonts w:ascii="Times New Roman" w:cs="Times New Roman" w:eastAsia="Times New Roman" w:hAnsi="Times New Roman"/>
          <w:sz w:val="15"/>
          <w:szCs w:val="15"/>
          <w:b w:val="1"/>
          <w:bCs w:val="1"/>
          <w:color w:val="1E1E1E"/>
        </w:rPr>
        <w:t>January 28, 2023</w:t>
      </w:r>
    </w:p>
    <w:p>
      <w:pPr>
        <w:spacing w:after="0" w:line="55" w:lineRule="exact"/>
        <w:rPr>
          <w:sz w:val="20"/>
          <w:szCs w:val="20"/>
          <w:color w:val="auto"/>
        </w:rPr>
      </w:pPr>
    </w:p>
    <w:p>
      <w:pPr>
        <w:jc w:val="both"/>
        <w:ind w:left="820"/>
        <w:spacing w:after="0"/>
        <w:tabs>
          <w:tab w:leader="none" w:pos="2260" w:val="left"/>
        </w:tabs>
        <w:rPr>
          <w:sz w:val="20"/>
          <w:szCs w:val="20"/>
          <w:color w:val="auto"/>
        </w:rPr>
      </w:pPr>
      <w:r>
        <w:rPr>
          <w:rFonts w:ascii="Times New Roman" w:cs="Times New Roman" w:eastAsia="Times New Roman" w:hAnsi="Times New Roman"/>
          <w:sz w:val="20"/>
          <w:szCs w:val="20"/>
          <w:color w:val="1E1E1E"/>
        </w:rPr>
        <w:t>73%</w:t>
      </w:r>
      <w:r>
        <w:rPr>
          <w:sz w:val="20"/>
          <w:szCs w:val="20"/>
          <w:color w:val="auto"/>
        </w:rPr>
        <w:tab/>
      </w:r>
      <w:r>
        <w:rPr>
          <w:rFonts w:ascii="Times New Roman" w:cs="Times New Roman" w:eastAsia="Times New Roman" w:hAnsi="Times New Roman"/>
          <w:sz w:val="20"/>
          <w:szCs w:val="20"/>
          <w:color w:val="1E1E1E"/>
        </w:rPr>
        <w:t>77%</w:t>
      </w:r>
    </w:p>
    <w:p>
      <w:pPr>
        <w:spacing w:after="0" w:line="55" w:lineRule="exact"/>
        <w:rPr>
          <w:sz w:val="20"/>
          <w:szCs w:val="20"/>
          <w:color w:val="auto"/>
        </w:rPr>
      </w:pPr>
    </w:p>
    <w:p>
      <w:pPr>
        <w:jc w:val="both"/>
        <w:ind w:left="720"/>
        <w:spacing w:after="0"/>
        <w:tabs>
          <w:tab w:leader="none" w:pos="2160" w:val="left"/>
        </w:tabs>
        <w:rPr>
          <w:sz w:val="20"/>
          <w:szCs w:val="20"/>
          <w:color w:val="auto"/>
        </w:rPr>
      </w:pPr>
      <w:r>
        <w:rPr>
          <w:rFonts w:ascii="Times New Roman" w:cs="Times New Roman" w:eastAsia="Times New Roman" w:hAnsi="Times New Roman"/>
          <w:sz w:val="20"/>
          <w:szCs w:val="20"/>
          <w:color w:val="1E1E1E"/>
        </w:rPr>
        <w:t>152%</w:t>
      </w:r>
      <w:r>
        <w:rPr>
          <w:sz w:val="20"/>
          <w:szCs w:val="20"/>
          <w:color w:val="auto"/>
        </w:rPr>
        <w:tab/>
      </w:r>
      <w:r>
        <w:rPr>
          <w:rFonts w:ascii="Times New Roman" w:cs="Times New Roman" w:eastAsia="Times New Roman" w:hAnsi="Times New Roman"/>
          <w:sz w:val="20"/>
          <w:szCs w:val="20"/>
          <w:color w:val="1E1E1E"/>
        </w:rPr>
        <w:t>266%</w:t>
      </w:r>
    </w:p>
    <w:p>
      <w:pPr>
        <w:spacing w:after="0" w:line="1081" w:lineRule="exact"/>
        <w:rPr>
          <w:sz w:val="20"/>
          <w:szCs w:val="20"/>
          <w:color w:val="auto"/>
        </w:rPr>
      </w:pPr>
    </w:p>
    <w:p>
      <w:pPr>
        <w:sectPr>
          <w:pgSz w:w="11880" w:h="15480" w:orient="portrait"/>
          <w:cols w:equalWidth="0" w:num="2">
            <w:col w:w="6810" w:space="720"/>
            <w:col w:w="2740"/>
          </w:cols>
          <w:pgMar w:left="810" w:top="453" w:right="800" w:bottom="0" w:gutter="0" w:footer="0" w:header="0"/>
          <w:type w:val="continuous"/>
        </w:sectPr>
      </w:pPr>
    </w:p>
    <w:p>
      <w:pPr>
        <w:ind w:left="10" w:right="220"/>
        <w:spacing w:after="0" w:line="281" w:lineRule="auto"/>
        <w:rPr>
          <w:sz w:val="20"/>
          <w:szCs w:val="20"/>
          <w:color w:val="auto"/>
        </w:rPr>
      </w:pPr>
      <w:r>
        <w:rPr>
          <w:rFonts w:ascii="Times New Roman" w:cs="Times New Roman" w:eastAsia="Times New Roman" w:hAnsi="Times New Roman"/>
          <w:sz w:val="20"/>
          <w:szCs w:val="20"/>
          <w:color w:val="1E1E1E"/>
        </w:rPr>
        <w:t>The following table provides a summary of our cash flow activity for the fiscal years ended February 3, 2024 and January 28, 2023:</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80" w:type="dxa"/>
            <w:vAlign w:val="bottom"/>
            <w:tcBorders>
              <w:bottom w:val="single" w:sz="8" w:color="1E1E1E"/>
            </w:tcBorders>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2022</w:t>
            </w:r>
          </w:p>
        </w:tc>
      </w:tr>
      <w:tr>
        <w:trPr>
          <w:trHeight w:val="222"/>
        </w:trPr>
        <w:tc>
          <w:tcPr>
            <w:tcW w:w="7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80" w:type="dxa"/>
            <w:vAlign w:val="bottom"/>
          </w:tcPr>
          <w:p>
            <w:pPr>
              <w:spacing w:after="0"/>
              <w:rPr>
                <w:sz w:val="19"/>
                <w:szCs w:val="19"/>
                <w:color w:val="auto"/>
              </w:rPr>
            </w:pPr>
          </w:p>
        </w:tc>
      </w:tr>
      <w:tr>
        <w:trPr>
          <w:trHeight w:val="302"/>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and Cash Equivalents, Beginning of Year</w:t>
            </w:r>
          </w:p>
        </w:tc>
        <w:tc>
          <w:tcPr>
            <w:tcW w:w="840" w:type="dxa"/>
            <w:vAlign w:val="bottom"/>
            <w:shd w:val="clear" w:color="auto" w:fill="E2E2E2"/>
          </w:tcPr>
          <w:p>
            <w:pPr>
              <w:jc w:val="right"/>
              <w:ind w:right="587"/>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427</w:t>
            </w:r>
          </w:p>
        </w:tc>
        <w:tc>
          <w:tcPr>
            <w:tcW w:w="50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490</w:t>
            </w:r>
          </w:p>
        </w:tc>
      </w:tr>
      <w:tr>
        <w:trPr>
          <w:trHeight w:val="250"/>
        </w:trPr>
        <w:tc>
          <w:tcPr>
            <w:tcW w:w="756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Net Cash Provided by Operating Activities</w:t>
            </w:r>
          </w:p>
        </w:tc>
        <w:tc>
          <w:tcPr>
            <w:tcW w:w="840" w:type="dxa"/>
            <w:vAlign w:val="bottom"/>
            <w:tcBorders>
              <w:top w:val="single" w:sz="8" w:color="1E1E1E"/>
            </w:tcBorders>
          </w:tcPr>
          <w:p>
            <w:pPr>
              <w:spacing w:after="0"/>
              <w:rPr>
                <w:sz w:val="21"/>
                <w:szCs w:val="21"/>
                <w:color w:val="auto"/>
              </w:rPr>
            </w:pPr>
          </w:p>
        </w:tc>
        <w:tc>
          <w:tcPr>
            <w:tcW w:w="480" w:type="dxa"/>
            <w:vAlign w:val="bottom"/>
            <w:tcBorders>
              <w:top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389</w:t>
            </w:r>
          </w:p>
        </w:tc>
        <w:tc>
          <w:tcPr>
            <w:tcW w:w="60" w:type="dxa"/>
            <w:vAlign w:val="bottom"/>
            <w:tcBorders>
              <w:top w:val="single" w:sz="8" w:color="E2E2E2"/>
            </w:tcBorders>
          </w:tcPr>
          <w:p>
            <w:pPr>
              <w:spacing w:after="0"/>
              <w:rPr>
                <w:sz w:val="21"/>
                <w:szCs w:val="21"/>
                <w:color w:val="auto"/>
              </w:rPr>
            </w:pPr>
          </w:p>
        </w:tc>
        <w:tc>
          <w:tcPr>
            <w:tcW w:w="440" w:type="dxa"/>
            <w:vAlign w:val="bottom"/>
            <w:tcBorders>
              <w:top w:val="single" w:sz="8" w:color="1E1E1E"/>
            </w:tcBorders>
          </w:tcPr>
          <w:p>
            <w:pPr>
              <w:spacing w:after="0"/>
              <w:rPr>
                <w:sz w:val="21"/>
                <w:szCs w:val="21"/>
                <w:color w:val="auto"/>
              </w:rPr>
            </w:pPr>
          </w:p>
        </w:tc>
        <w:tc>
          <w:tcPr>
            <w:tcW w:w="880" w:type="dxa"/>
            <w:vAlign w:val="bottom"/>
            <w:tcBorders>
              <w:top w:val="single" w:sz="8" w:color="1E1E1E"/>
            </w:tcBorders>
          </w:tcPr>
          <w:p>
            <w:pPr>
              <w:jc w:val="right"/>
              <w:ind w:right="3"/>
              <w:spacing w:after="0"/>
              <w:rPr>
                <w:sz w:val="20"/>
                <w:szCs w:val="20"/>
                <w:color w:val="auto"/>
              </w:rPr>
            </w:pPr>
            <w:r>
              <w:rPr>
                <w:rFonts w:ascii="Times New Roman" w:cs="Times New Roman" w:eastAsia="Times New Roman" w:hAnsi="Times New Roman"/>
                <w:sz w:val="20"/>
                <w:szCs w:val="20"/>
                <w:color w:val="1E1E1E"/>
              </w:rPr>
              <w:t>437</w:t>
            </w:r>
          </w:p>
        </w:tc>
      </w:tr>
      <w:tr>
        <w:trPr>
          <w:trHeight w:val="292"/>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Cash Used for Investing Activities</w:t>
            </w:r>
          </w:p>
        </w:tc>
        <w:tc>
          <w:tcPr>
            <w:tcW w:w="84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(254)</w:t>
            </w:r>
          </w:p>
        </w:tc>
        <w:tc>
          <w:tcPr>
            <w:tcW w:w="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(555)</w:t>
            </w:r>
          </w:p>
        </w:tc>
      </w:tr>
      <w:tr>
        <w:trPr>
          <w:trHeight w:val="279"/>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Cash Provided by (Used for) Financing Activities</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58</w:t>
            </w:r>
          </w:p>
        </w:tc>
      </w:tr>
      <w:tr>
        <w:trPr>
          <w:trHeight w:val="300"/>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Effects of Exchange Rate Changes on Cash and Cash Equivalents</w:t>
            </w:r>
          </w:p>
        </w:tc>
        <w:tc>
          <w:tcPr>
            <w:tcW w:w="84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r>
      <w:tr>
        <w:trPr>
          <w:trHeight w:val="246"/>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Net Decrease in Cash and Cash Equivalents</w:t>
            </w:r>
          </w:p>
        </w:tc>
        <w:tc>
          <w:tcPr>
            <w:tcW w:w="840" w:type="dxa"/>
            <w:vAlign w:val="bottom"/>
            <w:tcBorders>
              <w:bottom w:val="single" w:sz="8" w:color="1E1E1E"/>
            </w:tcBorders>
          </w:tcPr>
          <w:p>
            <w:pPr>
              <w:spacing w:after="0"/>
              <w:rPr>
                <w:sz w:val="21"/>
                <w:szCs w:val="21"/>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(157)</w:t>
            </w:r>
          </w:p>
        </w:tc>
        <w:tc>
          <w:tcPr>
            <w:tcW w:w="60" w:type="dxa"/>
            <w:vAlign w:val="bottom"/>
            <w:tcBorders>
              <w:bottom w:val="single" w:sz="8" w:color="E2E2E2"/>
            </w:tcBorders>
          </w:tcPr>
          <w:p>
            <w:pPr>
              <w:spacing w:after="0"/>
              <w:rPr>
                <w:sz w:val="21"/>
                <w:szCs w:val="21"/>
                <w:color w:val="auto"/>
              </w:rPr>
            </w:pPr>
          </w:p>
        </w:tc>
        <w:tc>
          <w:tcPr>
            <w:tcW w:w="44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w:t>
            </w:r>
          </w:p>
        </w:tc>
      </w:tr>
      <w:tr>
        <w:trPr>
          <w:trHeight w:val="265"/>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and Cash Equivalents, End of Year</w:t>
            </w:r>
          </w:p>
        </w:tc>
        <w:tc>
          <w:tcPr>
            <w:tcW w:w="840" w:type="dxa"/>
            <w:vAlign w:val="bottom"/>
            <w:shd w:val="clear" w:color="auto" w:fill="E2E2E2"/>
          </w:tcPr>
          <w:p>
            <w:pPr>
              <w:jc w:val="right"/>
              <w:ind w:right="587"/>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270</w:t>
            </w:r>
          </w:p>
        </w:tc>
        <w:tc>
          <w:tcPr>
            <w:tcW w:w="500" w:type="dxa"/>
            <w:vAlign w:val="bottom"/>
            <w:gridSpan w:val="2"/>
            <w:shd w:val="clear" w:color="auto" w:fill="E2E2E2"/>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427</w:t>
            </w:r>
          </w:p>
        </w:tc>
      </w:tr>
      <w:tr>
        <w:trPr>
          <w:trHeight w:val="20"/>
        </w:trPr>
        <w:tc>
          <w:tcPr>
            <w:tcW w:w="7560" w:type="dxa"/>
            <w:vAlign w:val="bottom"/>
            <w:tcBorders>
              <w:top w:val="single" w:sz="8" w:color="E2E2E2"/>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4784725</wp:posOffset>
            </wp:positionH>
            <wp:positionV relativeFrom="paragraph">
              <wp:posOffset>-1129665</wp:posOffset>
            </wp:positionV>
            <wp:extent cx="90170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-405765</wp:posOffset>
            </wp:positionV>
            <wp:extent cx="90170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9">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-224790</wp:posOffset>
            </wp:positionV>
            <wp:extent cx="90170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4784725</wp:posOffset>
            </wp:positionH>
            <wp:positionV relativeFrom="paragraph">
              <wp:posOffset>-56515</wp:posOffset>
            </wp:positionV>
            <wp:extent cx="1755775" cy="76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Operating Activities</w:t>
      </w:r>
    </w:p>
    <w:p>
      <w:pPr>
        <w:spacing w:after="0" w:line="119" w:lineRule="exact"/>
        <w:rPr>
          <w:sz w:val="20"/>
          <w:szCs w:val="20"/>
          <w:color w:val="auto"/>
        </w:rPr>
      </w:pPr>
    </w:p>
    <w:p>
      <w:pPr>
        <w:ind w:left="10" w:right="160"/>
        <w:spacing w:after="0" w:line="253" w:lineRule="auto"/>
        <w:rPr>
          <w:sz w:val="20"/>
          <w:szCs w:val="20"/>
          <w:color w:val="auto"/>
        </w:rPr>
      </w:pPr>
      <w:r>
        <w:rPr>
          <w:rFonts w:ascii="Times New Roman" w:cs="Times New Roman" w:eastAsia="Times New Roman" w:hAnsi="Times New Roman"/>
          <w:sz w:val="20"/>
          <w:szCs w:val="20"/>
          <w:color w:val="1E1E1E"/>
        </w:rPr>
        <w:t>Net cash provided by operating activities reflects net income adjusted for non-cash items, including depreciation and amortization, share-based compensation expense and deferred tax expense, as well as changes in working capital. Net cash provided by operating activities in 2023 was $389 million, a decrease in net cash flows provided by operating activities of $48 million compared to 2022. The decrease in net cash flows provided by operating activities in 2023 was primarily driven by a decrease in net income of $222 million, partially offset by lower operating cash outflows associated with working capital changes of $115 million compared to 2022. The most significant working capital driver resulting in lower net operating cash outflows this year compared to last year was the timing of payments related to the increased inventory levels throughout last year, which were primarily driven by modal mix changes and longer in-transit shipment times. The other significant working capital driver resulting in lower net operating cash outflows this year is related to income taxes paid of $74 million in 2023 compared to $161 million paid in 2022.</w:t>
      </w:r>
    </w:p>
    <w:p>
      <w:pPr>
        <w:sectPr>
          <w:pgSz w:w="11880" w:h="15480" w:orient="portrait"/>
          <w:cols w:equalWidth="0" w:num="1">
            <w:col w:w="10270"/>
          </w:cols>
          <w:pgMar w:left="810" w:top="45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270"/>
          </w:cols>
          <w:pgMar w:left="810" w:top="453" w:right="80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Investing Activities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1E1E1E"/>
        </w:rPr>
        <w:t>Net cash used for investing activities in 2023 was $254 million, consisting of capital expenditures of $256 million. The capital expenditures were primarily related to our store capital program and investments in technology related to our strategic initiatives to drive growth and technology investments relating to separation activities from our Former Parent.</w:t>
      </w:r>
    </w:p>
    <w:p>
      <w:pPr>
        <w:spacing w:after="0" w:line="55"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1E1E1E"/>
        </w:rPr>
        <w:t>Net cash used for investing activities in 2022 was $555 million, consisting primarily of our $369 million cash payment, net of cash acquired, in connection with the Adore Me acquisition and capital expenditures of $164 million. The capital expenditures were primarily related to our store capital program, along with investments in technology, distribution and logistics to support our retail capabilities.</w:t>
      </w:r>
    </w:p>
    <w:p>
      <w:pPr>
        <w:spacing w:after="0" w:line="6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We are estimating 2024 capital expenditures to be approximately $230 million. We expect that our capital expenditures will continue to be focused on our store capital program along with investments in technology related to our strategic initiatives to drive growth.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Financing Activities</w:t>
      </w:r>
    </w:p>
    <w:p>
      <w:pPr>
        <w:spacing w:after="0" w:line="119"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19"/>
          <w:szCs w:val="19"/>
          <w:color w:val="1E1E1E"/>
        </w:rPr>
        <w:t>Net cash used for financing activities in 2023 was $291 million, consisting primarily of $615 million of repayments under the ABL Facility and $125 million of share repurchases, partially offset by borrowings of $465 million from the ABL Facility.</w:t>
      </w:r>
    </w:p>
    <w:p>
      <w:pPr>
        <w:spacing w:after="0" w:line="1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1E1E1E"/>
        </w:rPr>
        <w:t>Net cash provided by financing activities in 2022 was $58 million, consisting primarily of borrowings of $295 million from the ABL Facility and $55 million of cash received from Regina Miracle in connection with the joint venture agreement completed in the first quarter of 2022. Those proceeds were partially offset by $250 million of share repurchases and $42 million of payments for payroll taxes relating to the vesting of share-based compensation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Common Stock Share Repurchases &amp; Treasury Stock Retirements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1E1E1E"/>
        </w:rPr>
        <w:t>Our Board of Directors determines share repurchase authorizations, giving consideration to our levels of profit and cash flows, capital requirements, current and forecasted liquidity, the restrictions placed upon us by our borrowing arrangements and the Tax Matters Agreement with our Former Parent, as well as financial and other conditions existing at the time. We use cash flows provided by our operating activities to fund our share repurchases. Once authorized by our Board of Directors, the timing and amount of any share repurchases are made at our discretion, taking into account a number of factors, including market conditions.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March 2024 Share Repurchase Program</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In March 2024, subsequent to the end of fiscal year 2023, our Board of Directors approved a share repurchase program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eligible to begin immediately and will continue until exhausted.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January 2023 Share Repurchase Program</w:t>
      </w:r>
    </w:p>
    <w:p>
      <w:pPr>
        <w:spacing w:after="0" w:line="119"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20"/>
          <w:szCs w:val="20"/>
          <w:color w:val="1E1E1E"/>
        </w:rPr>
        <w:t>In January 2023, our Board of Directors approved a share repurchase program (“January 2023 Share Repurchase Program”), authorizing the repurchase of up to $250 million of our common stock. The authorization, which expired at the end of 2023, was utilized in 2023 to repurchase shares in the open market and under the accelerated share repurchase agreement described below.</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1E1E1E"/>
        </w:rPr>
        <w:t>In February 2023, as part of the January 2023 Share Repurchase Program, we entered into an accelerated share repurchase agreement (“ASR Agreement”) with Goldman Sachs &amp; Co. LLC (“Goldman Sachs”) to repurchase $125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6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1E1E1E"/>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repurchased the following shares of our common stock under the January 2023 Share Repurchase Program during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Average Stock</w:t>
            </w:r>
          </w:p>
        </w:tc>
      </w:tr>
      <w:tr>
        <w:trPr>
          <w:trHeight w:val="214"/>
        </w:trPr>
        <w:tc>
          <w:tcPr>
            <w:tcW w:w="48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8"/>
              </w:rPr>
              <w:t>Authorized</w:t>
            </w:r>
          </w:p>
        </w:tc>
        <w:tc>
          <w:tcPr>
            <w:tcW w:w="60" w:type="dxa"/>
            <w:vAlign w:val="bottom"/>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Price</w:t>
            </w:r>
          </w:p>
        </w:tc>
      </w:tr>
      <w:tr>
        <w:trPr>
          <w:trHeight w:val="267"/>
        </w:trPr>
        <w:tc>
          <w:tcPr>
            <w:tcW w:w="4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3"/>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January 2023 Share Repurchase Program</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w:t>
            </w:r>
          </w:p>
        </w:tc>
        <w:tc>
          <w:tcPr>
            <w:tcW w:w="13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3,652</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125</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34.22</w:t>
            </w:r>
          </w:p>
        </w:tc>
      </w:tr>
    </w:tbl>
    <w:p>
      <w:pPr>
        <w:spacing w:after="0" w:line="200" w:lineRule="exact"/>
        <w:rPr>
          <w:sz w:val="20"/>
          <w:szCs w:val="20"/>
          <w:color w:val="auto"/>
        </w:rPr>
      </w:pPr>
    </w:p>
    <w:p>
      <w:pPr>
        <w:sectPr>
          <w:pgSz w:w="11880" w:h="15480" w:orient="portrait"/>
          <w:cols w:equalWidth="0" w:num="1">
            <w:col w:w="10260"/>
          </w:cols>
          <w:pgMar w:left="820" w:top="444" w:right="80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260"/>
          </w:cols>
          <w:pgMar w:left="820" w:top="444" w:right="800" w:bottom="0" w:gutter="0" w:footer="0" w:header="0"/>
          <w:type w:val="continuous"/>
        </w:sectPr>
      </w:pPr>
    </w:p>
    <w:bookmarkStart w:id="47" w:name="page48"/>
    <w:bookmarkEnd w:id="47"/>
    <w:p>
      <w:pPr>
        <w:ind w:right="40"/>
        <w:spacing w:after="0" w:line="260" w:lineRule="auto"/>
        <w:rPr>
          <w:sz w:val="20"/>
          <w:szCs w:val="20"/>
          <w:color w:val="auto"/>
        </w:rPr>
      </w:pPr>
      <w:r>
        <w:rPr>
          <w:rFonts w:ascii="Times New Roman" w:cs="Times New Roman" w:eastAsia="Times New Roman" w:hAnsi="Times New Roman"/>
          <w:sz w:val="20"/>
          <w:szCs w:val="20"/>
          <w:color w:val="1E1E1E"/>
        </w:rPr>
        <w:t>Shares repurchased under the January 2023 Share Repurchase Program were retired upon repurchase. As a result, we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March 2022 Share Repurchase Program</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In March 2022, our Board of Directors approved a share repurchase program (“March 2022 Share Repurchase Program”), providing for the repurchase of up to $250 million of our common stock. The $250 million authorization was utilized in 2022 to repurchase shares in the open market.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repurchased the following shares of our common stock under the March 2022 Share Repurchase Program during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Average Stock</w:t>
            </w:r>
          </w:p>
        </w:tc>
      </w:tr>
      <w:tr>
        <w:trPr>
          <w:trHeight w:val="214"/>
        </w:trPr>
        <w:tc>
          <w:tcPr>
            <w:tcW w:w="48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8"/>
              </w:rPr>
              <w:t>Authorized</w:t>
            </w:r>
          </w:p>
        </w:tc>
        <w:tc>
          <w:tcPr>
            <w:tcW w:w="60" w:type="dxa"/>
            <w:vAlign w:val="bottom"/>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Price</w:t>
            </w:r>
          </w:p>
        </w:tc>
      </w:tr>
      <w:tr>
        <w:trPr>
          <w:trHeight w:val="267"/>
        </w:trPr>
        <w:tc>
          <w:tcPr>
            <w:tcW w:w="4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3"/>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March 2022 Share Repurchase Program</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250</w:t>
            </w:r>
          </w:p>
        </w:tc>
        <w:tc>
          <w:tcPr>
            <w:tcW w:w="13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5,985</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250</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41.77</w:t>
            </w:r>
          </w:p>
        </w:tc>
      </w:tr>
    </w:tbl>
    <w:p>
      <w:pPr>
        <w:spacing w:after="0" w:line="13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1E1E1E"/>
        </w:rPr>
        <w:t>Shares of our common stock repurchased under the March 2022 Share Repurchase Program were retired upon repurchase. As a result, we retired all the shares repurchased under the March 2022 Share Repurchase Program during 2022, which resulted in reductions of less than $1 million in the par value of Common Stock, $12 million in Paid-in Capital and $238 million in Retained Earnings.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December 2021 ASR Agreement</w:t>
      </w:r>
    </w:p>
    <w:p>
      <w:pPr>
        <w:spacing w:after="0" w:line="119"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9"/>
          <w:szCs w:val="19"/>
          <w:color w:val="1E1E1E"/>
        </w:rPr>
        <w:t>In December 2021, we entered into an accelerated share repurchase agreement (“December 2021 ASR Agreement”) with Goldman Sachs to repurchase $250 million of our common stock. In December 2021, we made an initial payment of</w:t>
      </w:r>
    </w:p>
    <w:p>
      <w:pPr>
        <w:spacing w:after="0" w:line="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1E1E1E"/>
        </w:rPr>
        <w:t>$250 million to Goldman Sachs and received an initial delivery of 4.1 million shares of our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During 2021, we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spacing w:after="0" w:line="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In February 2022, upon final settlement of the December 2021 ASR Agreement, we received an additional 0.3 million shares of our common stock from Goldman Sachs. The final number of shares received under the December 2021 ASR Agreement was based on the daily average of the volume-weighted average share price of our common stock over the term of the December 2021 ASR Agreement, less a discount and subject to other adjustments pursuant to the terms of the December 2021 ASR Agreement. In connection with the settlement of the December 2021 ASR Agreement, $50 million previously recorded in Paid-in Capital as of January 29, 2022, was reclassified to Treasury Stock in the first quarter of 2022. In 2022, we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Dividend Policy and Procedures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1E1E1E"/>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net cash flow provided by operating and financing activities to fund our dividends.</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260"/>
          </w:cols>
          <w:pgMar w:left="820" w:top="453" w:right="8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1E1E1E"/>
        </w:rPr>
        <w:t>Long-term Debt and Borrowing Facilities</w:t>
      </w:r>
    </w:p>
    <w:p>
      <w:pPr>
        <w:spacing w:after="0" w:line="11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1E1E1E"/>
        </w:rPr>
        <w:t>The following table provides our outstanding Long-term Debt balance, net of unamortized debt issuance costs and discounts and any current portion, as of February 3, 2024 and January 28,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4"/>
          </w:tcPr>
          <w:p>
            <w:pPr>
              <w:jc w:val="right"/>
              <w:ind w:right="724"/>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303"/>
        </w:trPr>
        <w:tc>
          <w:tcPr>
            <w:tcW w:w="40" w:type="dxa"/>
            <w:vAlign w:val="bottom"/>
            <w:tcBorders>
              <w:bottom w:val="single" w:sz="8" w:color="E2E2E2"/>
            </w:tcBorders>
            <w:shd w:val="clear" w:color="auto" w:fill="E2E2E2"/>
          </w:tcPr>
          <w:p>
            <w:pPr>
              <w:spacing w:after="0"/>
              <w:rPr>
                <w:sz w:val="24"/>
                <w:szCs w:val="24"/>
                <w:color w:val="auto"/>
              </w:rPr>
            </w:pPr>
          </w:p>
        </w:tc>
        <w:tc>
          <w:tcPr>
            <w:tcW w:w="4120" w:type="dxa"/>
            <w:vAlign w:val="bottom"/>
            <w:tcBorders>
              <w:bottom w:val="single" w:sz="8" w:color="1E1E1E"/>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w w:val="99"/>
              </w:rPr>
              <w:t>Senior Secured Debt with Subsidiary Guarantee</w:t>
            </w:r>
          </w:p>
        </w:tc>
        <w:tc>
          <w:tcPr>
            <w:tcW w:w="36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r>
      <w:tr>
        <w:trPr>
          <w:trHeight w:val="30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$391 million Term Loan due August 2028 (“Term Loan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385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387</w:t>
            </w:r>
          </w:p>
        </w:tc>
      </w:tr>
      <w:tr>
        <w:trPr>
          <w:trHeight w:val="312"/>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Asset-based Revolving Credit Facility due August 2026 (“ABL Facility”)</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145</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295</w:t>
            </w:r>
          </w:p>
        </w:tc>
      </w:tr>
      <w:tr>
        <w:trPr>
          <w:trHeight w:val="29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Senior Secured Debt with Subsidiary Guarantee</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530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682</w:t>
            </w:r>
          </w:p>
        </w:tc>
      </w:tr>
      <w:tr>
        <w:trPr>
          <w:trHeight w:val="302"/>
        </w:trPr>
        <w:tc>
          <w:tcPr>
            <w:tcW w:w="40" w:type="dxa"/>
            <w:vAlign w:val="bottom"/>
            <w:tcBorders>
              <w:bottom w:val="single" w:sz="8" w:color="E2E2E2"/>
            </w:tcBorders>
            <w:shd w:val="clear" w:color="auto" w:fill="E2E2E2"/>
          </w:tcPr>
          <w:p>
            <w:pPr>
              <w:spacing w:after="0"/>
              <w:rPr>
                <w:sz w:val="24"/>
                <w:szCs w:val="24"/>
                <w:color w:val="auto"/>
              </w:rPr>
            </w:pPr>
          </w:p>
        </w:tc>
        <w:tc>
          <w:tcPr>
            <w:tcW w:w="338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w w:val="99"/>
              </w:rPr>
              <w:t>Senior Debt with Subsidiary Guarantee</w:t>
            </w:r>
          </w:p>
        </w:tc>
        <w:tc>
          <w:tcPr>
            <w:tcW w:w="4380" w:type="dxa"/>
            <w:vAlign w:val="bottom"/>
            <w:tcBorders>
              <w:bottom w:val="single" w:sz="8" w:color="E2E2E2"/>
            </w:tcBorders>
            <w:gridSpan w:val="2"/>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r>
      <w:tr>
        <w:trPr>
          <w:trHeight w:val="305"/>
        </w:trPr>
        <w:tc>
          <w:tcPr>
            <w:tcW w:w="40" w:type="dxa"/>
            <w:vAlign w:val="bottom"/>
            <w:tcBorders>
              <w:bottom w:val="single" w:sz="8" w:color="E2E2E2"/>
            </w:tcBorders>
          </w:tcPr>
          <w:p>
            <w:pPr>
              <w:spacing w:after="0"/>
              <w:rPr>
                <w:sz w:val="24"/>
                <w:szCs w:val="24"/>
                <w:color w:val="auto"/>
              </w:rPr>
            </w:pPr>
          </w:p>
        </w:tc>
        <w:tc>
          <w:tcPr>
            <w:tcW w:w="776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$600 million, 4.625% Fixed Interest Rate Notes due July 2029 (“2029 Notes”)</w:t>
            </w:r>
          </w:p>
        </w:tc>
        <w:tc>
          <w:tcPr>
            <w:tcW w:w="16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594</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593</w:t>
            </w:r>
          </w:p>
        </w:tc>
      </w:tr>
      <w:tr>
        <w:trPr>
          <w:trHeight w:val="295"/>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Senior Debt with Subsidiary Guarantee</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594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593</w:t>
            </w:r>
          </w:p>
        </w:tc>
      </w:tr>
      <w:tr>
        <w:trPr>
          <w:trHeight w:val="29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1,124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1,275</w:t>
            </w:r>
          </w:p>
        </w:tc>
      </w:tr>
      <w:tr>
        <w:trPr>
          <w:trHeight w:val="312"/>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Current Debt</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75"/>
        </w:trPr>
        <w:tc>
          <w:tcPr>
            <w:tcW w:w="40" w:type="dxa"/>
            <w:vAlign w:val="bottom"/>
          </w:tcPr>
          <w:p>
            <w:pPr>
              <w:spacing w:after="0"/>
              <w:rPr>
                <w:sz w:val="23"/>
                <w:szCs w:val="23"/>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Long-term Debt,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1,120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1,271</w:t>
            </w: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-1443990</wp:posOffset>
            </wp:positionV>
            <wp:extent cx="825500"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-843915</wp:posOffset>
            </wp:positionV>
            <wp:extent cx="82550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-643890</wp:posOffset>
            </wp:positionV>
            <wp:extent cx="82550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-243840</wp:posOffset>
            </wp:positionV>
            <wp:extent cx="82550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-56515</wp:posOffset>
            </wp:positionV>
            <wp:extent cx="812800" cy="762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a:extLst>
                        <a:ext uri="{28A0092B-C50C-407E-A947-70E740481C1C}"/>
                      </a:extLst>
                    </a:blip>
                    <a:srcRect/>
                    <a:stretch>
                      <a:fillRect/>
                    </a:stretch>
                  </pic:blipFill>
                  <pic:spPr bwMode="auto">
                    <a:xfrm>
                      <a:off x="0" y="0"/>
                      <a:ext cx="812800" cy="762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Cash paid for interest was $87 million and $52 million in 2023 and 2022,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Credit Facilities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In September 2023, we entered into a delayed draw term loan agreement, secured by certain real estate assets owned by us, to increase available liquidity in consideration of potential seasonal working capital needs. The delayed draw term loan had a maximum borrowing capacity of $75 million. We did not draw any amounts under this term loan and the agreement terminated in December 2023. During 2023, fees incurred in relation to this delayed draw term loan agreement were $1 million and were amortized over the life of the agreement.</w:t>
      </w:r>
    </w:p>
    <w:p>
      <w:pPr>
        <w:spacing w:after="0" w:line="6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1E1E1E"/>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$4 million during both 2023 and 2022.</w:t>
      </w:r>
    </w:p>
    <w:p>
      <w:pPr>
        <w:spacing w:after="0" w:line="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In May 2023, we amended our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February 3, 2024, the interest rate on loans under the Term Loan Facility was 8.89%.</w:t>
      </w: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260"/>
          </w:cols>
          <w:pgMar w:left="820" w:top="446" w:right="800" w:bottom="0" w:gutter="0" w:footer="0" w:header="0"/>
          <w:type w:val="continuous"/>
        </w:sectPr>
      </w:pPr>
    </w:p>
    <w:bookmarkStart w:id="49" w:name="page50"/>
    <w:bookmarkEnd w:id="49"/>
    <w:p>
      <w:pPr>
        <w:ind w:right="20"/>
        <w:spacing w:after="0" w:line="252" w:lineRule="auto"/>
        <w:rPr>
          <w:sz w:val="20"/>
          <w:szCs w:val="20"/>
          <w:color w:val="auto"/>
        </w:rPr>
      </w:pPr>
      <w:r>
        <w:rPr>
          <w:rFonts w:ascii="Times New Roman" w:cs="Times New Roman" w:eastAsia="Times New Roman" w:hAnsi="Times New Roman"/>
          <w:sz w:val="20"/>
          <w:szCs w:val="20"/>
          <w:color w:val="1E1E1E"/>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We borrowed $465 million and $295 million from the ABL Facility during 2023 and 2022, respectively, and made payments of $615 million under the ABL Facility during 2023. As of February 3, 2024, there were borrowings of $145 million outstanding under the ABL Facility and the interest rate on the borrowings was 7.46%. We had $19 million of outstanding letters of credit as of February 3, 2024 that further reduced our availability under the ABL Facility. As of February 3, 2024, our remaining availability under the ABL Facility was $423 million.</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February 3, 2024, we were in compliance with all covenants under our long-term debt and borrowing facilities.</w:t>
      </w:r>
    </w:p>
    <w:p>
      <w:pPr>
        <w:spacing w:after="0" w:line="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0"/>
          <w:szCs w:val="20"/>
          <w:color w:val="1E1E1E"/>
        </w:rPr>
        <w:t xml:space="preserve">We elected the optional expedient under Accounting Standards Update No. 2020-04, </w:t>
      </w:r>
      <w:r>
        <w:rPr>
          <w:rFonts w:ascii="Times New Roman" w:cs="Times New Roman" w:eastAsia="Times New Roman" w:hAnsi="Times New Roman"/>
          <w:sz w:val="20"/>
          <w:szCs w:val="20"/>
          <w:i w:val="1"/>
          <w:iCs w:val="1"/>
          <w:color w:val="1E1E1E"/>
        </w:rPr>
        <w:t>Reference Rate Reform</w:t>
      </w:r>
      <w:r>
        <w:rPr>
          <w:rFonts w:ascii="Times New Roman" w:cs="Times New Roman" w:eastAsia="Times New Roman" w:hAnsi="Times New Roman"/>
          <w:sz w:val="20"/>
          <w:szCs w:val="20"/>
          <w:color w:val="1E1E1E"/>
        </w:rPr>
        <w:t>, in connection with amending our Term Loan Facility and ABL Facility agreements to replace the reference rate from LIBOR to Term SOFR to consider the amendments as a continuation of the existing contract without having to perform an assessment that would otherwise be required under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Credit Ratings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our credit ratings as of February 3,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Borders>
              <w:bottom w:val="single" w:sz="8" w:color="E2E2E2"/>
            </w:tcBorders>
          </w:tcPr>
          <w:p>
            <w:pPr>
              <w:spacing w:after="0"/>
              <w:rPr>
                <w:sz w:val="18"/>
                <w:szCs w:val="18"/>
                <w:color w:val="auto"/>
              </w:rPr>
            </w:pPr>
          </w:p>
        </w:tc>
        <w:tc>
          <w:tcPr>
            <w:tcW w:w="13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Moody’s</w:t>
            </w:r>
          </w:p>
        </w:tc>
        <w:tc>
          <w:tcPr>
            <w:tcW w:w="60" w:type="dxa"/>
            <w:vAlign w:val="bottom"/>
            <w:tcBorders>
              <w:bottom w:val="single" w:sz="8" w:color="E2E2E2"/>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S&amp;P</w:t>
            </w:r>
          </w:p>
        </w:tc>
      </w:tr>
      <w:tr>
        <w:trPr>
          <w:trHeight w:val="275"/>
        </w:trPr>
        <w:tc>
          <w:tcPr>
            <w:tcW w:w="7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Corporate</w:t>
            </w:r>
          </w:p>
        </w:tc>
        <w:tc>
          <w:tcPr>
            <w:tcW w:w="13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Ba3</w:t>
            </w:r>
          </w:p>
        </w:tc>
        <w:tc>
          <w:tcPr>
            <w:tcW w:w="60" w:type="dxa"/>
            <w:vAlign w:val="bottom"/>
            <w:shd w:val="clear" w:color="auto" w:fill="E2E2E2"/>
          </w:tcPr>
          <w:p>
            <w:pPr>
              <w:spacing w:after="0"/>
              <w:rPr>
                <w:sz w:val="23"/>
                <w:szCs w:val="23"/>
                <w:color w:val="auto"/>
              </w:rPr>
            </w:pPr>
          </w:p>
        </w:tc>
        <w:tc>
          <w:tcPr>
            <w:tcW w:w="13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BB-</w:t>
            </w:r>
          </w:p>
        </w:tc>
      </w:tr>
      <w:tr>
        <w:trPr>
          <w:trHeight w:val="279"/>
        </w:trPr>
        <w:tc>
          <w:tcPr>
            <w:tcW w:w="74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Senior Secured Debt with Subsidiary Guarantee</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Ba2</w:t>
            </w:r>
          </w:p>
        </w:tc>
        <w:tc>
          <w:tcPr>
            <w:tcW w:w="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BB+</w:t>
            </w:r>
          </w:p>
        </w:tc>
      </w:tr>
      <w:tr>
        <w:trPr>
          <w:trHeight w:val="291"/>
        </w:trPr>
        <w:tc>
          <w:tcPr>
            <w:tcW w:w="7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Senior Unsecured Debt with Subsidiary Guarantee</w:t>
            </w:r>
          </w:p>
        </w:tc>
        <w:tc>
          <w:tcPr>
            <w:tcW w:w="13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B1</w:t>
            </w:r>
          </w:p>
        </w:tc>
        <w:tc>
          <w:tcPr>
            <w:tcW w:w="60" w:type="dxa"/>
            <w:vAlign w:val="bottom"/>
            <w:shd w:val="clear" w:color="auto" w:fill="E2E2E2"/>
          </w:tcPr>
          <w:p>
            <w:pPr>
              <w:spacing w:after="0"/>
              <w:rPr>
                <w:sz w:val="24"/>
                <w:szCs w:val="24"/>
                <w:color w:val="auto"/>
              </w:rPr>
            </w:pPr>
          </w:p>
        </w:tc>
        <w:tc>
          <w:tcPr>
            <w:tcW w:w="13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BB-</w:t>
            </w:r>
          </w:p>
        </w:tc>
      </w:tr>
      <w:tr>
        <w:trPr>
          <w:trHeight w:val="272"/>
        </w:trPr>
        <w:tc>
          <w:tcPr>
            <w:tcW w:w="74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Outlook</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Stable</w:t>
            </w:r>
          </w:p>
        </w:tc>
        <w:tc>
          <w:tcPr>
            <w:tcW w:w="6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Stable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6489700</wp:posOffset>
                </wp:positionH>
                <wp:positionV relativeFrom="paragraph">
                  <wp:posOffset>-534670</wp:posOffset>
                </wp:positionV>
                <wp:extent cx="0" cy="18097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127">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pt,-42.0999pt" to="511pt,-27.8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6489700</wp:posOffset>
                </wp:positionH>
                <wp:positionV relativeFrom="paragraph">
                  <wp:posOffset>-172720</wp:posOffset>
                </wp:positionV>
                <wp:extent cx="0" cy="18034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127">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pt,-13.5999pt" to="511pt,0.6pt" o:allowincell="f" strokecolor="#FFFFFF" strokeweight="0.01pt"/>
            </w:pict>
          </mc:Fallback>
        </mc:AlternateContent>
        <w:drawing>
          <wp:anchor simplePos="0" relativeHeight="251657728" behindDoc="1" locked="0" layoutInCell="0" allowOverlap="1">
            <wp:simplePos x="0" y="0"/>
            <wp:positionH relativeFrom="column">
              <wp:posOffset>4745990</wp:posOffset>
            </wp:positionH>
            <wp:positionV relativeFrom="paragraph">
              <wp:posOffset>-740410</wp:posOffset>
            </wp:positionV>
            <wp:extent cx="176911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7">
                      <a:extLst>
                        <a:ext uri="{28A0092B-C50C-407E-A947-70E740481C1C}"/>
                      </a:extLst>
                    </a:blip>
                    <a:srcRect/>
                    <a:stretch>
                      <a:fillRect/>
                    </a:stretch>
                  </pic:blipFill>
                  <pic:spPr bwMode="auto">
                    <a:xfrm>
                      <a:off x="0" y="0"/>
                      <a:ext cx="1769110" cy="50800"/>
                    </a:xfrm>
                    <a:prstGeom prst="rect">
                      <a:avLst/>
                    </a:prstGeom>
                    <a:noFill/>
                  </pic:spPr>
                </pic:pic>
              </a:graphicData>
            </a:graphic>
          </wp:anchor>
        </w:drawing>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240"/>
          </w:cols>
          <w:pgMar w:left="820" w:top="453" w:right="820" w:bottom="0" w:gutter="0" w:footer="0" w:header="0"/>
          <w:type w:val="continuous"/>
        </w:sectPr>
      </w:pPr>
    </w:p>
    <w:bookmarkStart w:id="50" w:name="page51"/>
    <w:bookmarkEnd w:id="50"/>
    <w:p>
      <w:pPr>
        <w:ind w:left="10"/>
        <w:spacing w:after="0"/>
        <w:rPr>
          <w:sz w:val="20"/>
          <w:szCs w:val="20"/>
          <w:color w:val="auto"/>
        </w:rPr>
      </w:pPr>
      <w:r>
        <w:rPr>
          <w:rFonts w:ascii="Times New Roman" w:cs="Times New Roman" w:eastAsia="Times New Roman" w:hAnsi="Times New Roman"/>
          <w:sz w:val="20"/>
          <w:szCs w:val="20"/>
          <w:b w:val="1"/>
          <w:bCs w:val="1"/>
          <w:color w:val="1E1E1E"/>
        </w:rPr>
        <w:t>Contingent Liabilities and Contractual Obligations</w:t>
      </w:r>
    </w:p>
    <w:p>
      <w:pPr>
        <w:spacing w:after="0" w:line="117"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1E1E1E"/>
        </w:rPr>
        <w:t>The following table provides our contractual obligations, aggregated by type, including the maturity profile as of February 3, 2024:</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spacing w:after="0"/>
              <w:rPr>
                <w:sz w:val="18"/>
                <w:szCs w:val="18"/>
                <w:color w:val="auto"/>
              </w:rPr>
            </w:pPr>
          </w:p>
        </w:tc>
        <w:tc>
          <w:tcPr>
            <w:tcW w:w="8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spacing w:after="0"/>
              <w:rPr>
                <w:sz w:val="18"/>
                <w:szCs w:val="18"/>
                <w:color w:val="auto"/>
              </w:rPr>
            </w:pPr>
          </w:p>
        </w:tc>
        <w:tc>
          <w:tcPr>
            <w:tcW w:w="80" w:type="dxa"/>
            <w:vAlign w:val="bottom"/>
            <w:tcBorders>
              <w:bottom w:val="single" w:sz="8" w:color="1E1E1E"/>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920" w:type="dxa"/>
            <w:vAlign w:val="bottom"/>
            <w:tcBorders>
              <w:bottom w:val="single" w:sz="8" w:color="1E1E1E"/>
            </w:tcBorders>
            <w:gridSpan w:val="4"/>
          </w:tcPr>
          <w:p>
            <w:pPr>
              <w:jc w:val="right"/>
              <w:ind w:right="105"/>
              <w:spacing w:after="0"/>
              <w:rPr>
                <w:sz w:val="20"/>
                <w:szCs w:val="20"/>
                <w:color w:val="auto"/>
              </w:rPr>
            </w:pPr>
            <w:r>
              <w:rPr>
                <w:rFonts w:ascii="Times New Roman" w:cs="Times New Roman" w:eastAsia="Times New Roman" w:hAnsi="Times New Roman"/>
                <w:sz w:val="16"/>
                <w:szCs w:val="16"/>
                <w:b w:val="1"/>
                <w:bCs w:val="1"/>
                <w:color w:val="1E1E1E"/>
              </w:rPr>
              <w:t>Payments Due by Period</w:t>
            </w:r>
          </w:p>
        </w:tc>
        <w:tc>
          <w:tcPr>
            <w:tcW w:w="8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spacing w:after="0"/>
              <w:rPr>
                <w:sz w:val="18"/>
                <w:szCs w:val="18"/>
                <w:color w:val="auto"/>
              </w:rPr>
            </w:pPr>
          </w:p>
        </w:tc>
        <w:tc>
          <w:tcPr>
            <w:tcW w:w="8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27"/>
              <w:spacing w:after="0" w:line="161" w:lineRule="exact"/>
              <w:rPr>
                <w:sz w:val="20"/>
                <w:szCs w:val="20"/>
                <w:color w:val="auto"/>
              </w:rPr>
            </w:pPr>
            <w:r>
              <w:rPr>
                <w:rFonts w:ascii="Times New Roman" w:cs="Times New Roman" w:eastAsia="Times New Roman" w:hAnsi="Times New Roman"/>
                <w:sz w:val="16"/>
                <w:szCs w:val="16"/>
                <w:b w:val="1"/>
                <w:bCs w:val="1"/>
                <w:color w:val="1E1E1E"/>
                <w:w w:val="99"/>
              </w:rPr>
              <w:t>Less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6"/>
                <w:szCs w:val="16"/>
                <w:b w:val="1"/>
                <w:bCs w:val="1"/>
                <w:color w:val="1E1E1E"/>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305"/>
              <w:spacing w:after="0"/>
              <w:rPr>
                <w:sz w:val="20"/>
                <w:szCs w:val="20"/>
                <w:color w:val="auto"/>
              </w:rPr>
            </w:pPr>
            <w:r>
              <w:rPr>
                <w:rFonts w:ascii="Times New Roman" w:cs="Times New Roman" w:eastAsia="Times New Roman" w:hAnsi="Times New Roman"/>
                <w:sz w:val="16"/>
                <w:szCs w:val="16"/>
                <w:b w:val="1"/>
                <w:bCs w:val="1"/>
                <w:color w:val="1E1E1E"/>
              </w:rPr>
              <w:t>4-5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27"/>
              <w:spacing w:after="0" w:line="161" w:lineRule="exact"/>
              <w:rPr>
                <w:sz w:val="20"/>
                <w:szCs w:val="20"/>
                <w:color w:val="auto"/>
              </w:rPr>
            </w:pPr>
            <w:r>
              <w:rPr>
                <w:rFonts w:ascii="Times New Roman" w:cs="Times New Roman" w:eastAsia="Times New Roman" w:hAnsi="Times New Roman"/>
                <w:sz w:val="16"/>
                <w:szCs w:val="16"/>
                <w:b w:val="1"/>
                <w:bCs w:val="1"/>
                <w:color w:val="1E1E1E"/>
              </w:rPr>
              <w:t>More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07"/>
              <w:spacing w:after="0" w:line="160" w:lineRule="exact"/>
              <w:rPr>
                <w:sz w:val="20"/>
                <w:szCs w:val="20"/>
                <w:color w:val="auto"/>
              </w:rPr>
            </w:pPr>
            <w:r>
              <w:rPr>
                <w:rFonts w:ascii="Times New Roman" w:cs="Times New Roman" w:eastAsia="Times New Roman" w:hAnsi="Times New Roman"/>
                <w:sz w:val="16"/>
                <w:szCs w:val="16"/>
                <w:b w:val="1"/>
                <w:bCs w:val="1"/>
                <w:color w:val="1E1E1E"/>
                <w:w w:val="98"/>
              </w:rPr>
              <w:t>Than 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27"/>
              <w:spacing w:after="0" w:line="160" w:lineRule="exact"/>
              <w:rPr>
                <w:sz w:val="20"/>
                <w:szCs w:val="20"/>
                <w:color w:val="auto"/>
              </w:rPr>
            </w:pPr>
            <w:r>
              <w:rPr>
                <w:rFonts w:ascii="Times New Roman" w:cs="Times New Roman" w:eastAsia="Times New Roman" w:hAnsi="Times New Roman"/>
                <w:sz w:val="16"/>
                <w:szCs w:val="16"/>
                <w:b w:val="1"/>
                <w:bCs w:val="1"/>
                <w:color w:val="1E1E1E"/>
                <w:w w:val="97"/>
              </w:rPr>
              <w:t>than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1E1E1E"/>
              </w:rPr>
              <w:t>Other</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1E1E1E"/>
              </w:rPr>
              <w:t>Year</w:t>
            </w:r>
          </w:p>
        </w:tc>
        <w:tc>
          <w:tcPr>
            <w:tcW w:w="8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1E1E1E"/>
              </w:rPr>
              <w:t>Years</w:t>
            </w:r>
          </w:p>
        </w:tc>
        <w:tc>
          <w:tcPr>
            <w:tcW w:w="8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1E1E1E"/>
              </w:rPr>
              <w:t>Years</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1E1E1E"/>
                <w:w w:val="99"/>
              </w:rPr>
              <w:t>Years</w:t>
            </w:r>
          </w:p>
        </w:tc>
        <w:tc>
          <w:tcPr>
            <w:tcW w:w="8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4"/>
          </w:tcPr>
          <w:p>
            <w:pPr>
              <w:jc w:val="right"/>
              <w:ind w:right="545"/>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Long-term Debt (a)</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1,478</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493</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614</w:t>
            </w:r>
          </w:p>
        </w:tc>
        <w:tc>
          <w:tcPr>
            <w:tcW w:w="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Future Lease Obligations (b)</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1"/>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Purchase Obligations (c)</w:t>
            </w:r>
          </w:p>
        </w:tc>
        <w:tc>
          <w:tcPr>
            <w:tcW w:w="22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758</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700</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80" w:type="dxa"/>
            <w:vAlign w:val="bottom"/>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Cash Consideration Related to Acquisition (d)</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0"/>
        </w:trPr>
        <w:tc>
          <w:tcPr>
            <w:tcW w:w="38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Liabilities (e)</w:t>
            </w:r>
          </w:p>
        </w:tc>
        <w:tc>
          <w:tcPr>
            <w:tcW w:w="22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ind w:left="500"/>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26"/>
        </w:trPr>
        <w:tc>
          <w:tcPr>
            <w:tcW w:w="384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Total</w:t>
            </w:r>
          </w:p>
        </w:tc>
        <w:tc>
          <w:tcPr>
            <w:tcW w:w="2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4,501</w:t>
            </w:r>
          </w:p>
        </w:tc>
        <w:tc>
          <w:tcPr>
            <w:tcW w:w="8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1,266</w:t>
            </w:r>
          </w:p>
        </w:tc>
        <w:tc>
          <w:tcPr>
            <w:tcW w:w="80" w:type="dxa"/>
            <w:vAlign w:val="bottom"/>
          </w:tcPr>
          <w:p>
            <w:pPr>
              <w:spacing w:after="0"/>
              <w:rPr>
                <w:sz w:val="19"/>
                <w:szCs w:val="19"/>
                <w:color w:val="auto"/>
              </w:rPr>
            </w:pPr>
          </w:p>
        </w:tc>
        <w:tc>
          <w:tcPr>
            <w:tcW w:w="1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4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976</w:t>
            </w:r>
          </w:p>
        </w:tc>
        <w:tc>
          <w:tcPr>
            <w:tcW w:w="80" w:type="dxa"/>
            <w:vAlign w:val="bottom"/>
          </w:tcPr>
          <w:p>
            <w:pPr>
              <w:spacing w:after="0"/>
              <w:rPr>
                <w:sz w:val="19"/>
                <w:szCs w:val="19"/>
                <w:color w:val="auto"/>
              </w:rPr>
            </w:pPr>
          </w:p>
        </w:tc>
        <w:tc>
          <w:tcPr>
            <w:tcW w:w="2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919</w:t>
            </w:r>
          </w:p>
        </w:tc>
        <w:tc>
          <w:tcPr>
            <w:tcW w:w="8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1,328</w:t>
            </w:r>
          </w:p>
        </w:tc>
        <w:tc>
          <w:tcPr>
            <w:tcW w:w="80" w:type="dxa"/>
            <w:vAlign w:val="bottom"/>
          </w:tcPr>
          <w:p>
            <w:pPr>
              <w:spacing w:after="0"/>
              <w:rPr>
                <w:sz w:val="19"/>
                <w:szCs w:val="19"/>
                <w:color w:val="auto"/>
              </w:rPr>
            </w:pPr>
          </w:p>
        </w:tc>
        <w:tc>
          <w:tcPr>
            <w:tcW w:w="2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ind w:left="500"/>
              <w:spacing w:after="0" w:line="227" w:lineRule="exact"/>
              <w:rPr>
                <w:sz w:val="20"/>
                <w:szCs w:val="20"/>
                <w:color w:val="auto"/>
              </w:rPr>
            </w:pPr>
            <w:r>
              <w:rPr>
                <w:rFonts w:ascii="Times New Roman" w:cs="Times New Roman" w:eastAsia="Times New Roman" w:hAnsi="Times New Roman"/>
                <w:sz w:val="20"/>
                <w:szCs w:val="20"/>
                <w:b w:val="1"/>
                <w:bCs w:val="1"/>
                <w:color w:val="1E1E1E"/>
              </w:rPr>
              <w:t>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-224790</wp:posOffset>
            </wp:positionV>
            <wp:extent cx="345440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a:extLst>
                        <a:ext uri="{28A0092B-C50C-407E-A947-70E740481C1C}"/>
                      </a:extLst>
                    </a:blip>
                    <a:srcRect/>
                    <a:stretch>
                      <a:fillRect/>
                    </a:stretch>
                  </pic:blipFill>
                  <pic:spPr bwMode="auto">
                    <a:xfrm>
                      <a:off x="0" y="0"/>
                      <a:ext cx="345440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30" w:lineRule="exact"/>
        <w:rPr>
          <w:sz w:val="20"/>
          <w:szCs w:val="20"/>
          <w:color w:val="auto"/>
        </w:rPr>
      </w:pPr>
    </w:p>
    <w:p>
      <w:pPr>
        <w:ind w:left="730" w:right="60" w:hanging="730"/>
        <w:spacing w:after="0" w:line="250" w:lineRule="auto"/>
        <w:tabs>
          <w:tab w:leader="none" w:pos="73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Long-term debt obligations relate to our principal and interest payments for our outstanding debt. Interest payments have been estimated based on the coupon rate for fixed rate obligations. For variable interest rate obligations under the Term Loan Facility, the interest payments have been estimated based on an interest rate of 8.89%, which was the interest rate as of February 3, 2024. For variable interest rate obligations under the ABL Facility, the interest payments have been estimated based on an interest rate of 7.46%, which was the interest rate as of February 3, 2024. For additional information, see Note 13 to the Consolidated and Combined Financial Statements included in Item 8. Financial Statements and Supplementary Data.</w:t>
      </w:r>
    </w:p>
    <w:p>
      <w:pPr>
        <w:spacing w:after="0" w:line="3" w:lineRule="exact"/>
        <w:rPr>
          <w:rFonts w:ascii="Times New Roman" w:cs="Times New Roman" w:eastAsia="Times New Roman" w:hAnsi="Times New Roman"/>
          <w:sz w:val="20"/>
          <w:szCs w:val="20"/>
          <w:color w:val="1E1E1E"/>
        </w:rPr>
      </w:pPr>
    </w:p>
    <w:p>
      <w:pPr>
        <w:ind w:left="730" w:right="500" w:hanging="730"/>
        <w:spacing w:after="0" w:line="250" w:lineRule="auto"/>
        <w:tabs>
          <w:tab w:leader="none" w:pos="73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Future lease obligations primarily represent minimum payments due under store lease agreements. For additional information, see Note 9 to the Consolidated and Combined Financial Statements included in Item 8. Financial Statements and Supplementary Data.</w:t>
      </w:r>
    </w:p>
    <w:p>
      <w:pPr>
        <w:spacing w:after="0" w:line="1" w:lineRule="exact"/>
        <w:rPr>
          <w:rFonts w:ascii="Times New Roman" w:cs="Times New Roman" w:eastAsia="Times New Roman" w:hAnsi="Times New Roman"/>
          <w:sz w:val="20"/>
          <w:szCs w:val="20"/>
          <w:color w:val="1E1E1E"/>
        </w:rPr>
      </w:pPr>
    </w:p>
    <w:p>
      <w:pPr>
        <w:ind w:left="730" w:right="180" w:hanging="730"/>
        <w:spacing w:after="0" w:line="250" w:lineRule="auto"/>
        <w:tabs>
          <w:tab w:leader="none" w:pos="73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Times New Roman" w:cs="Times New Roman" w:eastAsia="Times New Roman" w:hAnsi="Times New Roman"/>
          <w:sz w:val="20"/>
          <w:szCs w:val="20"/>
          <w:color w:val="1E1E1E"/>
        </w:rPr>
      </w:pPr>
    </w:p>
    <w:p>
      <w:pPr>
        <w:ind w:left="730" w:right="200" w:hanging="730"/>
        <w:spacing w:after="0" w:line="263" w:lineRule="auto"/>
        <w:tabs>
          <w:tab w:leader="none" w:pos="730" w:val="left"/>
        </w:tabs>
        <w:numPr>
          <w:ilvl w:val="0"/>
          <w:numId w:val="3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Cash consideration related to the acquisition of Adore Me relates to a fixed payment and a contingent payment based on the achievement of specified strategic objectives. For additional information, see Note 2 to the Consolidated and Combined Financial Statements included in Item 8. Financial Statements and Supplementary Data.</w:t>
      </w:r>
    </w:p>
    <w:p>
      <w:pPr>
        <w:spacing w:after="0" w:line="1" w:lineRule="exact"/>
        <w:rPr>
          <w:rFonts w:ascii="Times New Roman" w:cs="Times New Roman" w:eastAsia="Times New Roman" w:hAnsi="Times New Roman"/>
          <w:sz w:val="19"/>
          <w:szCs w:val="19"/>
          <w:color w:val="1E1E1E"/>
        </w:rPr>
      </w:pPr>
    </w:p>
    <w:p>
      <w:pPr>
        <w:ind w:left="730" w:right="60" w:hanging="730"/>
        <w:spacing w:after="0" w:line="252" w:lineRule="auto"/>
        <w:tabs>
          <w:tab w:leader="none" w:pos="73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Other liabilities also include future estimated payments associated with unrecognized tax benefits. The “Less Than 1 Year” category includes $20 million of these tax items because it is reasonably possible that the payments could change in the next 12 months due to audit settlements or resolution of uncertainties. The remaining portion totaling $12 million is included in the “Other” category because it is not reasonably possible that the payments could change in the next 12 months due to audit settlements or resolution of uncertainties. For additional information, see Note 12 to the Consolidated and Combined Financial Statements in Item 8. Financial Statements and Supplementary Data.</w:t>
      </w:r>
    </w:p>
    <w:p>
      <w:pPr>
        <w:spacing w:after="0" w:line="1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Recently Issued Accounting and Reporting Pronouncements</w:t>
      </w:r>
    </w:p>
    <w:p>
      <w:pPr>
        <w:spacing w:after="0" w:line="117"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1E1E1E"/>
        </w:rPr>
        <w:t>We did not adopt any new accounting standards during 2023 that had a material impact on our results of operations, financial position or cash flows.</w:t>
      </w:r>
    </w:p>
    <w:p>
      <w:pPr>
        <w:spacing w:after="0" w:line="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1E1E1E"/>
        </w:rPr>
        <w:t>SEC Climate-Related Disclosures</w:t>
      </w:r>
    </w:p>
    <w:p>
      <w:pPr>
        <w:spacing w:after="0" w:line="114"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1E1E1E"/>
        </w:rPr>
        <w:t>In March 2024, the SEC adopted rules intended to enhance and standardize climate-related disclosures in registration statements and annual reports. The new rules will require disclosure of material climate-related risks, including disclosure of Board of Directors' oversight and risk management activities, the material impacts of these risks to us and the quantification of material impacts to us as a result of severe weather events and other natural conditions. The rules also require disclosure of material greenhouse gas emissions and any material climate-related targets and goals. The new rules will be effective for annual reporting periods beginning in fiscal year 2025, except for the greenhouse gas emissions disclosures which will be effective for annual reporting periods beginning in fiscal year 2026. We are currently evaluating the impact of these new rules.</w:t>
      </w:r>
    </w:p>
    <w:p>
      <w:pPr>
        <w:sectPr>
          <w:pgSz w:w="11880" w:h="15480" w:orient="portrait"/>
          <w:cols w:equalWidth="0" w:num="1">
            <w:col w:w="10270"/>
          </w:cols>
          <w:pgMar w:left="81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270"/>
          </w:cols>
          <w:pgMar w:left="810" w:top="446" w:right="8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i w:val="1"/>
          <w:iCs w:val="1"/>
          <w:color w:val="1E1E1E"/>
        </w:rPr>
        <w:t>Income Taxes</w:t>
      </w:r>
    </w:p>
    <w:p>
      <w:pPr>
        <w:spacing w:after="0" w:line="1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1E1E1E"/>
        </w:rPr>
        <w:t xml:space="preserve">In December 2023, the Financial Accounting Standards Board (“FASB”) issued Accounting Standards Update (“ASU”) 2023-09, </w:t>
      </w:r>
      <w:r>
        <w:rPr>
          <w:rFonts w:ascii="Times New Roman" w:cs="Times New Roman" w:eastAsia="Times New Roman" w:hAnsi="Times New Roman"/>
          <w:sz w:val="20"/>
          <w:szCs w:val="20"/>
          <w:i w:val="1"/>
          <w:iCs w:val="1"/>
          <w:color w:val="1E1E1E"/>
        </w:rPr>
        <w:t>Income Taxes (Topic 740): Improvements to Income Tax Disclosures</w:t>
      </w:r>
      <w:r>
        <w:rPr>
          <w:rFonts w:ascii="Times New Roman" w:cs="Times New Roman" w:eastAsia="Times New Roman" w:hAnsi="Times New Roman"/>
          <w:sz w:val="20"/>
          <w:szCs w:val="20"/>
          <w:color w:val="1E1E1E"/>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We do not expect this standard to have a material impact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Segment Reporting</w:t>
      </w:r>
    </w:p>
    <w:p>
      <w:pPr>
        <w:spacing w:after="0" w:line="1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 xml:space="preserve">In November 2023, the FASB issued ASU 2023-07, </w:t>
      </w:r>
      <w:r>
        <w:rPr>
          <w:rFonts w:ascii="Times New Roman" w:cs="Times New Roman" w:eastAsia="Times New Roman" w:hAnsi="Times New Roman"/>
          <w:sz w:val="20"/>
          <w:szCs w:val="20"/>
          <w:i w:val="1"/>
          <w:iCs w:val="1"/>
          <w:color w:val="1E1E1E"/>
        </w:rPr>
        <w:t>Segment Reporting (Topic 280): Improvements to Reportable Segment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Disclosure</w:t>
      </w:r>
      <w:r>
        <w:rPr>
          <w:rFonts w:ascii="Times New Roman" w:cs="Times New Roman" w:eastAsia="Times New Roman" w:hAnsi="Times New Roman"/>
          <w:sz w:val="20"/>
          <w:szCs w:val="20"/>
          <w:color w:val="1E1E1E"/>
        </w:rPr>
        <w:t>, which is intended to improve reportable segment disclosure requirements, primarily through enhanced disclosures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20"/>
          <w:szCs w:val="20"/>
          <w:i w:val="1"/>
          <w:iCs w:val="1"/>
          <w:color w:val="1E1E1E"/>
        </w:rPr>
        <w:t>Segment Reporting</w:t>
      </w:r>
      <w:r>
        <w:rPr>
          <w:rFonts w:ascii="Times New Roman" w:cs="Times New Roman" w:eastAsia="Times New Roman" w:hAnsi="Times New Roman"/>
          <w:sz w:val="20"/>
          <w:szCs w:val="20"/>
          <w:color w:val="1E1E1E"/>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We do not expect this standard to have a material impact on our results of operations, financial position or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Policies and Estimates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Inventories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1E1E1E"/>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1E1E1E"/>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$2 million for 2023. A 10% increase or decrease in the estimated physical inventory loss adjustment would have impacted net income by approximately $3 million for 2023.</w:t>
      </w:r>
    </w:p>
    <w:p>
      <w:pPr>
        <w:sectPr>
          <w:pgSz w:w="11880" w:h="15480" w:orient="portrait"/>
          <w:cols w:equalWidth="0" w:num="1">
            <w:col w:w="10240"/>
          </w:cols>
          <w:pgMar w:left="820" w:top="44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240"/>
          </w:cols>
          <w:pgMar w:left="820" w:top="449" w:right="82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1E1E1E"/>
        </w:rPr>
        <w:t>Valuation of Long-lived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Long-lived Store Assets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 There were no long-lived store asset impairment charges in 2023, 2022 or 2021.</w:t>
      </w:r>
    </w:p>
    <w:p>
      <w:pPr>
        <w:spacing w:after="0" w:line="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Our fair value estimates incorporate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6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1E1E1E"/>
        </w:rPr>
        <w:t>When a decision has been made to dispose of property and equipment prior to the end of the previously estimated useful life, depreciation estimates are revised to reflect the use of the asset over the shortened estimated useful life.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11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1E1E1E"/>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 w:cs="Times New Roman" w:eastAsia="Times New Roman" w:hAnsi="Times New Roman"/>
          <w:sz w:val="19"/>
          <w:szCs w:val="19"/>
          <w:i w:val="1"/>
          <w:iCs w:val="1"/>
          <w:color w:val="1E1E1E"/>
        </w:rPr>
        <w:t>Intangibles - Goodwill and Other.</w:t>
      </w:r>
    </w:p>
    <w:p>
      <w:pPr>
        <w:spacing w:after="0" w:line="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We considered the overall macroeconomic conditions and performed a quantitative impairment test for our reporting units with goodwill in the fourth quarter of 2023. The fair value of the reporting unit was determined using an income approach based on the discounted cash flow (“DCF”) model and a market approach based on earnings multiples of guideline public companies, with 50% of the value determined using the DCF model and 50% of the value determined using the guideline public company approach. The fair value of the reporting unit under both approaches is determined using Level 3 inputs within the fair value hierarchy. Under the DCF method, the fair value of a reporting unit is based on the present value of estimated future cash flows. Under the guideline public company method, the fair value is based upon market multiples of revenue and earnings derived from publicly-traded companies with similar business characteristics as the reporting unit.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Claims and Contingencies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We are subject to various claims and contingencies related to lawsuits, taxes, insurance, regulatory and other matters arising out of the normal course of business. Our determination of the treatment of claims and contingencies in the Consolidated and Combined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and Combined Financial Statements included in Item 8. Financial Statements and Supplementary Data.</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240"/>
          </w:cols>
          <w:pgMar w:left="820" w:top="446" w:right="82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1E1E1E"/>
        </w:rPr>
        <w:t>Income Taxes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and Combined Statement of Income in the period that includes the enactment date. The Company treats the global intangible low-taxed income provisions enacted as part of the U.S. Tax Cuts and Jobs Act as a current period expense. A valuation allowance is recorded to reduce the carrying amounts of deferred tax assets if it is more likely than not that such assets will not be realized.</w:t>
      </w:r>
    </w:p>
    <w:p>
      <w:pPr>
        <w:spacing w:after="0" w:line="76"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20"/>
          <w:szCs w:val="20"/>
          <w:color w:val="1E1E1E"/>
        </w:rPr>
        <w:t>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1E1E1E"/>
        </w:rPr>
        <w:t xml:space="preserve">We follow the authoritative guidance included in ASC 740, </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and Combined Statements of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Revenue Recognition</w:t>
      </w:r>
    </w:p>
    <w:p>
      <w:pPr>
        <w:spacing w:after="0" w:line="11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1E1E1E"/>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and Combined Statements of Income. We also provide a reserve for projected merchandise returns based on historical experience and recent information. Net Sales exclude sales and other similar taxes collected from customers.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1E1E1E"/>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and Combined Statements of Income.</w:t>
      </w:r>
    </w:p>
    <w:p>
      <w:pPr>
        <w:spacing w:after="0" w:line="6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1E1E1E"/>
        </w:rPr>
        <w:t>Revenue earned in connection with our credit card arrangements is primarily recognized based on credit card sales and usage and is included in Net Sales in the Consolidated and Combined Statements of Income.</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240"/>
          </w:cols>
          <w:pgMar w:left="820" w:top="446" w:right="820" w:bottom="0" w:gutter="0" w:footer="0" w:header="0"/>
          <w:type w:val="continuous"/>
        </w:sectPr>
      </w:pPr>
    </w:p>
    <w:bookmarkStart w:id="54" w:name="page55"/>
    <w:bookmarkEnd w:id="54"/>
    <w:p>
      <w:pPr>
        <w:ind w:left="10" w:right="100"/>
        <w:spacing w:after="0" w:line="260" w:lineRule="auto"/>
        <w:rPr>
          <w:sz w:val="20"/>
          <w:szCs w:val="20"/>
          <w:color w:val="auto"/>
        </w:rPr>
      </w:pPr>
      <w:r>
        <w:rPr>
          <w:rFonts w:ascii="Times New Roman" w:cs="Times New Roman" w:eastAsia="Times New Roman" w:hAnsi="Times New Roman"/>
          <w:sz w:val="20"/>
          <w:szCs w:val="20"/>
          <w:color w:val="1E1E1E"/>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spacing w:after="0" w:line="196" w:lineRule="exact"/>
        <w:rPr>
          <w:sz w:val="20"/>
          <w:szCs w:val="20"/>
          <w:color w:val="auto"/>
        </w:rPr>
      </w:pPr>
    </w:p>
    <w:p>
      <w:pPr>
        <w:ind w:left="10" w:right="2040"/>
        <w:spacing w:after="0" w:line="358" w:lineRule="auto"/>
        <w:rPr>
          <w:sz w:val="20"/>
          <w:szCs w:val="20"/>
          <w:color w:val="auto"/>
        </w:rPr>
      </w:pPr>
      <w:r>
        <w:rPr>
          <w:rFonts w:ascii="Times New Roman" w:cs="Times New Roman" w:eastAsia="Times New Roman" w:hAnsi="Times New Roman"/>
          <w:sz w:val="20"/>
          <w:szCs w:val="20"/>
          <w:b w:val="1"/>
          <w:bCs w:val="1"/>
          <w:color w:val="1E1E1E"/>
        </w:rPr>
        <w:t>ITEM 7A. QUANTITATIVE AND QUALITATIVE DISCLOSURES ABOUT MARKET RISK. Market Risk</w:t>
      </w:r>
    </w:p>
    <w:p>
      <w:pPr>
        <w:spacing w:after="0" w:line="1"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1E1E1E"/>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Foreign Exchange Rate Risk</w:t>
      </w:r>
    </w:p>
    <w:p>
      <w:pPr>
        <w:spacing w:after="0" w:line="119" w:lineRule="exact"/>
        <w:rPr>
          <w:sz w:val="20"/>
          <w:szCs w:val="20"/>
          <w:color w:val="auto"/>
        </w:rPr>
      </w:pPr>
    </w:p>
    <w:p>
      <w:pPr>
        <w:jc w:val="both"/>
        <w:ind w:left="10" w:right="200"/>
        <w:spacing w:after="0" w:line="271" w:lineRule="auto"/>
        <w:rPr>
          <w:sz w:val="20"/>
          <w:szCs w:val="20"/>
          <w:color w:val="auto"/>
        </w:rPr>
      </w:pPr>
      <w:r>
        <w:rPr>
          <w:rFonts w:ascii="Times New Roman" w:cs="Times New Roman" w:eastAsia="Times New Roman" w:hAnsi="Times New Roman"/>
          <w:sz w:val="19"/>
          <w:szCs w:val="19"/>
          <w:color w:val="1E1E1E"/>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w:t>
      </w:r>
    </w:p>
    <w:p>
      <w:pPr>
        <w:jc w:val="both"/>
        <w:ind w:left="10" w:right="40"/>
        <w:spacing w:after="0" w:line="255" w:lineRule="auto"/>
        <w:rPr>
          <w:sz w:val="20"/>
          <w:szCs w:val="20"/>
          <w:color w:val="auto"/>
        </w:rPr>
      </w:pPr>
      <w:r>
        <w:rPr>
          <w:rFonts w:ascii="Times New Roman" w:cs="Times New Roman" w:eastAsia="Times New Roman" w:hAnsi="Times New Roman"/>
          <w:sz w:val="20"/>
          <w:szCs w:val="20"/>
          <w:color w:val="1E1E1E"/>
        </w:rPr>
        <w:t>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7" w:lineRule="exact"/>
        <w:rPr>
          <w:sz w:val="20"/>
          <w:szCs w:val="20"/>
          <w:color w:val="auto"/>
        </w:rPr>
      </w:pPr>
    </w:p>
    <w:p>
      <w:pPr>
        <w:jc w:val="both"/>
        <w:ind w:left="10" w:right="300"/>
        <w:spacing w:after="0" w:line="266" w:lineRule="auto"/>
        <w:rPr>
          <w:sz w:val="20"/>
          <w:szCs w:val="20"/>
          <w:color w:val="auto"/>
        </w:rPr>
      </w:pPr>
      <w:r>
        <w:rPr>
          <w:rFonts w:ascii="Times New Roman" w:cs="Times New Roman" w:eastAsia="Times New Roman" w:hAnsi="Times New Roman"/>
          <w:sz w:val="20"/>
          <w:szCs w:val="20"/>
          <w:color w:val="1E1E1E"/>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Interest Rate Risk</w:t>
      </w:r>
    </w:p>
    <w:p>
      <w:pPr>
        <w:spacing w:after="0" w:line="119"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1E1E1E"/>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February 3, 2024, our investment portfolio is primarily comprised of bank deposits. Given the short-term nature and quality of investments in our portfolio, we do not believe there is any material risk to principal associated with increases or decreases in interest rates.</w:t>
      </w:r>
    </w:p>
    <w:p>
      <w:pPr>
        <w:spacing w:after="0" w:line="7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1E1E1E"/>
        </w:rPr>
        <w:t>Our outstanding long-term debt as of February 3, 2024 consists of the 2029 Notes, which have a fixed interest rate, the $391 million in outstanding borrowing under the Term Loan Facility, which has a variable interest rate based on Term SOFR, and the $145 million in outstanding borrowing under the ABL Facility, which has a variable interest rate based on Term SOFR. Our exposure to interest rate changes is limited to the fair value of the debt issued as well as the interest we pay on the Term Loan Facility and the ABL Facility, which we believe would not have a material impact on our earnings or cash flows.</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Fair Value of Financial Instruments</w:t>
      </w:r>
    </w:p>
    <w:p>
      <w:pPr>
        <w:spacing w:after="0" w:line="1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a summary of the principal value and estimated fair value of our outstanding debt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February 3, 2024 and January 28, 2023:</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1E1E1E"/>
              </w:rPr>
              <w:t>February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5"/>
              <w:spacing w:after="0"/>
              <w:rPr>
                <w:sz w:val="20"/>
                <w:szCs w:val="20"/>
                <w:color w:val="auto"/>
              </w:rPr>
            </w:pPr>
            <w:r>
              <w:rPr>
                <w:rFonts w:ascii="Times New Roman" w:cs="Times New Roman" w:eastAsia="Times New Roman" w:hAnsi="Times New Roman"/>
                <w:sz w:val="18"/>
                <w:szCs w:val="18"/>
                <w:b w:val="1"/>
                <w:bCs w:val="1"/>
                <w:color w:val="1E1E1E"/>
              </w:rPr>
              <w:t>January 28,</w:t>
            </w:r>
          </w:p>
        </w:tc>
      </w:tr>
      <w:tr>
        <w:trPr>
          <w:trHeight w:val="239"/>
        </w:trPr>
        <w:tc>
          <w:tcPr>
            <w:tcW w:w="7560" w:type="dxa"/>
            <w:vAlign w:val="bottom"/>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ind w:right="388"/>
              <w:spacing w:after="0"/>
              <w:rPr>
                <w:sz w:val="20"/>
                <w:szCs w:val="20"/>
                <w:color w:val="auto"/>
              </w:rPr>
            </w:pPr>
            <w:r>
              <w:rPr>
                <w:rFonts w:ascii="Times New Roman" w:cs="Times New Roman" w:eastAsia="Times New Roman" w:hAnsi="Times New Roman"/>
                <w:sz w:val="18"/>
                <w:szCs w:val="18"/>
                <w:b w:val="1"/>
                <w:bCs w:val="1"/>
                <w:color w:val="1E1E1E"/>
              </w:rPr>
              <w:t>2024</w:t>
            </w:r>
          </w:p>
        </w:tc>
        <w:tc>
          <w:tcPr>
            <w:tcW w:w="80" w:type="dxa"/>
            <w:vAlign w:val="bottom"/>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ind w:right="385"/>
              <w:spacing w:after="0"/>
              <w:rPr>
                <w:sz w:val="20"/>
                <w:szCs w:val="20"/>
                <w:color w:val="auto"/>
              </w:rPr>
            </w:pPr>
            <w:r>
              <w:rPr>
                <w:rFonts w:ascii="Times New Roman" w:cs="Times New Roman" w:eastAsia="Times New Roman" w:hAnsi="Times New Roman"/>
                <w:sz w:val="18"/>
                <w:szCs w:val="18"/>
                <w:b w:val="1"/>
                <w:bCs w:val="1"/>
                <w:color w:val="1E1E1E"/>
              </w:rPr>
              <w:t>2023</w:t>
            </w:r>
          </w:p>
        </w:tc>
      </w:tr>
      <w:tr>
        <w:trPr>
          <w:trHeight w:val="222"/>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Principal Value</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ind w:left="760"/>
              <w:spacing w:after="0"/>
              <w:rPr>
                <w:sz w:val="20"/>
                <w:szCs w:val="20"/>
                <w:color w:val="auto"/>
              </w:rPr>
            </w:pPr>
            <w:r>
              <w:rPr>
                <w:rFonts w:ascii="Times New Roman" w:cs="Times New Roman" w:eastAsia="Times New Roman" w:hAnsi="Times New Roman"/>
                <w:sz w:val="20"/>
                <w:szCs w:val="20"/>
                <w:color w:val="1E1E1E"/>
              </w:rPr>
              <w:t>991</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995</w:t>
            </w:r>
          </w:p>
        </w:tc>
      </w:tr>
      <w:tr>
        <w:trPr>
          <w:trHeight w:val="272"/>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Fair Value, Estimated (a)</w:t>
            </w:r>
          </w:p>
        </w:tc>
        <w:tc>
          <w:tcPr>
            <w:tcW w:w="160" w:type="dxa"/>
            <w:vAlign w:val="bottom"/>
          </w:tcPr>
          <w:p>
            <w:pPr>
              <w:spacing w:after="0"/>
              <w:rPr>
                <w:sz w:val="23"/>
                <w:szCs w:val="23"/>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20"/>
                <w:szCs w:val="20"/>
                <w:color w:val="1E1E1E"/>
              </w:rPr>
              <w:t>897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894</w:t>
            </w:r>
          </w:p>
        </w:tc>
      </w:tr>
      <w:tr>
        <w:trPr>
          <w:trHeight w:val="312"/>
        </w:trPr>
        <w:tc>
          <w:tcPr>
            <w:tcW w:w="7560" w:type="dxa"/>
            <w:vAlign w:val="bottom"/>
          </w:tcPr>
          <w:p>
            <w:pPr>
              <w:jc w:val="right"/>
              <w:ind w:right="5860"/>
              <w:spacing w:after="0"/>
              <w:rPr>
                <w:sz w:val="20"/>
                <w:szCs w:val="20"/>
                <w:color w:val="auto"/>
              </w:rPr>
            </w:pPr>
            <w:r>
              <w:rPr>
                <w:rFonts w:ascii="Times New Roman" w:cs="Times New Roman" w:eastAsia="Times New Roman" w:hAnsi="Times New Roman"/>
                <w:sz w:val="20"/>
                <w:szCs w:val="20"/>
                <w:color w:val="1E1E1E"/>
                <w:w w:val="98"/>
              </w:rPr>
              <w:t>________________</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jc w:val="both"/>
        <w:ind w:left="730" w:right="40" w:hanging="730"/>
        <w:spacing w:after="0" w:line="255" w:lineRule="auto"/>
        <w:tabs>
          <w:tab w:leader="none" w:pos="730"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20"/>
          <w:szCs w:val="20"/>
          <w:i w:val="1"/>
          <w:iCs w:val="1"/>
          <w:color w:val="1E1E1E"/>
        </w:rPr>
        <w:t>Fair Value Measurement</w:t>
      </w:r>
      <w:r>
        <w:rPr>
          <w:rFonts w:ascii="Times New Roman" w:cs="Times New Roman" w:eastAsia="Times New Roman" w:hAnsi="Times New Roman"/>
          <w:sz w:val="20"/>
          <w:szCs w:val="20"/>
          <w:color w:val="1E1E1E"/>
        </w:rPr>
        <w:t>. The estimates presented are not necessarily indicative of the amounts that we could realize in a current market exchange.</w:t>
      </w:r>
    </w:p>
    <w:p>
      <w:pPr>
        <w:spacing w:after="0" w:line="87" w:lineRule="exact"/>
        <w:rPr>
          <w:sz w:val="20"/>
          <w:szCs w:val="20"/>
          <w:color w:val="auto"/>
        </w:rPr>
      </w:pPr>
    </w:p>
    <w:p>
      <w:pPr>
        <w:ind w:left="10" w:right="120"/>
        <w:spacing w:after="0" w:line="286" w:lineRule="auto"/>
        <w:rPr>
          <w:sz w:val="20"/>
          <w:szCs w:val="20"/>
          <w:color w:val="auto"/>
        </w:rPr>
      </w:pPr>
      <w:r>
        <w:rPr>
          <w:rFonts w:ascii="Times New Roman" w:cs="Times New Roman" w:eastAsia="Times New Roman" w:hAnsi="Times New Roman"/>
          <w:sz w:val="19"/>
          <w:szCs w:val="19"/>
          <w:color w:val="1E1E1E"/>
        </w:rPr>
        <w:t>As of February 3, 2024, we believe that the carrying values of accounts receivable, accounts payable and accrued expenses approximate fair value because of their short maturity. We further believe the principal value of the outstanding debt under the ABL Facility approximates its fair value as of February 3, 2024 based on the terms of the borrowings under the ABL Facility.</w:t>
      </w:r>
    </w:p>
    <w:p>
      <w:pPr>
        <w:sectPr>
          <w:pgSz w:w="11880" w:h="15480" w:orient="portrait"/>
          <w:cols w:equalWidth="0" w:num="1">
            <w:col w:w="10250"/>
          </w:cols>
          <w:pgMar w:left="81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250"/>
          </w:cols>
          <w:pgMar w:left="810" w:top="453" w:right="82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1E1E1E"/>
        </w:rPr>
        <w:t>Concentration of Credit Risk</w:t>
      </w:r>
    </w:p>
    <w:p>
      <w:pPr>
        <w:spacing w:after="0" w:line="11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1E1E1E"/>
        </w:rPr>
        <w:t>We maintain cash and cash equivalents with various major financial institutions. We monitor the relative credit standing of financial institutions with whom we transact and limit the amount of credit exposure with any one entity. As of February 3, 2024, our investment portfolio is primarily comprised of bank deposits. We also periodically review the relative credit standing of franchise, license and wholesale partners and other entities to which we grant credit terms in the normal course of business.</w:t>
      </w:r>
    </w:p>
    <w:p>
      <w:pPr>
        <w:sectPr>
          <w:pgSz w:w="11880" w:h="15480" w:orient="portrait"/>
          <w:cols w:equalWidth="0" w:num="1">
            <w:col w:w="10180"/>
          </w:cols>
          <w:pgMar w:left="820" w:top="44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180"/>
          </w:cols>
          <w:pgMar w:left="820" w:top="444" w:right="8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p>
      <w:pPr>
        <w:spacing w:after="0" w:line="19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INDEX TO CONSOLIDATED AND COMBINED FINANCIAL STATEMENTS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Page No.</w:t>
            </w:r>
          </w:p>
        </w:tc>
        <w:tc>
          <w:tcPr>
            <w:tcW w:w="0" w:type="dxa"/>
            <w:vAlign w:val="bottom"/>
          </w:tcPr>
          <w:p>
            <w:pPr>
              <w:spacing w:after="0"/>
              <w:rPr>
                <w:sz w:val="1"/>
                <w:szCs w:val="1"/>
                <w:color w:val="auto"/>
              </w:rPr>
            </w:pPr>
          </w:p>
        </w:tc>
      </w:tr>
      <w:tr>
        <w:trPr>
          <w:trHeight w:val="198"/>
        </w:trPr>
        <w:tc>
          <w:tcPr>
            <w:tcW w:w="5460" w:type="dxa"/>
            <w:vAlign w:val="bottom"/>
            <w:tcBorders>
              <w:bottom w:val="single" w:sz="8" w:color="434343"/>
            </w:tcBorders>
            <w:gridSpan w:val="4"/>
          </w:tcPr>
          <w:p>
            <w:pPr>
              <w:spacing w:after="0" w:line="178" w:lineRule="exact"/>
              <w:rPr>
                <w:sz w:val="20"/>
                <w:szCs w:val="20"/>
                <w:color w:val="auto"/>
              </w:rPr>
            </w:pPr>
            <w:r>
              <w:rPr>
                <w:rFonts w:ascii="Times New Roman" w:cs="Times New Roman" w:eastAsia="Times New Roman" w:hAnsi="Times New Roman"/>
                <w:sz w:val="20"/>
                <w:szCs w:val="20"/>
                <w:color w:val="434343"/>
                <w:w w:val="99"/>
              </w:rPr>
              <w:t>Management’s Report on Internal Control Over Financial Reporting</w:t>
            </w:r>
          </w:p>
        </w:tc>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1E1E1E"/>
              </w:rPr>
              <w:t>54</w:t>
            </w:r>
          </w:p>
        </w:tc>
        <w:tc>
          <w:tcPr>
            <w:tcW w:w="0" w:type="dxa"/>
            <w:vAlign w:val="bottom"/>
          </w:tcPr>
          <w:p>
            <w:pPr>
              <w:spacing w:after="0"/>
              <w:rPr>
                <w:sz w:val="1"/>
                <w:szCs w:val="1"/>
                <w:color w:val="auto"/>
              </w:rPr>
            </w:pPr>
          </w:p>
        </w:tc>
      </w:tr>
      <w:tr>
        <w:trPr>
          <w:trHeight w:val="265"/>
        </w:trPr>
        <w:tc>
          <w:tcPr>
            <w:tcW w:w="8360" w:type="dxa"/>
            <w:vAlign w:val="bottom"/>
            <w:tcBorders>
              <w:bottom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w w:val="99"/>
              </w:rPr>
              <w:t>Report of Independent Registered Public Accounting Firm on Internal Control Over Financial Reporting</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w:t>
            </w:r>
          </w:p>
        </w:tc>
        <w:tc>
          <w:tcPr>
            <w:tcW w:w="0" w:type="dxa"/>
            <w:vAlign w:val="bottom"/>
          </w:tcPr>
          <w:p>
            <w:pPr>
              <w:spacing w:after="0"/>
              <w:rPr>
                <w:sz w:val="1"/>
                <w:szCs w:val="1"/>
                <w:color w:val="auto"/>
              </w:rPr>
            </w:pPr>
          </w:p>
        </w:tc>
      </w:tr>
      <w:tr>
        <w:trPr>
          <w:trHeight w:val="265"/>
        </w:trPr>
        <w:tc>
          <w:tcPr>
            <w:tcW w:w="9440" w:type="dxa"/>
            <w:vAlign w:val="bottom"/>
            <w:gridSpan w:val="12"/>
          </w:tcPr>
          <w:p>
            <w:pPr>
              <w:spacing w:after="0"/>
              <w:rPr>
                <w:sz w:val="20"/>
                <w:szCs w:val="20"/>
                <w:color w:val="auto"/>
              </w:rPr>
            </w:pPr>
            <w:r>
              <w:rPr>
                <w:rFonts w:ascii="Times New Roman" w:cs="Times New Roman" w:eastAsia="Times New Roman" w:hAnsi="Times New Roman"/>
                <w:sz w:val="20"/>
                <w:szCs w:val="20"/>
                <w:color w:val="434343"/>
              </w:rPr>
              <w:t>Report of Independent Registered Public Accounting Firm on Consolidated and Combined Financial Statements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0" w:type="dxa"/>
            <w:vAlign w:val="bottom"/>
          </w:tcPr>
          <w:p>
            <w:pPr>
              <w:spacing w:after="0"/>
              <w:rPr>
                <w:sz w:val="1"/>
                <w:szCs w:val="1"/>
                <w:color w:val="auto"/>
              </w:rPr>
            </w:pPr>
          </w:p>
        </w:tc>
      </w:tr>
      <w:tr>
        <w:trPr>
          <w:trHeight w:val="228"/>
        </w:trPr>
        <w:tc>
          <w:tcPr>
            <w:tcW w:w="8980" w:type="dxa"/>
            <w:vAlign w:val="bottom"/>
            <w:tcBorders>
              <w:top w:val="single" w:sz="8" w:color="434343"/>
            </w:tcBorders>
            <w:gridSpan w:val="9"/>
          </w:tcPr>
          <w:p>
            <w:pPr>
              <w:spacing w:after="0" w:line="228" w:lineRule="exact"/>
              <w:rPr>
                <w:sz w:val="20"/>
                <w:szCs w:val="20"/>
                <w:color w:val="auto"/>
              </w:rPr>
            </w:pPr>
            <w:r>
              <w:rPr>
                <w:rFonts w:ascii="Times New Roman" w:cs="Times New Roman" w:eastAsia="Times New Roman" w:hAnsi="Times New Roman"/>
                <w:sz w:val="20"/>
                <w:szCs w:val="20"/>
                <w:i w:val="1"/>
                <w:iCs w:val="1"/>
                <w:color w:val="1E1E1E"/>
              </w:rPr>
              <w:t>(PCAOB ID: 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40" w:type="dxa"/>
            <w:vAlign w:val="bottom"/>
            <w:gridSpan w:val="12"/>
          </w:tcPr>
          <w:p>
            <w:pPr>
              <w:spacing w:after="0" w:line="217" w:lineRule="exact"/>
              <w:rPr>
                <w:sz w:val="20"/>
                <w:szCs w:val="20"/>
                <w:color w:val="auto"/>
              </w:rPr>
            </w:pPr>
            <w:r>
              <w:rPr>
                <w:rFonts w:ascii="Times New Roman" w:cs="Times New Roman" w:eastAsia="Times New Roman" w:hAnsi="Times New Roman"/>
                <w:sz w:val="20"/>
                <w:szCs w:val="20"/>
                <w:color w:val="434343"/>
              </w:rPr>
              <w:t>Consolidated and Combined Statements of Income for the Years Ended February 3, 2024, January 28, 2023 and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80" w:type="dxa"/>
            <w:vAlign w:val="bottom"/>
            <w:tcBorders>
              <w:top w:val="single" w:sz="8" w:color="434343"/>
              <w:bottom w:val="single" w:sz="8" w:color="434343"/>
            </w:tcBorders>
          </w:tcPr>
          <w:p>
            <w:pPr>
              <w:spacing w:after="0" w:line="170" w:lineRule="exact"/>
              <w:rPr>
                <w:sz w:val="20"/>
                <w:szCs w:val="20"/>
                <w:color w:val="auto"/>
              </w:rPr>
            </w:pPr>
            <w:r>
              <w:rPr>
                <w:rFonts w:ascii="Times New Roman" w:cs="Times New Roman" w:eastAsia="Times New Roman" w:hAnsi="Times New Roman"/>
                <w:sz w:val="19"/>
                <w:szCs w:val="19"/>
                <w:color w:val="434343"/>
              </w:rPr>
              <w:t>January 29, 2022</w:t>
            </w:r>
          </w:p>
        </w:tc>
        <w:tc>
          <w:tcPr>
            <w:tcW w:w="1080" w:type="dxa"/>
            <w:vAlign w:val="bottom"/>
            <w:tcBorders>
              <w:top w:val="single" w:sz="8" w:color="434343"/>
              <w:bottom w:val="single" w:sz="8" w:color="434343"/>
            </w:tcBorders>
          </w:tcPr>
          <w:p>
            <w:pPr>
              <w:spacing w:after="0"/>
              <w:rPr>
                <w:sz w:val="15"/>
                <w:szCs w:val="15"/>
                <w:color w:val="auto"/>
              </w:rPr>
            </w:pPr>
          </w:p>
        </w:tc>
        <w:tc>
          <w:tcPr>
            <w:tcW w:w="2260" w:type="dxa"/>
            <w:vAlign w:val="bottom"/>
            <w:tcBorders>
              <w:top w:val="single" w:sz="8" w:color="434343"/>
              <w:bottom w:val="single" w:sz="8" w:color="434343"/>
            </w:tcBorders>
          </w:tcPr>
          <w:p>
            <w:pPr>
              <w:spacing w:after="0"/>
              <w:rPr>
                <w:sz w:val="15"/>
                <w:szCs w:val="15"/>
                <w:color w:val="auto"/>
              </w:rPr>
            </w:pPr>
          </w:p>
        </w:tc>
        <w:tc>
          <w:tcPr>
            <w:tcW w:w="1220" w:type="dxa"/>
            <w:vAlign w:val="bottom"/>
            <w:tcBorders>
              <w:top w:val="single" w:sz="8" w:color="434343"/>
              <w:bottom w:val="single" w:sz="8" w:color="434343"/>
            </w:tcBorders>
            <w:gridSpan w:val="2"/>
          </w:tcPr>
          <w:p>
            <w:pPr>
              <w:spacing w:after="0"/>
              <w:rPr>
                <w:sz w:val="15"/>
                <w:szCs w:val="15"/>
                <w:color w:val="auto"/>
              </w:rPr>
            </w:pPr>
          </w:p>
        </w:tc>
        <w:tc>
          <w:tcPr>
            <w:tcW w:w="3000" w:type="dxa"/>
            <w:vAlign w:val="bottom"/>
            <w:tcBorders>
              <w:top w:val="single" w:sz="8" w:color="434343"/>
              <w:bottom w:val="single" w:sz="8" w:color="434343"/>
            </w:tcBorders>
            <w:gridSpan w:val="2"/>
          </w:tcPr>
          <w:p>
            <w:pPr>
              <w:spacing w:after="0"/>
              <w:rPr>
                <w:sz w:val="15"/>
                <w:szCs w:val="15"/>
                <w:color w:val="auto"/>
              </w:rPr>
            </w:pPr>
          </w:p>
        </w:tc>
        <w:tc>
          <w:tcPr>
            <w:tcW w:w="20" w:type="dxa"/>
            <w:vAlign w:val="bottom"/>
            <w:tcBorders>
              <w:top w:val="single" w:sz="8" w:color="434343"/>
              <w:bottom w:val="single" w:sz="8" w:color="434343"/>
            </w:tcBorders>
          </w:tcPr>
          <w:p>
            <w:pPr>
              <w:spacing w:after="0"/>
              <w:rPr>
                <w:sz w:val="15"/>
                <w:szCs w:val="15"/>
                <w:color w:val="auto"/>
              </w:rPr>
            </w:pPr>
          </w:p>
        </w:tc>
        <w:tc>
          <w:tcPr>
            <w:tcW w:w="40" w:type="dxa"/>
            <w:vAlign w:val="bottom"/>
            <w:tcBorders>
              <w:top w:val="single" w:sz="8" w:color="434343"/>
              <w:bottom w:val="single" w:sz="8" w:color="434343"/>
            </w:tcBorders>
            <w:gridSpan w:val="2"/>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0" w:type="dxa"/>
            <w:vAlign w:val="bottom"/>
          </w:tcPr>
          <w:p>
            <w:pPr>
              <w:spacing w:after="0"/>
              <w:rPr>
                <w:sz w:val="1"/>
                <w:szCs w:val="1"/>
                <w:color w:val="auto"/>
              </w:rPr>
            </w:pPr>
          </w:p>
        </w:tc>
      </w:tr>
      <w:tr>
        <w:trPr>
          <w:trHeight w:val="54"/>
        </w:trPr>
        <w:tc>
          <w:tcPr>
            <w:tcW w:w="944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434343"/>
              </w:rPr>
              <w:t>Consolidated and Combined Statements of Comprehensive Income for the Years Ended February 3, 2024, January</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9440" w:type="dxa"/>
            <w:vAlign w:val="bottom"/>
            <w:gridSpan w:val="12"/>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434343"/>
              <w:bottom w:val="single" w:sz="8" w:color="434343"/>
            </w:tcBorders>
            <w:gridSpan w:val="2"/>
          </w:tcPr>
          <w:p>
            <w:pPr>
              <w:spacing w:after="0" w:line="170" w:lineRule="exact"/>
              <w:rPr>
                <w:sz w:val="20"/>
                <w:szCs w:val="20"/>
                <w:color w:val="auto"/>
              </w:rPr>
            </w:pPr>
            <w:r>
              <w:rPr>
                <w:rFonts w:ascii="Times New Roman" w:cs="Times New Roman" w:eastAsia="Times New Roman" w:hAnsi="Times New Roman"/>
                <w:sz w:val="19"/>
                <w:szCs w:val="19"/>
                <w:color w:val="434343"/>
              </w:rPr>
              <w:t>28, 2023 and January 29, 2022</w:t>
            </w:r>
          </w:p>
        </w:tc>
        <w:tc>
          <w:tcPr>
            <w:tcW w:w="2260" w:type="dxa"/>
            <w:vAlign w:val="bottom"/>
            <w:tcBorders>
              <w:top w:val="single" w:sz="8" w:color="434343"/>
              <w:bottom w:val="single" w:sz="8" w:color="434343"/>
            </w:tcBorders>
          </w:tcPr>
          <w:p>
            <w:pPr>
              <w:spacing w:after="0"/>
              <w:rPr>
                <w:sz w:val="15"/>
                <w:szCs w:val="15"/>
                <w:color w:val="auto"/>
              </w:rPr>
            </w:pPr>
          </w:p>
        </w:tc>
        <w:tc>
          <w:tcPr>
            <w:tcW w:w="1220" w:type="dxa"/>
            <w:vAlign w:val="bottom"/>
            <w:tcBorders>
              <w:top w:val="single" w:sz="8" w:color="434343"/>
              <w:bottom w:val="single" w:sz="8" w:color="434343"/>
            </w:tcBorders>
            <w:gridSpan w:val="2"/>
          </w:tcPr>
          <w:p>
            <w:pPr>
              <w:spacing w:after="0"/>
              <w:rPr>
                <w:sz w:val="15"/>
                <w:szCs w:val="15"/>
                <w:color w:val="auto"/>
              </w:rPr>
            </w:pPr>
          </w:p>
        </w:tc>
        <w:tc>
          <w:tcPr>
            <w:tcW w:w="3000" w:type="dxa"/>
            <w:vAlign w:val="bottom"/>
            <w:tcBorders>
              <w:top w:val="single" w:sz="8" w:color="434343"/>
              <w:bottom w:val="single" w:sz="8" w:color="434343"/>
            </w:tcBorders>
            <w:gridSpan w:val="2"/>
            <w:vMerge w:val="restart"/>
          </w:tcPr>
          <w:p>
            <w:pPr>
              <w:spacing w:after="0"/>
              <w:rPr>
                <w:sz w:val="15"/>
                <w:szCs w:val="15"/>
                <w:color w:val="auto"/>
              </w:rPr>
            </w:pPr>
          </w:p>
        </w:tc>
        <w:tc>
          <w:tcPr>
            <w:tcW w:w="20" w:type="dxa"/>
            <w:vAlign w:val="bottom"/>
            <w:tcBorders>
              <w:top w:val="single" w:sz="8" w:color="434343"/>
              <w:bottom w:val="single" w:sz="8" w:color="434343"/>
            </w:tcBorders>
            <w:vMerge w:val="restart"/>
          </w:tcPr>
          <w:p>
            <w:pPr>
              <w:spacing w:after="0"/>
              <w:rPr>
                <w:sz w:val="15"/>
                <w:szCs w:val="15"/>
                <w:color w:val="auto"/>
              </w:rPr>
            </w:pPr>
          </w:p>
        </w:tc>
        <w:tc>
          <w:tcPr>
            <w:tcW w:w="260" w:type="dxa"/>
            <w:vAlign w:val="bottom"/>
            <w:tcBorders>
              <w:top w:val="single" w:sz="8" w:color="434343"/>
              <w:bottom w:val="single" w:sz="8" w:color="434343"/>
            </w:tcBorders>
            <w:gridSpan w:val="3"/>
            <w:vMerge w:val="restart"/>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0" w:type="dxa"/>
            <w:vAlign w:val="bottom"/>
          </w:tcPr>
          <w:p>
            <w:pPr>
              <w:spacing w:after="0"/>
              <w:rPr>
                <w:sz w:val="1"/>
                <w:szCs w:val="1"/>
                <w:color w:val="auto"/>
              </w:rPr>
            </w:pPr>
          </w:p>
        </w:tc>
      </w:tr>
      <w:tr>
        <w:trPr>
          <w:trHeight w:val="54"/>
        </w:trPr>
        <w:tc>
          <w:tcPr>
            <w:tcW w:w="59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434343"/>
                <w:w w:val="99"/>
              </w:rPr>
              <w:t>Consolidated Balance Sheets as of February 3, 2024 and January 28, 2023</w:t>
            </w:r>
          </w:p>
        </w:tc>
        <w:tc>
          <w:tcPr>
            <w:tcW w:w="300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940" w:type="dxa"/>
            <w:vAlign w:val="bottom"/>
            <w:tcBorders>
              <w:bottom w:val="single" w:sz="8" w:color="434343"/>
            </w:tcBorders>
            <w:gridSpan w:val="5"/>
            <w:vMerge w:val="continue"/>
          </w:tcPr>
          <w:p>
            <w:pPr>
              <w:spacing w:after="0"/>
              <w:rPr>
                <w:sz w:val="19"/>
                <w:szCs w:val="19"/>
                <w:color w:val="auto"/>
              </w:rPr>
            </w:pPr>
          </w:p>
        </w:tc>
        <w:tc>
          <w:tcPr>
            <w:tcW w:w="30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4"/>
          </w:tcPr>
          <w:p>
            <w:pPr>
              <w:spacing w:after="0"/>
              <w:rPr>
                <w:sz w:val="19"/>
                <w:szCs w:val="19"/>
                <w:color w:val="auto"/>
              </w:rPr>
            </w:pPr>
          </w:p>
        </w:tc>
        <w:tc>
          <w:tcPr>
            <w:tcW w:w="7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1E1E1E"/>
              </w:rPr>
              <w:t>59</w:t>
            </w:r>
          </w:p>
        </w:tc>
        <w:tc>
          <w:tcPr>
            <w:tcW w:w="0" w:type="dxa"/>
            <w:vAlign w:val="bottom"/>
          </w:tcPr>
          <w:p>
            <w:pPr>
              <w:spacing w:after="0"/>
              <w:rPr>
                <w:sz w:val="1"/>
                <w:szCs w:val="1"/>
                <w:color w:val="auto"/>
              </w:rPr>
            </w:pPr>
          </w:p>
        </w:tc>
      </w:tr>
      <w:tr>
        <w:trPr>
          <w:trHeight w:val="265"/>
        </w:trPr>
        <w:tc>
          <w:tcPr>
            <w:tcW w:w="9440" w:type="dxa"/>
            <w:vAlign w:val="bottom"/>
            <w:gridSpan w:val="12"/>
          </w:tcPr>
          <w:p>
            <w:pPr>
              <w:spacing w:after="0"/>
              <w:rPr>
                <w:sz w:val="20"/>
                <w:szCs w:val="20"/>
                <w:color w:val="auto"/>
              </w:rPr>
            </w:pPr>
            <w:r>
              <w:rPr>
                <w:rFonts w:ascii="Times New Roman" w:cs="Times New Roman" w:eastAsia="Times New Roman" w:hAnsi="Times New Roman"/>
                <w:sz w:val="20"/>
                <w:szCs w:val="20"/>
                <w:color w:val="434343"/>
              </w:rPr>
              <w:t>Consolidated and Combined Statements of Equity for the Years Ended February 3, 2024, January 28, 2023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0" w:type="dxa"/>
            <w:vAlign w:val="bottom"/>
          </w:tcPr>
          <w:p>
            <w:pPr>
              <w:spacing w:after="0"/>
              <w:rPr>
                <w:sz w:val="1"/>
                <w:szCs w:val="1"/>
                <w:color w:val="auto"/>
              </w:rPr>
            </w:pPr>
          </w:p>
        </w:tc>
      </w:tr>
      <w:tr>
        <w:trPr>
          <w:trHeight w:val="180"/>
        </w:trPr>
        <w:tc>
          <w:tcPr>
            <w:tcW w:w="1380" w:type="dxa"/>
            <w:vAlign w:val="bottom"/>
            <w:tcBorders>
              <w:top w:val="single" w:sz="8" w:color="434343"/>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9"/>
              </w:rPr>
              <w:t>January 29, 2022</w:t>
            </w:r>
          </w:p>
        </w:tc>
        <w:tc>
          <w:tcPr>
            <w:tcW w:w="7560" w:type="dxa"/>
            <w:vAlign w:val="bottom"/>
            <w:tcBorders>
              <w:top w:val="single" w:sz="8" w:color="434343"/>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4"/>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9440" w:type="dxa"/>
            <w:vAlign w:val="bottom"/>
            <w:gridSpan w:val="12"/>
          </w:tcPr>
          <w:p>
            <w:pPr>
              <w:spacing w:after="0"/>
              <w:rPr>
                <w:sz w:val="20"/>
                <w:szCs w:val="20"/>
                <w:color w:val="auto"/>
              </w:rPr>
            </w:pPr>
            <w:r>
              <w:rPr>
                <w:rFonts w:ascii="Times New Roman" w:cs="Times New Roman" w:eastAsia="Times New Roman" w:hAnsi="Times New Roman"/>
                <w:sz w:val="20"/>
                <w:szCs w:val="20"/>
                <w:color w:val="434343"/>
              </w:rPr>
              <w:t xml:space="preserve">Consolidated and Combined Statements of Cash Flows for the Years Ended February 3, 2024, January 28, 2023 </w:t>
            </w:r>
            <w:r>
              <w:rPr>
                <w:rFonts w:ascii="Times New Roman" w:cs="Times New Roman" w:eastAsia="Times New Roman" w:hAnsi="Times New Roman"/>
                <w:sz w:val="20"/>
                <w:szCs w:val="20"/>
                <w:color w:val="1E1E1E"/>
              </w:rPr>
              <w:t>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0" w:type="dxa"/>
            <w:vAlign w:val="bottom"/>
          </w:tcPr>
          <w:p>
            <w:pPr>
              <w:spacing w:after="0"/>
              <w:rPr>
                <w:sz w:val="1"/>
                <w:szCs w:val="1"/>
                <w:color w:val="auto"/>
              </w:rPr>
            </w:pPr>
          </w:p>
        </w:tc>
      </w:tr>
      <w:tr>
        <w:trPr>
          <w:trHeight w:val="180"/>
        </w:trPr>
        <w:tc>
          <w:tcPr>
            <w:tcW w:w="1380" w:type="dxa"/>
            <w:vAlign w:val="bottom"/>
            <w:tcBorders>
              <w:top w:val="single" w:sz="8" w:color="434343"/>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9"/>
              </w:rPr>
              <w:t>January 29, 2022</w:t>
            </w:r>
          </w:p>
        </w:tc>
        <w:tc>
          <w:tcPr>
            <w:tcW w:w="7580" w:type="dxa"/>
            <w:vAlign w:val="bottom"/>
            <w:tcBorders>
              <w:top w:val="single" w:sz="8" w:color="434343"/>
            </w:tcBorders>
            <w:gridSpan w:val="7"/>
          </w:tcPr>
          <w:p>
            <w:pPr>
              <w:spacing w:after="0"/>
              <w:rPr>
                <w:sz w:val="15"/>
                <w:szCs w:val="15"/>
                <w:color w:val="auto"/>
              </w:rPr>
            </w:pPr>
          </w:p>
        </w:tc>
        <w:tc>
          <w:tcPr>
            <w:tcW w:w="480" w:type="dxa"/>
            <w:vAlign w:val="bottom"/>
            <w:gridSpan w:val="4"/>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72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9"/>
              </w:rPr>
              <w:t>Notes to Consolidated and Combined Financial Statements</w:t>
            </w:r>
          </w:p>
        </w:tc>
        <w:tc>
          <w:tcPr>
            <w:tcW w:w="4720" w:type="dxa"/>
            <w:vAlign w:val="bottom"/>
            <w:gridSpan w:val="9"/>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1E1E1E"/>
        </w:rPr>
        <w:t>Our fiscal year ends on the Saturday nearest to January 31. Fiscal years are designated in the Consolidated and Combined Financial Statements and Notes by the calendar year in which the fiscal year commences. The results for 2023 refer to the fifty-three-week period ended February 3, 2024 and the results for 2022 and 2021 refer to the fifty-two-week periods ended January 28, 2023 and January 29, 2022, respectively.</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240"/>
          </w:cols>
          <w:pgMar w:left="820" w:top="446" w:right="8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1E1E1E"/>
        </w:rPr>
        <w:t>Management’s Report on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1E1E1E"/>
        </w:rPr>
        <w:t>Management assessed the effectiveness of the Company’s internal control over financial reporting as of February 3, 2024. In making this assessment, management used the criteria established in Internal Control-Integrated Framework issued by the Committee of Sponsoring Organizations of the Treadway Commission (2013 framework) (the “COSO criteria”).</w:t>
      </w:r>
    </w:p>
    <w:p>
      <w:pPr>
        <w:spacing w:after="0" w:line="5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1E1E1E"/>
        </w:rPr>
        <w:t>Based on our assessment and the COSO criteria, management believes that the Company maintained effective internal control over financial reporting as of February 3, 2024.</w:t>
      </w:r>
    </w:p>
    <w:p>
      <w:pPr>
        <w:spacing w:after="0" w:line="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1E1E1E"/>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February 3, 2024.</w:t>
      </w:r>
    </w:p>
    <w:p>
      <w:pPr>
        <w:sectPr>
          <w:pgSz w:w="11880" w:h="15480" w:orient="portrait"/>
          <w:cols w:equalWidth="0" w:num="1">
            <w:col w:w="10140"/>
          </w:cols>
          <w:pgMar w:left="820" w:top="44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140"/>
          </w:cols>
          <w:pgMar w:left="820" w:top="446" w:right="920" w:bottom="0" w:gutter="0" w:footer="0" w:header="0"/>
          <w:type w:val="continuous"/>
        </w:sectPr>
      </w:pPr>
    </w:p>
    <w:bookmarkStart w:id="58" w:name="page59"/>
    <w:bookmarkEnd w:id="58"/>
    <w:p>
      <w:pPr>
        <w:ind w:left="2620"/>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Shareholders and the Board of Directors of Victoria's Secret &amp; Co.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Opinion on Internal Control over Financial Reporting</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1E1E1E"/>
        </w:rPr>
        <w:t>We have audited Victoria's Secret &amp; Co.’s internal control over financial reporting as of February 3, 2024, based on criteria established in Internal Control-Integrated Framework issued by the Committee of Sponsoring Organizations of the Treadway Commission (2013 framework) (the COSO criteria). In our opinion, Victoria's Secret &amp; Co. (the Company) maintained, in all material respects, effective internal control over financial reporting as of February 3, 2024, based on the COSO criteria.</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E1E1E"/>
        </w:rPr>
        <w:t>We also have audited, in accordance with the standards of the Public Company Accounting Oversight Board (United States) (PCAOB), the consolidated balance sheets of the Company as of February 3, 2024 and January 28, 2023, the related consolidated and combined statements of income, comprehensive income, equity and cash flows for each of the three years in the period ended February 3, 2024, and the related notes and our report dated March 22, 2024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1E1E1E"/>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Definition and Limitations of Internal Control Over Financial Reporting</w:t>
      </w:r>
    </w:p>
    <w:p>
      <w:pPr>
        <w:spacing w:after="0" w:line="1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Grandview Heights, Ohio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March 22, 2024</w:t>
      </w: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260"/>
          </w:cols>
          <w:pgMar w:left="820" w:top="446" w:right="800" w:bottom="0" w:gutter="0" w:footer="0" w:header="0"/>
          <w:type w:val="continuous"/>
        </w:sectPr>
      </w:pPr>
    </w:p>
    <w:bookmarkStart w:id="59" w:name="page60"/>
    <w:bookmarkEnd w:id="59"/>
    <w:p>
      <w:pPr>
        <w:ind w:left="2620"/>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Shareholders and the Board of Directors of Victoria's Secret &amp; Co.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Opinion on the Financial Statements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Victoria's Secret &amp; Co. (the Company) as of February 3, 2024 and January 28, 2023, the related consolidated and combined statements of income, comprehensive income, equity and cash flows for each of the three years in the period ended February 3, 2024, and the related notes (collectively referred to as the “consolidated and combined financial statements”). In our opinion, the consolidated and combined financial statements present fairly, in all material respects, the financial position of the Company at February 3, 2024 and January 28, 2023, and the results of its operations and its cash flows for each of the three years in the period ended February 3, 2024, in conformity with U.S. generally accepted accounting principles.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1E1E1E"/>
        </w:rPr>
        <w:t>We also have audited, in accordance with the standards of the Public Company Accounting Oversight Board (United States) (PCAOB), the Company’s internal control over financial reporting as of February 3, 2024, based on criteria established in Internal Control-Integrated Framework issued by the Committee of Sponsoring Organizations of the Treadway Commission (2013 framework), and our report dated March 22, 2024 expressed an unqualified opinion thereon.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1E1E1E"/>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Audit Matter</w:t>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and combined financial statements, taken as a whole, and we are not, by communicating the critical audit matter below, providing a separate opinion on the critical audit matter or on the account or disclosure to which it relates.</w:t>
      </w: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40"/>
        <w:spacing w:after="0" w:line="269" w:lineRule="auto"/>
        <w:rPr>
          <w:sz w:val="20"/>
          <w:szCs w:val="20"/>
          <w:color w:val="auto"/>
        </w:rPr>
      </w:pPr>
      <w:r>
        <w:rPr>
          <w:rFonts w:ascii="Times New Roman" w:cs="Times New Roman" w:eastAsia="Times New Roman" w:hAnsi="Times New Roman"/>
          <w:sz w:val="19"/>
          <w:szCs w:val="19"/>
          <w:i w:val="1"/>
          <w:iCs w:val="1"/>
          <w:color w:val="1E1E1E"/>
        </w:rPr>
        <w:t>Description of the Matter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Reserve for Store Inventory Losses</w:t>
      </w:r>
    </w:p>
    <w:p>
      <w:pPr>
        <w:spacing w:after="0" w:line="167"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20"/>
          <w:szCs w:val="20"/>
          <w:color w:val="1E1E1E"/>
        </w:rPr>
        <w:t>As described in Note 7 to the consolidated and combined financial statements, the Company had inventories of $985 million as of February 3, 2024, which included finished goods of $929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store inventory losses taken and current consumer behavior to estimate the reserve for store inventory losses.</w:t>
      </w:r>
    </w:p>
    <w:p>
      <w:pPr>
        <w:spacing w:after="0" w:line="128"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20"/>
          <w:szCs w:val="20"/>
          <w:color w:val="1E1E1E"/>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p>
      <w:pPr>
        <w:spacing w:after="0" w:line="200" w:lineRule="exact"/>
        <w:rPr>
          <w:sz w:val="20"/>
          <w:szCs w:val="20"/>
          <w:color w:val="auto"/>
        </w:rPr>
      </w:pPr>
    </w:p>
    <w:p>
      <w:pPr>
        <w:sectPr>
          <w:pgSz w:w="11880" w:h="15480" w:orient="portrait"/>
          <w:cols w:equalWidth="0" w:num="2">
            <w:col w:w="1080" w:space="180"/>
            <w:col w:w="9000"/>
          </w:cols>
          <w:pgMar w:left="820" w:top="446"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260"/>
          </w:cols>
          <w:pgMar w:left="820" w:top="446" w:right="800" w:bottom="0" w:gutter="0" w:footer="0" w:header="0"/>
          <w:type w:val="continuous"/>
        </w:sectPr>
      </w:pPr>
    </w:p>
    <w:bookmarkStart w:id="60" w:name="page61"/>
    <w:bookmarkEnd w:id="60"/>
    <w:p>
      <w:pPr>
        <w:ind w:left="40"/>
        <w:spacing w:after="0" w:line="225" w:lineRule="auto"/>
        <w:rPr>
          <w:sz w:val="20"/>
          <w:szCs w:val="20"/>
          <w:color w:val="auto"/>
        </w:rPr>
      </w:pPr>
      <w:r>
        <w:rPr>
          <w:rFonts w:ascii="Times New Roman" w:cs="Times New Roman" w:eastAsia="Times New Roman" w:hAnsi="Times New Roman"/>
          <w:sz w:val="20"/>
          <w:szCs w:val="20"/>
          <w:i w:val="1"/>
          <w:iCs w:val="1"/>
          <w:color w:val="1E1E1E"/>
        </w:rPr>
        <w:t>How We Addressed the Matter in Our Audit</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Times New Roman" w:cs="Times New Roman" w:eastAsia="Times New Roman" w:hAnsi="Times New Roman"/>
          <w:sz w:val="20"/>
          <w:szCs w:val="20"/>
          <w:color w:val="1E1E1E"/>
        </w:rPr>
        <w:t>We obtained an understanding, evaluated the design, and tested the operating effectiveness of controls over the Company’s process to determine the valuation of the Company’s store inventory loss reserve. This included controls over the Company’s review of the significant assumptions underlying the reserve estimate.</w:t>
      </w:r>
    </w:p>
    <w:p>
      <w:pPr>
        <w:spacing w:after="0" w:line="13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1E1E1E"/>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p>
      <w:pPr>
        <w:spacing w:after="0" w:line="154" w:lineRule="exact"/>
        <w:rPr>
          <w:sz w:val="20"/>
          <w:szCs w:val="20"/>
          <w:color w:val="auto"/>
        </w:rPr>
      </w:pPr>
    </w:p>
    <w:p>
      <w:pPr>
        <w:sectPr>
          <w:pgSz w:w="11880" w:h="15480" w:orient="portrait"/>
          <w:cols w:equalWidth="0" w:num="2">
            <w:col w:w="1080" w:space="180"/>
            <w:col w:w="8640"/>
          </w:cols>
          <w:pgMar w:left="820" w:top="622" w:right="1160" w:bottom="0" w:gutter="0" w:footer="0" w:header="0"/>
        </w:sectPr>
      </w:pPr>
    </w:p>
    <w:p>
      <w:pPr>
        <w:spacing w:after="0"/>
        <w:rPr>
          <w:sz w:val="20"/>
          <w:szCs w:val="20"/>
          <w:color w:val="auto"/>
        </w:rPr>
      </w:pPr>
      <w:r>
        <w:rPr>
          <w:rFonts w:ascii="Times New Roman" w:cs="Times New Roman" w:eastAsia="Times New Roman" w:hAnsi="Times New Roman"/>
          <w:sz w:val="20"/>
          <w:szCs w:val="20"/>
          <w:color w:val="1E1E1E"/>
        </w:rPr>
        <w:t>/s/ Ernst &amp; Young 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We have served as the Company’s auditor since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Grandview Heights, Ohio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March 22, 2024</w:t>
      </w:r>
    </w:p>
    <w:p>
      <w:pPr>
        <w:sectPr>
          <w:pgSz w:w="11880" w:h="15480" w:orient="portrait"/>
          <w:cols w:equalWidth="0" w:num="1">
            <w:col w:w="9900"/>
          </w:cols>
          <w:pgMar w:left="820" w:top="622"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9900"/>
          </w:cols>
          <w:pgMar w:left="820" w:top="622" w:right="116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AND COMBINED STATEMENTS OF INCOME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except per share amounts)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Borders>
              <w:bottom w:val="single" w:sz="8" w:color="E2E2E2"/>
            </w:tcBorders>
          </w:tcPr>
          <w:p>
            <w:pPr>
              <w:spacing w:after="0"/>
              <w:rPr>
                <w:sz w:val="18"/>
                <w:szCs w:val="18"/>
                <w:color w:val="auto"/>
              </w:rPr>
            </w:pPr>
          </w:p>
        </w:tc>
        <w:tc>
          <w:tcPr>
            <w:tcW w:w="4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 w:type="dxa"/>
            <w:vAlign w:val="bottom"/>
            <w:tcBorders>
              <w:bottom w:val="single" w:sz="8" w:color="E2E2E2"/>
            </w:tcBorders>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Borders>
              <w:bottom w:val="single" w:sz="8" w:color="E2E2E2"/>
            </w:tcBorders>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40" w:type="dxa"/>
            <w:vAlign w:val="bottom"/>
            <w:tcBorders>
              <w:bottom w:val="single" w:sz="8" w:color="1E1E1E"/>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0" w:type="dxa"/>
            <w:vAlign w:val="bottom"/>
          </w:tcPr>
          <w:p>
            <w:pPr>
              <w:spacing w:after="0"/>
              <w:rPr>
                <w:sz w:val="1"/>
                <w:szCs w:val="1"/>
                <w:color w:val="auto"/>
              </w:rPr>
            </w:pPr>
          </w:p>
        </w:tc>
      </w:tr>
      <w:tr>
        <w:trPr>
          <w:trHeight w:val="275"/>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Sales</w:t>
            </w:r>
          </w:p>
        </w:tc>
        <w:tc>
          <w:tcPr>
            <w:tcW w:w="3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6,182</w:t>
            </w:r>
          </w:p>
        </w:tc>
        <w:tc>
          <w:tcPr>
            <w:tcW w:w="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32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6,344</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6,785</w:t>
            </w:r>
          </w:p>
        </w:tc>
        <w:tc>
          <w:tcPr>
            <w:tcW w:w="0" w:type="dxa"/>
            <w:vAlign w:val="bottom"/>
          </w:tcPr>
          <w:p>
            <w:pPr>
              <w:spacing w:after="0"/>
              <w:rPr>
                <w:sz w:val="1"/>
                <w:szCs w:val="1"/>
                <w:color w:val="auto"/>
              </w:rPr>
            </w:pPr>
          </w:p>
        </w:tc>
      </w:tr>
      <w:tr>
        <w:trPr>
          <w:trHeight w:val="275"/>
        </w:trPr>
        <w:tc>
          <w:tcPr>
            <w:tcW w:w="62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Costs of Goods Sold, Buying and Occupancy</w:t>
            </w:r>
          </w:p>
        </w:tc>
        <w:tc>
          <w:tcPr>
            <w:tcW w:w="40" w:type="dxa"/>
            <w:vAlign w:val="bottom"/>
            <w:tcBorders>
              <w:bottom w:val="single" w:sz="8" w:color="1E1E1E"/>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(3,940)</w:t>
            </w:r>
          </w:p>
        </w:tc>
        <w:tc>
          <w:tcPr>
            <w:tcW w:w="20" w:type="dxa"/>
            <w:vAlign w:val="bottom"/>
            <w:tcBorders>
              <w:bottom w:val="single" w:sz="8" w:color="E2E2E2"/>
            </w:tcBorders>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(4,086)</w:t>
            </w: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40" w:type="dxa"/>
            <w:vAlign w:val="bottom"/>
            <w:tcBorders>
              <w:bottom w:val="single" w:sz="8" w:color="1E1E1E"/>
            </w:tcBorders>
          </w:tcPr>
          <w:p>
            <w:pPr>
              <w:spacing w:after="0"/>
              <w:rPr>
                <w:sz w:val="23"/>
                <w:szCs w:val="23"/>
                <w:color w:val="auto"/>
              </w:rPr>
            </w:pPr>
          </w:p>
        </w:tc>
        <w:tc>
          <w:tcPr>
            <w:tcW w:w="26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(4,025)</w:t>
            </w:r>
          </w:p>
        </w:tc>
        <w:tc>
          <w:tcPr>
            <w:tcW w:w="0" w:type="dxa"/>
            <w:vAlign w:val="bottom"/>
          </w:tcPr>
          <w:p>
            <w:pPr>
              <w:spacing w:after="0"/>
              <w:rPr>
                <w:sz w:val="1"/>
                <w:szCs w:val="1"/>
                <w:color w:val="auto"/>
              </w:rPr>
            </w:pPr>
          </w:p>
        </w:tc>
      </w:tr>
      <w:tr>
        <w:trPr>
          <w:trHeight w:val="275"/>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Gross Profit</w:t>
            </w:r>
          </w:p>
        </w:tc>
        <w:tc>
          <w:tcPr>
            <w:tcW w:w="4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2,242</w:t>
            </w:r>
          </w:p>
        </w:tc>
        <w:tc>
          <w:tcPr>
            <w:tcW w:w="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2,258</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2,760</w:t>
            </w:r>
          </w:p>
        </w:tc>
        <w:tc>
          <w:tcPr>
            <w:tcW w:w="0" w:type="dxa"/>
            <w:vAlign w:val="bottom"/>
          </w:tcPr>
          <w:p>
            <w:pPr>
              <w:spacing w:after="0"/>
              <w:rPr>
                <w:sz w:val="1"/>
                <w:szCs w:val="1"/>
                <w:color w:val="auto"/>
              </w:rPr>
            </w:pPr>
          </w:p>
        </w:tc>
      </w:tr>
      <w:tr>
        <w:trPr>
          <w:trHeight w:val="275"/>
        </w:trPr>
        <w:tc>
          <w:tcPr>
            <w:tcW w:w="62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General, Administrative and Store Operating Expenses</w:t>
            </w:r>
          </w:p>
        </w:tc>
        <w:tc>
          <w:tcPr>
            <w:tcW w:w="40" w:type="dxa"/>
            <w:vAlign w:val="bottom"/>
            <w:tcBorders>
              <w:bottom w:val="single" w:sz="8" w:color="1E1E1E"/>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(1,996)</w:t>
            </w:r>
          </w:p>
        </w:tc>
        <w:tc>
          <w:tcPr>
            <w:tcW w:w="20" w:type="dxa"/>
            <w:vAlign w:val="bottom"/>
            <w:tcBorders>
              <w:bottom w:val="single" w:sz="8" w:color="E2E2E2"/>
            </w:tcBorders>
          </w:tcPr>
          <w:p>
            <w:pPr>
              <w:spacing w:after="0"/>
              <w:rPr>
                <w:sz w:val="23"/>
                <w:szCs w:val="23"/>
                <w:color w:val="auto"/>
              </w:rPr>
            </w:pP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(1,780)</w:t>
            </w:r>
          </w:p>
        </w:tc>
        <w:tc>
          <w:tcPr>
            <w:tcW w:w="60" w:type="dxa"/>
            <w:vAlign w:val="bottom"/>
            <w:tcBorders>
              <w:bottom w:val="single" w:sz="8" w:color="E2E2E2"/>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40" w:type="dxa"/>
            <w:vAlign w:val="bottom"/>
            <w:tcBorders>
              <w:bottom w:val="single" w:sz="8" w:color="1E1E1E"/>
            </w:tcBorders>
          </w:tcPr>
          <w:p>
            <w:pPr>
              <w:spacing w:after="0"/>
              <w:rPr>
                <w:sz w:val="23"/>
                <w:szCs w:val="23"/>
                <w:color w:val="auto"/>
              </w:rPr>
            </w:pPr>
          </w:p>
        </w:tc>
        <w:tc>
          <w:tcPr>
            <w:tcW w:w="26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(1,890)</w:t>
            </w:r>
          </w:p>
        </w:tc>
        <w:tc>
          <w:tcPr>
            <w:tcW w:w="0" w:type="dxa"/>
            <w:vAlign w:val="bottom"/>
          </w:tcPr>
          <w:p>
            <w:pPr>
              <w:spacing w:after="0"/>
              <w:rPr>
                <w:sz w:val="1"/>
                <w:szCs w:val="1"/>
                <w:color w:val="auto"/>
              </w:rPr>
            </w:pPr>
          </w:p>
        </w:tc>
      </w:tr>
      <w:tr>
        <w:trPr>
          <w:trHeight w:val="275"/>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Income</w:t>
            </w:r>
          </w:p>
        </w:tc>
        <w:tc>
          <w:tcPr>
            <w:tcW w:w="4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w:t>
            </w:r>
          </w:p>
        </w:tc>
        <w:tc>
          <w:tcPr>
            <w:tcW w:w="2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478</w:t>
            </w:r>
          </w:p>
        </w:tc>
        <w:tc>
          <w:tcPr>
            <w:tcW w:w="60" w:type="dxa"/>
            <w:vAlign w:val="bottom"/>
            <w:shd w:val="clear" w:color="auto" w:fill="E2E2E2"/>
          </w:tcPr>
          <w:p>
            <w:pPr>
              <w:spacing w:after="0"/>
              <w:rPr>
                <w:sz w:val="23"/>
                <w:szCs w:val="23"/>
                <w:color w:val="auto"/>
              </w:rPr>
            </w:pPr>
          </w:p>
        </w:tc>
        <w:tc>
          <w:tcPr>
            <w:tcW w:w="20" w:type="dxa"/>
            <w:vAlign w:val="bottom"/>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260" w:type="dxa"/>
            <w:vAlign w:val="bottom"/>
            <w:shd w:val="clear" w:color="auto" w:fill="E2E2E2"/>
          </w:tcPr>
          <w:p>
            <w:pPr>
              <w:spacing w:after="0"/>
              <w:rPr>
                <w:sz w:val="23"/>
                <w:szCs w:val="23"/>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870</w:t>
            </w:r>
          </w:p>
        </w:tc>
        <w:tc>
          <w:tcPr>
            <w:tcW w:w="0" w:type="dxa"/>
            <w:vAlign w:val="bottom"/>
          </w:tcPr>
          <w:p>
            <w:pPr>
              <w:spacing w:after="0"/>
              <w:rPr>
                <w:sz w:val="1"/>
                <w:szCs w:val="1"/>
                <w:color w:val="auto"/>
              </w:rPr>
            </w:pPr>
          </w:p>
        </w:tc>
      </w:tr>
      <w:tr>
        <w:trPr>
          <w:trHeight w:val="278"/>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Interest Expense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300"/>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Other Loss</w:t>
            </w:r>
          </w:p>
        </w:tc>
        <w:tc>
          <w:tcPr>
            <w:tcW w:w="4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gridSpan w:val="3"/>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50"/>
        </w:trPr>
        <w:tc>
          <w:tcPr>
            <w:tcW w:w="6220" w:type="dxa"/>
            <w:vAlign w:val="bottom"/>
            <w:tcBorders>
              <w:top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Income Before Income Taxes</w:t>
            </w:r>
          </w:p>
        </w:tc>
        <w:tc>
          <w:tcPr>
            <w:tcW w:w="40" w:type="dxa"/>
            <w:vAlign w:val="bottom"/>
            <w:tcBorders>
              <w:top w:val="single" w:sz="8" w:color="1E1E1E"/>
            </w:tcBorders>
          </w:tcPr>
          <w:p>
            <w:pPr>
              <w:spacing w:after="0"/>
              <w:rPr>
                <w:sz w:val="21"/>
                <w:szCs w:val="21"/>
                <w:color w:val="auto"/>
              </w:rPr>
            </w:pPr>
          </w:p>
        </w:tc>
        <w:tc>
          <w:tcPr>
            <w:tcW w:w="300" w:type="dxa"/>
            <w:vAlign w:val="bottom"/>
            <w:tcBorders>
              <w:top w:val="single" w:sz="8" w:color="1E1E1E"/>
            </w:tcBorders>
          </w:tcPr>
          <w:p>
            <w:pPr>
              <w:spacing w:after="0"/>
              <w:rPr>
                <w:sz w:val="21"/>
                <w:szCs w:val="21"/>
                <w:color w:val="auto"/>
              </w:rPr>
            </w:pPr>
          </w:p>
        </w:tc>
        <w:tc>
          <w:tcPr>
            <w:tcW w:w="9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147</w:t>
            </w:r>
          </w:p>
        </w:tc>
        <w:tc>
          <w:tcPr>
            <w:tcW w:w="20" w:type="dxa"/>
            <w:vAlign w:val="bottom"/>
            <w:tcBorders>
              <w:top w:val="single" w:sz="8" w:color="E2E2E2"/>
            </w:tcBorders>
          </w:tcPr>
          <w:p>
            <w:pPr>
              <w:spacing w:after="0"/>
              <w:rPr>
                <w:sz w:val="21"/>
                <w:szCs w:val="21"/>
                <w:color w:val="auto"/>
              </w:rPr>
            </w:pPr>
          </w:p>
        </w:tc>
        <w:tc>
          <w:tcPr>
            <w:tcW w:w="60" w:type="dxa"/>
            <w:vAlign w:val="bottom"/>
            <w:tcBorders>
              <w:top w:val="single" w:sz="8" w:color="E2E2E2"/>
            </w:tcBorders>
          </w:tcPr>
          <w:p>
            <w:pPr>
              <w:spacing w:after="0"/>
              <w:rPr>
                <w:sz w:val="21"/>
                <w:szCs w:val="21"/>
                <w:color w:val="auto"/>
              </w:rPr>
            </w:pPr>
          </w:p>
        </w:tc>
        <w:tc>
          <w:tcPr>
            <w:tcW w:w="20" w:type="dxa"/>
            <w:vAlign w:val="bottom"/>
            <w:tcBorders>
              <w:top w:val="single" w:sz="8" w:color="1E1E1E"/>
            </w:tcBorders>
          </w:tcPr>
          <w:p>
            <w:pPr>
              <w:spacing w:after="0"/>
              <w:rPr>
                <w:sz w:val="21"/>
                <w:szCs w:val="21"/>
                <w:color w:val="auto"/>
              </w:rPr>
            </w:pPr>
          </w:p>
        </w:tc>
        <w:tc>
          <w:tcPr>
            <w:tcW w:w="300" w:type="dxa"/>
            <w:vAlign w:val="bottom"/>
            <w:tcBorders>
              <w:top w:val="single" w:sz="8" w:color="1E1E1E"/>
            </w:tcBorders>
          </w:tcPr>
          <w:p>
            <w:pPr>
              <w:spacing w:after="0"/>
              <w:rPr>
                <w:sz w:val="21"/>
                <w:szCs w:val="21"/>
                <w:color w:val="auto"/>
              </w:rPr>
            </w:pPr>
          </w:p>
        </w:tc>
        <w:tc>
          <w:tcPr>
            <w:tcW w:w="960" w:type="dxa"/>
            <w:vAlign w:val="bottom"/>
            <w:tcBorders>
              <w:top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417</w:t>
            </w:r>
          </w:p>
        </w:tc>
        <w:tc>
          <w:tcPr>
            <w:tcW w:w="60" w:type="dxa"/>
            <w:vAlign w:val="bottom"/>
            <w:tcBorders>
              <w:top w:val="single" w:sz="8" w:color="E2E2E2"/>
            </w:tcBorders>
          </w:tcPr>
          <w:p>
            <w:pPr>
              <w:spacing w:after="0"/>
              <w:rPr>
                <w:sz w:val="21"/>
                <w:szCs w:val="21"/>
                <w:color w:val="auto"/>
              </w:rPr>
            </w:pPr>
          </w:p>
        </w:tc>
        <w:tc>
          <w:tcPr>
            <w:tcW w:w="20" w:type="dxa"/>
            <w:vAlign w:val="bottom"/>
            <w:tcBorders>
              <w:top w:val="single" w:sz="8" w:color="1E1E1E"/>
            </w:tcBorders>
          </w:tcPr>
          <w:p>
            <w:pPr>
              <w:spacing w:after="0"/>
              <w:rPr>
                <w:sz w:val="21"/>
                <w:szCs w:val="21"/>
                <w:color w:val="auto"/>
              </w:rPr>
            </w:pPr>
          </w:p>
        </w:tc>
        <w:tc>
          <w:tcPr>
            <w:tcW w:w="40" w:type="dxa"/>
            <w:vAlign w:val="bottom"/>
            <w:tcBorders>
              <w:top w:val="single" w:sz="8" w:color="1E1E1E"/>
            </w:tcBorders>
          </w:tcPr>
          <w:p>
            <w:pPr>
              <w:spacing w:after="0"/>
              <w:rPr>
                <w:sz w:val="21"/>
                <w:szCs w:val="21"/>
                <w:color w:val="auto"/>
              </w:rPr>
            </w:pPr>
          </w:p>
        </w:tc>
        <w:tc>
          <w:tcPr>
            <w:tcW w:w="260" w:type="dxa"/>
            <w:vAlign w:val="bottom"/>
            <w:tcBorders>
              <w:top w:val="single" w:sz="8" w:color="1E1E1E"/>
            </w:tcBorders>
          </w:tcPr>
          <w:p>
            <w:pPr>
              <w:spacing w:after="0"/>
              <w:rPr>
                <w:sz w:val="21"/>
                <w:szCs w:val="21"/>
                <w:color w:val="auto"/>
              </w:rPr>
            </w:pPr>
          </w:p>
        </w:tc>
        <w:tc>
          <w:tcPr>
            <w:tcW w:w="9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843</w:t>
            </w:r>
          </w:p>
        </w:tc>
        <w:tc>
          <w:tcPr>
            <w:tcW w:w="0" w:type="dxa"/>
            <w:vAlign w:val="bottom"/>
          </w:tcPr>
          <w:p>
            <w:pPr>
              <w:spacing w:after="0"/>
              <w:rPr>
                <w:sz w:val="1"/>
                <w:szCs w:val="1"/>
                <w:color w:val="auto"/>
              </w:rPr>
            </w:pPr>
          </w:p>
        </w:tc>
      </w:tr>
      <w:tr>
        <w:trPr>
          <w:trHeight w:val="300"/>
        </w:trPr>
        <w:tc>
          <w:tcPr>
            <w:tcW w:w="62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Provision for Income Taxes</w:t>
            </w:r>
          </w:p>
        </w:tc>
        <w:tc>
          <w:tcPr>
            <w:tcW w:w="4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79</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w:t>
            </w:r>
          </w:p>
        </w:tc>
        <w:tc>
          <w:tcPr>
            <w:tcW w:w="0" w:type="dxa"/>
            <w:vAlign w:val="bottom"/>
          </w:tcPr>
          <w:p>
            <w:pPr>
              <w:spacing w:after="0"/>
              <w:rPr>
                <w:sz w:val="1"/>
                <w:szCs w:val="1"/>
                <w:color w:val="auto"/>
              </w:rPr>
            </w:pPr>
          </w:p>
        </w:tc>
      </w:tr>
      <w:tr>
        <w:trPr>
          <w:trHeight w:val="250"/>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 Income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646</w:t>
            </w:r>
          </w:p>
        </w:tc>
        <w:tc>
          <w:tcPr>
            <w:tcW w:w="0" w:type="dxa"/>
            <w:vAlign w:val="bottom"/>
          </w:tcPr>
          <w:p>
            <w:pPr>
              <w:spacing w:after="0"/>
              <w:rPr>
                <w:sz w:val="1"/>
                <w:szCs w:val="1"/>
                <w:color w:val="auto"/>
              </w:rPr>
            </w:pPr>
          </w:p>
        </w:tc>
      </w:tr>
      <w:tr>
        <w:trPr>
          <w:trHeight w:val="300"/>
        </w:trPr>
        <w:tc>
          <w:tcPr>
            <w:tcW w:w="622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20"/>
                <w:szCs w:val="20"/>
                <w:color w:val="1E1E1E"/>
              </w:rPr>
              <w:t>Less: Net Income (Loss) Attributable to Noncontrolling Interest</w:t>
            </w:r>
          </w:p>
        </w:tc>
        <w:tc>
          <w:tcPr>
            <w:tcW w:w="4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2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57"/>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 Income Attributable to Victoria's Secret &amp; Co.</w:t>
            </w:r>
          </w:p>
        </w:tc>
        <w:tc>
          <w:tcPr>
            <w:tcW w:w="340" w:type="dxa"/>
            <w:vAlign w:val="bottom"/>
            <w:tcBorders>
              <w:bottom w:val="single" w:sz="8" w:color="1E1E1E"/>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1E1E1E"/>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348</w:t>
            </w:r>
          </w:p>
        </w:tc>
        <w:tc>
          <w:tcPr>
            <w:tcW w:w="60" w:type="dxa"/>
            <w:vAlign w:val="bottom"/>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c>
          <w:tcPr>
            <w:tcW w:w="40" w:type="dxa"/>
            <w:vAlign w:val="bottom"/>
            <w:tcBorders>
              <w:bottom w:val="single" w:sz="8" w:color="1E1E1E"/>
            </w:tcBorders>
          </w:tcPr>
          <w:p>
            <w:pPr>
              <w:spacing w:after="0"/>
              <w:rPr>
                <w:sz w:val="22"/>
                <w:szCs w:val="22"/>
                <w:color w:val="auto"/>
              </w:rPr>
            </w:pPr>
          </w:p>
        </w:tc>
        <w:tc>
          <w:tcPr>
            <w:tcW w:w="2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646</w:t>
            </w:r>
          </w:p>
        </w:tc>
        <w:tc>
          <w:tcPr>
            <w:tcW w:w="0" w:type="dxa"/>
            <w:vAlign w:val="bottom"/>
          </w:tcPr>
          <w:p>
            <w:pPr>
              <w:spacing w:after="0"/>
              <w:rPr>
                <w:sz w:val="1"/>
                <w:szCs w:val="1"/>
                <w:color w:val="auto"/>
              </w:rPr>
            </w:pPr>
          </w:p>
        </w:tc>
      </w:tr>
      <w:tr>
        <w:trPr>
          <w:trHeight w:val="20"/>
        </w:trPr>
        <w:tc>
          <w:tcPr>
            <w:tcW w:w="6220" w:type="dxa"/>
            <w:vAlign w:val="bottom"/>
            <w:tcBorders>
              <w:bottom w:val="single" w:sz="8" w:color="E2E2E2"/>
            </w:tcBorders>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E2E2E2"/>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E2E2E2"/>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Income Per Basic Share Attributable to Victoria's Secret &amp; Co.</w:t>
            </w:r>
          </w:p>
        </w:tc>
        <w:tc>
          <w:tcPr>
            <w:tcW w:w="34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1.41</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2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4.24</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7.34</w:t>
            </w:r>
          </w:p>
        </w:tc>
        <w:tc>
          <w:tcPr>
            <w:tcW w:w="0" w:type="dxa"/>
            <w:vAlign w:val="bottom"/>
          </w:tcPr>
          <w:p>
            <w:pPr>
              <w:spacing w:after="0"/>
              <w:rPr>
                <w:sz w:val="1"/>
                <w:szCs w:val="1"/>
                <w:color w:val="auto"/>
              </w:rPr>
            </w:pPr>
          </w:p>
        </w:tc>
      </w:tr>
      <w:tr>
        <w:trPr>
          <w:trHeight w:val="302"/>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 Income Per Diluted Share Attributable to Victoria's Secret &amp; Co.</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4.14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7.18</w:t>
            </w:r>
          </w:p>
        </w:tc>
        <w:tc>
          <w:tcPr>
            <w:tcW w:w="0" w:type="dxa"/>
            <w:vAlign w:val="bottom"/>
          </w:tcPr>
          <w:p>
            <w:pPr>
              <w:spacing w:after="0"/>
              <w:rPr>
                <w:sz w:val="1"/>
                <w:szCs w:val="1"/>
                <w:color w:val="auto"/>
              </w:rPr>
            </w:pPr>
          </w:p>
        </w:tc>
      </w:tr>
      <w:tr>
        <w:trPr>
          <w:trHeight w:val="788"/>
        </w:trPr>
        <w:tc>
          <w:tcPr>
            <w:tcW w:w="6560" w:type="dxa"/>
            <w:vAlign w:val="bottom"/>
            <w:gridSpan w:val="3"/>
          </w:tcPr>
          <w:p>
            <w:pPr>
              <w:jc w:val="center"/>
              <w:ind w:left="3540"/>
              <w:spacing w:after="0"/>
              <w:rPr>
                <w:sz w:val="20"/>
                <w:szCs w:val="20"/>
                <w:color w:val="auto"/>
              </w:rPr>
            </w:pPr>
            <w:r>
              <w:rPr>
                <w:rFonts w:ascii="Times New Roman" w:cs="Times New Roman" w:eastAsia="Times New Roman" w:hAnsi="Times New Roman"/>
                <w:sz w:val="20"/>
                <w:szCs w:val="20"/>
                <w:b w:val="1"/>
                <w:bCs w:val="1"/>
                <w:color w:val="1E1E1E"/>
                <w:w w:val="99"/>
              </w:rPr>
              <w:t>VICTORIA'S SECRET &amp; CO.</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980" w:type="dxa"/>
            <w:vAlign w:val="bottom"/>
            <w:gridSpan w:val="12"/>
          </w:tcPr>
          <w:p>
            <w:pPr>
              <w:jc w:val="center"/>
              <w:ind w:left="1120"/>
              <w:spacing w:after="0"/>
              <w:rPr>
                <w:sz w:val="20"/>
                <w:szCs w:val="20"/>
                <w:color w:val="auto"/>
              </w:rPr>
            </w:pPr>
            <w:r>
              <w:rPr>
                <w:rFonts w:ascii="Times New Roman" w:cs="Times New Roman" w:eastAsia="Times New Roman" w:hAnsi="Times New Roman"/>
                <w:sz w:val="20"/>
                <w:szCs w:val="20"/>
                <w:b w:val="1"/>
                <w:bCs w:val="1"/>
                <w:color w:val="1E1E1E"/>
              </w:rPr>
              <w:t>CONSOLIDATED AND COMBINED STATEMENTS OF COMPREHENSIVE INCOME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20" w:type="dxa"/>
            <w:vAlign w:val="bottom"/>
          </w:tcPr>
          <w:p>
            <w:pPr>
              <w:jc w:val="center"/>
              <w:ind w:left="3880"/>
              <w:spacing w:after="0"/>
              <w:rPr>
                <w:sz w:val="20"/>
                <w:szCs w:val="20"/>
                <w:color w:val="auto"/>
              </w:rPr>
            </w:pPr>
            <w:r>
              <w:rPr>
                <w:rFonts w:ascii="Times New Roman" w:cs="Times New Roman" w:eastAsia="Times New Roman" w:hAnsi="Times New Roman"/>
                <w:sz w:val="20"/>
                <w:szCs w:val="20"/>
                <w:b w:val="1"/>
                <w:bCs w:val="1"/>
                <w:color w:val="1E1E1E"/>
              </w:rPr>
              <w:t>(in millions)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2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 w:type="dxa"/>
            <w:vAlign w:val="bottom"/>
            <w:tcBorders>
              <w:bottom w:val="single" w:sz="8" w:color="1E1E1E"/>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0" w:type="dxa"/>
            <w:vAlign w:val="bottom"/>
          </w:tcPr>
          <w:p>
            <w:pPr>
              <w:spacing w:after="0"/>
              <w:rPr>
                <w:sz w:val="1"/>
                <w:szCs w:val="1"/>
                <w:color w:val="auto"/>
              </w:rPr>
            </w:pPr>
          </w:p>
        </w:tc>
      </w:tr>
      <w:tr>
        <w:trPr>
          <w:trHeight w:val="290"/>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Net Income</w:t>
            </w:r>
          </w:p>
        </w:tc>
        <w:tc>
          <w:tcPr>
            <w:tcW w:w="3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2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646</w:t>
            </w:r>
          </w:p>
        </w:tc>
        <w:tc>
          <w:tcPr>
            <w:tcW w:w="0" w:type="dxa"/>
            <w:vAlign w:val="bottom"/>
          </w:tcPr>
          <w:p>
            <w:pPr>
              <w:spacing w:after="0"/>
              <w:rPr>
                <w:sz w:val="1"/>
                <w:szCs w:val="1"/>
                <w:color w:val="auto"/>
              </w:rPr>
            </w:pPr>
          </w:p>
        </w:tc>
      </w:tr>
      <w:tr>
        <w:trPr>
          <w:trHeight w:val="293"/>
        </w:trPr>
        <w:tc>
          <w:tcPr>
            <w:tcW w:w="62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2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w:t>
            </w:r>
          </w:p>
        </w:tc>
        <w:tc>
          <w:tcPr>
            <w:tcW w:w="4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192"/>
        </w:trPr>
        <w:tc>
          <w:tcPr>
            <w:tcW w:w="6220" w:type="dxa"/>
            <w:vAlign w:val="bottom"/>
          </w:tcPr>
          <w:p>
            <w:pPr>
              <w:ind w:left="200"/>
              <w:spacing w:after="0" w:line="192" w:lineRule="exact"/>
              <w:rPr>
                <w:sz w:val="20"/>
                <w:szCs w:val="20"/>
                <w:color w:val="auto"/>
              </w:rPr>
            </w:pPr>
            <w:r>
              <w:rPr>
                <w:rFonts w:ascii="Times New Roman" w:cs="Times New Roman" w:eastAsia="Times New Roman" w:hAnsi="Times New Roman"/>
                <w:sz w:val="20"/>
                <w:szCs w:val="20"/>
                <w:color w:val="1E1E1E"/>
              </w:rPr>
              <w:t>Amounts Reclassified from Accumulated Other Comprehensive Income to</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20"/>
                <w:szCs w:val="20"/>
                <w:color w:val="1E1E1E"/>
              </w:rPr>
              <w:t>Paid-in Capital</w:t>
            </w:r>
          </w:p>
        </w:tc>
        <w:tc>
          <w:tcPr>
            <w:tcW w:w="40" w:type="dxa"/>
            <w:vAlign w:val="bottom"/>
            <w:tcBorders>
              <w:bottom w:val="single" w:sz="8" w:color="E2E2E2"/>
            </w:tcBorders>
          </w:tcPr>
          <w:p>
            <w:pPr>
              <w:spacing w:after="0"/>
              <w:rPr>
                <w:sz w:val="22"/>
                <w:szCs w:val="22"/>
                <w:color w:val="auto"/>
              </w:rPr>
            </w:pPr>
          </w:p>
        </w:tc>
        <w:tc>
          <w:tcPr>
            <w:tcW w:w="30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gridSpan w:val="2"/>
            <w:vMerge w:val="continue"/>
          </w:tcPr>
          <w:p>
            <w:pPr>
              <w:spacing w:after="0"/>
              <w:rPr>
                <w:sz w:val="22"/>
                <w:szCs w:val="22"/>
                <w:color w:val="auto"/>
              </w:rPr>
            </w:pPr>
          </w:p>
        </w:tc>
        <w:tc>
          <w:tcPr>
            <w:tcW w:w="60" w:type="dxa"/>
            <w:vAlign w:val="bottom"/>
            <w:tcBorders>
              <w:bottom w:val="single" w:sz="8" w:color="E2E2E2"/>
            </w:tcBorders>
            <w:vMerge w:val="continue"/>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30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vMerge w:val="continue"/>
          </w:tcPr>
          <w:p>
            <w:pPr>
              <w:spacing w:after="0"/>
              <w:rPr>
                <w:sz w:val="22"/>
                <w:szCs w:val="22"/>
                <w:color w:val="auto"/>
              </w:rPr>
            </w:pPr>
          </w:p>
        </w:tc>
        <w:tc>
          <w:tcPr>
            <w:tcW w:w="60" w:type="dxa"/>
            <w:vAlign w:val="bottom"/>
            <w:tcBorders>
              <w:bottom w:val="single" w:sz="8" w:color="E2E2E2"/>
            </w:tcBorders>
          </w:tcPr>
          <w:p>
            <w:pPr>
              <w:spacing w:after="0"/>
              <w:rPr>
                <w:sz w:val="22"/>
                <w:szCs w:val="22"/>
                <w:color w:val="auto"/>
              </w:rPr>
            </w:pPr>
          </w:p>
        </w:tc>
        <w:tc>
          <w:tcPr>
            <w:tcW w:w="20" w:type="dxa"/>
            <w:vAlign w:val="bottom"/>
            <w:tcBorders>
              <w:bottom w:val="single" w:sz="8" w:color="E2E2E2"/>
            </w:tcBorders>
          </w:tcPr>
          <w:p>
            <w:pPr>
              <w:spacing w:after="0"/>
              <w:rPr>
                <w:sz w:val="22"/>
                <w:szCs w:val="22"/>
                <w:color w:val="auto"/>
              </w:rPr>
            </w:pPr>
          </w:p>
        </w:tc>
        <w:tc>
          <w:tcPr>
            <w:tcW w:w="40" w:type="dxa"/>
            <w:vAlign w:val="bottom"/>
            <w:tcBorders>
              <w:bottom w:val="single" w:sz="8" w:color="1E1E1E"/>
            </w:tcBorders>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Total Other Comprehensive Income (Loss), Net of Tax</w:t>
            </w:r>
          </w:p>
        </w:tc>
        <w:tc>
          <w:tcPr>
            <w:tcW w:w="3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shd w:val="clear" w:color="auto" w:fill="E2E2E2"/>
          </w:tcPr>
          <w:p>
            <w:pPr>
              <w:spacing w:after="0"/>
              <w:rPr>
                <w:sz w:val="24"/>
                <w:szCs w:val="24"/>
                <w:color w:val="auto"/>
              </w:rPr>
            </w:pPr>
          </w:p>
        </w:tc>
        <w:tc>
          <w:tcPr>
            <w:tcW w:w="32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83"/>
        </w:trPr>
        <w:tc>
          <w:tcPr>
            <w:tcW w:w="6220" w:type="dxa"/>
            <w:vAlign w:val="bottom"/>
            <w:tcBorders>
              <w:top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Total Comprehensive Income</w:t>
            </w:r>
          </w:p>
        </w:tc>
        <w:tc>
          <w:tcPr>
            <w:tcW w:w="40" w:type="dxa"/>
            <w:vAlign w:val="bottom"/>
            <w:tcBorders>
              <w:top w:val="single" w:sz="8" w:color="E2E2E2"/>
            </w:tcBorders>
          </w:tcPr>
          <w:p>
            <w:pPr>
              <w:spacing w:after="0"/>
              <w:rPr>
                <w:sz w:val="24"/>
                <w:szCs w:val="24"/>
                <w:color w:val="auto"/>
              </w:rPr>
            </w:pPr>
          </w:p>
        </w:tc>
        <w:tc>
          <w:tcPr>
            <w:tcW w:w="300" w:type="dxa"/>
            <w:vAlign w:val="bottom"/>
            <w:tcBorders>
              <w:top w:val="single" w:sz="8" w:color="1E1E1E"/>
            </w:tcBorders>
          </w:tcPr>
          <w:p>
            <w:pPr>
              <w:spacing w:after="0"/>
              <w:rPr>
                <w:sz w:val="24"/>
                <w:szCs w:val="24"/>
                <w:color w:val="auto"/>
              </w:rPr>
            </w:pPr>
          </w:p>
        </w:tc>
        <w:tc>
          <w:tcPr>
            <w:tcW w:w="9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113</w:t>
            </w:r>
          </w:p>
        </w:tc>
        <w:tc>
          <w:tcPr>
            <w:tcW w:w="20" w:type="dxa"/>
            <w:vAlign w:val="bottom"/>
            <w:tcBorders>
              <w:top w:val="single" w:sz="8" w:color="1E1E1E"/>
            </w:tcBorders>
          </w:tcPr>
          <w:p>
            <w:pPr>
              <w:spacing w:after="0"/>
              <w:rPr>
                <w:sz w:val="24"/>
                <w:szCs w:val="24"/>
                <w:color w:val="auto"/>
              </w:rPr>
            </w:pPr>
          </w:p>
        </w:tc>
        <w:tc>
          <w:tcPr>
            <w:tcW w:w="60" w:type="dxa"/>
            <w:vAlign w:val="bottom"/>
            <w:tcBorders>
              <w:top w:val="single" w:sz="8" w:color="E2E2E2"/>
            </w:tcBorders>
          </w:tcPr>
          <w:p>
            <w:pPr>
              <w:spacing w:after="0"/>
              <w:rPr>
                <w:sz w:val="24"/>
                <w:szCs w:val="24"/>
                <w:color w:val="auto"/>
              </w:rPr>
            </w:pPr>
          </w:p>
        </w:tc>
        <w:tc>
          <w:tcPr>
            <w:tcW w:w="20" w:type="dxa"/>
            <w:vAlign w:val="bottom"/>
            <w:tcBorders>
              <w:top w:val="single" w:sz="8" w:color="E2E2E2"/>
            </w:tcBorders>
          </w:tcPr>
          <w:p>
            <w:pPr>
              <w:spacing w:after="0"/>
              <w:rPr>
                <w:sz w:val="24"/>
                <w:szCs w:val="24"/>
                <w:color w:val="auto"/>
              </w:rPr>
            </w:pPr>
          </w:p>
        </w:tc>
        <w:tc>
          <w:tcPr>
            <w:tcW w:w="300" w:type="dxa"/>
            <w:vAlign w:val="bottom"/>
            <w:tcBorders>
              <w:top w:val="single" w:sz="8" w:color="1E1E1E"/>
            </w:tcBorders>
          </w:tcPr>
          <w:p>
            <w:pPr>
              <w:spacing w:after="0"/>
              <w:rPr>
                <w:sz w:val="24"/>
                <w:szCs w:val="24"/>
                <w:color w:val="auto"/>
              </w:rPr>
            </w:pPr>
          </w:p>
        </w:tc>
        <w:tc>
          <w:tcPr>
            <w:tcW w:w="9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334</w:t>
            </w:r>
          </w:p>
        </w:tc>
        <w:tc>
          <w:tcPr>
            <w:tcW w:w="60" w:type="dxa"/>
            <w:vAlign w:val="bottom"/>
            <w:tcBorders>
              <w:top w:val="single" w:sz="8" w:color="E2E2E2"/>
            </w:tcBorders>
          </w:tcPr>
          <w:p>
            <w:pPr>
              <w:spacing w:after="0"/>
              <w:rPr>
                <w:sz w:val="24"/>
                <w:szCs w:val="24"/>
                <w:color w:val="auto"/>
              </w:rPr>
            </w:pPr>
          </w:p>
        </w:tc>
        <w:tc>
          <w:tcPr>
            <w:tcW w:w="20" w:type="dxa"/>
            <w:vAlign w:val="bottom"/>
            <w:tcBorders>
              <w:top w:val="single" w:sz="8" w:color="E2E2E2"/>
            </w:tcBorders>
          </w:tcPr>
          <w:p>
            <w:pPr>
              <w:spacing w:after="0"/>
              <w:rPr>
                <w:sz w:val="24"/>
                <w:szCs w:val="24"/>
                <w:color w:val="auto"/>
              </w:rPr>
            </w:pPr>
          </w:p>
        </w:tc>
        <w:tc>
          <w:tcPr>
            <w:tcW w:w="40" w:type="dxa"/>
            <w:vAlign w:val="bottom"/>
            <w:tcBorders>
              <w:top w:val="single" w:sz="8" w:color="1E1E1E"/>
            </w:tcBorders>
          </w:tcPr>
          <w:p>
            <w:pPr>
              <w:spacing w:after="0"/>
              <w:rPr>
                <w:sz w:val="24"/>
                <w:szCs w:val="24"/>
                <w:color w:val="auto"/>
              </w:rPr>
            </w:pPr>
          </w:p>
        </w:tc>
        <w:tc>
          <w:tcPr>
            <w:tcW w:w="260" w:type="dxa"/>
            <w:vAlign w:val="bottom"/>
            <w:tcBorders>
              <w:top w:val="single" w:sz="8" w:color="1E1E1E"/>
            </w:tcBorders>
          </w:tcPr>
          <w:p>
            <w:pPr>
              <w:spacing w:after="0"/>
              <w:rPr>
                <w:sz w:val="24"/>
                <w:szCs w:val="24"/>
                <w:color w:val="auto"/>
              </w:rPr>
            </w:pPr>
          </w:p>
        </w:tc>
        <w:tc>
          <w:tcPr>
            <w:tcW w:w="9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647</w:t>
            </w:r>
          </w:p>
        </w:tc>
        <w:tc>
          <w:tcPr>
            <w:tcW w:w="0" w:type="dxa"/>
            <w:vAlign w:val="bottom"/>
          </w:tcPr>
          <w:p>
            <w:pPr>
              <w:spacing w:after="0"/>
              <w:rPr>
                <w:sz w:val="1"/>
                <w:szCs w:val="1"/>
                <w:color w:val="auto"/>
              </w:rPr>
            </w:pPr>
          </w:p>
        </w:tc>
      </w:tr>
      <w:tr>
        <w:trPr>
          <w:trHeight w:val="307"/>
        </w:trPr>
        <w:tc>
          <w:tcPr>
            <w:tcW w:w="6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Less: Net Income (Loss) Attributable to Noncontrolling Interest</w:t>
            </w:r>
          </w:p>
        </w:tc>
        <w:tc>
          <w:tcPr>
            <w:tcW w:w="4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0"/>
        </w:trPr>
        <w:tc>
          <w:tcPr>
            <w:tcW w:w="622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Less: Foreign Currency Translation Attributable to Noncontrolling Interest</w:t>
            </w:r>
          </w:p>
        </w:tc>
        <w:tc>
          <w:tcPr>
            <w:tcW w:w="4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gridSpan w:val="2"/>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80"/>
        </w:trPr>
        <w:tc>
          <w:tcPr>
            <w:tcW w:w="62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Comprehensive Income Attributable to Victoria's Secret &amp; Co.</w:t>
            </w:r>
          </w:p>
        </w:tc>
        <w:tc>
          <w:tcPr>
            <w:tcW w:w="3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2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344</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647</w:t>
            </w:r>
          </w:p>
        </w:tc>
        <w:tc>
          <w:tcPr>
            <w:tcW w:w="0" w:type="dxa"/>
            <w:vAlign w:val="bottom"/>
          </w:tcPr>
          <w:p>
            <w:pPr>
              <w:spacing w:after="0"/>
              <w:rPr>
                <w:sz w:val="1"/>
                <w:szCs w:val="1"/>
                <w:color w:val="auto"/>
              </w:rPr>
            </w:pPr>
          </w:p>
        </w:tc>
      </w:tr>
      <w:tr>
        <w:trPr>
          <w:trHeight w:val="20"/>
        </w:trPr>
        <w:tc>
          <w:tcPr>
            <w:tcW w:w="6220" w:type="dxa"/>
            <w:vAlign w:val="bottom"/>
            <w:tcBorders>
              <w:top w:val="single" w:sz="8" w:color="E2E2E2"/>
            </w:tcBorders>
          </w:tcPr>
          <w:p>
            <w:pPr>
              <w:spacing w:after="0" w:line="20" w:lineRule="exact"/>
              <w:rPr>
                <w:sz w:val="1"/>
                <w:szCs w:val="1"/>
                <w:color w:val="auto"/>
              </w:rPr>
            </w:pPr>
          </w:p>
        </w:tc>
        <w:tc>
          <w:tcPr>
            <w:tcW w:w="4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E2E2E2"/>
            </w:tcBorders>
          </w:tcPr>
          <w:p>
            <w:pPr>
              <w:spacing w:after="0" w:line="20" w:lineRule="exact"/>
              <w:rPr>
                <w:sz w:val="1"/>
                <w:szCs w:val="1"/>
                <w:color w:val="auto"/>
              </w:rPr>
            </w:pPr>
          </w:p>
        </w:tc>
        <w:tc>
          <w:tcPr>
            <w:tcW w:w="4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-5812790</wp:posOffset>
            </wp:positionV>
            <wp:extent cx="256222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9">
                      <a:extLst>
                        <a:ext uri="{28A0092B-C50C-407E-A947-70E740481C1C}"/>
                      </a:extLst>
                    </a:blip>
                    <a:srcRect/>
                    <a:stretch>
                      <a:fillRect/>
                    </a:stretch>
                  </pic:blipFill>
                  <pic:spPr bwMode="auto">
                    <a:xfrm>
                      <a:off x="0" y="0"/>
                      <a:ext cx="2562225"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-5450840</wp:posOffset>
            </wp:positionV>
            <wp:extent cx="173990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0">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-5088890</wp:posOffset>
            </wp:positionV>
            <wp:extent cx="173990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1">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-4545965</wp:posOffset>
            </wp:positionV>
            <wp:extent cx="173990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2">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-4184015</wp:posOffset>
            </wp:positionV>
            <wp:extent cx="173990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3">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-3822065</wp:posOffset>
            </wp:positionV>
            <wp:extent cx="173990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extLst>
                    </a:blip>
                    <a:srcRect/>
                    <a:stretch>
                      <a:fillRect/>
                    </a:stretch>
                  </pic:blipFill>
                  <pic:spPr bwMode="auto">
                    <a:xfrm>
                      <a:off x="0" y="0"/>
                      <a:ext cx="1739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-3634740</wp:posOffset>
            </wp:positionV>
            <wp:extent cx="2574925" cy="76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extLst>
                    </a:blip>
                    <a:srcRect/>
                    <a:stretch>
                      <a:fillRect/>
                    </a:stretch>
                  </pic:blipFill>
                  <pic:spPr bwMode="auto">
                    <a:xfrm>
                      <a:off x="0" y="0"/>
                      <a:ext cx="2574925" cy="7620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-1863090</wp:posOffset>
            </wp:positionV>
            <wp:extent cx="2546350"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6">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-996315</wp:posOffset>
            </wp:positionV>
            <wp:extent cx="1720850"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7">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-805815</wp:posOffset>
            </wp:positionV>
            <wp:extent cx="1720850"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-234315</wp:posOffset>
            </wp:positionV>
            <wp:extent cx="172085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9">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-56515</wp:posOffset>
            </wp:positionV>
            <wp:extent cx="2546350" cy="76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0">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and Combined Financial Statements.</w:t>
      </w:r>
    </w:p>
    <w:p>
      <w:pPr>
        <w:sectPr>
          <w:pgSz w:w="11880" w:h="15480" w:orient="portrait"/>
          <w:cols w:equalWidth="0" w:num="1">
            <w:col w:w="10200"/>
          </w:cols>
          <w:pgMar w:left="840" w:top="4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200"/>
          </w:cols>
          <w:pgMar w:left="840" w:top="446" w:right="84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BALANCE SHEETS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 except par value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1E1E1E"/>
              </w:rPr>
              <w:t>January 28,</w:t>
            </w:r>
          </w:p>
        </w:tc>
        <w:tc>
          <w:tcPr>
            <w:tcW w:w="0" w:type="dxa"/>
            <w:vAlign w:val="bottom"/>
          </w:tcPr>
          <w:p>
            <w:pPr>
              <w:spacing w:after="0"/>
              <w:rPr>
                <w:sz w:val="1"/>
                <w:szCs w:val="1"/>
                <w:color w:val="auto"/>
              </w:rPr>
            </w:pPr>
          </w:p>
        </w:tc>
      </w:tr>
      <w:tr>
        <w:trPr>
          <w:trHeight w:val="214"/>
        </w:trPr>
        <w:tc>
          <w:tcPr>
            <w:tcW w:w="756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0" w:type="dxa"/>
            <w:vAlign w:val="bottom"/>
          </w:tcPr>
          <w:p>
            <w:pPr>
              <w:spacing w:after="0"/>
              <w:rPr>
                <w:sz w:val="1"/>
                <w:szCs w:val="1"/>
                <w:color w:val="auto"/>
              </w:rPr>
            </w:pPr>
          </w:p>
        </w:tc>
      </w:tr>
      <w:tr>
        <w:trPr>
          <w:trHeight w:val="255"/>
        </w:trPr>
        <w:tc>
          <w:tcPr>
            <w:tcW w:w="7560" w:type="dxa"/>
            <w:vAlign w:val="bottom"/>
            <w:tcBorders>
              <w:bottom w:val="single" w:sz="8" w:color="E2E2E2"/>
            </w:tcBorders>
            <w:shd w:val="clear" w:color="auto" w:fill="E2E2E2"/>
          </w:tcPr>
          <w:p>
            <w:pPr>
              <w:ind w:left="3400"/>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200" w:type="dxa"/>
            <w:vAlign w:val="bottom"/>
            <w:tcBorders>
              <w:bottom w:val="single" w:sz="8" w:color="E2E2E2"/>
            </w:tcBorders>
            <w:shd w:val="clear" w:color="auto" w:fill="E2E2E2"/>
          </w:tcPr>
          <w:p>
            <w:pPr>
              <w:spacing w:after="0"/>
              <w:rPr>
                <w:sz w:val="22"/>
                <w:szCs w:val="22"/>
                <w:color w:val="auto"/>
              </w:rPr>
            </w:pPr>
          </w:p>
        </w:tc>
        <w:tc>
          <w:tcPr>
            <w:tcW w:w="110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E2E2E2"/>
            </w:tcBorders>
            <w:shd w:val="clear" w:color="auto" w:fill="E2E2E2"/>
          </w:tcPr>
          <w:p>
            <w:pPr>
              <w:spacing w:after="0"/>
              <w:rPr>
                <w:sz w:val="22"/>
                <w:szCs w:val="22"/>
                <w:color w:val="auto"/>
              </w:rPr>
            </w:pPr>
          </w:p>
        </w:tc>
        <w:tc>
          <w:tcPr>
            <w:tcW w:w="1100" w:type="dxa"/>
            <w:vAlign w:val="bottom"/>
            <w:tcBorders>
              <w:bottom w:val="single" w:sz="8" w:color="E2E2E2"/>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Current Assets: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270</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427</w:t>
            </w:r>
          </w:p>
        </w:tc>
        <w:tc>
          <w:tcPr>
            <w:tcW w:w="0" w:type="dxa"/>
            <w:vAlign w:val="bottom"/>
          </w:tcPr>
          <w:p>
            <w:pPr>
              <w:spacing w:after="0"/>
              <w:rPr>
                <w:sz w:val="1"/>
                <w:szCs w:val="1"/>
                <w:color w:val="auto"/>
              </w:rPr>
            </w:pPr>
          </w:p>
        </w:tc>
      </w:tr>
      <w:tr>
        <w:trPr>
          <w:trHeight w:val="293"/>
        </w:trPr>
        <w:tc>
          <w:tcPr>
            <w:tcW w:w="75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Accounts Receivable,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141</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Inventories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985</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1,052</w:t>
            </w:r>
          </w:p>
        </w:tc>
        <w:tc>
          <w:tcPr>
            <w:tcW w:w="0" w:type="dxa"/>
            <w:vAlign w:val="bottom"/>
          </w:tcPr>
          <w:p>
            <w:pPr>
              <w:spacing w:after="0"/>
              <w:rPr>
                <w:sz w:val="1"/>
                <w:szCs w:val="1"/>
                <w:color w:val="auto"/>
              </w:rPr>
            </w:pPr>
          </w:p>
        </w:tc>
      </w:tr>
      <w:tr>
        <w:trPr>
          <w:trHeight w:val="290"/>
        </w:trPr>
        <w:tc>
          <w:tcPr>
            <w:tcW w:w="756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Other</w:t>
            </w: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126</w:t>
            </w: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117</w:t>
            </w:r>
          </w:p>
        </w:tc>
        <w:tc>
          <w:tcPr>
            <w:tcW w:w="0" w:type="dxa"/>
            <w:vAlign w:val="bottom"/>
          </w:tcPr>
          <w:p>
            <w:pPr>
              <w:spacing w:after="0"/>
              <w:rPr>
                <w:sz w:val="1"/>
                <w:szCs w:val="1"/>
                <w:color w:val="auto"/>
              </w:rPr>
            </w:pPr>
          </w:p>
        </w:tc>
      </w:tr>
      <w:tr>
        <w:trPr>
          <w:trHeight w:val="29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Current Assets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1,533</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1,737</w:t>
            </w: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846</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Operating Lease Assets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1,351</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1,232</w:t>
            </w: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Goodwill</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365</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Trade Names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284</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289</w:t>
            </w: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Intangible Assets,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Deferred Income Taxes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290"/>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Assets</w:t>
            </w: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28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Assets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4,600</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4,711</w:t>
            </w:r>
          </w:p>
        </w:tc>
        <w:tc>
          <w:tcPr>
            <w:tcW w:w="0" w:type="dxa"/>
            <w:vAlign w:val="bottom"/>
          </w:tcPr>
          <w:p>
            <w:pPr>
              <w:spacing w:after="0"/>
              <w:rPr>
                <w:sz w:val="1"/>
                <w:szCs w:val="1"/>
                <w:color w:val="auto"/>
              </w:rPr>
            </w:pPr>
          </w:p>
        </w:tc>
      </w:tr>
      <w:tr>
        <w:trPr>
          <w:trHeight w:val="20"/>
        </w:trPr>
        <w:tc>
          <w:tcPr>
            <w:tcW w:w="7560" w:type="dxa"/>
            <w:vAlign w:val="bottom"/>
            <w:tcBorders>
              <w:top w:val="single" w:sz="8" w:color="E2E2E2"/>
              <w:bottom w:val="single" w:sz="8" w:color="E2E2E2"/>
            </w:tcBorders>
            <w:vMerge w:val="restart"/>
          </w:tcPr>
          <w:p>
            <w:pPr>
              <w:ind w:left="2500"/>
              <w:spacing w:after="0"/>
              <w:rPr>
                <w:sz w:val="20"/>
                <w:szCs w:val="20"/>
                <w:color w:val="auto"/>
              </w:rPr>
            </w:pPr>
            <w:r>
              <w:rPr>
                <w:rFonts w:ascii="Times New Roman" w:cs="Times New Roman" w:eastAsia="Times New Roman" w:hAnsi="Times New Roman"/>
                <w:sz w:val="20"/>
                <w:szCs w:val="20"/>
                <w:b w:val="1"/>
                <w:bCs w:val="1"/>
                <w:color w:val="1E1E1E"/>
              </w:rPr>
              <w:t>LIABILITIES AND EQUITY</w:t>
            </w: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Current Liabilities: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5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481</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Accrued Expenses and Other</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810</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737</w:t>
            </w:r>
          </w:p>
        </w:tc>
        <w:tc>
          <w:tcPr>
            <w:tcW w:w="0" w:type="dxa"/>
            <w:vAlign w:val="bottom"/>
          </w:tcPr>
          <w:p>
            <w:pPr>
              <w:spacing w:after="0"/>
              <w:rPr>
                <w:sz w:val="1"/>
                <w:szCs w:val="1"/>
                <w:color w:val="auto"/>
              </w:rPr>
            </w:pPr>
          </w:p>
        </w:tc>
      </w:tr>
      <w:tr>
        <w:trPr>
          <w:trHeight w:val="293"/>
        </w:trPr>
        <w:tc>
          <w:tcPr>
            <w:tcW w:w="75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Current Debt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Current Operating Lease Liabilities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267</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310</w:t>
            </w:r>
          </w:p>
        </w:tc>
        <w:tc>
          <w:tcPr>
            <w:tcW w:w="0" w:type="dxa"/>
            <w:vAlign w:val="bottom"/>
          </w:tcPr>
          <w:p>
            <w:pPr>
              <w:spacing w:after="0"/>
              <w:rPr>
                <w:sz w:val="1"/>
                <w:szCs w:val="1"/>
                <w:color w:val="auto"/>
              </w:rPr>
            </w:pPr>
          </w:p>
        </w:tc>
      </w:tr>
      <w:tr>
        <w:trPr>
          <w:trHeight w:val="290"/>
        </w:trPr>
        <w:tc>
          <w:tcPr>
            <w:tcW w:w="756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Income Taxes</w:t>
            </w: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0" w:type="dxa"/>
            <w:vAlign w:val="bottom"/>
          </w:tcPr>
          <w:p>
            <w:pPr>
              <w:spacing w:after="0"/>
              <w:rPr>
                <w:sz w:val="1"/>
                <w:szCs w:val="1"/>
                <w:color w:val="auto"/>
              </w:rPr>
            </w:pPr>
          </w:p>
        </w:tc>
      </w:tr>
      <w:tr>
        <w:trPr>
          <w:trHeight w:val="29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Current Liabilities</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1,614</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1,579</w:t>
            </w: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Deferred Income Taxes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0" w:type="dxa"/>
            <w:vAlign w:val="bottom"/>
          </w:tcPr>
          <w:p>
            <w:pPr>
              <w:spacing w:after="0"/>
              <w:rPr>
                <w:sz w:val="1"/>
                <w:szCs w:val="1"/>
                <w:color w:val="auto"/>
              </w:rPr>
            </w:pPr>
          </w:p>
        </w:tc>
      </w:tr>
      <w:tr>
        <w:trPr>
          <w:trHeight w:val="307"/>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Long-term Debt</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1,120</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1,271</w:t>
            </w:r>
          </w:p>
        </w:tc>
        <w:tc>
          <w:tcPr>
            <w:tcW w:w="0" w:type="dxa"/>
            <w:vAlign w:val="bottom"/>
          </w:tcPr>
          <w:p>
            <w:pPr>
              <w:spacing w:after="0"/>
              <w:rPr>
                <w:sz w:val="1"/>
                <w:szCs w:val="1"/>
                <w:color w:val="auto"/>
              </w:rPr>
            </w:pPr>
          </w:p>
        </w:tc>
      </w:tr>
      <w:tr>
        <w:trPr>
          <w:trHeight w:val="293"/>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Long-term Operating Lease Liabilities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1,201</w:t>
            </w:r>
          </w:p>
        </w:tc>
        <w:tc>
          <w:tcPr>
            <w:tcW w:w="0" w:type="dxa"/>
            <w:vAlign w:val="bottom"/>
          </w:tcPr>
          <w:p>
            <w:pPr>
              <w:spacing w:after="0"/>
              <w:rPr>
                <w:sz w:val="1"/>
                <w:szCs w:val="1"/>
                <w:color w:val="auto"/>
              </w:rPr>
            </w:pPr>
          </w:p>
        </w:tc>
      </w:tr>
      <w:tr>
        <w:trPr>
          <w:trHeight w:val="315"/>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206</w:t>
            </w:r>
          </w:p>
        </w:tc>
        <w:tc>
          <w:tcPr>
            <w:tcW w:w="0" w:type="dxa"/>
            <w:vAlign w:val="bottom"/>
          </w:tcPr>
          <w:p>
            <w:pPr>
              <w:spacing w:after="0"/>
              <w:rPr>
                <w:sz w:val="1"/>
                <w:szCs w:val="1"/>
                <w:color w:val="auto"/>
              </w:rPr>
            </w:pPr>
          </w:p>
        </w:tc>
      </w:tr>
      <w:tr>
        <w:trPr>
          <w:trHeight w:val="262"/>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Total Liabilities</w:t>
            </w:r>
          </w:p>
        </w:tc>
        <w:tc>
          <w:tcPr>
            <w:tcW w:w="2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4,162</w:t>
            </w:r>
          </w:p>
        </w:tc>
        <w:tc>
          <w:tcPr>
            <w:tcW w:w="8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4,310</w:t>
            </w:r>
          </w:p>
        </w:tc>
        <w:tc>
          <w:tcPr>
            <w:tcW w:w="0" w:type="dxa"/>
            <w:vAlign w:val="bottom"/>
          </w:tcPr>
          <w:p>
            <w:pPr>
              <w:spacing w:after="0"/>
              <w:rPr>
                <w:sz w:val="1"/>
                <w:szCs w:val="1"/>
                <w:color w:val="auto"/>
              </w:rPr>
            </w:pPr>
          </w:p>
        </w:tc>
      </w:tr>
      <w:tr>
        <w:trPr>
          <w:trHeight w:val="29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Shareholders’ Equity:</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5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Preferred Stock—$0.01 par value; 10 shares authorized; none issued</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8"/>
        </w:trPr>
        <w:tc>
          <w:tcPr>
            <w:tcW w:w="7560" w:type="dxa"/>
            <w:vAlign w:val="bottom"/>
            <w:shd w:val="clear" w:color="auto" w:fill="E2E2E2"/>
          </w:tcPr>
          <w:p>
            <w:pPr>
              <w:ind w:left="400"/>
              <w:spacing w:after="0" w:line="229" w:lineRule="exact"/>
              <w:rPr>
                <w:sz w:val="20"/>
                <w:szCs w:val="20"/>
                <w:color w:val="auto"/>
              </w:rPr>
            </w:pPr>
            <w:r>
              <w:rPr>
                <w:rFonts w:ascii="Times New Roman" w:cs="Times New Roman" w:eastAsia="Times New Roman" w:hAnsi="Times New Roman"/>
                <w:sz w:val="20"/>
                <w:szCs w:val="20"/>
                <w:color w:val="1E1E1E"/>
              </w:rPr>
              <w:t>Common Stock—$0.01 par value; 1,000 shares authorized; 78 and 80 shares issued; 78</w:t>
            </w:r>
          </w:p>
        </w:tc>
        <w:tc>
          <w:tcPr>
            <w:tcW w:w="200" w:type="dxa"/>
            <w:vAlign w:val="bottom"/>
            <w:shd w:val="clear" w:color="auto" w:fill="E2E2E2"/>
          </w:tcPr>
          <w:p>
            <w:pPr>
              <w:spacing w:after="0"/>
              <w:rPr>
                <w:sz w:val="19"/>
                <w:szCs w:val="19"/>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80" w:type="dxa"/>
            <w:vAlign w:val="bottom"/>
            <w:shd w:val="clear" w:color="auto" w:fill="E2E2E2"/>
          </w:tcPr>
          <w:p>
            <w:pPr>
              <w:spacing w:after="0"/>
              <w:rPr>
                <w:sz w:val="19"/>
                <w:szCs w:val="19"/>
                <w:color w:val="auto"/>
              </w:rPr>
            </w:pPr>
          </w:p>
        </w:tc>
        <w:tc>
          <w:tcPr>
            <w:tcW w:w="200" w:type="dxa"/>
            <w:vAlign w:val="bottom"/>
            <w:shd w:val="clear" w:color="auto" w:fill="E2E2E2"/>
          </w:tcPr>
          <w:p>
            <w:pPr>
              <w:spacing w:after="0"/>
              <w:rPr>
                <w:sz w:val="19"/>
                <w:szCs w:val="19"/>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73"/>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and 80 shares outstanding, respectively</w:t>
            </w:r>
          </w:p>
        </w:tc>
        <w:tc>
          <w:tcPr>
            <w:tcW w:w="200" w:type="dxa"/>
            <w:vAlign w:val="bottom"/>
            <w:shd w:val="clear" w:color="auto" w:fill="E2E2E2"/>
          </w:tcPr>
          <w:p>
            <w:pPr>
              <w:spacing w:after="0"/>
              <w:rPr>
                <w:sz w:val="23"/>
                <w:szCs w:val="23"/>
                <w:color w:val="auto"/>
              </w:rPr>
            </w:pPr>
          </w:p>
        </w:tc>
        <w:tc>
          <w:tcPr>
            <w:tcW w:w="1100" w:type="dxa"/>
            <w:vAlign w:val="bottom"/>
            <w:vMerge w:val="continue"/>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1100" w:type="dxa"/>
            <w:vAlign w:val="bottom"/>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5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Paid-in Capital</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195</w:t>
            </w:r>
          </w:p>
        </w:tc>
        <w:tc>
          <w:tcPr>
            <w:tcW w:w="0" w:type="dxa"/>
            <w:vAlign w:val="bottom"/>
          </w:tcPr>
          <w:p>
            <w:pPr>
              <w:spacing w:after="0"/>
              <w:rPr>
                <w:sz w:val="1"/>
                <w:szCs w:val="1"/>
                <w:color w:val="auto"/>
              </w:rPr>
            </w:pPr>
          </w:p>
        </w:tc>
      </w:tr>
      <w:tr>
        <w:trPr>
          <w:trHeight w:val="306"/>
        </w:trPr>
        <w:tc>
          <w:tcPr>
            <w:tcW w:w="756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Accumulated Other Comprehensive Income</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90"/>
        </w:trPr>
        <w:tc>
          <w:tcPr>
            <w:tcW w:w="756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Retained Earnings</w:t>
            </w: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186</w:t>
            </w:r>
          </w:p>
        </w:tc>
        <w:tc>
          <w:tcPr>
            <w:tcW w:w="0" w:type="dxa"/>
            <w:vAlign w:val="bottom"/>
          </w:tcPr>
          <w:p>
            <w:pPr>
              <w:spacing w:after="0"/>
              <w:rPr>
                <w:sz w:val="1"/>
                <w:szCs w:val="1"/>
                <w:color w:val="auto"/>
              </w:rPr>
            </w:pPr>
          </w:p>
        </w:tc>
      </w:tr>
      <w:tr>
        <w:trPr>
          <w:trHeight w:val="29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Victoria's Secret &amp; Co. Shareholders' Equity</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417</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383</w:t>
            </w:r>
          </w:p>
        </w:tc>
        <w:tc>
          <w:tcPr>
            <w:tcW w:w="0" w:type="dxa"/>
            <w:vAlign w:val="bottom"/>
          </w:tcPr>
          <w:p>
            <w:pPr>
              <w:spacing w:after="0"/>
              <w:rPr>
                <w:sz w:val="1"/>
                <w:szCs w:val="1"/>
                <w:color w:val="auto"/>
              </w:rPr>
            </w:pPr>
          </w:p>
        </w:tc>
      </w:tr>
      <w:tr>
        <w:trPr>
          <w:trHeight w:val="290"/>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Noncontrolling Interest</w:t>
            </w: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8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299"/>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Equity</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438</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0" w:type="dxa"/>
            <w:vAlign w:val="bottom"/>
          </w:tcPr>
          <w:p>
            <w:pPr>
              <w:spacing w:after="0"/>
              <w:rPr>
                <w:sz w:val="1"/>
                <w:szCs w:val="1"/>
                <w:color w:val="auto"/>
              </w:rPr>
            </w:pPr>
          </w:p>
        </w:tc>
      </w:tr>
      <w:tr>
        <w:trPr>
          <w:trHeight w:val="241"/>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Total Liabilities and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4,711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-7387590</wp:posOffset>
            </wp:positionV>
            <wp:extent cx="174307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1">
                      <a:extLst>
                        <a:ext uri="{28A0092B-C50C-407E-A947-70E740481C1C}"/>
                      </a:extLst>
                    </a:blip>
                    <a:srcRect/>
                    <a:stretch>
                      <a:fillRect/>
                    </a:stretch>
                  </pic:blipFill>
                  <pic:spPr bwMode="auto">
                    <a:xfrm>
                      <a:off x="0" y="0"/>
                      <a:ext cx="1743075"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-6254115</wp:posOffset>
            </wp:positionV>
            <wp:extent cx="90170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2">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-4730115</wp:posOffset>
            </wp:positionV>
            <wp:extent cx="90170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-4552315</wp:posOffset>
            </wp:positionV>
            <wp:extent cx="1755775"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4">
                      <a:extLst>
                        <a:ext uri="{28A0092B-C50C-407E-A947-70E740481C1C}"/>
                      </a:extLst>
                    </a:blip>
                    <a:srcRect/>
                    <a:stretch>
                      <a:fillRect/>
                    </a:stretch>
                  </pic:blipFill>
                  <pic:spPr bwMode="auto">
                    <a:xfrm>
                      <a:off x="0" y="0"/>
                      <a:ext cx="1755775" cy="762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-3215640</wp:posOffset>
            </wp:positionV>
            <wp:extent cx="90170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-2263140</wp:posOffset>
            </wp:positionV>
            <wp:extent cx="90170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6">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-2072640</wp:posOffset>
            </wp:positionV>
            <wp:extent cx="90170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7">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-805815</wp:posOffset>
            </wp:positionV>
            <wp:extent cx="90170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8">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-424815</wp:posOffset>
            </wp:positionV>
            <wp:extent cx="90170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9">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-234315</wp:posOffset>
            </wp:positionV>
            <wp:extent cx="90170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0">
                      <a:extLst>
                        <a:ext uri="{28A0092B-C50C-407E-A947-70E740481C1C}"/>
                      </a:extLst>
                    </a:blip>
                    <a:srcRect/>
                    <a:stretch>
                      <a:fillRect/>
                    </a:stretch>
                  </pic:blipFill>
                  <pic:spPr bwMode="auto">
                    <a:xfrm>
                      <a:off x="0" y="0"/>
                      <a:ext cx="901700" cy="508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240"/>
          </w:cols>
          <w:pgMar w:left="820" w:top="446" w:right="82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AND COMBINED STATEMENTS OF EQUITY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1E1E1E"/>
              </w:rPr>
              <w:t>Net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1E1E1E"/>
                <w:w w:val="98"/>
              </w:rPr>
              <w:t>Total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15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1E1E1E"/>
              </w:rPr>
              <w:t>Common Stock</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1E1E1E"/>
              </w:rPr>
              <w:t>Victoria's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1560" w:type="dxa"/>
            <w:vAlign w:val="bottom"/>
            <w:tcBorders>
              <w:bottom w:val="single" w:sz="8" w:color="1E1E1E"/>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5"/>
                <w:szCs w:val="15"/>
                <w:b w:val="1"/>
                <w:bCs w:val="1"/>
                <w:color w:val="1E1E1E"/>
              </w:rPr>
              <w:t>Investment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60"/>
              <w:spacing w:after="0" w:line="130" w:lineRule="exact"/>
              <w:rPr>
                <w:sz w:val="20"/>
                <w:szCs w:val="20"/>
                <w:color w:val="auto"/>
              </w:rPr>
            </w:pPr>
            <w:r>
              <w:rPr>
                <w:rFonts w:ascii="Times New Roman" w:cs="Times New Roman" w:eastAsia="Times New Roman" w:hAnsi="Times New Roman"/>
                <w:sz w:val="15"/>
                <w:szCs w:val="15"/>
                <w:b w:val="1"/>
                <w:bCs w:val="1"/>
                <w:color w:val="1E1E1E"/>
              </w:rPr>
              <w:t>Other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Times New Roman" w:cs="Times New Roman" w:eastAsia="Times New Roman" w:hAnsi="Times New Roman"/>
                <w:sz w:val="15"/>
                <w:szCs w:val="15"/>
                <w:b w:val="1"/>
                <w:bCs w:val="1"/>
                <w:color w:val="1E1E1E"/>
              </w:rPr>
              <w:t>Secret &amp;</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960" w:type="dxa"/>
            <w:vAlign w:val="bottom"/>
          </w:tcPr>
          <w:p>
            <w:pPr>
              <w:ind w:left="260"/>
              <w:spacing w:after="0" w:line="171" w:lineRule="exact"/>
              <w:rPr>
                <w:sz w:val="20"/>
                <w:szCs w:val="20"/>
                <w:color w:val="auto"/>
              </w:rPr>
            </w:pPr>
            <w:r>
              <w:rPr>
                <w:rFonts w:ascii="Times New Roman" w:cs="Times New Roman" w:eastAsia="Times New Roman" w:hAnsi="Times New Roman"/>
                <w:sz w:val="16"/>
                <w:szCs w:val="16"/>
                <w:b w:val="1"/>
                <w:bCs w:val="1"/>
                <w:color w:val="1E1E1E"/>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60"/>
              <w:spacing w:after="0" w:line="171" w:lineRule="exact"/>
              <w:rPr>
                <w:sz w:val="20"/>
                <w:szCs w:val="20"/>
                <w:color w:val="auto"/>
              </w:rPr>
            </w:pPr>
            <w:r>
              <w:rPr>
                <w:rFonts w:ascii="Times New Roman" w:cs="Times New Roman" w:eastAsia="Times New Roman" w:hAnsi="Times New Roman"/>
                <w:sz w:val="16"/>
                <w:szCs w:val="16"/>
                <w:b w:val="1"/>
                <w:bCs w:val="1"/>
                <w:color w:val="1E1E1E"/>
                <w:w w:val="96"/>
              </w:rPr>
              <w:t>Par</w:t>
            </w:r>
          </w:p>
        </w:tc>
        <w:tc>
          <w:tcPr>
            <w:tcW w:w="60" w:type="dxa"/>
            <w:vAlign w:val="bottom"/>
          </w:tcPr>
          <w:p>
            <w:pPr>
              <w:spacing w:after="0"/>
              <w:rPr>
                <w:sz w:val="14"/>
                <w:szCs w:val="14"/>
                <w:color w:val="auto"/>
              </w:rPr>
            </w:pPr>
          </w:p>
        </w:tc>
        <w:tc>
          <w:tcPr>
            <w:tcW w:w="6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1E1E1E"/>
              </w:rPr>
              <w:t>Paid-in</w:t>
            </w:r>
          </w:p>
        </w:tc>
        <w:tc>
          <w:tcPr>
            <w:tcW w:w="60" w:type="dxa"/>
            <w:vAlign w:val="bottom"/>
          </w:tcPr>
          <w:p>
            <w:pPr>
              <w:spacing w:after="0"/>
              <w:rPr>
                <w:sz w:val="14"/>
                <w:szCs w:val="14"/>
                <w:color w:val="auto"/>
              </w:rPr>
            </w:pPr>
          </w:p>
        </w:tc>
        <w:tc>
          <w:tcPr>
            <w:tcW w:w="88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b w:val="1"/>
                <w:bCs w:val="1"/>
                <w:color w:val="1E1E1E"/>
              </w:rPr>
              <w:t>by Former</w:t>
            </w:r>
          </w:p>
        </w:tc>
        <w:tc>
          <w:tcPr>
            <w:tcW w:w="60" w:type="dxa"/>
            <w:vAlign w:val="bottom"/>
          </w:tcPr>
          <w:p>
            <w:pPr>
              <w:spacing w:after="0"/>
              <w:rPr>
                <w:sz w:val="14"/>
                <w:szCs w:val="14"/>
                <w:color w:val="auto"/>
              </w:rPr>
            </w:pPr>
          </w:p>
        </w:tc>
        <w:tc>
          <w:tcPr>
            <w:tcW w:w="118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1E1E1E"/>
              </w:rPr>
              <w:t>Comprehensive</w:t>
            </w:r>
          </w:p>
        </w:tc>
        <w:tc>
          <w:tcPr>
            <w:tcW w:w="60" w:type="dxa"/>
            <w:vAlign w:val="bottom"/>
          </w:tcPr>
          <w:p>
            <w:pPr>
              <w:spacing w:after="0"/>
              <w:rPr>
                <w:sz w:val="14"/>
                <w:szCs w:val="14"/>
                <w:color w:val="auto"/>
              </w:rPr>
            </w:pPr>
          </w:p>
        </w:tc>
        <w:tc>
          <w:tcPr>
            <w:tcW w:w="74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1E1E1E"/>
              </w:rPr>
              <w:t>Retained</w:t>
            </w:r>
          </w:p>
        </w:tc>
        <w:tc>
          <w:tcPr>
            <w:tcW w:w="60" w:type="dxa"/>
            <w:vAlign w:val="bottom"/>
          </w:tcPr>
          <w:p>
            <w:pPr>
              <w:spacing w:after="0"/>
              <w:rPr>
                <w:sz w:val="14"/>
                <w:szCs w:val="14"/>
                <w:color w:val="auto"/>
              </w:rPr>
            </w:pPr>
          </w:p>
        </w:tc>
        <w:tc>
          <w:tcPr>
            <w:tcW w:w="74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1E1E1E"/>
              </w:rPr>
              <w:t>Treasury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60"/>
              <w:spacing w:after="0" w:line="171" w:lineRule="exact"/>
              <w:rPr>
                <w:sz w:val="20"/>
                <w:szCs w:val="20"/>
                <w:color w:val="auto"/>
              </w:rPr>
            </w:pPr>
            <w:r>
              <w:rPr>
                <w:rFonts w:ascii="Times New Roman" w:cs="Times New Roman" w:eastAsia="Times New Roman" w:hAnsi="Times New Roman"/>
                <w:sz w:val="16"/>
                <w:szCs w:val="16"/>
                <w:b w:val="1"/>
                <w:bCs w:val="1"/>
                <w:color w:val="1E1E1E"/>
              </w:rPr>
              <w:t>Co.</w:t>
            </w:r>
          </w:p>
        </w:tc>
        <w:tc>
          <w:tcPr>
            <w:tcW w:w="60" w:type="dxa"/>
            <w:vAlign w:val="bottom"/>
          </w:tcPr>
          <w:p>
            <w:pPr>
              <w:spacing w:after="0"/>
              <w:rPr>
                <w:sz w:val="14"/>
                <w:szCs w:val="14"/>
                <w:color w:val="auto"/>
              </w:rPr>
            </w:pPr>
          </w:p>
        </w:tc>
        <w:tc>
          <w:tcPr>
            <w:tcW w:w="114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1E1E1E"/>
              </w:rPr>
              <w:t>Noncontrolling</w:t>
            </w:r>
          </w:p>
        </w:tc>
        <w:tc>
          <w:tcPr>
            <w:tcW w:w="60" w:type="dxa"/>
            <w:vAlign w:val="bottom"/>
          </w:tcPr>
          <w:p>
            <w:pPr>
              <w:spacing w:after="0"/>
              <w:rPr>
                <w:sz w:val="14"/>
                <w:szCs w:val="14"/>
                <w:color w:val="auto"/>
              </w:rPr>
            </w:pPr>
          </w:p>
        </w:tc>
        <w:tc>
          <w:tcPr>
            <w:tcW w:w="600" w:type="dxa"/>
            <w:vAlign w:val="bottom"/>
            <w:gridSpan w:val="2"/>
          </w:tcPr>
          <w:p>
            <w:pPr>
              <w:jc w:val="right"/>
              <w:ind w:right="40"/>
              <w:spacing w:after="0" w:line="171" w:lineRule="exact"/>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E2E2E2"/>
            </w:tcBorders>
          </w:tcPr>
          <w:p>
            <w:pPr>
              <w:spacing w:after="0"/>
              <w:rPr>
                <w:sz w:val="18"/>
                <w:szCs w:val="18"/>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Outstanding</w:t>
            </w:r>
          </w:p>
        </w:tc>
        <w:tc>
          <w:tcPr>
            <w:tcW w:w="60" w:type="dxa"/>
            <w:vAlign w:val="bottom"/>
            <w:tcBorders>
              <w:bottom w:val="single" w:sz="8" w:color="E2E2E2"/>
            </w:tcBorders>
          </w:tcPr>
          <w:p>
            <w:pPr>
              <w:spacing w:after="0"/>
              <w:rPr>
                <w:sz w:val="18"/>
                <w:szCs w:val="18"/>
                <w:color w:val="auto"/>
              </w:rPr>
            </w:pPr>
          </w:p>
        </w:tc>
        <w:tc>
          <w:tcPr>
            <w:tcW w:w="540" w:type="dxa"/>
            <w:vAlign w:val="bottom"/>
            <w:tcBorders>
              <w:bottom w:val="single" w:sz="8" w:color="1E1E1E"/>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Value</w:t>
            </w:r>
          </w:p>
        </w:tc>
        <w:tc>
          <w:tcPr>
            <w:tcW w:w="60" w:type="dxa"/>
            <w:vAlign w:val="bottom"/>
            <w:tcBorders>
              <w:bottom w:val="single" w:sz="8" w:color="E2E2E2"/>
            </w:tcBorders>
          </w:tcPr>
          <w:p>
            <w:pPr>
              <w:spacing w:after="0"/>
              <w:rPr>
                <w:sz w:val="18"/>
                <w:szCs w:val="18"/>
                <w:color w:val="auto"/>
              </w:rPr>
            </w:pPr>
          </w:p>
        </w:tc>
        <w:tc>
          <w:tcPr>
            <w:tcW w:w="60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1E1E1E"/>
              </w:rPr>
              <w:t>Capital</w:t>
            </w:r>
          </w:p>
        </w:tc>
        <w:tc>
          <w:tcPr>
            <w:tcW w:w="6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Parent</w:t>
            </w:r>
          </w:p>
        </w:tc>
        <w:tc>
          <w:tcPr>
            <w:tcW w:w="6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1E1E1E"/>
                <w:w w:val="98"/>
              </w:rPr>
              <w:t>Income</w:t>
            </w:r>
          </w:p>
        </w:tc>
        <w:tc>
          <w:tcPr>
            <w:tcW w:w="60" w:type="dxa"/>
            <w:vAlign w:val="bottom"/>
            <w:tcBorders>
              <w:bottom w:val="single" w:sz="8" w:color="E2E2E2"/>
            </w:tcBorders>
          </w:tcPr>
          <w:p>
            <w:pPr>
              <w:spacing w:after="0"/>
              <w:rPr>
                <w:sz w:val="18"/>
                <w:szCs w:val="18"/>
                <w:color w:val="auto"/>
              </w:rPr>
            </w:pPr>
          </w:p>
        </w:tc>
        <w:tc>
          <w:tcPr>
            <w:tcW w:w="740" w:type="dxa"/>
            <w:vAlign w:val="bottom"/>
            <w:tcBorders>
              <w:bottom w:val="single" w:sz="8" w:color="1E1E1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Earnings</w:t>
            </w:r>
          </w:p>
        </w:tc>
        <w:tc>
          <w:tcPr>
            <w:tcW w:w="6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58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w w:val="99"/>
              </w:rPr>
              <w:t>Stock</w:t>
            </w:r>
          </w:p>
        </w:tc>
        <w:tc>
          <w:tcPr>
            <w:tcW w:w="6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620" w:type="dxa"/>
            <w:vAlign w:val="bottom"/>
            <w:tcBorders>
              <w:bottom w:val="single" w:sz="8" w:color="1E1E1E"/>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1E1E1E"/>
                <w:w w:val="99"/>
              </w:rPr>
              <w:t>Equity</w:t>
            </w:r>
          </w:p>
        </w:tc>
        <w:tc>
          <w:tcPr>
            <w:tcW w:w="6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920" w:type="dxa"/>
            <w:vAlign w:val="bottom"/>
            <w:tcBorders>
              <w:bottom w:val="single" w:sz="8" w:color="1E1E1E"/>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Interest</w:t>
            </w:r>
          </w:p>
        </w:tc>
        <w:tc>
          <w:tcPr>
            <w:tcW w:w="60" w:type="dxa"/>
            <w:vAlign w:val="bottom"/>
            <w:tcBorders>
              <w:bottom w:val="single" w:sz="8" w:color="E2E2E2"/>
            </w:tcBorders>
          </w:tcPr>
          <w:p>
            <w:pPr>
              <w:spacing w:after="0"/>
              <w:rPr>
                <w:sz w:val="18"/>
                <w:szCs w:val="18"/>
                <w:color w:val="auto"/>
              </w:rPr>
            </w:pPr>
          </w:p>
        </w:tc>
        <w:tc>
          <w:tcPr>
            <w:tcW w:w="600" w:type="dxa"/>
            <w:vAlign w:val="bottom"/>
            <w:tcBorders>
              <w:bottom w:val="single" w:sz="8" w:color="1E1E1E"/>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Equity</w:t>
            </w:r>
          </w:p>
        </w:tc>
        <w:tc>
          <w:tcPr>
            <w:tcW w:w="0" w:type="dxa"/>
            <w:vAlign w:val="bottom"/>
          </w:tcPr>
          <w:p>
            <w:pPr>
              <w:spacing w:after="0"/>
              <w:rPr>
                <w:sz w:val="1"/>
                <w:szCs w:val="1"/>
                <w:color w:val="auto"/>
              </w:rPr>
            </w:pPr>
          </w:p>
        </w:tc>
      </w:tr>
      <w:tr>
        <w:trPr>
          <w:trHeight w:val="230"/>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b w:val="1"/>
                <w:bCs w:val="1"/>
                <w:color w:val="1E1E1E"/>
              </w:rPr>
              <w:t>Balance, January 30, 2021</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16"/>
                <w:szCs w:val="16"/>
                <w:color w:val="1E1E1E"/>
              </w:rPr>
              <w:t>$</w:t>
            </w: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887</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3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891</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891</w:t>
            </w:r>
          </w:p>
        </w:tc>
        <w:tc>
          <w:tcPr>
            <w:tcW w:w="0" w:type="dxa"/>
            <w:vAlign w:val="bottom"/>
          </w:tcPr>
          <w:p>
            <w:pPr>
              <w:spacing w:after="0"/>
              <w:rPr>
                <w:sz w:val="1"/>
                <w:szCs w:val="1"/>
                <w:color w:val="auto"/>
              </w:rPr>
            </w:pPr>
          </w:p>
        </w:tc>
      </w:tr>
      <w:tr>
        <w:trPr>
          <w:trHeight w:val="247"/>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328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318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646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646</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Other Comprehensive</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Income</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40" w:type="dxa"/>
            <w:vAlign w:val="bottom"/>
            <w:tcBorders>
              <w:bottom w:val="single" w:sz="8" w:color="1E1E1E"/>
            </w:tcBorders>
            <w:shd w:val="clear" w:color="auto" w:fill="E2E2E2"/>
          </w:tcPr>
          <w:p>
            <w:pPr>
              <w:spacing w:after="0"/>
              <w:rPr>
                <w:sz w:val="21"/>
                <w:szCs w:val="21"/>
                <w:color w:val="auto"/>
              </w:rPr>
            </w:pPr>
          </w:p>
        </w:tc>
        <w:tc>
          <w:tcPr>
            <w:tcW w:w="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1E1E1E"/>
            </w:tcBorders>
            <w:shd w:val="clear" w:color="auto" w:fill="E2E2E2"/>
          </w:tcPr>
          <w:p>
            <w:pPr>
              <w:spacing w:after="0"/>
              <w:rPr>
                <w:sz w:val="21"/>
                <w:szCs w:val="21"/>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1E1E1E"/>
            </w:tcBorders>
            <w:shd w:val="clear" w:color="auto" w:fill="E2E2E2"/>
          </w:tcPr>
          <w:p>
            <w:pPr>
              <w:spacing w:after="0"/>
              <w:rPr>
                <w:sz w:val="21"/>
                <w:szCs w:val="21"/>
                <w:color w:val="auto"/>
              </w:rPr>
            </w:pP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40" w:type="dxa"/>
            <w:vAlign w:val="bottom"/>
            <w:tcBorders>
              <w:bottom w:val="single" w:sz="8" w:color="1E1E1E"/>
            </w:tcBorders>
            <w:shd w:val="clear" w:color="auto" w:fill="E2E2E2"/>
          </w:tcPr>
          <w:p>
            <w:pPr>
              <w:spacing w:after="0"/>
              <w:rPr>
                <w:sz w:val="21"/>
                <w:szCs w:val="21"/>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1E1E1E"/>
            </w:tcBorders>
            <w:shd w:val="clear" w:color="auto" w:fill="E2E2E2"/>
          </w:tcPr>
          <w:p>
            <w:pPr>
              <w:spacing w:after="0"/>
              <w:rPr>
                <w:sz w:val="21"/>
                <w:szCs w:val="21"/>
                <w:color w:val="auto"/>
              </w:rPr>
            </w:pPr>
          </w:p>
        </w:tc>
        <w:tc>
          <w:tcPr>
            <w:tcW w:w="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1E1E1E"/>
            </w:tcBorders>
            <w:shd w:val="clear" w:color="auto" w:fill="E2E2E2"/>
          </w:tcPr>
          <w:p>
            <w:pPr>
              <w:spacing w:after="0"/>
              <w:rPr>
                <w:sz w:val="21"/>
                <w:szCs w:val="21"/>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1E1E1E"/>
            </w:tcBorders>
            <w:shd w:val="clear" w:color="auto" w:fill="E2E2E2"/>
          </w:tcPr>
          <w:p>
            <w:pPr>
              <w:spacing w:after="0"/>
              <w:rPr>
                <w:sz w:val="21"/>
                <w:szCs w:val="21"/>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1"/>
                <w:szCs w:val="21"/>
                <w:color w:val="auto"/>
              </w:rPr>
            </w:pPr>
          </w:p>
        </w:tc>
        <w:tc>
          <w:tcPr>
            <w:tcW w:w="180" w:type="dxa"/>
            <w:vAlign w:val="bottom"/>
            <w:tcBorders>
              <w:bottom w:val="single" w:sz="8" w:color="1E1E1E"/>
            </w:tcBorders>
            <w:shd w:val="clear" w:color="auto" w:fill="E2E2E2"/>
          </w:tcPr>
          <w:p>
            <w:pPr>
              <w:spacing w:after="0"/>
              <w:rPr>
                <w:sz w:val="21"/>
                <w:szCs w:val="21"/>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0" w:type="dxa"/>
            <w:vAlign w:val="bottom"/>
          </w:tcPr>
          <w:p>
            <w:pPr>
              <w:spacing w:after="0"/>
              <w:rPr>
                <w:sz w:val="1"/>
                <w:szCs w:val="1"/>
                <w:color w:val="auto"/>
              </w:rPr>
            </w:pPr>
          </w:p>
        </w:tc>
      </w:tr>
      <w:tr>
        <w:trPr>
          <w:trHeight w:val="137"/>
        </w:trPr>
        <w:tc>
          <w:tcPr>
            <w:tcW w:w="1980" w:type="dxa"/>
            <w:vAlign w:val="bottom"/>
          </w:tcPr>
          <w:p>
            <w:pPr>
              <w:ind w:left="60"/>
              <w:spacing w:after="0" w:line="137" w:lineRule="exact"/>
              <w:rPr>
                <w:sz w:val="20"/>
                <w:szCs w:val="20"/>
                <w:color w:val="auto"/>
              </w:rPr>
            </w:pPr>
            <w:r>
              <w:rPr>
                <w:rFonts w:ascii="Times New Roman" w:cs="Times New Roman" w:eastAsia="Times New Roman" w:hAnsi="Times New Roman"/>
                <w:sz w:val="15"/>
                <w:szCs w:val="15"/>
                <w:color w:val="1E1E1E"/>
              </w:rPr>
              <w:t>Total Comprehensive</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647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647</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Net Transfers to Former</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Parent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(1,053)</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(1,053)</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6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(1,053)</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Transfer of Former Parent to</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Additional Paid-in Capital</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48"/>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Issuance of Common Stock</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88</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Repurchase of Common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(250)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(250)</w:t>
            </w:r>
          </w:p>
        </w:tc>
        <w:tc>
          <w:tcPr>
            <w:tcW w:w="0" w:type="dxa"/>
            <w:vAlign w:val="bottom"/>
          </w:tcPr>
          <w:p>
            <w:pPr>
              <w:spacing w:after="0"/>
              <w:rPr>
                <w:sz w:val="1"/>
                <w:szCs w:val="1"/>
                <w:color w:val="auto"/>
              </w:rPr>
            </w:pPr>
          </w:p>
        </w:tc>
      </w:tr>
      <w:tr>
        <w:trPr>
          <w:trHeight w:val="248"/>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Treasury Share Retirement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(192)</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200</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Share-based Compensation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color w:val="1E1E1E"/>
              </w:rPr>
              <w:t>and Other</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21</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21</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21</w:t>
            </w:r>
          </w:p>
        </w:tc>
        <w:tc>
          <w:tcPr>
            <w:tcW w:w="0" w:type="dxa"/>
            <w:vAlign w:val="bottom"/>
          </w:tcPr>
          <w:p>
            <w:pPr>
              <w:spacing w:after="0"/>
              <w:rPr>
                <w:sz w:val="1"/>
                <w:szCs w:val="1"/>
                <w:color w:val="auto"/>
              </w:rPr>
            </w:pPr>
          </w:p>
        </w:tc>
      </w:tr>
      <w:tr>
        <w:trPr>
          <w:trHeight w:val="230"/>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b w:val="1"/>
                <w:bCs w:val="1"/>
                <w:color w:val="1E1E1E"/>
              </w:rPr>
              <w:t>Balance, January 29, 2022</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85</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28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16"/>
                <w:szCs w:val="16"/>
                <w:color w:val="1E1E1E"/>
              </w:rPr>
              <w:t>$</w:t>
            </w: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125</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w:t>
            </w:r>
          </w:p>
        </w:tc>
        <w:tc>
          <w:tcPr>
            <w:tcW w:w="3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126</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257</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257</w:t>
            </w:r>
          </w:p>
        </w:tc>
        <w:tc>
          <w:tcPr>
            <w:tcW w:w="0" w:type="dxa"/>
            <w:vAlign w:val="bottom"/>
          </w:tcPr>
          <w:p>
            <w:pPr>
              <w:spacing w:after="0"/>
              <w:rPr>
                <w:sz w:val="1"/>
                <w:szCs w:val="1"/>
                <w:color w:val="auto"/>
              </w:rPr>
            </w:pPr>
          </w:p>
        </w:tc>
      </w:tr>
      <w:tr>
        <w:trPr>
          <w:trHeight w:val="247"/>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Net Income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348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348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338</w:t>
            </w:r>
          </w:p>
        </w:tc>
        <w:tc>
          <w:tcPr>
            <w:tcW w:w="0" w:type="dxa"/>
            <w:vAlign w:val="bottom"/>
          </w:tcPr>
          <w:p>
            <w:pPr>
              <w:spacing w:after="0"/>
              <w:rPr>
                <w:sz w:val="1"/>
                <w:szCs w:val="1"/>
                <w:color w:val="auto"/>
              </w:rPr>
            </w:pPr>
          </w:p>
        </w:tc>
      </w:tr>
      <w:tr>
        <w:trPr>
          <w:trHeight w:val="255"/>
        </w:trPr>
        <w:tc>
          <w:tcPr>
            <w:tcW w:w="1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Other Comprehensive Loss</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1E1E1E"/>
            </w:tcBorders>
            <w:shd w:val="clear" w:color="auto" w:fill="E2E2E2"/>
          </w:tcPr>
          <w:p>
            <w:pPr>
              <w:spacing w:after="0"/>
              <w:rPr>
                <w:sz w:val="22"/>
                <w:szCs w:val="22"/>
                <w:color w:val="auto"/>
              </w:rPr>
            </w:pPr>
          </w:p>
        </w:tc>
        <w:tc>
          <w:tcPr>
            <w:tcW w:w="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1E1E1E"/>
            </w:tcBorders>
            <w:shd w:val="clear" w:color="auto" w:fill="E2E2E2"/>
          </w:tcPr>
          <w:p>
            <w:pPr>
              <w:spacing w:after="0"/>
              <w:rPr>
                <w:sz w:val="22"/>
                <w:szCs w:val="22"/>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6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1E1E1E"/>
            </w:tcBorders>
            <w:shd w:val="clear" w:color="auto" w:fill="E2E2E2"/>
          </w:tcPr>
          <w:p>
            <w:pPr>
              <w:spacing w:after="0"/>
              <w:rPr>
                <w:sz w:val="22"/>
                <w:szCs w:val="22"/>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spacing w:after="0"/>
              <w:rPr>
                <w:sz w:val="22"/>
                <w:szCs w:val="22"/>
                <w:color w:val="auto"/>
              </w:rPr>
            </w:pPr>
          </w:p>
        </w:tc>
        <w:tc>
          <w:tcPr>
            <w:tcW w:w="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spacing w:after="0"/>
              <w:rPr>
                <w:sz w:val="22"/>
                <w:szCs w:val="22"/>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6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0" w:type="dxa"/>
            <w:vAlign w:val="bottom"/>
          </w:tcPr>
          <w:p>
            <w:pPr>
              <w:spacing w:after="0"/>
              <w:rPr>
                <w:sz w:val="1"/>
                <w:szCs w:val="1"/>
                <w:color w:val="auto"/>
              </w:rPr>
            </w:pPr>
          </w:p>
        </w:tc>
      </w:tr>
      <w:tr>
        <w:trPr>
          <w:trHeight w:val="137"/>
        </w:trPr>
        <w:tc>
          <w:tcPr>
            <w:tcW w:w="1980" w:type="dxa"/>
            <w:vAlign w:val="bottom"/>
          </w:tcPr>
          <w:p>
            <w:pPr>
              <w:ind w:left="60"/>
              <w:spacing w:after="0" w:line="137" w:lineRule="exact"/>
              <w:rPr>
                <w:sz w:val="20"/>
                <w:szCs w:val="20"/>
                <w:color w:val="auto"/>
              </w:rPr>
            </w:pPr>
            <w:r>
              <w:rPr>
                <w:rFonts w:ascii="Times New Roman" w:cs="Times New Roman" w:eastAsia="Times New Roman" w:hAnsi="Times New Roman"/>
                <w:sz w:val="15"/>
                <w:szCs w:val="15"/>
                <w:color w:val="1E1E1E"/>
              </w:rPr>
              <w:t>Total Comprehensive</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Income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344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334</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Sale of Noncontrolling</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Interest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17</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17</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28</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45</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Repurchases of Common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(300)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(250)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(250)</w:t>
            </w:r>
          </w:p>
        </w:tc>
        <w:tc>
          <w:tcPr>
            <w:tcW w:w="0" w:type="dxa"/>
            <w:vAlign w:val="bottom"/>
          </w:tcPr>
          <w:p>
            <w:pPr>
              <w:spacing w:after="0"/>
              <w:rPr>
                <w:sz w:val="1"/>
                <w:szCs w:val="1"/>
                <w:color w:val="auto"/>
              </w:rPr>
            </w:pPr>
          </w:p>
        </w:tc>
      </w:tr>
      <w:tr>
        <w:trPr>
          <w:trHeight w:val="248"/>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Treasury Share Retirements</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(288)</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300</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Share-based Compensation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48</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Tax Payments related to</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Share-based Awards</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(42)</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(42)</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(42)</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color w:val="1E1E1E"/>
              </w:rPr>
              <w:t>Other</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w:t>
            </w:r>
          </w:p>
        </w:tc>
        <w:tc>
          <w:tcPr>
            <w:tcW w:w="0" w:type="dxa"/>
            <w:vAlign w:val="bottom"/>
          </w:tcPr>
          <w:p>
            <w:pPr>
              <w:spacing w:after="0"/>
              <w:rPr>
                <w:sz w:val="1"/>
                <w:szCs w:val="1"/>
                <w:color w:val="auto"/>
              </w:rPr>
            </w:pPr>
          </w:p>
        </w:tc>
      </w:tr>
      <w:tr>
        <w:trPr>
          <w:trHeight w:val="230"/>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b w:val="1"/>
                <w:bCs w:val="1"/>
                <w:color w:val="1E1E1E"/>
              </w:rPr>
              <w:t>Balance, January 28, 2023</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80</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28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16"/>
                <w:szCs w:val="16"/>
                <w:color w:val="1E1E1E"/>
              </w:rPr>
              <w:t>$</w:t>
            </w: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195</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3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186</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383</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18</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401</w:t>
            </w:r>
          </w:p>
        </w:tc>
        <w:tc>
          <w:tcPr>
            <w:tcW w:w="0" w:type="dxa"/>
            <w:vAlign w:val="bottom"/>
          </w:tcPr>
          <w:p>
            <w:pPr>
              <w:spacing w:after="0"/>
              <w:rPr>
                <w:sz w:val="1"/>
                <w:szCs w:val="1"/>
                <w:color w:val="auto"/>
              </w:rPr>
            </w:pPr>
          </w:p>
        </w:tc>
      </w:tr>
      <w:tr>
        <w:trPr>
          <w:trHeight w:val="247"/>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116</w:t>
            </w:r>
          </w:p>
        </w:tc>
        <w:tc>
          <w:tcPr>
            <w:tcW w:w="0" w:type="dxa"/>
            <w:vAlign w:val="bottom"/>
          </w:tcPr>
          <w:p>
            <w:pPr>
              <w:spacing w:after="0"/>
              <w:rPr>
                <w:sz w:val="1"/>
                <w:szCs w:val="1"/>
                <w:color w:val="auto"/>
              </w:rPr>
            </w:pPr>
          </w:p>
        </w:tc>
      </w:tr>
      <w:tr>
        <w:trPr>
          <w:trHeight w:val="255"/>
        </w:trPr>
        <w:tc>
          <w:tcPr>
            <w:tcW w:w="1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Other Comprehensive Loss</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1E1E1E"/>
            </w:tcBorders>
            <w:shd w:val="clear" w:color="auto" w:fill="E2E2E2"/>
          </w:tcPr>
          <w:p>
            <w:pPr>
              <w:spacing w:after="0"/>
              <w:rPr>
                <w:sz w:val="22"/>
                <w:szCs w:val="22"/>
                <w:color w:val="auto"/>
              </w:rPr>
            </w:pPr>
          </w:p>
        </w:tc>
        <w:tc>
          <w:tcPr>
            <w:tcW w:w="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1E1E1E"/>
            </w:tcBorders>
            <w:shd w:val="clear" w:color="auto" w:fill="E2E2E2"/>
          </w:tcPr>
          <w:p>
            <w:pPr>
              <w:spacing w:after="0"/>
              <w:rPr>
                <w:sz w:val="22"/>
                <w:szCs w:val="22"/>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Borders>
              <w:bottom w:val="single" w:sz="8" w:color="E2E2E2"/>
            </w:tcBorders>
            <w:shd w:val="clear" w:color="auto" w:fill="E2E2E2"/>
          </w:tcPr>
          <w:p>
            <w:pPr>
              <w:spacing w:after="0"/>
              <w:rPr>
                <w:sz w:val="22"/>
                <w:szCs w:val="22"/>
                <w:color w:val="auto"/>
              </w:rPr>
            </w:pPr>
          </w:p>
        </w:tc>
        <w:tc>
          <w:tcPr>
            <w:tcW w:w="260" w:type="dxa"/>
            <w:vAlign w:val="bottom"/>
            <w:tcBorders>
              <w:bottom w:val="single" w:sz="8" w:color="1E1E1E"/>
            </w:tcBorders>
            <w:shd w:val="clear" w:color="auto" w:fill="E2E2E2"/>
          </w:tcPr>
          <w:p>
            <w:pPr>
              <w:spacing w:after="0"/>
              <w:rPr>
                <w:sz w:val="22"/>
                <w:szCs w:val="22"/>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spacing w:after="0"/>
              <w:rPr>
                <w:sz w:val="22"/>
                <w:szCs w:val="22"/>
                <w:color w:val="auto"/>
              </w:rPr>
            </w:pPr>
          </w:p>
        </w:tc>
        <w:tc>
          <w:tcPr>
            <w:tcW w:w="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shd w:val="clear" w:color="auto" w:fill="E2E2E2"/>
          </w:tcPr>
          <w:p>
            <w:pPr>
              <w:spacing w:after="0"/>
              <w:rPr>
                <w:sz w:val="22"/>
                <w:szCs w:val="22"/>
                <w:color w:val="auto"/>
              </w:rPr>
            </w:pPr>
          </w:p>
        </w:tc>
        <w:tc>
          <w:tcPr>
            <w:tcW w:w="160" w:type="dxa"/>
            <w:vAlign w:val="bottom"/>
            <w:tcBorders>
              <w:bottom w:val="single" w:sz="8" w:color="1E1E1E"/>
            </w:tcBorders>
            <w:shd w:val="clear" w:color="auto" w:fill="E2E2E2"/>
          </w:tcPr>
          <w:p>
            <w:pPr>
              <w:spacing w:after="0"/>
              <w:rPr>
                <w:sz w:val="22"/>
                <w:szCs w:val="22"/>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Borders>
              <w:bottom w:val="single" w:sz="8" w:color="E2E2E2"/>
            </w:tcBorders>
            <w:shd w:val="clear" w:color="auto" w:fill="E2E2E2"/>
          </w:tcPr>
          <w:p>
            <w:pPr>
              <w:spacing w:after="0"/>
              <w:rPr>
                <w:sz w:val="22"/>
                <w:szCs w:val="22"/>
                <w:color w:val="auto"/>
              </w:rPr>
            </w:pPr>
          </w:p>
        </w:tc>
        <w:tc>
          <w:tcPr>
            <w:tcW w:w="220" w:type="dxa"/>
            <w:vAlign w:val="bottom"/>
            <w:tcBorders>
              <w:bottom w:val="single" w:sz="8" w:color="1E1E1E"/>
            </w:tcBorders>
            <w:shd w:val="clear" w:color="auto" w:fill="E2E2E2"/>
          </w:tcPr>
          <w:p>
            <w:pPr>
              <w:spacing w:after="0"/>
              <w:rPr>
                <w:sz w:val="22"/>
                <w:szCs w:val="22"/>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60" w:type="dxa"/>
            <w:vAlign w:val="bottom"/>
            <w:tcBorders>
              <w:bottom w:val="single" w:sz="8" w:color="E2E2E2"/>
            </w:tcBorders>
            <w:shd w:val="clear" w:color="auto" w:fill="E2E2E2"/>
          </w:tcPr>
          <w:p>
            <w:pPr>
              <w:spacing w:after="0"/>
              <w:rPr>
                <w:sz w:val="22"/>
                <w:szCs w:val="22"/>
                <w:color w:val="auto"/>
              </w:rPr>
            </w:pPr>
          </w:p>
        </w:tc>
        <w:tc>
          <w:tcPr>
            <w:tcW w:w="180" w:type="dxa"/>
            <w:vAlign w:val="bottom"/>
            <w:tcBorders>
              <w:bottom w:val="single" w:sz="8" w:color="1E1E1E"/>
            </w:tcBorders>
            <w:shd w:val="clear" w:color="auto" w:fill="E2E2E2"/>
          </w:tcPr>
          <w:p>
            <w:pPr>
              <w:spacing w:after="0"/>
              <w:rPr>
                <w:sz w:val="22"/>
                <w:szCs w:val="22"/>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0" w:type="dxa"/>
            <w:vAlign w:val="bottom"/>
          </w:tcPr>
          <w:p>
            <w:pPr>
              <w:spacing w:after="0"/>
              <w:rPr>
                <w:sz w:val="1"/>
                <w:szCs w:val="1"/>
                <w:color w:val="auto"/>
              </w:rPr>
            </w:pPr>
          </w:p>
        </w:tc>
      </w:tr>
      <w:tr>
        <w:trPr>
          <w:trHeight w:val="137"/>
        </w:trPr>
        <w:tc>
          <w:tcPr>
            <w:tcW w:w="1980" w:type="dxa"/>
            <w:vAlign w:val="bottom"/>
          </w:tcPr>
          <w:p>
            <w:pPr>
              <w:ind w:left="60"/>
              <w:spacing w:after="0" w:line="137" w:lineRule="exact"/>
              <w:rPr>
                <w:sz w:val="20"/>
                <w:szCs w:val="20"/>
                <w:color w:val="auto"/>
              </w:rPr>
            </w:pPr>
            <w:r>
              <w:rPr>
                <w:rFonts w:ascii="Times New Roman" w:cs="Times New Roman" w:eastAsia="Times New Roman" w:hAnsi="Times New Roman"/>
                <w:sz w:val="15"/>
                <w:szCs w:val="15"/>
                <w:color w:val="1E1E1E"/>
              </w:rPr>
              <w:t>Total Comprehensive</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Income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113</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Repurchases of Common</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Stock</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(3)</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(126)</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(126)</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(126)</w:t>
            </w:r>
          </w:p>
        </w:tc>
        <w:tc>
          <w:tcPr>
            <w:tcW w:w="0" w:type="dxa"/>
            <w:vAlign w:val="bottom"/>
          </w:tcPr>
          <w:p>
            <w:pPr>
              <w:spacing w:after="0"/>
              <w:rPr>
                <w:sz w:val="1"/>
                <w:szCs w:val="1"/>
                <w:color w:val="auto"/>
              </w:rPr>
            </w:pPr>
          </w:p>
        </w:tc>
      </w:tr>
      <w:tr>
        <w:trPr>
          <w:trHeight w:val="232"/>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Treasury Share Retirements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Share-based Compensation</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Expense</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56</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56</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56</w:t>
            </w:r>
          </w:p>
        </w:tc>
        <w:tc>
          <w:tcPr>
            <w:tcW w:w="0" w:type="dxa"/>
            <w:vAlign w:val="bottom"/>
          </w:tcPr>
          <w:p>
            <w:pPr>
              <w:spacing w:after="0"/>
              <w:rPr>
                <w:sz w:val="1"/>
                <w:szCs w:val="1"/>
                <w:color w:val="auto"/>
              </w:rPr>
            </w:pPr>
          </w:p>
        </w:tc>
      </w:tr>
      <w:tr>
        <w:trPr>
          <w:trHeight w:val="163"/>
        </w:trPr>
        <w:tc>
          <w:tcPr>
            <w:tcW w:w="1980" w:type="dxa"/>
            <w:vAlign w:val="bottom"/>
          </w:tcPr>
          <w:p>
            <w:pPr>
              <w:ind w:left="60"/>
              <w:spacing w:after="0" w:line="164" w:lineRule="exact"/>
              <w:rPr>
                <w:sz w:val="20"/>
                <w:szCs w:val="20"/>
                <w:color w:val="auto"/>
              </w:rPr>
            </w:pPr>
            <w:r>
              <w:rPr>
                <w:rFonts w:ascii="Times New Roman" w:cs="Times New Roman" w:eastAsia="Times New Roman" w:hAnsi="Times New Roman"/>
                <w:sz w:val="16"/>
                <w:szCs w:val="16"/>
                <w:color w:val="1E1E1E"/>
              </w:rPr>
              <w:t>Tax Payments related to</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1E1E1E"/>
              </w:rPr>
              <w:t>Share-based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(12)</w:t>
            </w:r>
          </w:p>
        </w:tc>
        <w:tc>
          <w:tcPr>
            <w:tcW w:w="0" w:type="dxa"/>
            <w:vAlign w:val="bottom"/>
          </w:tcPr>
          <w:p>
            <w:pPr>
              <w:spacing w:after="0"/>
              <w:rPr>
                <w:sz w:val="1"/>
                <w:szCs w:val="1"/>
                <w:color w:val="auto"/>
              </w:rPr>
            </w:pPr>
          </w:p>
        </w:tc>
      </w:tr>
      <w:tr>
        <w:trPr>
          <w:trHeight w:val="172"/>
        </w:trPr>
        <w:tc>
          <w:tcPr>
            <w:tcW w:w="1980" w:type="dxa"/>
            <w:vAlign w:val="bottom"/>
            <w:shd w:val="clear" w:color="auto" w:fill="E2E2E2"/>
          </w:tcPr>
          <w:p>
            <w:pPr>
              <w:ind w:left="60"/>
              <w:spacing w:after="0" w:line="171" w:lineRule="exact"/>
              <w:rPr>
                <w:sz w:val="20"/>
                <w:szCs w:val="20"/>
                <w:color w:val="auto"/>
              </w:rPr>
            </w:pPr>
            <w:r>
              <w:rPr>
                <w:rFonts w:ascii="Times New Roman" w:cs="Times New Roman" w:eastAsia="Times New Roman" w:hAnsi="Times New Roman"/>
                <w:sz w:val="16"/>
                <w:szCs w:val="16"/>
                <w:color w:val="1E1E1E"/>
              </w:rPr>
              <w:t>Distribution to</w:t>
            </w:r>
          </w:p>
        </w:tc>
        <w:tc>
          <w:tcPr>
            <w:tcW w:w="96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4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3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70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40" w:type="dxa"/>
            <w:vAlign w:val="bottom"/>
            <w:shd w:val="clear" w:color="auto" w:fill="E2E2E2"/>
          </w:tcPr>
          <w:p>
            <w:pPr>
              <w:spacing w:after="0"/>
              <w:rPr>
                <w:sz w:val="14"/>
                <w:szCs w:val="14"/>
                <w:color w:val="auto"/>
              </w:rPr>
            </w:pPr>
          </w:p>
        </w:tc>
        <w:tc>
          <w:tcPr>
            <w:tcW w:w="104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60" w:type="dxa"/>
            <w:vAlign w:val="bottom"/>
            <w:shd w:val="clear" w:color="auto" w:fill="E2E2E2"/>
          </w:tcPr>
          <w:p>
            <w:pPr>
              <w:spacing w:after="0"/>
              <w:rPr>
                <w:sz w:val="14"/>
                <w:szCs w:val="14"/>
                <w:color w:val="auto"/>
              </w:rPr>
            </w:pPr>
          </w:p>
        </w:tc>
        <w:tc>
          <w:tcPr>
            <w:tcW w:w="4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58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60" w:type="dxa"/>
            <w:vAlign w:val="bottom"/>
            <w:shd w:val="clear" w:color="auto" w:fill="E2E2E2"/>
          </w:tcPr>
          <w:p>
            <w:pPr>
              <w:spacing w:after="0"/>
              <w:rPr>
                <w:sz w:val="14"/>
                <w:szCs w:val="14"/>
                <w:color w:val="auto"/>
              </w:rPr>
            </w:pPr>
          </w:p>
        </w:tc>
        <w:tc>
          <w:tcPr>
            <w:tcW w:w="6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220" w:type="dxa"/>
            <w:vAlign w:val="bottom"/>
            <w:shd w:val="clear" w:color="auto" w:fill="E2E2E2"/>
          </w:tcPr>
          <w:p>
            <w:pPr>
              <w:spacing w:after="0"/>
              <w:rPr>
                <w:sz w:val="14"/>
                <w:szCs w:val="14"/>
                <w:color w:val="auto"/>
              </w:rPr>
            </w:pPr>
          </w:p>
        </w:tc>
        <w:tc>
          <w:tcPr>
            <w:tcW w:w="920" w:type="dxa"/>
            <w:vAlign w:val="bottom"/>
            <w:shd w:val="clear" w:color="auto" w:fill="E2E2E2"/>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420" w:type="dxa"/>
            <w:vAlign w:val="bottom"/>
            <w:shd w:val="clear" w:color="auto" w:fill="E2E2E2"/>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color w:val="1E1E1E"/>
              </w:rPr>
              <w:t>Noncontrolling Interest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40" w:type="dxa"/>
            <w:vAlign w:val="bottom"/>
            <w:shd w:val="clear" w:color="auto" w:fill="E2E2E2"/>
          </w:tcPr>
          <w:p>
            <w:pPr>
              <w:spacing w:after="0"/>
              <w:rPr>
                <w:sz w:val="21"/>
                <w:szCs w:val="21"/>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6"/>
                <w:szCs w:val="16"/>
                <w:color w:val="1E1E1E"/>
              </w:rPr>
              <w:t>Other</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8</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8</w:t>
            </w:r>
          </w:p>
        </w:tc>
        <w:tc>
          <w:tcPr>
            <w:tcW w:w="6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8</w:t>
            </w:r>
          </w:p>
        </w:tc>
        <w:tc>
          <w:tcPr>
            <w:tcW w:w="0" w:type="dxa"/>
            <w:vAlign w:val="bottom"/>
          </w:tcPr>
          <w:p>
            <w:pPr>
              <w:spacing w:after="0"/>
              <w:rPr>
                <w:sz w:val="1"/>
                <w:szCs w:val="1"/>
                <w:color w:val="auto"/>
              </w:rPr>
            </w:pPr>
          </w:p>
        </w:tc>
      </w:tr>
      <w:tr>
        <w:trPr>
          <w:trHeight w:val="220"/>
        </w:trPr>
        <w:tc>
          <w:tcPr>
            <w:tcW w:w="1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6"/>
                <w:szCs w:val="16"/>
                <w:b w:val="1"/>
                <w:bCs w:val="1"/>
                <w:color w:val="1E1E1E"/>
              </w:rPr>
              <w:t>Balance, February 3, 2024</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78</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w:t>
            </w:r>
          </w:p>
        </w:tc>
        <w:tc>
          <w:tcPr>
            <w:tcW w:w="28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16"/>
                <w:szCs w:val="16"/>
                <w:color w:val="1E1E1E"/>
              </w:rPr>
              <w:t>$</w:t>
            </w: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238</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178</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2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w w:val="99"/>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417</w:t>
            </w:r>
          </w:p>
        </w:tc>
        <w:tc>
          <w:tcPr>
            <w:tcW w:w="28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21</w:t>
            </w:r>
          </w:p>
        </w:tc>
        <w:tc>
          <w:tcPr>
            <w:tcW w:w="2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6"/>
                <w:szCs w:val="16"/>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6"/>
                <w:szCs w:val="16"/>
                <w:color w:val="1E1E1E"/>
              </w:rPr>
              <w:t>438</w:t>
            </w:r>
          </w:p>
        </w:tc>
        <w:tc>
          <w:tcPr>
            <w:tcW w:w="0" w:type="dxa"/>
            <w:vAlign w:val="bottom"/>
          </w:tcPr>
          <w:p>
            <w:pPr>
              <w:spacing w:after="0"/>
              <w:rPr>
                <w:sz w:val="1"/>
                <w:szCs w:val="1"/>
                <w:color w:val="auto"/>
              </w:rPr>
            </w:pPr>
          </w:p>
        </w:tc>
      </w:tr>
      <w:tr>
        <w:trPr>
          <w:trHeight w:val="20"/>
        </w:trPr>
        <w:tc>
          <w:tcPr>
            <w:tcW w:w="1980" w:type="dxa"/>
            <w:vAlign w:val="bottom"/>
            <w:tcBorders>
              <w:top w:val="single" w:sz="8" w:color="E2E2E2"/>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5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6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4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-6473190</wp:posOffset>
            </wp:positionV>
            <wp:extent cx="55657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1">
                      <a:extLst>
                        <a:ext uri="{28A0092B-C50C-407E-A947-70E740481C1C}"/>
                      </a:extLst>
                    </a:blip>
                    <a:srcRect/>
                    <a:stretch>
                      <a:fillRect/>
                    </a:stretch>
                  </pic:blipFill>
                  <pic:spPr bwMode="auto">
                    <a:xfrm>
                      <a:off x="0" y="0"/>
                      <a:ext cx="5565775"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-5901690</wp:posOffset>
            </wp:positionV>
            <wp:extent cx="516890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2">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-4311015</wp:posOffset>
            </wp:positionV>
            <wp:extent cx="5168900"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3">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-3844290</wp:posOffset>
            </wp:positionV>
            <wp:extent cx="516890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4">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-2253615</wp:posOffset>
            </wp:positionV>
            <wp:extent cx="516890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5">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-1786890</wp:posOffset>
            </wp:positionV>
            <wp:extent cx="516890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6">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-196215</wp:posOffset>
            </wp:positionV>
            <wp:extent cx="516890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7">
                      <a:extLst>
                        <a:ext uri="{28A0092B-C50C-407E-A947-70E740481C1C}"/>
                      </a:extLst>
                    </a:blip>
                    <a:srcRect/>
                    <a:stretch>
                      <a:fillRect/>
                    </a:stretch>
                  </pic:blipFill>
                  <pic:spPr bwMode="auto">
                    <a:xfrm>
                      <a:off x="0" y="0"/>
                      <a:ext cx="5168900" cy="5080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-56515</wp:posOffset>
            </wp:positionV>
            <wp:extent cx="5565775" cy="76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8">
                      <a:extLst>
                        <a:ext uri="{28A0092B-C50C-407E-A947-70E740481C1C}"/>
                      </a:extLst>
                    </a:blip>
                    <a:srcRect/>
                    <a:stretch>
                      <a:fillRect/>
                    </a:stretch>
                  </pic:blipFill>
                  <pic:spPr bwMode="auto">
                    <a:xfrm>
                      <a:off x="0" y="0"/>
                      <a:ext cx="5565775" cy="762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and Combined Financial Statements.</w:t>
      </w:r>
    </w:p>
    <w:p>
      <w:pPr>
        <w:sectPr>
          <w:pgSz w:w="11880" w:h="15480" w:orient="portrait"/>
          <w:cols w:equalWidth="0" w:num="1">
            <w:col w:w="10680"/>
          </w:cols>
          <w:pgMar w:left="600" w:top="311"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680"/>
          </w:cols>
          <w:pgMar w:left="600" w:top="311" w:right="600" w:bottom="0" w:gutter="0" w:footer="0" w:header="0"/>
          <w:type w:val="continuous"/>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AND COMBINED STATEMENTS OF CASH FLOWS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Borders>
              <w:bottom w:val="single" w:sz="8" w:color="E2E2E2"/>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jc w:val="right"/>
              <w:ind w:right="309"/>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30"/>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Operating Activities:</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Net Income</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1E1E1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338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1E1E1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646</w:t>
            </w:r>
          </w:p>
        </w:tc>
      </w:tr>
      <w:tr>
        <w:trPr>
          <w:trHeight w:val="258"/>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Adjustments to Reconcile Net Income to Net Cash Provided by Operating Activities:</w:t>
            </w: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84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820" w:type="dxa"/>
            <w:vAlign w:val="bottom"/>
            <w:shd w:val="clear" w:color="auto" w:fill="E2E2E2"/>
          </w:tcPr>
          <w:p>
            <w:pPr>
              <w:spacing w:after="0"/>
              <w:rPr>
                <w:sz w:val="22"/>
                <w:szCs w:val="22"/>
                <w:color w:val="auto"/>
              </w:rPr>
            </w:pPr>
          </w:p>
        </w:tc>
      </w:tr>
      <w:tr>
        <w:trPr>
          <w:trHeight w:val="237"/>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1E1E1E"/>
              </w:rPr>
              <w:t>Depreciation and Amortization of Long-lived Assets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274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303</w:t>
            </w:r>
          </w:p>
        </w:tc>
      </w:tr>
      <w:tr>
        <w:trPr>
          <w:trHeight w:val="243"/>
        </w:trPr>
        <w:tc>
          <w:tcPr>
            <w:tcW w:w="680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18"/>
                <w:szCs w:val="18"/>
                <w:color w:val="1E1E1E"/>
              </w:rPr>
              <w:t>Share-based Compensation Expense</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56</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48</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33</w:t>
            </w:r>
          </w:p>
        </w:tc>
      </w:tr>
      <w:tr>
        <w:trPr>
          <w:trHeight w:val="237"/>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1E1E1E"/>
              </w:rPr>
              <w:t>Amortization of Fair Value Adjustment to Acquired Inventories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43"/>
        </w:trPr>
        <w:tc>
          <w:tcPr>
            <w:tcW w:w="680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18"/>
                <w:szCs w:val="18"/>
                <w:color w:val="1E1E1E"/>
              </w:rPr>
              <w:t>Deferred Income Taxes</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(16)</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(28)</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w:t>
            </w:r>
          </w:p>
        </w:tc>
      </w:tr>
      <w:tr>
        <w:trPr>
          <w:trHeight w:val="234"/>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Changes in Assets and Liabilities, Net of Assets and Liabilities related to the Acquisition:</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1"/>
        </w:trPr>
        <w:tc>
          <w:tcPr>
            <w:tcW w:w="6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40"/>
        </w:trPr>
        <w:tc>
          <w:tcPr>
            <w:tcW w:w="680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18"/>
                <w:szCs w:val="18"/>
                <w:color w:val="1E1E1E"/>
              </w:rPr>
              <w:t>Accounts Receivable</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w:t>
            </w: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22</w:t>
            </w: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(21)</w:t>
            </w:r>
          </w:p>
        </w:tc>
      </w:tr>
      <w:tr>
        <w:trPr>
          <w:trHeight w:val="237"/>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1E1E1E"/>
              </w:rPr>
              <w:t>Inventories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(247)</w:t>
            </w:r>
          </w:p>
        </w:tc>
      </w:tr>
      <w:tr>
        <w:trPr>
          <w:trHeight w:val="243"/>
        </w:trPr>
        <w:tc>
          <w:tcPr>
            <w:tcW w:w="6800" w:type="dxa"/>
            <w:vAlign w:val="bottom"/>
            <w:shd w:val="clear" w:color="auto" w:fill="E2E2E2"/>
          </w:tcPr>
          <w:p>
            <w:pPr>
              <w:ind w:left="420"/>
              <w:spacing w:after="0"/>
              <w:rPr>
                <w:sz w:val="20"/>
                <w:szCs w:val="20"/>
                <w:color w:val="auto"/>
              </w:rPr>
            </w:pPr>
            <w:r>
              <w:rPr>
                <w:rFonts w:ascii="Times New Roman" w:cs="Times New Roman" w:eastAsia="Times New Roman" w:hAnsi="Times New Roman"/>
                <w:sz w:val="18"/>
                <w:szCs w:val="18"/>
                <w:color w:val="1E1E1E"/>
              </w:rPr>
              <w:t>Accounts Payable, Accrued Expenses and Other</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(11)</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(163)</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173</w:t>
            </w:r>
          </w:p>
        </w:tc>
      </w:tr>
      <w:tr>
        <w:trPr>
          <w:trHeight w:val="237"/>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1E1E1E"/>
              </w:rPr>
              <w:t>Income Taxes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119</w:t>
            </w:r>
          </w:p>
        </w:tc>
      </w:tr>
      <w:tr>
        <w:trPr>
          <w:trHeight w:val="253"/>
        </w:trPr>
        <w:tc>
          <w:tcPr>
            <w:tcW w:w="6800" w:type="dxa"/>
            <w:vAlign w:val="bottom"/>
            <w:tcBorders>
              <w:bottom w:val="single" w:sz="8" w:color="E2E2E2"/>
            </w:tcBorders>
            <w:shd w:val="clear" w:color="auto" w:fill="E2E2E2"/>
          </w:tcPr>
          <w:p>
            <w:pPr>
              <w:ind w:left="420"/>
              <w:spacing w:after="0"/>
              <w:rPr>
                <w:sz w:val="20"/>
                <w:szCs w:val="20"/>
                <w:color w:val="auto"/>
              </w:rPr>
            </w:pPr>
            <w:r>
              <w:rPr>
                <w:rFonts w:ascii="Times New Roman" w:cs="Times New Roman" w:eastAsia="Times New Roman" w:hAnsi="Times New Roman"/>
                <w:sz w:val="18"/>
                <w:szCs w:val="18"/>
                <w:color w:val="1E1E1E"/>
              </w:rPr>
              <w:t>Other Assets and Liabilities</w:t>
            </w: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(66)</w:t>
            </w:r>
          </w:p>
        </w:tc>
        <w:tc>
          <w:tcPr>
            <w:tcW w:w="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13</w:t>
            </w:r>
          </w:p>
        </w:tc>
        <w:tc>
          <w:tcPr>
            <w:tcW w:w="60" w:type="dxa"/>
            <w:vAlign w:val="bottom"/>
            <w:tcBorders>
              <w:bottom w:val="single" w:sz="8" w:color="E2E2E2"/>
            </w:tcBorders>
            <w:shd w:val="clear" w:color="auto" w:fill="E2E2E2"/>
          </w:tcPr>
          <w:p>
            <w:pPr>
              <w:spacing w:after="0"/>
              <w:rPr>
                <w:sz w:val="21"/>
                <w:szCs w:val="21"/>
                <w:color w:val="auto"/>
              </w:rPr>
            </w:pP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(156)</w:t>
            </w:r>
          </w:p>
        </w:tc>
      </w:tr>
      <w:tr>
        <w:trPr>
          <w:trHeight w:val="200"/>
        </w:trPr>
        <w:tc>
          <w:tcPr>
            <w:tcW w:w="6800" w:type="dxa"/>
            <w:vAlign w:val="bottom"/>
            <w:tcBorders>
              <w:bottom w:val="single" w:sz="8" w:color="E2E2E2"/>
            </w:tcBorders>
          </w:tcPr>
          <w:p>
            <w:pPr>
              <w:ind w:left="60"/>
              <w:spacing w:after="0" w:line="200" w:lineRule="exact"/>
              <w:rPr>
                <w:sz w:val="20"/>
                <w:szCs w:val="20"/>
                <w:color w:val="auto"/>
              </w:rPr>
            </w:pPr>
            <w:r>
              <w:rPr>
                <w:rFonts w:ascii="Times New Roman" w:cs="Times New Roman" w:eastAsia="Times New Roman" w:hAnsi="Times New Roman"/>
                <w:sz w:val="18"/>
                <w:szCs w:val="18"/>
                <w:color w:val="1E1E1E"/>
              </w:rPr>
              <w:t>Net Cash Provided by Operating Activities</w:t>
            </w: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389</w:t>
            </w:r>
          </w:p>
        </w:tc>
        <w:tc>
          <w:tcPr>
            <w:tcW w:w="80" w:type="dxa"/>
            <w:vAlign w:val="bottom"/>
            <w:tcBorders>
              <w:bottom w:val="single" w:sz="8" w:color="E2E2E2"/>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437</w:t>
            </w:r>
          </w:p>
        </w:tc>
        <w:tc>
          <w:tcPr>
            <w:tcW w:w="60" w:type="dxa"/>
            <w:vAlign w:val="bottom"/>
            <w:tcBorders>
              <w:bottom w:val="single" w:sz="8" w:color="E2E2E2"/>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851</w:t>
            </w:r>
          </w:p>
        </w:tc>
      </w:tr>
      <w:tr>
        <w:trPr>
          <w:trHeight w:val="230"/>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Investing Activities:</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Capital Expenditures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(169)</w:t>
            </w:r>
          </w:p>
        </w:tc>
      </w:tr>
      <w:tr>
        <w:trPr>
          <w:trHeight w:val="243"/>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Acquisition, Net of Cash Acquired</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(369)</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40"/>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Investment in Frankies Bikinis, LLC</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50"/>
        </w:trPr>
        <w:tc>
          <w:tcPr>
            <w:tcW w:w="68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Other Investing Activities</w:t>
            </w: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w:t>
            </w:r>
          </w:p>
        </w:tc>
        <w:tc>
          <w:tcPr>
            <w:tcW w:w="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w:t>
            </w:r>
          </w:p>
        </w:tc>
        <w:tc>
          <w:tcPr>
            <w:tcW w:w="60" w:type="dxa"/>
            <w:vAlign w:val="bottom"/>
            <w:tcBorders>
              <w:bottom w:val="single" w:sz="8" w:color="E2E2E2"/>
            </w:tcBorders>
            <w:shd w:val="clear" w:color="auto" w:fill="E2E2E2"/>
          </w:tcPr>
          <w:p>
            <w:pPr>
              <w:spacing w:after="0"/>
              <w:rPr>
                <w:sz w:val="21"/>
                <w:szCs w:val="21"/>
                <w:color w:val="auto"/>
              </w:rPr>
            </w:pP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00"/>
        </w:trPr>
        <w:tc>
          <w:tcPr>
            <w:tcW w:w="6800" w:type="dxa"/>
            <w:vAlign w:val="bottom"/>
            <w:tcBorders>
              <w:bottom w:val="single" w:sz="8" w:color="E2E2E2"/>
            </w:tcBorders>
          </w:tcPr>
          <w:p>
            <w:pPr>
              <w:ind w:left="60"/>
              <w:spacing w:after="0" w:line="200" w:lineRule="exact"/>
              <w:rPr>
                <w:sz w:val="20"/>
                <w:szCs w:val="20"/>
                <w:color w:val="auto"/>
              </w:rPr>
            </w:pPr>
            <w:r>
              <w:rPr>
                <w:rFonts w:ascii="Times New Roman" w:cs="Times New Roman" w:eastAsia="Times New Roman" w:hAnsi="Times New Roman"/>
                <w:sz w:val="18"/>
                <w:szCs w:val="18"/>
                <w:color w:val="1E1E1E"/>
              </w:rPr>
              <w:t>Net Cash Used for Investing Activities</w:t>
            </w: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(254)</w:t>
            </w:r>
          </w:p>
        </w:tc>
        <w:tc>
          <w:tcPr>
            <w:tcW w:w="80" w:type="dxa"/>
            <w:vAlign w:val="bottom"/>
            <w:tcBorders>
              <w:bottom w:val="single" w:sz="8" w:color="E2E2E2"/>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(555)</w:t>
            </w:r>
          </w:p>
        </w:tc>
        <w:tc>
          <w:tcPr>
            <w:tcW w:w="60" w:type="dxa"/>
            <w:vAlign w:val="bottom"/>
            <w:tcBorders>
              <w:bottom w:val="single" w:sz="8" w:color="E2E2E2"/>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(169)</w:t>
            </w:r>
          </w:p>
        </w:tc>
      </w:tr>
      <w:tr>
        <w:trPr>
          <w:trHeight w:val="230"/>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b w:val="1"/>
                <w:bCs w:val="1"/>
                <w:color w:val="1E1E1E"/>
              </w:rPr>
              <w:t>Financing Activities:</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r>
      <w:tr>
        <w:trPr>
          <w:trHeight w:val="240"/>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Repayments of Borrowings from Asset-based Revolving Credit Facility</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40"/>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Borrowings from Asset-based Revolving Credit Facility</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465</w:t>
            </w: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w:t>
            </w: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Repurchases of Common Stock</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(250)</w:t>
            </w:r>
          </w:p>
        </w:tc>
      </w:tr>
      <w:tr>
        <w:trPr>
          <w:trHeight w:val="243"/>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Tax Payments related to Share-based Awards</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(42)</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w:t>
            </w: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Payments of Long-term Debt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w:t>
            </w:r>
          </w:p>
        </w:tc>
      </w:tr>
      <w:tr>
        <w:trPr>
          <w:trHeight w:val="243"/>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Proceeds from Stock Option Exercises</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5</w:t>
            </w: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Cash Received from Noncontrolling Interest Holder</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43"/>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Net Transfers to Former Parent</w:t>
            </w: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80" w:type="dxa"/>
            <w:vAlign w:val="bottom"/>
            <w:shd w:val="clear" w:color="auto" w:fill="E2E2E2"/>
          </w:tcPr>
          <w:p>
            <w:pPr>
              <w:spacing w:after="0"/>
              <w:rPr>
                <w:sz w:val="21"/>
                <w:szCs w:val="21"/>
                <w:color w:val="auto"/>
              </w:rPr>
            </w:pPr>
          </w:p>
        </w:tc>
        <w:tc>
          <w:tcPr>
            <w:tcW w:w="260" w:type="dxa"/>
            <w:vAlign w:val="bottom"/>
            <w:shd w:val="clear" w:color="auto" w:fill="E2E2E2"/>
          </w:tcPr>
          <w:p>
            <w:pPr>
              <w:spacing w:after="0"/>
              <w:rPr>
                <w:sz w:val="21"/>
                <w:szCs w:val="21"/>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6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(1,253)</w:t>
            </w: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Proceeds from Issuance of Long-term Debt, Net of Issuance Costs and Discounts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982</w:t>
            </w:r>
          </w:p>
        </w:tc>
      </w:tr>
      <w:tr>
        <w:trPr>
          <w:trHeight w:val="253"/>
        </w:trPr>
        <w:tc>
          <w:tcPr>
            <w:tcW w:w="68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Other Financing Activities</w:t>
            </w: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w:t>
            </w:r>
          </w:p>
        </w:tc>
        <w:tc>
          <w:tcPr>
            <w:tcW w:w="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w:t>
            </w:r>
          </w:p>
        </w:tc>
        <w:tc>
          <w:tcPr>
            <w:tcW w:w="60" w:type="dxa"/>
            <w:vAlign w:val="bottom"/>
            <w:tcBorders>
              <w:bottom w:val="single" w:sz="8" w:color="E2E2E2"/>
            </w:tcBorders>
            <w:shd w:val="clear" w:color="auto" w:fill="E2E2E2"/>
          </w:tcPr>
          <w:p>
            <w:pPr>
              <w:spacing w:after="0"/>
              <w:rPr>
                <w:sz w:val="21"/>
                <w:szCs w:val="21"/>
                <w:color w:val="auto"/>
              </w:rPr>
            </w:pP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(6)</w:t>
            </w:r>
          </w:p>
        </w:tc>
      </w:tr>
      <w:tr>
        <w:trPr>
          <w:trHeight w:val="200"/>
        </w:trPr>
        <w:tc>
          <w:tcPr>
            <w:tcW w:w="6800" w:type="dxa"/>
            <w:vAlign w:val="bottom"/>
            <w:tcBorders>
              <w:bottom w:val="single" w:sz="8" w:color="E2E2E2"/>
            </w:tcBorders>
          </w:tcPr>
          <w:p>
            <w:pPr>
              <w:ind w:left="60"/>
              <w:spacing w:after="0" w:line="200" w:lineRule="exact"/>
              <w:rPr>
                <w:sz w:val="20"/>
                <w:szCs w:val="20"/>
                <w:color w:val="auto"/>
              </w:rPr>
            </w:pPr>
            <w:r>
              <w:rPr>
                <w:rFonts w:ascii="Times New Roman" w:cs="Times New Roman" w:eastAsia="Times New Roman" w:hAnsi="Times New Roman"/>
                <w:sz w:val="18"/>
                <w:szCs w:val="18"/>
                <w:color w:val="1E1E1E"/>
              </w:rPr>
              <w:t>Net Cash Provided by (Used for) Financing Activities</w:t>
            </w: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(291)</w:t>
            </w:r>
          </w:p>
        </w:tc>
        <w:tc>
          <w:tcPr>
            <w:tcW w:w="80" w:type="dxa"/>
            <w:vAlign w:val="bottom"/>
            <w:tcBorders>
              <w:bottom w:val="single" w:sz="8" w:color="E2E2E2"/>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58</w:t>
            </w:r>
          </w:p>
        </w:tc>
        <w:tc>
          <w:tcPr>
            <w:tcW w:w="60" w:type="dxa"/>
            <w:vAlign w:val="bottom"/>
            <w:tcBorders>
              <w:bottom w:val="single" w:sz="8" w:color="E2E2E2"/>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82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18"/>
                <w:szCs w:val="18"/>
                <w:color w:val="1E1E1E"/>
              </w:rPr>
              <w:t>(527)</w:t>
            </w:r>
          </w:p>
        </w:tc>
      </w:tr>
      <w:tr>
        <w:trPr>
          <w:trHeight w:val="230"/>
        </w:trPr>
        <w:tc>
          <w:tcPr>
            <w:tcW w:w="68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Effects of Exchange Rate Changes on Cash and Cash Equivalents</w:t>
            </w: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(1)</w:t>
            </w: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w:t>
            </w:r>
          </w:p>
        </w:tc>
        <w:tc>
          <w:tcPr>
            <w:tcW w:w="6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w:t>
            </w:r>
          </w:p>
        </w:tc>
      </w:tr>
      <w:tr>
        <w:trPr>
          <w:trHeight w:val="237"/>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1E1E1E"/>
              </w:rPr>
              <w:t>Net Increase (Decrease) in Cash and Cash Equivalents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155</w:t>
            </w:r>
          </w:p>
        </w:tc>
      </w:tr>
      <w:tr>
        <w:trPr>
          <w:trHeight w:val="253"/>
        </w:trPr>
        <w:tc>
          <w:tcPr>
            <w:tcW w:w="68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8"/>
                <w:szCs w:val="18"/>
                <w:color w:val="1E1E1E"/>
              </w:rPr>
              <w:t>Cash and Cash Equivalents, Beginning of Period</w:t>
            </w: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427</w:t>
            </w:r>
          </w:p>
        </w:tc>
        <w:tc>
          <w:tcPr>
            <w:tcW w:w="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490</w:t>
            </w:r>
          </w:p>
        </w:tc>
        <w:tc>
          <w:tcPr>
            <w:tcW w:w="60" w:type="dxa"/>
            <w:vAlign w:val="bottom"/>
            <w:tcBorders>
              <w:bottom w:val="single" w:sz="8" w:color="E2E2E2"/>
            </w:tcBorders>
            <w:shd w:val="clear" w:color="auto" w:fill="E2E2E2"/>
          </w:tcPr>
          <w:p>
            <w:pPr>
              <w:spacing w:after="0"/>
              <w:rPr>
                <w:sz w:val="21"/>
                <w:szCs w:val="21"/>
                <w:color w:val="auto"/>
              </w:rPr>
            </w:pPr>
          </w:p>
        </w:tc>
        <w:tc>
          <w:tcPr>
            <w:tcW w:w="28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8"/>
                <w:szCs w:val="18"/>
                <w:color w:val="1E1E1E"/>
              </w:rPr>
              <w:t>335</w:t>
            </w:r>
          </w:p>
        </w:tc>
      </w:tr>
      <w:tr>
        <w:trPr>
          <w:trHeight w:val="180"/>
        </w:trPr>
        <w:tc>
          <w:tcPr>
            <w:tcW w:w="680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color w:val="1E1E1E"/>
              </w:rPr>
              <w:t>Cash and Cash Equivalents, End of Period</w:t>
            </w:r>
          </w:p>
        </w:tc>
        <w:tc>
          <w:tcPr>
            <w:tcW w:w="280" w:type="dxa"/>
            <w:vAlign w:val="bottom"/>
            <w:tcBorders>
              <w:bottom w:val="single" w:sz="8" w:color="1E1E1E"/>
            </w:tcBorders>
          </w:tcPr>
          <w:p>
            <w:pPr>
              <w:jc w:val="right"/>
              <w:ind w:right="30"/>
              <w:spacing w:after="0" w:line="180" w:lineRule="exact"/>
              <w:rPr>
                <w:sz w:val="20"/>
                <w:szCs w:val="20"/>
                <w:color w:val="auto"/>
              </w:rPr>
            </w:pPr>
            <w:r>
              <w:rPr>
                <w:rFonts w:ascii="Times New Roman" w:cs="Times New Roman" w:eastAsia="Times New Roman" w:hAnsi="Times New Roman"/>
                <w:sz w:val="18"/>
                <w:szCs w:val="18"/>
                <w:color w:val="1E1E1E"/>
              </w:rPr>
              <w:t>$</w:t>
            </w:r>
          </w:p>
        </w:tc>
        <w:tc>
          <w:tcPr>
            <w:tcW w:w="820" w:type="dxa"/>
            <w:vAlign w:val="bottom"/>
            <w:tcBorders>
              <w:bottom w:val="single" w:sz="8" w:color="1E1E1E"/>
            </w:tcBorders>
          </w:tcPr>
          <w:p>
            <w:pPr>
              <w:jc w:val="right"/>
              <w:spacing w:after="0" w:line="180" w:lineRule="exact"/>
              <w:rPr>
                <w:sz w:val="20"/>
                <w:szCs w:val="20"/>
                <w:color w:val="auto"/>
              </w:rPr>
            </w:pPr>
            <w:r>
              <w:rPr>
                <w:rFonts w:ascii="Times New Roman" w:cs="Times New Roman" w:eastAsia="Times New Roman" w:hAnsi="Times New Roman"/>
                <w:sz w:val="18"/>
                <w:szCs w:val="18"/>
                <w:color w:val="1E1E1E"/>
              </w:rPr>
              <w:t>270</w:t>
            </w:r>
          </w:p>
        </w:tc>
        <w:tc>
          <w:tcPr>
            <w:tcW w:w="80" w:type="dxa"/>
            <w:vAlign w:val="bottom"/>
          </w:tcPr>
          <w:p>
            <w:pPr>
              <w:spacing w:after="0"/>
              <w:rPr>
                <w:sz w:val="15"/>
                <w:szCs w:val="15"/>
                <w:color w:val="auto"/>
              </w:rPr>
            </w:pPr>
          </w:p>
        </w:tc>
        <w:tc>
          <w:tcPr>
            <w:tcW w:w="260" w:type="dxa"/>
            <w:vAlign w:val="bottom"/>
            <w:tcBorders>
              <w:bottom w:val="single" w:sz="8" w:color="1E1E1E"/>
            </w:tcBorders>
          </w:tcPr>
          <w:p>
            <w:pPr>
              <w:jc w:val="right"/>
              <w:ind w:right="30"/>
              <w:spacing w:after="0" w:line="180" w:lineRule="exact"/>
              <w:rPr>
                <w:sz w:val="20"/>
                <w:szCs w:val="20"/>
                <w:color w:val="auto"/>
              </w:rPr>
            </w:pPr>
            <w:r>
              <w:rPr>
                <w:rFonts w:ascii="Times New Roman" w:cs="Times New Roman" w:eastAsia="Times New Roman" w:hAnsi="Times New Roman"/>
                <w:sz w:val="18"/>
                <w:szCs w:val="18"/>
                <w:color w:val="1E1E1E"/>
              </w:rPr>
              <w:t>$</w:t>
            </w:r>
          </w:p>
        </w:tc>
        <w:tc>
          <w:tcPr>
            <w:tcW w:w="840" w:type="dxa"/>
            <w:vAlign w:val="bottom"/>
            <w:tcBorders>
              <w:bottom w:val="single" w:sz="8" w:color="1E1E1E"/>
            </w:tcBorders>
          </w:tcPr>
          <w:p>
            <w:pPr>
              <w:jc w:val="right"/>
              <w:spacing w:after="0" w:line="180" w:lineRule="exact"/>
              <w:rPr>
                <w:sz w:val="20"/>
                <w:szCs w:val="20"/>
                <w:color w:val="auto"/>
              </w:rPr>
            </w:pPr>
            <w:r>
              <w:rPr>
                <w:rFonts w:ascii="Times New Roman" w:cs="Times New Roman" w:eastAsia="Times New Roman" w:hAnsi="Times New Roman"/>
                <w:sz w:val="18"/>
                <w:szCs w:val="18"/>
                <w:color w:val="1E1E1E"/>
              </w:rPr>
              <w:t>427</w:t>
            </w:r>
          </w:p>
        </w:tc>
        <w:tc>
          <w:tcPr>
            <w:tcW w:w="60" w:type="dxa"/>
            <w:vAlign w:val="bottom"/>
          </w:tcPr>
          <w:p>
            <w:pPr>
              <w:spacing w:after="0"/>
              <w:rPr>
                <w:sz w:val="15"/>
                <w:szCs w:val="15"/>
                <w:color w:val="auto"/>
              </w:rPr>
            </w:pPr>
          </w:p>
        </w:tc>
        <w:tc>
          <w:tcPr>
            <w:tcW w:w="280" w:type="dxa"/>
            <w:vAlign w:val="bottom"/>
            <w:tcBorders>
              <w:bottom w:val="single" w:sz="8" w:color="1E1E1E"/>
            </w:tcBorders>
          </w:tcPr>
          <w:p>
            <w:pPr>
              <w:jc w:val="right"/>
              <w:ind w:right="30"/>
              <w:spacing w:after="0" w:line="180" w:lineRule="exact"/>
              <w:rPr>
                <w:sz w:val="20"/>
                <w:szCs w:val="20"/>
                <w:color w:val="auto"/>
              </w:rPr>
            </w:pPr>
            <w:r>
              <w:rPr>
                <w:rFonts w:ascii="Times New Roman" w:cs="Times New Roman" w:eastAsia="Times New Roman" w:hAnsi="Times New Roman"/>
                <w:sz w:val="18"/>
                <w:szCs w:val="18"/>
                <w:color w:val="1E1E1E"/>
              </w:rPr>
              <w:t>$</w:t>
            </w:r>
          </w:p>
        </w:tc>
        <w:tc>
          <w:tcPr>
            <w:tcW w:w="820" w:type="dxa"/>
            <w:vAlign w:val="bottom"/>
            <w:tcBorders>
              <w:bottom w:val="single" w:sz="8" w:color="1E1E1E"/>
            </w:tcBorders>
          </w:tcPr>
          <w:p>
            <w:pPr>
              <w:jc w:val="right"/>
              <w:spacing w:after="0" w:line="180" w:lineRule="exact"/>
              <w:rPr>
                <w:sz w:val="20"/>
                <w:szCs w:val="20"/>
                <w:color w:val="auto"/>
              </w:rPr>
            </w:pPr>
            <w:r>
              <w:rPr>
                <w:rFonts w:ascii="Times New Roman" w:cs="Times New Roman" w:eastAsia="Times New Roman" w:hAnsi="Times New Roman"/>
                <w:sz w:val="18"/>
                <w:szCs w:val="18"/>
                <w:color w:val="1E1E1E"/>
              </w:rPr>
              <w:t>490</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-5568315</wp:posOffset>
            </wp:positionV>
            <wp:extent cx="221932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9">
                      <a:extLst>
                        <a:ext uri="{28A0092B-C50C-407E-A947-70E740481C1C}"/>
                      </a:extLst>
                    </a:blip>
                    <a:srcRect/>
                    <a:stretch>
                      <a:fillRect/>
                    </a:stretch>
                  </pic:blipFill>
                  <pic:spPr bwMode="auto">
                    <a:xfrm>
                      <a:off x="0" y="0"/>
                      <a:ext cx="2219325"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-3549015</wp:posOffset>
            </wp:positionV>
            <wp:extent cx="151130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0">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-3396615</wp:posOffset>
            </wp:positionV>
            <wp:extent cx="151130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1">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-2634615</wp:posOffset>
            </wp:positionV>
            <wp:extent cx="151130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2">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-2482215</wp:posOffset>
            </wp:positionV>
            <wp:extent cx="151130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3">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-805815</wp:posOffset>
            </wp:positionV>
            <wp:extent cx="151130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4">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-653415</wp:posOffset>
            </wp:positionV>
            <wp:extent cx="151130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5">
                      <a:extLst>
                        <a:ext uri="{28A0092B-C50C-407E-A947-70E740481C1C}"/>
                      </a:extLst>
                    </a:blip>
                    <a:srcRect/>
                    <a:stretch>
                      <a:fillRect/>
                    </a:stretch>
                  </pic:blipFill>
                  <pic:spPr bwMode="auto">
                    <a:xfrm>
                      <a:off x="0" y="0"/>
                      <a:ext cx="1511300" cy="5080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-196215</wp:posOffset>
            </wp:positionV>
            <wp:extent cx="151130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6">
                      <a:extLst>
                        <a:ext uri="{28A0092B-C50C-407E-A947-70E740481C1C}"/>
                      </a:extLst>
                    </a:blip>
                    <a:srcRect/>
                    <a:stretch>
                      <a:fillRect/>
                    </a:stretch>
                  </pic:blipFill>
                  <pic:spPr bwMode="auto">
                    <a:xfrm>
                      <a:off x="0" y="0"/>
                      <a:ext cx="1511300" cy="508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and Combined Financial Statements.</w:t>
      </w:r>
    </w:p>
    <w:p>
      <w:pPr>
        <w:sectPr>
          <w:pgSz w:w="11880" w:h="15480" w:orient="portrait"/>
          <w:cols w:equalWidth="0" w:num="1">
            <w:col w:w="10240"/>
          </w:cols>
          <w:pgMar w:left="820" w:top="22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240"/>
          </w:cols>
          <w:pgMar w:left="820" w:top="221" w:right="820" w:bottom="0" w:gutter="0" w:footer="0" w:header="0"/>
          <w:type w:val="continuous"/>
        </w:sectPr>
      </w:pPr>
    </w:p>
    <w:bookmarkStart w:id="65" w:name="page66"/>
    <w:bookmarkEnd w:id="65"/>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VICTORIA'S SECRET &amp; CO.</w:t>
      </w:r>
    </w:p>
    <w:p>
      <w:pPr>
        <w:spacing w:after="0" w:line="1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AND COMBINED FINANCIAL STATEMENTS</w:t>
      </w:r>
    </w:p>
    <w:p>
      <w:pPr>
        <w:spacing w:after="0" w:line="250" w:lineRule="exact"/>
        <w:rPr>
          <w:sz w:val="20"/>
          <w:szCs w:val="20"/>
          <w:color w:val="auto"/>
        </w:rPr>
      </w:pPr>
    </w:p>
    <w:p>
      <w:pPr>
        <w:ind w:left="10" w:right="2000" w:hanging="10"/>
        <w:spacing w:after="0" w:line="358" w:lineRule="auto"/>
        <w:tabs>
          <w:tab w:leader="none" w:pos="210" w:val="left"/>
        </w:tabs>
        <w:numPr>
          <w:ilvl w:val="0"/>
          <w:numId w:val="4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Description of Business, Basis of Presentation and Summary of Significant Accounting Policies </w:t>
      </w:r>
      <w:r>
        <w:rPr>
          <w:rFonts w:ascii="Times New Roman" w:cs="Times New Roman" w:eastAsia="Times New Roman" w:hAnsi="Times New Roman"/>
          <w:sz w:val="20"/>
          <w:szCs w:val="20"/>
          <w:b w:val="1"/>
          <w:bCs w:val="1"/>
          <w:i w:val="1"/>
          <w:iCs w:val="1"/>
          <w:color w:val="1E1E1E"/>
        </w:rPr>
        <w:t>Description of Business</w:t>
      </w:r>
    </w:p>
    <w:p>
      <w:pPr>
        <w:spacing w:after="0" w:line="1"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1E1E1E"/>
        </w:rPr>
        <w:t>Victoria's Secret &amp; Co. is a specialty retailer of women's intimate and other apparel and beauty products marketed under the Victoria's Secret, PINK and Adore Me brand names. The Company has approximately 910 stores in the U.S., Canada and China as well as its own websites, www.VictoriasSecret.com, www.PINK.com and www.AdoreMe.com and other digital channels worldwide. Additionally, the Company has more than 460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online channels.</w:t>
      </w:r>
    </w:p>
    <w:p>
      <w:pPr>
        <w:spacing w:after="0" w:line="70"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1E1E1E"/>
        </w:rPr>
        <w:t>On December 30, 2022, the Company completed its acquisition of Adore Me, a digitally-native intimates brand. For additional information, see Note 2, “Acquisition.”</w:t>
      </w:r>
    </w:p>
    <w:p>
      <w:pPr>
        <w:spacing w:after="0" w:line="41"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1E1E1E"/>
        </w:rPr>
        <w:t>In July 2022, the Company announced a new, simplified corporate leadership structure designed to unite the Company's brands, better align its teams with a shifting consumer landscape and enable better execution of its strategy. The restructuring eliminated approximately 160 management roles, or approximately 5% of the Company's home office headcount. In the fourth quarter of 2022 and in the first quarter of 2023, the Company implemented additional restructuring actions to continue to reorganize and improve its organizational structure. For additional information, see Note 6, “Restructuring Activities.”</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Victoria's Secret &amp; Co. Spin-Off</w:t>
      </w:r>
    </w:p>
    <w:p>
      <w:pPr>
        <w:spacing w:after="0" w:line="119" w:lineRule="exact"/>
        <w:rPr>
          <w:sz w:val="20"/>
          <w:szCs w:val="20"/>
          <w:color w:val="auto"/>
        </w:rPr>
      </w:pPr>
    </w:p>
    <w:p>
      <w:pPr>
        <w:ind w:left="10" w:right="320"/>
        <w:spacing w:after="0" w:line="266" w:lineRule="auto"/>
        <w:rPr>
          <w:sz w:val="20"/>
          <w:szCs w:val="20"/>
          <w:color w:val="auto"/>
        </w:rPr>
      </w:pPr>
      <w:r>
        <w:rPr>
          <w:rFonts w:ascii="Times New Roman" w:cs="Times New Roman" w:eastAsia="Times New Roman" w:hAnsi="Times New Roman"/>
          <w:sz w:val="20"/>
          <w:szCs w:val="20"/>
          <w:color w:val="1E1E1E"/>
        </w:rPr>
        <w:t>On July 9, 2021, L Brands announced that its Board of Directors approved the previously announced separation of the Victoria's Secret business, including PINK, into an independent, publicly traded company. Prior to the Separation, L Brands operated the Bath &amp; Body Works, Victoria’s Secret and PINK retail brands.</w:t>
      </w:r>
    </w:p>
    <w:p>
      <w:pPr>
        <w:spacing w:after="0" w:line="55"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1E1E1E"/>
        </w:rPr>
        <w:t>On August 2, 2021, after the New York Stock Exchange market closing, the Separation of the Victoria's Secret business was completed. On August 3, 2021, Victoria's Secret &amp; Co. became an independent, publicly traded company trading on the NYSE under the stock symbol “VSCO.”</w:t>
      </w:r>
    </w:p>
    <w:p>
      <w:pPr>
        <w:spacing w:after="0" w:line="55"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20"/>
          <w:szCs w:val="20"/>
          <w:color w:val="1E1E1E"/>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13, “Long-term Debt and Borrowing Facilities”). The Former Parent retained no ownership interest in the Company following the Separation.</w:t>
      </w:r>
    </w:p>
    <w:p>
      <w:pPr>
        <w:spacing w:after="0" w:line="68" w:lineRule="exact"/>
        <w:rPr>
          <w:sz w:val="20"/>
          <w:szCs w:val="20"/>
          <w:color w:val="auto"/>
        </w:rPr>
      </w:pPr>
    </w:p>
    <w:p>
      <w:pPr>
        <w:ind w:left="10" w:right="260"/>
        <w:spacing w:after="0" w:line="258" w:lineRule="auto"/>
        <w:rPr>
          <w:sz w:val="20"/>
          <w:szCs w:val="20"/>
          <w:color w:val="auto"/>
        </w:rPr>
      </w:pPr>
      <w:r>
        <w:rPr>
          <w:rFonts w:ascii="Times New Roman" w:cs="Times New Roman" w:eastAsia="Times New Roman" w:hAnsi="Times New Roman"/>
          <w:sz w:val="20"/>
          <w:szCs w:val="20"/>
          <w:color w:val="1E1E1E"/>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3, “Transactions with Former Parent.”</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Fiscal Year</w:t>
      </w:r>
    </w:p>
    <w:p>
      <w:pPr>
        <w:spacing w:after="0" w:line="119" w:lineRule="exact"/>
        <w:rPr>
          <w:sz w:val="20"/>
          <w:szCs w:val="20"/>
          <w:color w:val="auto"/>
        </w:rPr>
      </w:pPr>
    </w:p>
    <w:p>
      <w:pPr>
        <w:ind w:left="10" w:right="400"/>
        <w:spacing w:after="0" w:line="266" w:lineRule="auto"/>
        <w:rPr>
          <w:sz w:val="20"/>
          <w:szCs w:val="20"/>
          <w:color w:val="auto"/>
        </w:rPr>
      </w:pPr>
      <w:r>
        <w:rPr>
          <w:rFonts w:ascii="Times New Roman" w:cs="Times New Roman" w:eastAsia="Times New Roman" w:hAnsi="Times New Roman"/>
          <w:sz w:val="20"/>
          <w:szCs w:val="20"/>
          <w:color w:val="1E1E1E"/>
        </w:rPr>
        <w:t>The Company's fiscal year ends on the Saturday nearest to January 31. As used herein,“2023” refers to the fifty-three-week period ended February 3, 2024 and “2022” and “2021” refer to the fifty-two-week periods ended January 28, 2023 and January 29, 2022, respectively.</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Basis of Presentation - Consolidated and Combined Financial Statements</w:t>
      </w:r>
    </w:p>
    <w:p>
      <w:pPr>
        <w:spacing w:after="0" w:line="119"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1E1E1E"/>
        </w:rPr>
        <w:t>The Company’s financial statements for periods through the Separation date of August 2, 2021 are combined financial statements prepared on a “carve-out” basis as discussed below. The Company’s financial statements for the period from August 3, 2021 through February 3, 2024 are consolidated financial statements based on the reported results of Victoria's Secret &amp; Co. as a standalone company.</w:t>
      </w:r>
    </w:p>
    <w:p>
      <w:pPr>
        <w:spacing w:after="0" w:line="63"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1E1E1E"/>
        </w:rPr>
        <w:t>The Consolidated and Combined Financial Statements have been prepared in conformity with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ectPr>
          <w:pgSz w:w="11880" w:h="15480" w:orient="portrait"/>
          <w:cols w:equalWidth="0" w:num="1">
            <w:col w:w="10250"/>
          </w:cols>
          <w:pgMar w:left="81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250"/>
          </w:cols>
          <w:pgMar w:left="810" w:top="446" w:right="82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of Presentation - Prior to Separation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1E1E1E"/>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1E1E1E"/>
        </w:rPr>
        <w:t>Intracompany transactions have been eliminated. Transactions between the Company and the Former Parent have been included in these financial statements.</w:t>
      </w:r>
    </w:p>
    <w:p>
      <w:pPr>
        <w:spacing w:after="0" w:line="4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1E1E1E"/>
        </w:rPr>
        <w:t>For the periods prior to the Separation, certain of the Former Parent's assets and liabilities that were specifically identifiable or otherwise attributable to the Company were included in the Company's balance sheets. For the periods prior to the Separation, the Former Parent's third-party long-term notes payable and the related interest expense were not allocated to the Company as the Company was not the legal obligor of such debt.</w:t>
      </w:r>
    </w:p>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1E1E1E"/>
        </w:rPr>
        <w:t>For the periods prior to the Separation, the Former Parent utilized a centralized approach to cash management and financing its operations. The cash and cash equivalents held by the Former Parent at the corporate level were not specifically identifiable to the Company and, therefore, were not reflected in the Company’s balance sheets. Cash transfers between the Former Parent and the Company were accounted for through Net Investment by Former Parent. Cash and cash equivalents that are included in the Company's balance sheets for the periods prior to the Separation represent cash and cash equivalents held by the Company prior to any potential transfer to the centralized cash management pool of the Former Parent.</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$49 million in 2021 were allocated and included within General, Administrative and Store Operating Expenses in the 2021 Consolidated and Combined Statement of Income.</w:t>
      </w:r>
    </w:p>
    <w:p>
      <w:pPr>
        <w:spacing w:after="0" w:line="7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1E1E1E"/>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3, “Transactions with Former Parent.”</w:t>
      </w:r>
    </w:p>
    <w:p>
      <w:pPr>
        <w:spacing w:after="0" w:line="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for periods prior to the Separation are not necessarily representative of the taxes that may arise in the future when the Company files its income tax returns independent from the Former Parent's returns.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and Cash Equivalents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Cash and Cash Equivalents include cash on hand, demand deposits with financial institutions, credit and debit card receivables and highly liquid investments with original maturities of 90 days or less. As of February 3, 2024, bank overdrafts of $55 million were classified as Accounts Payable in the Consolidated Balance Sheet because the legal right of offset did not exist. The Company's Cash and Cash Equivalents are considered Level 1 fair value measurements as they are valued using unadjusted quoted prices in active markets for identical assets.</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240"/>
          </w:cols>
          <w:pgMar w:left="820" w:top="444" w:right="82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1E1E1E"/>
        </w:rPr>
        <w:t>Concentration of Credit Risk</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bank deposits.</w:t>
      </w:r>
    </w:p>
    <w:p>
      <w:pPr>
        <w:spacing w:after="0" w:line="55"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1E1E1E"/>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Inventories are principally valued at the lower of cost or net realizable value, on an average cost basis.</w:t>
      </w:r>
    </w:p>
    <w:p>
      <w:pPr>
        <w:spacing w:after="0" w:line="1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5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Advertising Costs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Advertising and marketing costs are expensed at the time the promotion first appears in media, or in the store or when the advertising is mailed. Advertising and marketing costs totaled $454 million for 2023, $344 million for 2022 and $334 million for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w:t>
      </w:r>
    </w:p>
    <w:p>
      <w:pPr>
        <w:spacing w:after="0" w:line="11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1E1E1E"/>
        </w:rPr>
        <w:t>The Company’s property and equipment are recorded at cost and depreciation is computed on a straight-line basis using the following depreciable life ranges: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Borders>
              <w:bottom w:val="single" w:sz="8" w:color="1E1E1E"/>
            </w:tcBorders>
          </w:tcPr>
          <w:p>
            <w:pPr>
              <w:ind w:left="2400"/>
              <w:spacing w:after="0"/>
              <w:rPr>
                <w:sz w:val="20"/>
                <w:szCs w:val="20"/>
                <w:color w:val="auto"/>
              </w:rPr>
            </w:pPr>
            <w:r>
              <w:rPr>
                <w:rFonts w:ascii="Times New Roman" w:cs="Times New Roman" w:eastAsia="Times New Roman" w:hAnsi="Times New Roman"/>
                <w:sz w:val="16"/>
                <w:szCs w:val="16"/>
                <w:b w:val="1"/>
                <w:bCs w:val="1"/>
                <w:color w:val="1E1E1E"/>
              </w:rPr>
              <w:t>Category of Property and Equipment</w:t>
            </w:r>
          </w:p>
        </w:tc>
        <w:tc>
          <w:tcPr>
            <w:tcW w:w="6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2600" w:type="dxa"/>
            <w:vAlign w:val="bottom"/>
            <w:tcBorders>
              <w:bottom w:val="single" w:sz="8" w:color="1E1E1E"/>
            </w:tcBorders>
          </w:tcPr>
          <w:p>
            <w:pPr>
              <w:ind w:left="400"/>
              <w:spacing w:after="0"/>
              <w:rPr>
                <w:sz w:val="20"/>
                <w:szCs w:val="20"/>
                <w:color w:val="auto"/>
              </w:rPr>
            </w:pPr>
            <w:r>
              <w:rPr>
                <w:rFonts w:ascii="Times New Roman" w:cs="Times New Roman" w:eastAsia="Times New Roman" w:hAnsi="Times New Roman"/>
                <w:sz w:val="16"/>
                <w:szCs w:val="16"/>
                <w:b w:val="1"/>
                <w:bCs w:val="1"/>
                <w:color w:val="1E1E1E"/>
              </w:rPr>
              <w:t>Depreciable Life Range</w:t>
            </w:r>
          </w:p>
        </w:tc>
      </w:tr>
      <w:tr>
        <w:trPr>
          <w:trHeight w:val="270"/>
        </w:trPr>
        <w:tc>
          <w:tcPr>
            <w:tcW w:w="7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Software, including software developed for internal use</w:t>
            </w:r>
          </w:p>
        </w:tc>
        <w:tc>
          <w:tcPr>
            <w:tcW w:w="6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w w:val="99"/>
              </w:rPr>
              <w:t>3</w:t>
            </w:r>
          </w:p>
        </w:tc>
        <w:tc>
          <w:tcPr>
            <w:tcW w:w="2600" w:type="dxa"/>
            <w:vAlign w:val="bottom"/>
            <w:tcBorders>
              <w:bottom w:val="single" w:sz="8" w:color="E2E2E2"/>
            </w:tcBorders>
            <w:shd w:val="clear" w:color="auto" w:fill="E2E2E2"/>
          </w:tcPr>
          <w:p>
            <w:pPr>
              <w:ind w:left="20"/>
              <w:spacing w:after="0"/>
              <w:rPr>
                <w:sz w:val="20"/>
                <w:szCs w:val="20"/>
                <w:color w:val="auto"/>
              </w:rPr>
            </w:pPr>
            <w:r>
              <w:rPr>
                <w:rFonts w:ascii="Times New Roman" w:cs="Times New Roman" w:eastAsia="Times New Roman" w:hAnsi="Times New Roman"/>
                <w:sz w:val="20"/>
                <w:szCs w:val="20"/>
                <w:color w:val="1E1E1E"/>
              </w:rPr>
              <w:t>- 5 years</w:t>
            </w:r>
          </w:p>
        </w:tc>
      </w:tr>
      <w:tr>
        <w:trPr>
          <w:trHeight w:val="260"/>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Furniture, fixtures and equipment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1E1E1E"/>
                <w:w w:val="99"/>
              </w:rPr>
              <w:t>3</w:t>
            </w:r>
          </w:p>
        </w:tc>
        <w:tc>
          <w:tcPr>
            <w:tcW w:w="260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- 10 years</w:t>
            </w:r>
          </w:p>
        </w:tc>
      </w:tr>
      <w:tr>
        <w:trPr>
          <w:trHeight w:val="40"/>
        </w:trPr>
        <w:tc>
          <w:tcPr>
            <w:tcW w:w="7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780" w:type="dxa"/>
            <w:vAlign w:val="bottom"/>
            <w:gridSpan w:val="2"/>
          </w:tcPr>
          <w:p>
            <w:pPr>
              <w:spacing w:after="0"/>
              <w:rPr>
                <w:sz w:val="3"/>
                <w:szCs w:val="3"/>
                <w:color w:val="auto"/>
              </w:rPr>
            </w:pPr>
          </w:p>
        </w:tc>
      </w:tr>
      <w:tr>
        <w:trPr>
          <w:trHeight w:val="280"/>
        </w:trPr>
        <w:tc>
          <w:tcPr>
            <w:tcW w:w="7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Leasehold improvements</w:t>
            </w:r>
          </w:p>
        </w:tc>
        <w:tc>
          <w:tcPr>
            <w:tcW w:w="60" w:type="dxa"/>
            <w:vAlign w:val="bottom"/>
            <w:tcBorders>
              <w:bottom w:val="single" w:sz="8" w:color="E2E2E2"/>
            </w:tcBorders>
            <w:shd w:val="clear" w:color="auto" w:fill="E2E2E2"/>
          </w:tcPr>
          <w:p>
            <w:pPr>
              <w:spacing w:after="0"/>
              <w:rPr>
                <w:sz w:val="24"/>
                <w:szCs w:val="24"/>
                <w:color w:val="auto"/>
              </w:rPr>
            </w:pPr>
          </w:p>
        </w:tc>
        <w:tc>
          <w:tcPr>
            <w:tcW w:w="2780" w:type="dxa"/>
            <w:vAlign w:val="bottom"/>
            <w:tcBorders>
              <w:bottom w:val="single" w:sz="8" w:color="E2E2E2"/>
            </w:tcBorders>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Shorter of lease term or 10 years</w:t>
            </w:r>
          </w:p>
        </w:tc>
      </w:tr>
      <w:tr>
        <w:trPr>
          <w:trHeight w:val="260"/>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Non-store related building and site improvements</w:t>
            </w:r>
          </w:p>
        </w:tc>
        <w:tc>
          <w:tcPr>
            <w:tcW w:w="60" w:type="dxa"/>
            <w:vAlign w:val="bottom"/>
          </w:tcPr>
          <w:p>
            <w:pPr>
              <w:spacing w:after="0"/>
              <w:rPr>
                <w:sz w:val="22"/>
                <w:szCs w:val="22"/>
                <w:color w:val="auto"/>
              </w:rPr>
            </w:pP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10 - 15 years</w:t>
            </w:r>
          </w:p>
        </w:tc>
      </w:tr>
      <w:tr>
        <w:trPr>
          <w:trHeight w:val="40"/>
        </w:trPr>
        <w:tc>
          <w:tcPr>
            <w:tcW w:w="7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780" w:type="dxa"/>
            <w:vAlign w:val="bottom"/>
            <w:gridSpan w:val="2"/>
          </w:tcPr>
          <w:p>
            <w:pPr>
              <w:spacing w:after="0"/>
              <w:rPr>
                <w:sz w:val="3"/>
                <w:szCs w:val="3"/>
                <w:color w:val="auto"/>
              </w:rPr>
            </w:pPr>
          </w:p>
        </w:tc>
      </w:tr>
      <w:tr>
        <w:trPr>
          <w:trHeight w:val="280"/>
        </w:trPr>
        <w:tc>
          <w:tcPr>
            <w:tcW w:w="7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property and equipment</w:t>
            </w:r>
          </w:p>
        </w:tc>
        <w:tc>
          <w:tcPr>
            <w:tcW w:w="60" w:type="dxa"/>
            <w:vAlign w:val="bottom"/>
            <w:tcBorders>
              <w:bottom w:val="single" w:sz="8" w:color="E2E2E2"/>
            </w:tcBorders>
            <w:shd w:val="clear" w:color="auto" w:fill="E2E2E2"/>
          </w:tcPr>
          <w:p>
            <w:pPr>
              <w:spacing w:after="0"/>
              <w:rPr>
                <w:sz w:val="24"/>
                <w:szCs w:val="24"/>
                <w:color w:val="auto"/>
              </w:rPr>
            </w:pPr>
          </w:p>
        </w:tc>
        <w:tc>
          <w:tcPr>
            <w:tcW w:w="2780" w:type="dxa"/>
            <w:vAlign w:val="bottom"/>
            <w:tcBorders>
              <w:bottom w:val="single" w:sz="8" w:color="E2E2E2"/>
            </w:tcBorders>
            <w:gridSpan w:val="2"/>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20 years</w:t>
            </w:r>
          </w:p>
        </w:tc>
      </w:tr>
      <w:tr>
        <w:trPr>
          <w:trHeight w:val="260"/>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Buildings</w:t>
            </w:r>
          </w:p>
        </w:tc>
        <w:tc>
          <w:tcPr>
            <w:tcW w:w="60" w:type="dxa"/>
            <w:vAlign w:val="bottom"/>
          </w:tcPr>
          <w:p>
            <w:pPr>
              <w:spacing w:after="0"/>
              <w:rPr>
                <w:sz w:val="22"/>
                <w:szCs w:val="22"/>
                <w:color w:val="auto"/>
              </w:rPr>
            </w:pP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-1142365</wp:posOffset>
            </wp:positionV>
            <wp:extent cx="653415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7">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spacing w:after="0" w:line="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1E1E1E"/>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240"/>
          </w:cols>
          <w:pgMar w:left="820" w:top="444" w:right="82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1E1E1E"/>
        </w:rPr>
        <w:t>Leases and Leasehold Improvements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1E1E1E"/>
        </w:rPr>
        <w:t>At the date of control of the leased asset,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6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0"/>
          <w:szCs w:val="20"/>
          <w:color w:val="1E1E1E"/>
        </w:rPr>
        <w:t xml:space="preserve">For leases entered into or reassessed after the adoption of ASC 842, </w:t>
      </w:r>
      <w:r>
        <w:rPr>
          <w:rFonts w:ascii="Times New Roman" w:cs="Times New Roman" w:eastAsia="Times New Roman" w:hAnsi="Times New Roman"/>
          <w:sz w:val="20"/>
          <w:szCs w:val="20"/>
          <w:i w:val="1"/>
          <w:iCs w:val="1"/>
          <w:color w:val="1E1E1E"/>
        </w:rPr>
        <w:t>Leases</w:t>
      </w:r>
      <w:r>
        <w:rPr>
          <w:rFonts w:ascii="Times New Roman" w:cs="Times New Roman" w:eastAsia="Times New Roman" w:hAnsi="Times New Roman"/>
          <w:sz w:val="20"/>
          <w:szCs w:val="20"/>
          <w:color w:val="1E1E1E"/>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60"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1E1E1E"/>
        </w:rPr>
        <w:t>The Company uses its incremental borrowing rate, adjusted for collateral, to determine the present value of its unpaid lease payments.</w:t>
      </w:r>
    </w:p>
    <w:p>
      <w:pPr>
        <w:spacing w:after="0" w:line="41" w:lineRule="exact"/>
        <w:rPr>
          <w:sz w:val="20"/>
          <w:szCs w:val="20"/>
          <w:color w:val="auto"/>
        </w:rPr>
      </w:pPr>
    </w:p>
    <w:p>
      <w:pPr>
        <w:jc w:val="both"/>
        <w:ind w:right="500"/>
        <w:spacing w:after="0" w:line="271" w:lineRule="auto"/>
        <w:rPr>
          <w:sz w:val="20"/>
          <w:szCs w:val="20"/>
          <w:color w:val="auto"/>
        </w:rPr>
      </w:pPr>
      <w:r>
        <w:rPr>
          <w:rFonts w:ascii="Times New Roman" w:cs="Times New Roman" w:eastAsia="Times New Roman" w:hAnsi="Times New Roman"/>
          <w:sz w:val="19"/>
          <w:szCs w:val="19"/>
          <w:color w:val="1E1E1E"/>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w:t>
      </w:r>
    </w:p>
    <w:p>
      <w:pPr>
        <w:ind w:right="180"/>
        <w:spacing w:after="0" w:line="260" w:lineRule="auto"/>
        <w:rPr>
          <w:sz w:val="20"/>
          <w:szCs w:val="20"/>
          <w:color w:val="auto"/>
        </w:rPr>
      </w:pPr>
      <w:r>
        <w:rPr>
          <w:rFonts w:ascii="Times New Roman" w:cs="Times New Roman" w:eastAsia="Times New Roman" w:hAnsi="Times New Roman"/>
          <w:sz w:val="20"/>
          <w:szCs w:val="20"/>
          <w:color w:val="1E1E1E"/>
        </w:rPr>
        <w:t>Additionally, the Company may operate stores for a period of time on a month-to-month basis after the expiration of the lease term.</w:t>
      </w:r>
    </w:p>
    <w:p>
      <w:pPr>
        <w:spacing w:after="0" w:line="6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1E1E1E"/>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Company has certain intangible assets resulting from business combinations and acquisitions that are recorded at cost.</w:t>
      </w:r>
    </w:p>
    <w:p>
      <w:pPr>
        <w:spacing w:after="0" w:line="11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1E1E1E"/>
        </w:rPr>
        <w:t xml:space="preserve">The Company has goodwill resulting from the Adore Me acquisition on December 30, 2022. 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the Company recognizes an impairment charge equal to the difference, not to exceed the total amount of goodwill allocated to the reporting unit. The Company's reporting units are determined in accordance with the provisions of ASC 350, </w:t>
      </w:r>
      <w:r>
        <w:rPr>
          <w:rFonts w:ascii="Times New Roman" w:cs="Times New Roman" w:eastAsia="Times New Roman" w:hAnsi="Times New Roman"/>
          <w:sz w:val="20"/>
          <w:szCs w:val="20"/>
          <w:i w:val="1"/>
          <w:iCs w:val="1"/>
          <w:color w:val="1E1E1E"/>
        </w:rPr>
        <w:t>Intangibles -</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Goodwill and Other.</w:t>
      </w:r>
    </w:p>
    <w:p>
      <w:pPr>
        <w:spacing w:after="0" w:line="6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1E1E1E"/>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7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20"/>
          <w:szCs w:val="20"/>
          <w:color w:val="1E1E1E"/>
        </w:rPr>
        <w:t>The Company also has definite-lived intangible assets, which includes customer relationships, developed technology and the Adore Me trade name. Definite-lived intangible assets are amortized over their useful lives and are evaluated for impairment whenever events or circumstances indicate that a certain asset or asset group may be impaired.</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240"/>
          </w:cols>
          <w:pgMar w:left="820" w:top="444" w:right="82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Translation</w:t>
      </w:r>
    </w:p>
    <w:p>
      <w:pPr>
        <w:spacing w:after="0" w:line="1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1E1E1E"/>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in shareholders’ equity. Accumulated foreign currency translation adjustments are reclassified to net income when realized upon sale or upon complete, or substantially complete, liquidation of the investment in the foreign entity.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Supplier Finance Programs</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1E1E1E"/>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$183 million as of February 3, 2024 and $213 million as of January 28,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Fair Value</w:t>
      </w:r>
    </w:p>
    <w:p>
      <w:pPr>
        <w:spacing w:after="0" w:line="11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1E1E1E"/>
        </w:rPr>
        <w:t xml:space="preserve">The authoritative guidance included in ASC 820, </w:t>
      </w:r>
      <w:r>
        <w:rPr>
          <w:rFonts w:ascii="Times New Roman" w:cs="Times New Roman" w:eastAsia="Times New Roman" w:hAnsi="Times New Roman"/>
          <w:sz w:val="20"/>
          <w:szCs w:val="20"/>
          <w:i w:val="1"/>
          <w:iCs w:val="1"/>
          <w:color w:val="1E1E1E"/>
        </w:rPr>
        <w:t>Fair Value Measurement</w:t>
      </w:r>
      <w:r>
        <w:rPr>
          <w:rFonts w:ascii="Times New Roman" w:cs="Times New Roman" w:eastAsia="Times New Roman" w:hAnsi="Times New Roman"/>
          <w:sz w:val="20"/>
          <w:szCs w:val="20"/>
          <w:color w:val="1E1E1E"/>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6" w:lineRule="exact"/>
        <w:rPr>
          <w:sz w:val="20"/>
          <w:szCs w:val="20"/>
          <w:color w:val="auto"/>
        </w:rPr>
      </w:pPr>
    </w:p>
    <w:p>
      <w:pPr>
        <w:ind w:left="1440" w:hanging="730"/>
        <w:spacing w:after="0"/>
        <w:tabs>
          <w:tab w:leader="none" w:pos="1440"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Level 1—Quoted market prices in active markets for identical assets or liabilities.</w:t>
      </w:r>
    </w:p>
    <w:p>
      <w:pPr>
        <w:spacing w:after="0" w:line="110" w:lineRule="exact"/>
        <w:rPr>
          <w:rFonts w:ascii="Times New Roman" w:cs="Times New Roman" w:eastAsia="Times New Roman" w:hAnsi="Times New Roman"/>
          <w:sz w:val="20"/>
          <w:szCs w:val="20"/>
          <w:color w:val="1E1E1E"/>
        </w:rPr>
      </w:pPr>
    </w:p>
    <w:p>
      <w:pPr>
        <w:ind w:left="1440" w:right="280" w:hanging="730"/>
        <w:spacing w:after="0" w:line="260" w:lineRule="auto"/>
        <w:tabs>
          <w:tab w:leader="none" w:pos="1440"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63" w:lineRule="exact"/>
        <w:rPr>
          <w:rFonts w:ascii="Times New Roman" w:cs="Times New Roman" w:eastAsia="Times New Roman" w:hAnsi="Times New Roman"/>
          <w:sz w:val="20"/>
          <w:szCs w:val="20"/>
          <w:color w:val="1E1E1E"/>
        </w:rPr>
      </w:pPr>
    </w:p>
    <w:p>
      <w:pPr>
        <w:ind w:left="1440" w:right="140" w:hanging="730"/>
        <w:spacing w:after="0" w:line="266" w:lineRule="auto"/>
        <w:tabs>
          <w:tab w:leader="none" w:pos="1440"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1E1E1E"/>
        </w:rPr>
        <w:t>The Company estimates the fair value of financial instruments, property and equipment, goodwill, trade names, other intangible assets and contingent consideration in accordance with the provisions of ASC 820</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The recorded amounts for cash and cash equivalents, accounts receivable, prepaid expenses, other current assets and current liabilities approximate fair value due to the short-term nature of these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Derivative Financial Instruments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1E1E1E"/>
        </w:rPr>
        <w:t>The Company from time to time uses derivative financial instruments to manage exposure to foreign currency exchange rates. The Company does not use derivative instruments for trading purposes. All derivative instruments are recorded on the Consolidated Balance Sheets at fair value.</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upon sale of the hedged merchandise to the customer. These gains and losses are recognized in Costs of Goods Sold, Buying and Occupancy in the Consolidated and Combined Statements of Income.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ectPr>
          <w:pgSz w:w="11880" w:h="15480" w:orient="portrait"/>
          <w:cols w:equalWidth="0" w:num="1">
            <w:col w:w="10260"/>
          </w:cols>
          <w:pgMar w:left="820" w:top="4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260"/>
          </w:cols>
          <w:pgMar w:left="820" w:top="444" w:right="80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and Combined Statement of Income in the period that includes the enactment date. The Company treats the global intangible low-taxed income provision enacted as part of the U.S. Tax Cuts and Jobs Act as a current period expense. A valuation allowance is recorded to reduce the carrying amounts of deferred tax assets if it is more likely than not that such assets will not be realized.</w:t>
      </w:r>
    </w:p>
    <w:p>
      <w:pPr>
        <w:spacing w:after="0" w:line="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and Combined Statements of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Self-Insurance</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Equity Method Investments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and the Company’s share of net income or loss from all other unconsolidated entities is included in General, Administrative and Store Operating Expenses in the Consolidated and Combined Statements of Income. The Company’s equity method investments are required to be reviewed for impairment when it is determined there may be an other-than-temporary loss in value.</w:t>
      </w:r>
    </w:p>
    <w:p>
      <w:pPr>
        <w:spacing w:after="0" w:line="7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1E1E1E"/>
        </w:rPr>
        <w:t>In March 2022, the Company acquired a minority interest in swimwear brand Frankies Bikinis, LLC (“Frankies Bikinis”) in exchange for $18 million. The investment in Frankies Bikinis is accounted for using the equity method of accounting.</w:t>
      </w:r>
    </w:p>
    <w:p>
      <w:pPr>
        <w:spacing w:after="0" w:line="4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1E1E1E"/>
        </w:rPr>
        <w:t>The total carrying value of equity method investments was $60 million and $56 million as of February 3, 2024 and January 28, 2023. These investments are recorded in Other Assets on the Consolidated Balance Sheets.</w:t>
      </w:r>
    </w:p>
    <w:p>
      <w:pPr>
        <w:sectPr>
          <w:pgSz w:w="11880" w:h="15480" w:orient="portrait"/>
          <w:cols w:equalWidth="0" w:num="1">
            <w:col w:w="10240"/>
          </w:cols>
          <w:pgMar w:left="820" w:top="44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240"/>
          </w:cols>
          <w:pgMar w:left="820" w:top="444" w:right="82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1E1E1E"/>
        </w:rPr>
        <w:t>Net Investment by Former Parent</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1E1E1E"/>
        </w:rPr>
        <w:t>Net Investment by Former Parent represents the Former Parent's historical investment in the Company, the accumulated net earnings after taxes and the net effect of the transactions with and allocations from the Former Parent. All transactions reflected in Net Investment by Former Parent have been considered as financing activities for purposes of the Consolidated and Combined Statements of Cash Flows.</w:t>
      </w:r>
    </w:p>
    <w:p>
      <w:pPr>
        <w:spacing w:after="0" w:line="63" w:lineRule="exact"/>
        <w:rPr>
          <w:sz w:val="20"/>
          <w:szCs w:val="20"/>
          <w:color w:val="auto"/>
        </w:rPr>
      </w:pPr>
    </w:p>
    <w:p>
      <w:pPr>
        <w:ind w:right="1660"/>
        <w:spacing w:after="0" w:line="396" w:lineRule="auto"/>
        <w:rPr>
          <w:sz w:val="20"/>
          <w:szCs w:val="20"/>
          <w:color w:val="auto"/>
        </w:rPr>
      </w:pPr>
      <w:r>
        <w:rPr>
          <w:rFonts w:ascii="Times New Roman" w:cs="Times New Roman" w:eastAsia="Times New Roman" w:hAnsi="Times New Roman"/>
          <w:sz w:val="20"/>
          <w:szCs w:val="20"/>
          <w:color w:val="1E1E1E"/>
        </w:rPr>
        <w:t xml:space="preserve">For additional information, see Basis of Presentation above and Note 3, “Transactions with Former Parent.” </w:t>
      </w:r>
      <w:r>
        <w:rPr>
          <w:rFonts w:ascii="Times New Roman" w:cs="Times New Roman" w:eastAsia="Times New Roman" w:hAnsi="Times New Roman"/>
          <w:sz w:val="20"/>
          <w:szCs w:val="20"/>
          <w:b w:val="1"/>
          <w:bCs w:val="1"/>
          <w:i w:val="1"/>
          <w:iCs w:val="1"/>
          <w:color w:val="1E1E1E"/>
        </w:rPr>
        <w:t>Noncontrolling Interest</w:t>
      </w:r>
    </w:p>
    <w:p>
      <w:pPr>
        <w:spacing w:after="0" w:line="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1E1E1E"/>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and Combined Statements of Income. Noncontrolling interest represents the portion of equity interests in a joint venture that operates the business in China that is not owned by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Share-based Compensation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1E1E1E"/>
        </w:rPr>
        <w:t>Prior to the Separation, certain Company employees participated in the share-based compensation plans sponsored by the Former Parent. The Former Parent's share-based compensation awards granted to the employees of the Company consisted of the Former Parent's stock options and restricted stock. As such, prior to the Separation, the awards granted to Company employees are reflected in Net Investment by Former Parent within the Consolidated and Combined Statements of Equity at the time they were expensed. Prior to the Separation, the Consolidated and Combined Statements of Income also include an allocation of the Former Parent's corporate and shared employee share-based compensation expenses.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5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E1E1E"/>
        </w:rPr>
        <w:t>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and Combined Statements of Income. The Company also provides a reserve for projected merchandise returns based on historical experience. Net Sales exclude sales and other similar taxes collected from customers.</w:t>
      </w:r>
    </w:p>
    <w:p>
      <w:pPr>
        <w:spacing w:after="0" w:line="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1E1E1E"/>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value of points redeemed and an estimate for points not expected to be redeemed based on historical experience.</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and Combined Statements of Income.</w:t>
      </w:r>
    </w:p>
    <w:p>
      <w:pPr>
        <w:spacing w:after="0" w:line="7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1E1E1E"/>
        </w:rPr>
        <w:t>Revenue earned in connection with the Company's credit card arrangements is primarily recognized based on credit card sales and usage and is included in Net Sales in the Consolidated and Combined Statements of Income.</w:t>
      </w:r>
    </w:p>
    <w:p>
      <w:pPr>
        <w:sectPr>
          <w:pgSz w:w="11880" w:h="15480" w:orient="portrait"/>
          <w:cols w:equalWidth="0" w:num="1">
            <w:col w:w="10260"/>
          </w:cols>
          <w:pgMar w:left="820" w:top="44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260"/>
          </w:cols>
          <w:pgMar w:left="820" w:top="444" w:right="800" w:bottom="0" w:gutter="0" w:footer="0" w:header="0"/>
          <w:type w:val="continuous"/>
        </w:sectPr>
      </w:pPr>
    </w:p>
    <w:bookmarkStart w:id="72" w:name="page73"/>
    <w:bookmarkEnd w:id="72"/>
    <w:p>
      <w:pPr>
        <w:ind w:right="480"/>
        <w:spacing w:after="0" w:line="260" w:lineRule="auto"/>
        <w:rPr>
          <w:sz w:val="20"/>
          <w:szCs w:val="20"/>
          <w:color w:val="auto"/>
        </w:rPr>
      </w:pPr>
      <w:r>
        <w:rPr>
          <w:rFonts w:ascii="Times New Roman" w:cs="Times New Roman" w:eastAsia="Times New Roman" w:hAnsi="Times New Roman"/>
          <w:sz w:val="20"/>
          <w:szCs w:val="20"/>
          <w:color w:val="1E1E1E"/>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of merchandise passes to the partner.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Costs of Goods Sold, Buying and Occupancy</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1E1E1E"/>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as well as rent, common area maintenance, real estate taxes, utilities, maintenance, fulfillment expenses and depreciation for the Company’s stores, warehouse facilities and equipment.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General, Administrative and Store Operating Expenses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1E1E1E"/>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and Combined Statements of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 in the Preparation of Financial Statements</w:t>
      </w:r>
    </w:p>
    <w:p>
      <w:pPr>
        <w:spacing w:after="0" w:line="11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1E1E1E"/>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Recently Issued Accounting and Reporting Pronouncements</w:t>
      </w:r>
    </w:p>
    <w:p>
      <w:pPr>
        <w:spacing w:after="0" w:line="11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1E1E1E"/>
        </w:rPr>
        <w:t>The Company did not adopt any new accounting standards during 2023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SEC Climate-Related Disclosures</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In March 2024, the SEC adopted rules intended to enhance and standardize climate-related disclosures in registration statements and annual reports. The new rules will require disclosure of material climate-related risks, including disclosure of Board of Directors' oversight and risk management activities, the material impacts of these risks to the Company and the quantification of material impacts to the Company as a result of severe weather events and other natural conditions. The rules also require disclosure of material greenhouse gas emissions and any material climate-related targets and goals. The new rules will be effective for annual reporting periods beginning in fiscal year 2025, except for the greenhouse gas emissions disclosures which will be effective for annual reporting periods beginning in fiscal year 2026. The Company is currently evaluating the impact of these new rules.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Taxes</w:t>
      </w:r>
    </w:p>
    <w:p>
      <w:pPr>
        <w:spacing w:after="0" w:line="11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9"/>
          <w:szCs w:val="19"/>
          <w:color w:val="1E1E1E"/>
        </w:rPr>
        <w:t xml:space="preserve">In December 2023, the FASB issued ASU 2023-09, </w:t>
      </w:r>
      <w:r>
        <w:rPr>
          <w:rFonts w:ascii="Times New Roman" w:cs="Times New Roman" w:eastAsia="Times New Roman" w:hAnsi="Times New Roman"/>
          <w:sz w:val="19"/>
          <w:szCs w:val="19"/>
          <w:i w:val="1"/>
          <w:iCs w:val="1"/>
          <w:color w:val="1E1E1E"/>
        </w:rPr>
        <w:t>Income Taxes (Topic 740): Improvements to Income Tax Disclosures</w:t>
      </w:r>
      <w:r>
        <w:rPr>
          <w:rFonts w:ascii="Times New Roman" w:cs="Times New Roman" w:eastAsia="Times New Roman" w:hAnsi="Times New Roman"/>
          <w:sz w:val="19"/>
          <w:szCs w:val="19"/>
          <w:color w:val="1E1E1E"/>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The Company does not expect this standard to have a material impact on its results of operations, financial position or cash flows.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Segment Reporting</w:t>
      </w:r>
    </w:p>
    <w:p>
      <w:pPr>
        <w:spacing w:after="0" w:line="1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 xml:space="preserve">In November 2023, the FASB issued ASU 2023-07, </w:t>
      </w:r>
      <w:r>
        <w:rPr>
          <w:rFonts w:ascii="Times New Roman" w:cs="Times New Roman" w:eastAsia="Times New Roman" w:hAnsi="Times New Roman"/>
          <w:sz w:val="20"/>
          <w:szCs w:val="20"/>
          <w:i w:val="1"/>
          <w:iCs w:val="1"/>
          <w:color w:val="1E1E1E"/>
        </w:rPr>
        <w:t>Segment Reporting (Topic 280): Improvements to Reportable Segment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Disclosure</w:t>
      </w:r>
      <w:r>
        <w:rPr>
          <w:rFonts w:ascii="Times New Roman" w:cs="Times New Roman" w:eastAsia="Times New Roman" w:hAnsi="Times New Roman"/>
          <w:sz w:val="20"/>
          <w:szCs w:val="20"/>
          <w:color w:val="1E1E1E"/>
        </w:rPr>
        <w:t>, which is intended to improve reportable segment disclosure requirements, primarily through enhanced disclosures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 xml:space="preserve">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20"/>
          <w:szCs w:val="20"/>
          <w:i w:val="1"/>
          <w:iCs w:val="1"/>
          <w:color w:val="1E1E1E"/>
        </w:rPr>
        <w:t>Segment Reporting</w:t>
      </w:r>
      <w:r>
        <w:rPr>
          <w:rFonts w:ascii="Times New Roman" w:cs="Times New Roman" w:eastAsia="Times New Roman" w:hAnsi="Times New Roman"/>
          <w:sz w:val="20"/>
          <w:szCs w:val="20"/>
          <w:color w:val="1E1E1E"/>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260"/>
          </w:cols>
          <w:pgMar w:left="820" w:top="453" w:right="80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1E1E1E"/>
        </w:rPr>
        <w:t>2. Acquisition</w:t>
      </w:r>
    </w:p>
    <w:p>
      <w:pPr>
        <w:spacing w:after="0" w:line="1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On December 30, 2022, the Company completed its acquisition of 100% of the equity interests of Adore Me. Adore Me is a direct-to-consumer lingerie and apparel brand with technology driven commerce service and a series of innovation-driven products. The acquisition creates the opportunity for the Company to leverage Adore Me's expertise and technology to continue to improve the Victoria's Secret and PINK customer shopping experience and accelerate the modernization of the Company's digital platform.</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Under the terms of the definitive agreement setting forth the terms and conditions of the acquisition (the “Merger Agreement”), the Company made an upfront cash payment of $391 million at closing and will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$60 million of the further cash consideration is subject to the continued employment of a certain Adore Me employee (“Contingent Compensation Payments”). The Contingent Compensation Payments are not included as consideration when applying the acquisition method of accounting and are recognized as compensation expense within General, Administrative and Store Operating Expenses in the Consolidated Statements of Income if and when earned in future periods.</w:t>
      </w:r>
    </w:p>
    <w:p>
      <w:pPr>
        <w:spacing w:after="0" w:line="70"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0"/>
          <w:szCs w:val="20"/>
          <w:color w:val="1E1E1E"/>
        </w:rPr>
        <w:t>The total consideration when applying the acquisition method of accounting was initially $537 million, net of $22 million of cash acquired. The gross consideration as of the acquisition date of $559 million consisted of $391 million in cash paid at closing, $98 million which represented the fair value of the contingent cash consideration as of the acquisition date and</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0"/>
          <w:szCs w:val="20"/>
          <w:color w:val="1E1E1E"/>
        </w:rPr>
        <w:t>$70 million which represented the fair value of the future fixed payment as of the acquisition date. During the second quarter of 2023, the Company received $1 million in cash for the final working capital settlement, which decreased the total consideration of the acquisition to $536 million.</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The Company incurred approximately $15 million of acquisition-related costs related to the Adore Me transaction. Those costs, primarily related to professional advisory services and other transaction-related costs, are included within General, Administrative and Store Operating Expenses in the 2022 Consolidated Statement of Income.</w:t>
      </w:r>
    </w:p>
    <w:p>
      <w:pPr>
        <w:spacing w:after="0" w:line="5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1E1E1E"/>
        </w:rPr>
        <w:t>The Company accounted for the acquisition of Adore Me using the acquisition method of accounting. Assets acquired and liabilities assumed have been recorded based on their fair values. During 2023, the Company recorded certain measurement period adjustments based on additional information, primarily related to assumed other long-term liabilities, assumed deferred income tax liabilities, assumed accrued expenses and other liabilities, acquired accounts receivable and acquired other current assets, resulting in a $4 million increase to Other Long-term Liabilities, a $3 million decrease to Deferred Income Tax Liabilities, a $2 million increase to Goodwill, a $2 million increase to Accrued Expenses and Other, a $1 million increase to Other Current Assets and a $1 million decrease to Accounts Receivable. The Company has finalized the valuation estimates used to determine the final purchase price allocation which includes amounts allocated to intangible assets.</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240"/>
          </w:cols>
          <w:pgMar w:left="820" w:top="446" w:right="820" w:bottom="0" w:gutter="0" w:footer="0" w:header="0"/>
          <w:type w:val="continuous"/>
        </w:sectPr>
      </w:pPr>
    </w:p>
    <w:bookmarkStart w:id="74" w:name="page75"/>
    <w:bookmarkEnd w:id="74"/>
    <w:p>
      <w:pPr>
        <w:ind w:right="900"/>
        <w:spacing w:after="0" w:line="281" w:lineRule="auto"/>
        <w:rPr>
          <w:sz w:val="20"/>
          <w:szCs w:val="20"/>
          <w:color w:val="auto"/>
        </w:rPr>
      </w:pPr>
      <w:r>
        <w:rPr>
          <w:rFonts w:ascii="Times New Roman" w:cs="Times New Roman" w:eastAsia="Times New Roman" w:hAnsi="Times New Roman"/>
          <w:sz w:val="20"/>
          <w:szCs w:val="20"/>
          <w:color w:val="1E1E1E"/>
        </w:rPr>
        <w:t>The following is the final purchase price allocation of assets acquired and liabilities assumed related to the Adore Me acquisition: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1E1E1E"/>
              </w:rPr>
              <w:t>Initial Allocation</w:t>
            </w:r>
          </w:p>
        </w:tc>
        <w:tc>
          <w:tcPr>
            <w:tcW w:w="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Measurement Period</w:t>
            </w:r>
          </w:p>
        </w:tc>
        <w:tc>
          <w:tcPr>
            <w:tcW w:w="60" w:type="dxa"/>
            <w:vAlign w:val="bottom"/>
          </w:tcPr>
          <w:p>
            <w:pPr>
              <w:spacing w:after="0"/>
              <w:rPr>
                <w:sz w:val="16"/>
                <w:szCs w:val="16"/>
                <w:color w:val="auto"/>
              </w:rPr>
            </w:pP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Final Allocation</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320" w:type="dxa"/>
            <w:vAlign w:val="bottom"/>
            <w:tcBorders>
              <w:bottom w:val="single" w:sz="8" w:color="1E1E1E"/>
            </w:tcBorders>
            <w:gridSpan w:val="2"/>
            <w:vMerge w:val="continue"/>
          </w:tcPr>
          <w:p>
            <w:pPr>
              <w:spacing w:after="0"/>
              <w:rPr>
                <w:sz w:val="18"/>
                <w:szCs w:val="18"/>
                <w:color w:val="auto"/>
              </w:rPr>
            </w:pPr>
          </w:p>
        </w:tc>
        <w:tc>
          <w:tcPr>
            <w:tcW w:w="60" w:type="dxa"/>
            <w:vAlign w:val="bottom"/>
            <w:tcBorders>
              <w:bottom w:val="single" w:sz="8" w:color="1E1E1E"/>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1E1E1E"/>
              </w:rPr>
              <w:t>Adjustments</w:t>
            </w:r>
          </w:p>
        </w:tc>
        <w:tc>
          <w:tcPr>
            <w:tcW w:w="60" w:type="dxa"/>
            <w:vAlign w:val="bottom"/>
            <w:tcBorders>
              <w:bottom w:val="single" w:sz="8" w:color="1E1E1E"/>
            </w:tcBorders>
          </w:tcPr>
          <w:p>
            <w:pPr>
              <w:spacing w:after="0"/>
              <w:rPr>
                <w:sz w:val="18"/>
                <w:szCs w:val="18"/>
                <w:color w:val="auto"/>
              </w:rPr>
            </w:pPr>
          </w:p>
        </w:tc>
        <w:tc>
          <w:tcPr>
            <w:tcW w:w="1320" w:type="dxa"/>
            <w:vAlign w:val="bottom"/>
            <w:tcBorders>
              <w:bottom w:val="single" w:sz="8" w:color="1E1E1E"/>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Accounts Receivable</w:t>
            </w:r>
          </w:p>
        </w:tc>
        <w:tc>
          <w:tcPr>
            <w:tcW w:w="5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30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0" w:type="dxa"/>
            <w:vAlign w:val="bottom"/>
            <w:gridSpan w:val="2"/>
            <w:shd w:val="clear" w:color="auto" w:fill="E2E2E2"/>
          </w:tcPr>
          <w:p>
            <w:pPr>
              <w:jc w:val="right"/>
              <w:ind w:right="29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Inventories</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Current Assets</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Operating Lease Assets</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Goodwill</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Trade Name</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Intangible Assets</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Assets</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Accounts Payable</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Accrued Expenses and Other</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Current Operating Lease Liabilities</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91"/>
        </w:trPr>
        <w:tc>
          <w:tcPr>
            <w:tcW w:w="5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Deferred Income Tax Liabilities</w:t>
            </w: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279"/>
        </w:trPr>
        <w:tc>
          <w:tcPr>
            <w:tcW w:w="5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Long-term Operating Lease Liabilities</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0" w:type="dxa"/>
            <w:vAlign w:val="bottom"/>
          </w:tcPr>
          <w:p>
            <w:pPr>
              <w:spacing w:after="0"/>
              <w:rPr>
                <w:sz w:val="1"/>
                <w:szCs w:val="1"/>
                <w:color w:val="auto"/>
              </w:rPr>
            </w:pPr>
          </w:p>
        </w:tc>
      </w:tr>
      <w:tr>
        <w:trPr>
          <w:trHeight w:val="300"/>
        </w:trPr>
        <w:tc>
          <w:tcPr>
            <w:tcW w:w="59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54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60" w:type="dxa"/>
            <w:vAlign w:val="bottom"/>
            <w:tcBorders>
              <w:bottom w:val="single" w:sz="8" w:color="E2E2E2"/>
            </w:tcBorders>
            <w:shd w:val="clear" w:color="auto" w:fill="E2E2E2"/>
          </w:tcPr>
          <w:p>
            <w:pPr>
              <w:spacing w:after="0"/>
              <w:rPr>
                <w:sz w:val="24"/>
                <w:szCs w:val="24"/>
                <w:color w:val="auto"/>
              </w:rPr>
            </w:pPr>
          </w:p>
        </w:tc>
        <w:tc>
          <w:tcPr>
            <w:tcW w:w="54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26"/>
        </w:trPr>
        <w:tc>
          <w:tcPr>
            <w:tcW w:w="594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Net Assets Acquired and Liabilities Assumed</w:t>
            </w:r>
          </w:p>
        </w:tc>
        <w:tc>
          <w:tcPr>
            <w:tcW w:w="540" w:type="dxa"/>
            <w:vAlign w:val="bottom"/>
            <w:tcBorders>
              <w:bottom w:val="single" w:sz="8" w:color="1E1E1E"/>
            </w:tcBorders>
          </w:tcPr>
          <w:p>
            <w:pPr>
              <w:ind w:left="6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537</w:t>
            </w:r>
          </w:p>
        </w:tc>
        <w:tc>
          <w:tcPr>
            <w:tcW w:w="60" w:type="dxa"/>
            <w:vAlign w:val="bottom"/>
          </w:tcPr>
          <w:p>
            <w:pPr>
              <w:spacing w:after="0"/>
              <w:rPr>
                <w:sz w:val="19"/>
                <w:szCs w:val="19"/>
                <w:color w:val="auto"/>
              </w:rPr>
            </w:pPr>
          </w:p>
        </w:tc>
        <w:tc>
          <w:tcPr>
            <w:tcW w:w="240" w:type="dxa"/>
            <w:vAlign w:val="bottom"/>
            <w:tcBorders>
              <w:bottom w:val="single" w:sz="8" w:color="1E1E1E"/>
            </w:tcBorders>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3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(1)</w:t>
            </w:r>
          </w:p>
        </w:tc>
        <w:tc>
          <w:tcPr>
            <w:tcW w:w="60" w:type="dxa"/>
            <w:vAlign w:val="bottom"/>
          </w:tcPr>
          <w:p>
            <w:pPr>
              <w:spacing w:after="0"/>
              <w:rPr>
                <w:sz w:val="19"/>
                <w:szCs w:val="19"/>
                <w:color w:val="auto"/>
              </w:rPr>
            </w:pPr>
          </w:p>
        </w:tc>
        <w:tc>
          <w:tcPr>
            <w:tcW w:w="540" w:type="dxa"/>
            <w:vAlign w:val="bottom"/>
            <w:tcBorders>
              <w:bottom w:val="single" w:sz="8" w:color="1E1E1E"/>
            </w:tcBorders>
          </w:tcPr>
          <w:p>
            <w:pPr>
              <w:jc w:val="right"/>
              <w:ind w:right="29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536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-224790</wp:posOffset>
            </wp:positionV>
            <wp:extent cx="193040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8">
                      <a:extLst>
                        <a:ext uri="{28A0092B-C50C-407E-A947-70E740481C1C}"/>
                      </a:extLst>
                    </a:blip>
                    <a:srcRect/>
                    <a:stretch>
                      <a:fillRect/>
                    </a:stretch>
                  </pic:blipFill>
                  <pic:spPr bwMode="auto">
                    <a:xfrm>
                      <a:off x="0" y="0"/>
                      <a:ext cx="193040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-56515</wp:posOffset>
            </wp:positionV>
            <wp:extent cx="1917700" cy="76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9">
                      <a:extLst>
                        <a:ext uri="{28A0092B-C50C-407E-A947-70E740481C1C}"/>
                      </a:extLst>
                    </a:blip>
                    <a:srcRect/>
                    <a:stretch>
                      <a:fillRect/>
                    </a:stretch>
                  </pic:blipFill>
                  <pic:spPr bwMode="auto">
                    <a:xfrm>
                      <a:off x="0" y="0"/>
                      <a:ext cx="1917700" cy="7620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represents the definite-lived intangible assets acquired, the fair values and respective useful lives: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15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Useful Life</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1460" w:type="dxa"/>
            <w:vAlign w:val="bottom"/>
            <w:tcBorders>
              <w:bottom w:val="single" w:sz="8" w:color="1E1E1E"/>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1E1E1E"/>
              </w:rPr>
              <w:t>Fair Value</w:t>
            </w:r>
          </w:p>
        </w:tc>
      </w:tr>
      <w:tr>
        <w:trPr>
          <w:trHeight w:val="222"/>
        </w:trPr>
        <w:tc>
          <w:tcPr>
            <w:tcW w:w="6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69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5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7 years</w:t>
            </w:r>
          </w:p>
        </w:tc>
        <w:tc>
          <w:tcPr>
            <w:tcW w:w="3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46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81</w:t>
            </w:r>
          </w:p>
        </w:tc>
      </w:tr>
      <w:tr>
        <w:trPr>
          <w:trHeight w:val="278"/>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6 years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56</w:t>
            </w:r>
          </w:p>
        </w:tc>
      </w:tr>
      <w:tr>
        <w:trPr>
          <w:trHeight w:val="300"/>
        </w:trPr>
        <w:tc>
          <w:tcPr>
            <w:tcW w:w="69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Trade Name</w:t>
            </w:r>
          </w:p>
        </w:tc>
        <w:tc>
          <w:tcPr>
            <w:tcW w:w="152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10 years</w:t>
            </w:r>
          </w:p>
        </w:tc>
        <w:tc>
          <w:tcPr>
            <w:tcW w:w="6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1460" w:type="dxa"/>
            <w:vAlign w:val="bottom"/>
            <w:tcBorders>
              <w:bottom w:val="single" w:sz="8" w:color="1E1E1E"/>
            </w:tcBorders>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43</w:t>
            </w:r>
          </w:p>
        </w:tc>
      </w:tr>
      <w:tr>
        <w:trPr>
          <w:trHeight w:val="227"/>
        </w:trPr>
        <w:tc>
          <w:tcPr>
            <w:tcW w:w="69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Total Definite-Lived Intangible Assets</w:t>
            </w: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1E1E1E"/>
            </w:tcBorders>
          </w:tcPr>
          <w:p>
            <w:pPr>
              <w:jc w:val="right"/>
              <w:ind w:right="6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460" w:type="dxa"/>
            <w:vAlign w:val="bottom"/>
            <w:tcBorders>
              <w:bottom w:val="single" w:sz="8" w:color="1E1E1E"/>
            </w:tcBorders>
          </w:tcPr>
          <w:p>
            <w:pPr>
              <w:jc w:val="right"/>
              <w:ind w:right="7"/>
              <w:spacing w:after="0" w:line="227" w:lineRule="exact"/>
              <w:rPr>
                <w:sz w:val="20"/>
                <w:szCs w:val="20"/>
                <w:color w:val="auto"/>
              </w:rPr>
            </w:pPr>
            <w:r>
              <w:rPr>
                <w:rFonts w:ascii="Times New Roman" w:cs="Times New Roman" w:eastAsia="Times New Roman" w:hAnsi="Times New Roman"/>
                <w:sz w:val="20"/>
                <w:szCs w:val="20"/>
                <w:b w:val="1"/>
                <w:bCs w:val="1"/>
                <w:color w:val="1E1E1E"/>
              </w:rPr>
              <w:t>180</w:t>
            </w:r>
          </w:p>
        </w:tc>
      </w:tr>
      <w:tr>
        <w:trPr>
          <w:trHeight w:val="20"/>
        </w:trPr>
        <w:tc>
          <w:tcPr>
            <w:tcW w:w="6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5377815</wp:posOffset>
                </wp:positionH>
                <wp:positionV relativeFrom="paragraph">
                  <wp:posOffset>-206375</wp:posOffset>
                </wp:positionV>
                <wp:extent cx="13335" cy="127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37" o:spid="_x0000_s1162" style="position:absolute;margin-left:423.45pt;margin-top:-16.2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-206375</wp:posOffset>
                </wp:positionV>
                <wp:extent cx="13335" cy="1333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FFFFFF"/>
                        </a:solidFill>
                      </wps:spPr>
                      <wps:bodyPr/>
                    </wps:wsp>
                  </a:graphicData>
                </a:graphic>
              </wp:anchor>
            </w:drawing>
          </mc:Choice>
          <mc:Fallback>
            <w:pict>
              <v:rect id="Shape 138" o:spid="_x0000_s1163" style="position:absolute;margin-left:423.45pt;margin-top:-16.2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1E1E1E"/>
        </w:rPr>
        <w:t>The Company used the multi-period excess earnings method to value the customer relationships intangible assets and the relief from royalty method to value the developed technology and trade name intangible assets. The significant assumptions used to estimate the fair value of customer relationships included forecasted revenues, customer attrition rates and a discount rate. The significant assumptions used to estimate the fair value of developed technology and the trade name included forecasted revenues, royalty rates and a discount rate. These significant assumptions are forward-looking and could be affected by future economic and market conditions. The estimated weighted-average useful life as of the acquisition date was 7.4 years for definite-lived intangible assets.</w:t>
      </w:r>
    </w:p>
    <w:p>
      <w:pPr>
        <w:spacing w:after="0" w:line="7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1E1E1E"/>
        </w:rPr>
        <w:t>Goodwill was calculated as the difference between the acquisition date fair value of the consideration transferred and the fair value of net assets recognized for Adore Me, and represents the future economic benefits, including synergies, and assembled workforce, that are expected to be achieved as a result of the consummation of the acquisition of Adore Me. The goodwill arising from the acquisition is not expected to be deductible for tax purposes. For additional information about goodwill and other intangible assets, see Note 10, “Intangible Assets.”</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1E1E1E"/>
        </w:rPr>
        <w:t>The Company consolidates Adore Me's financial information on an approximate one-month reporting lag. Accordingly, given the acquisition closing date of December 30, 2022, the operating results of Adore Me for the period subsequent to the acquisition date are recorded in the Company's consolidated financial statements beginning in 2023.</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260"/>
          </w:cols>
          <w:pgMar w:left="820" w:top="453" w:right="800" w:bottom="0" w:gutter="0" w:footer="0" w:header="0"/>
          <w:type w:val="continuous"/>
        </w:sectPr>
      </w:pPr>
    </w:p>
    <w:bookmarkStart w:id="75" w:name="page76"/>
    <w:bookmarkEnd w:id="75"/>
    <w:p>
      <w:pPr>
        <w:ind w:left="10" w:right="180"/>
        <w:spacing w:after="0" w:line="254" w:lineRule="auto"/>
        <w:rPr>
          <w:sz w:val="20"/>
          <w:szCs w:val="20"/>
          <w:color w:val="auto"/>
        </w:rPr>
      </w:pPr>
      <w:r>
        <w:rPr>
          <w:rFonts w:ascii="Times New Roman" w:cs="Times New Roman" w:eastAsia="Times New Roman" w:hAnsi="Times New Roman"/>
          <w:sz w:val="20"/>
          <w:szCs w:val="20"/>
          <w:color w:val="1E1E1E"/>
        </w:rPr>
        <w:t>In 2023, the Company recognized the financial impact of purchase accounting items and additional acquisition-related costs, including recognition in gross profit of the fair value adjustment to acquired inventories as it is sold, recognition of changes in the estimated fair value of contingent consideration and Contingent Compensation Payments, as well as amortization of acquired intangible assets. In 2023, the Company recognized total related costs of $75 million, including $41 million in General, Administrative and Store Operating Expenses, $29 million in Costs of Goods Sold, Buying and Occupancy and</w:t>
      </w:r>
    </w:p>
    <w:p>
      <w:pPr>
        <w:spacing w:after="0" w:line="3" w:lineRule="exact"/>
        <w:rPr>
          <w:sz w:val="20"/>
          <w:szCs w:val="20"/>
          <w:color w:val="auto"/>
        </w:rPr>
      </w:pPr>
    </w:p>
    <w:p>
      <w:pPr>
        <w:ind w:left="10" w:right="100"/>
        <w:spacing w:after="0" w:line="253" w:lineRule="auto"/>
        <w:rPr>
          <w:sz w:val="20"/>
          <w:szCs w:val="20"/>
          <w:color w:val="auto"/>
        </w:rPr>
      </w:pPr>
      <w:r>
        <w:rPr>
          <w:rFonts w:ascii="Times New Roman" w:cs="Times New Roman" w:eastAsia="Times New Roman" w:hAnsi="Times New Roman"/>
          <w:sz w:val="20"/>
          <w:szCs w:val="20"/>
          <w:color w:val="1E1E1E"/>
        </w:rPr>
        <w:t>$5 million in Interest Expense. See Note 12, “Fair Value of Financial Instruments” for further information on the contingent consideration. The deferred consideration liability for the future fixed payment is included within Accrued Expenses and Other in the February 3, 2024 Consolidated Balance Sheet and Other Long-term Liabilities in the January 28, 2023 Consolidated Balance Sheet and was $76 million as of February 3, 2024 and $71 million as of January 28, 2023.</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Pro Forma Financial Information</w:t>
      </w:r>
    </w:p>
    <w:p>
      <w:pPr>
        <w:spacing w:after="0" w:line="115" w:lineRule="exact"/>
        <w:rPr>
          <w:sz w:val="20"/>
          <w:szCs w:val="20"/>
          <w:color w:val="auto"/>
        </w:rPr>
      </w:pPr>
    </w:p>
    <w:p>
      <w:pPr>
        <w:ind w:left="10" w:right="180"/>
        <w:spacing w:after="0" w:line="262" w:lineRule="auto"/>
        <w:rPr>
          <w:sz w:val="20"/>
          <w:szCs w:val="20"/>
          <w:color w:val="auto"/>
        </w:rPr>
      </w:pPr>
      <w:r>
        <w:rPr>
          <w:rFonts w:ascii="Times New Roman" w:cs="Times New Roman" w:eastAsia="Times New Roman" w:hAnsi="Times New Roman"/>
          <w:sz w:val="20"/>
          <w:szCs w:val="20"/>
          <w:color w:val="1E1E1E"/>
        </w:rPr>
        <w:t xml:space="preserve">In accordance with ASC 805, </w:t>
      </w:r>
      <w:r>
        <w:rPr>
          <w:rFonts w:ascii="Times New Roman" w:cs="Times New Roman" w:eastAsia="Times New Roman" w:hAnsi="Times New Roman"/>
          <w:sz w:val="20"/>
          <w:szCs w:val="20"/>
          <w:i w:val="1"/>
          <w:iCs w:val="1"/>
          <w:color w:val="1E1E1E"/>
        </w:rPr>
        <w:t>Business Combinations</w:t>
      </w:r>
      <w:r>
        <w:rPr>
          <w:rFonts w:ascii="Times New Roman" w:cs="Times New Roman" w:eastAsia="Times New Roman" w:hAnsi="Times New Roman"/>
          <w:sz w:val="20"/>
          <w:szCs w:val="20"/>
          <w:color w:val="1E1E1E"/>
        </w:rPr>
        <w:t>, the following unaudited pro forma results of operations for 2022 and 2021, respectively, assumes the Adore Me acquisition was completed on the first day of fiscal year 2021, or January 31, 2021. The following pro forma results include adjustments to reflect acquisition-related costs, amortization of intangibles associated with the acquisition and the effects of adjustments made to the carrying value of inventories.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Pr>
          <w:p>
            <w:pPr>
              <w:spacing w:after="0"/>
              <w:rPr>
                <w:sz w:val="18"/>
                <w:szCs w:val="18"/>
                <w:color w:val="auto"/>
              </w:rPr>
            </w:pPr>
          </w:p>
        </w:tc>
        <w:tc>
          <w:tcPr>
            <w:tcW w:w="42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7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40" w:type="dxa"/>
            <w:vAlign w:val="bottom"/>
          </w:tcPr>
          <w:p>
            <w:pPr>
              <w:spacing w:after="0"/>
              <w:rPr>
                <w:sz w:val="19"/>
                <w:szCs w:val="19"/>
                <w:color w:val="auto"/>
              </w:rPr>
            </w:pPr>
          </w:p>
        </w:tc>
      </w:tr>
      <w:tr>
        <w:trPr>
          <w:trHeight w:val="293"/>
        </w:trPr>
        <w:tc>
          <w:tcPr>
            <w:tcW w:w="7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Sales</w:t>
            </w:r>
          </w:p>
        </w:tc>
        <w:tc>
          <w:tcPr>
            <w:tcW w:w="32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6,595</w:t>
            </w:r>
          </w:p>
        </w:tc>
        <w:tc>
          <w:tcPr>
            <w:tcW w:w="480" w:type="dxa"/>
            <w:vAlign w:val="bottom"/>
            <w:gridSpan w:val="2"/>
            <w:shd w:val="clear" w:color="auto" w:fill="E2E2E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6,996</w:t>
            </w:r>
          </w:p>
        </w:tc>
      </w:tr>
      <w:tr>
        <w:trPr>
          <w:trHeight w:val="272"/>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Income Attributable to Victoria's Secret &amp; Co.</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E1E1E"/>
              </w:rPr>
              <w:t>330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544</w:t>
            </w:r>
          </w:p>
        </w:tc>
      </w:tr>
    </w:tbl>
    <w:p>
      <w:pPr>
        <w:spacing w:after="0" w:line="151" w:lineRule="exact"/>
        <w:rPr>
          <w:sz w:val="20"/>
          <w:szCs w:val="20"/>
          <w:color w:val="auto"/>
        </w:rPr>
      </w:pPr>
    </w:p>
    <w:p>
      <w:pPr>
        <w:ind w:left="10" w:right="340"/>
        <w:spacing w:after="0" w:line="260" w:lineRule="auto"/>
        <w:rPr>
          <w:sz w:val="20"/>
          <w:szCs w:val="20"/>
          <w:color w:val="auto"/>
        </w:rPr>
      </w:pPr>
      <w:r>
        <w:rPr>
          <w:rFonts w:ascii="Times New Roman" w:cs="Times New Roman" w:eastAsia="Times New Roman" w:hAnsi="Times New Roman"/>
          <w:sz w:val="20"/>
          <w:szCs w:val="20"/>
          <w:color w:val="1E1E1E"/>
        </w:rPr>
        <w:t>The unaudited pro forma financial information may not be indicative of the results that would have been obtained had the acquisition occurred at the beginning of the periods presented, nor is it intended to be a projection of future results. Additionally, the pro forma financial information does not reflect the costs which the Company has incurred or may incur to integrate the acquired business.</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3. Transactions with Former Parent</w:t>
      </w:r>
    </w:p>
    <w:p>
      <w:pPr>
        <w:spacing w:after="0" w:line="137"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1E1E1E"/>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Allocation of General Corporate Expenses</w:t>
      </w:r>
    </w:p>
    <w:p>
      <w:pPr>
        <w:spacing w:after="0" w:line="119"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1E1E1E"/>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Net Transfers from (to) Former Parent</w:t>
      </w:r>
    </w:p>
    <w:p>
      <w:pPr>
        <w:spacing w:after="0" w:line="1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presents the components of Net Transfers from (to) Former Parent prior to the Separation in the 2021</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Consolidated and Combined Statement of Equity:</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87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1300" w:type="dxa"/>
            <w:vAlign w:val="bottom"/>
            <w:tcBorders>
              <w:bottom w:val="single" w:sz="8" w:color="1E1E1E"/>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0" w:type="dxa"/>
            <w:vAlign w:val="bottom"/>
          </w:tcPr>
          <w:p>
            <w:pPr>
              <w:spacing w:after="0"/>
              <w:rPr>
                <w:sz w:val="1"/>
                <w:szCs w:val="1"/>
                <w:color w:val="auto"/>
              </w:rPr>
            </w:pPr>
          </w:p>
        </w:tc>
      </w:tr>
      <w:tr>
        <w:trPr>
          <w:trHeight w:val="282"/>
        </w:trPr>
        <w:tc>
          <w:tcPr>
            <w:tcW w:w="8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0" w:type="dxa"/>
            <w:vAlign w:val="bottom"/>
          </w:tcPr>
          <w:p>
            <w:pPr>
              <w:spacing w:after="0"/>
              <w:rPr>
                <w:sz w:val="1"/>
                <w:szCs w:val="1"/>
                <w:color w:val="auto"/>
              </w:rPr>
            </w:pPr>
          </w:p>
        </w:tc>
      </w:tr>
      <w:tr>
        <w:trPr>
          <w:trHeight w:val="308"/>
        </w:trPr>
        <w:tc>
          <w:tcPr>
            <w:tcW w:w="8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Pooling and General Financing Activities, Net</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(172)</w:t>
            </w:r>
          </w:p>
        </w:tc>
        <w:tc>
          <w:tcPr>
            <w:tcW w:w="0" w:type="dxa"/>
            <w:vAlign w:val="bottom"/>
          </w:tcPr>
          <w:p>
            <w:pPr>
              <w:spacing w:after="0"/>
              <w:rPr>
                <w:sz w:val="1"/>
                <w:szCs w:val="1"/>
                <w:color w:val="auto"/>
              </w:rPr>
            </w:pPr>
          </w:p>
        </w:tc>
      </w:tr>
      <w:tr>
        <w:trPr>
          <w:trHeight w:val="294"/>
        </w:trPr>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Long-lived Assets (a)</w:t>
            </w:r>
          </w:p>
        </w:tc>
        <w:tc>
          <w:tcPr>
            <w:tcW w:w="260" w:type="dxa"/>
            <w:vAlign w:val="bottom"/>
          </w:tcPr>
          <w:p>
            <w:pPr>
              <w:spacing w:after="0"/>
              <w:rPr>
                <w:sz w:val="24"/>
                <w:szCs w:val="24"/>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16</w:t>
            </w:r>
          </w:p>
        </w:tc>
        <w:tc>
          <w:tcPr>
            <w:tcW w:w="0" w:type="dxa"/>
            <w:vAlign w:val="bottom"/>
          </w:tcPr>
          <w:p>
            <w:pPr>
              <w:spacing w:after="0"/>
              <w:rPr>
                <w:sz w:val="1"/>
                <w:szCs w:val="1"/>
                <w:color w:val="auto"/>
              </w:rPr>
            </w:pPr>
          </w:p>
        </w:tc>
      </w:tr>
      <w:tr>
        <w:trPr>
          <w:trHeight w:val="306"/>
        </w:trPr>
        <w:tc>
          <w:tcPr>
            <w:tcW w:w="8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Corporate Expense Allocations</w:t>
            </w:r>
          </w:p>
        </w:tc>
        <w:tc>
          <w:tcPr>
            <w:tcW w:w="260" w:type="dxa"/>
            <w:vAlign w:val="bottom"/>
            <w:shd w:val="clear" w:color="auto" w:fill="E2E2E2"/>
          </w:tcPr>
          <w:p>
            <w:pPr>
              <w:spacing w:after="0"/>
              <w:rPr>
                <w:sz w:val="24"/>
                <w:szCs w:val="24"/>
                <w:color w:val="auto"/>
              </w:rPr>
            </w:pPr>
          </w:p>
        </w:tc>
        <w:tc>
          <w:tcPr>
            <w:tcW w:w="13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49</w:t>
            </w:r>
          </w:p>
        </w:tc>
        <w:tc>
          <w:tcPr>
            <w:tcW w:w="0" w:type="dxa"/>
            <w:vAlign w:val="bottom"/>
          </w:tcPr>
          <w:p>
            <w:pPr>
              <w:spacing w:after="0"/>
              <w:rPr>
                <w:sz w:val="1"/>
                <w:szCs w:val="1"/>
                <w:color w:val="auto"/>
              </w:rPr>
            </w:pPr>
          </w:p>
        </w:tc>
      </w:tr>
      <w:tr>
        <w:trPr>
          <w:trHeight w:val="294"/>
        </w:trPr>
        <w:tc>
          <w:tcPr>
            <w:tcW w:w="87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Share-based Compensation Expense</w:t>
            </w:r>
          </w:p>
        </w:tc>
        <w:tc>
          <w:tcPr>
            <w:tcW w:w="260" w:type="dxa"/>
            <w:vAlign w:val="bottom"/>
          </w:tcPr>
          <w:p>
            <w:pPr>
              <w:spacing w:after="0"/>
              <w:rPr>
                <w:sz w:val="24"/>
                <w:szCs w:val="24"/>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306"/>
        </w:trPr>
        <w:tc>
          <w:tcPr>
            <w:tcW w:w="8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Assumed Income Tax Payments</w:t>
            </w:r>
          </w:p>
        </w:tc>
        <w:tc>
          <w:tcPr>
            <w:tcW w:w="260" w:type="dxa"/>
            <w:vAlign w:val="bottom"/>
            <w:shd w:val="clear" w:color="auto" w:fill="E2E2E2"/>
          </w:tcPr>
          <w:p>
            <w:pPr>
              <w:spacing w:after="0"/>
              <w:rPr>
                <w:sz w:val="24"/>
                <w:szCs w:val="24"/>
                <w:color w:val="auto"/>
              </w:rPr>
            </w:pPr>
          </w:p>
        </w:tc>
        <w:tc>
          <w:tcPr>
            <w:tcW w:w="130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15</w:t>
            </w:r>
          </w:p>
        </w:tc>
        <w:tc>
          <w:tcPr>
            <w:tcW w:w="0" w:type="dxa"/>
            <w:vAlign w:val="bottom"/>
          </w:tcPr>
          <w:p>
            <w:pPr>
              <w:spacing w:after="0"/>
              <w:rPr>
                <w:sz w:val="1"/>
                <w:szCs w:val="1"/>
                <w:color w:val="auto"/>
              </w:rPr>
            </w:pPr>
          </w:p>
        </w:tc>
      </w:tr>
      <w:tr>
        <w:trPr>
          <w:trHeight w:val="290"/>
        </w:trPr>
        <w:tc>
          <w:tcPr>
            <w:tcW w:w="87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Cash Payment to Former Parent</w:t>
            </w:r>
          </w:p>
        </w:tc>
        <w:tc>
          <w:tcPr>
            <w:tcW w:w="260" w:type="dxa"/>
            <w:vAlign w:val="bottom"/>
            <w:tcBorders>
              <w:bottom w:val="single" w:sz="8" w:color="1E1E1E"/>
            </w:tcBorders>
          </w:tcPr>
          <w:p>
            <w:pPr>
              <w:spacing w:after="0"/>
              <w:rPr>
                <w:sz w:val="24"/>
                <w:szCs w:val="24"/>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(976)</w:t>
            </w:r>
          </w:p>
        </w:tc>
        <w:tc>
          <w:tcPr>
            <w:tcW w:w="0" w:type="dxa"/>
            <w:vAlign w:val="bottom"/>
          </w:tcPr>
          <w:p>
            <w:pPr>
              <w:spacing w:after="0"/>
              <w:rPr>
                <w:sz w:val="1"/>
                <w:szCs w:val="1"/>
                <w:color w:val="auto"/>
              </w:rPr>
            </w:pPr>
          </w:p>
        </w:tc>
      </w:tr>
      <w:tr>
        <w:trPr>
          <w:trHeight w:val="285"/>
        </w:trPr>
        <w:tc>
          <w:tcPr>
            <w:tcW w:w="8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Net Transfers to Former Parent</w:t>
            </w:r>
          </w:p>
        </w:tc>
        <w:tc>
          <w:tcPr>
            <w:tcW w:w="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3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(1,053)</w:t>
            </w:r>
          </w:p>
        </w:tc>
        <w:tc>
          <w:tcPr>
            <w:tcW w:w="0" w:type="dxa"/>
            <w:vAlign w:val="bottom"/>
          </w:tcPr>
          <w:p>
            <w:pPr>
              <w:spacing w:after="0"/>
              <w:rPr>
                <w:sz w:val="1"/>
                <w:szCs w:val="1"/>
                <w:color w:val="auto"/>
              </w:rPr>
            </w:pPr>
          </w:p>
        </w:tc>
      </w:tr>
      <w:tr>
        <w:trPr>
          <w:trHeight w:val="20"/>
        </w:trPr>
        <w:tc>
          <w:tcPr>
            <w:tcW w:w="870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color w:val="1E1E1E"/>
              </w:rPr>
              <w:t>_______________</w:t>
            </w:r>
          </w:p>
        </w:tc>
        <w:tc>
          <w:tcPr>
            <w:tcW w:w="260" w:type="dxa"/>
            <w:vAlign w:val="bottom"/>
            <w:tcBorders>
              <w:top w:val="single" w:sz="8" w:color="E2E2E2"/>
              <w:bottom w:val="single" w:sz="8" w:color="1E1E1E"/>
            </w:tcBorders>
          </w:tcPr>
          <w:p>
            <w:pPr>
              <w:spacing w:after="0" w:line="20" w:lineRule="exact"/>
              <w:rPr>
                <w:sz w:val="1"/>
                <w:szCs w:val="1"/>
                <w:color w:val="auto"/>
              </w:rPr>
            </w:pPr>
          </w:p>
        </w:tc>
        <w:tc>
          <w:tcPr>
            <w:tcW w:w="130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5527040</wp:posOffset>
                </wp:positionH>
                <wp:positionV relativeFrom="paragraph">
                  <wp:posOffset>-386080</wp:posOffset>
                </wp:positionV>
                <wp:extent cx="13335" cy="127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39" o:spid="_x0000_s1164" style="position:absolute;margin-left:435.2pt;margin-top:-30.3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drawing>
          <wp:anchor simplePos="0" relativeHeight="251657728" behindDoc="1" locked="0" layoutInCell="0" allowOverlap="1">
            <wp:simplePos x="0" y="0"/>
            <wp:positionH relativeFrom="column">
              <wp:posOffset>5508625</wp:posOffset>
            </wp:positionH>
            <wp:positionV relativeFrom="paragraph">
              <wp:posOffset>-227330</wp:posOffset>
            </wp:positionV>
            <wp:extent cx="1031875" cy="762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0">
                      <a:extLst>
                        <a:ext uri="{28A0092B-C50C-407E-A947-70E740481C1C}"/>
                      </a:extLst>
                    </a:blip>
                    <a:srcRect/>
                    <a:stretch>
                      <a:fillRect/>
                    </a:stretch>
                  </pic:blipFill>
                  <pic:spPr bwMode="auto">
                    <a:xfrm>
                      <a:off x="0" y="0"/>
                      <a:ext cx="1031875" cy="76200"/>
                    </a:xfrm>
                    <a:prstGeom prst="rect">
                      <a:avLst/>
                    </a:prstGeom>
                    <a:noFill/>
                  </pic:spPr>
                </pic:pic>
              </a:graphicData>
            </a:graphic>
          </wp:anchor>
        </w:drawing>
      </w:r>
    </w:p>
    <w:p>
      <w:pPr>
        <w:ind w:left="730" w:right="360" w:hanging="730"/>
        <w:spacing w:after="0" w:line="260" w:lineRule="auto"/>
        <w:tabs>
          <w:tab w:leader="none" w:pos="730" w:val="left"/>
        </w:tabs>
        <w:numPr>
          <w:ilvl w:val="0"/>
          <w:numId w:val="4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Represents long-lived assets transferred between the Company and the Former Parent as a result of asset allocation decisions made during the period.</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Agreements with Former Parent</w:t>
      </w:r>
    </w:p>
    <w:p>
      <w:pPr>
        <w:spacing w:after="0" w:line="119" w:lineRule="exact"/>
        <w:rPr>
          <w:sz w:val="20"/>
          <w:szCs w:val="20"/>
          <w:color w:val="auto"/>
        </w:rPr>
      </w:pPr>
    </w:p>
    <w:p>
      <w:pPr>
        <w:ind w:left="10" w:right="280"/>
        <w:spacing w:after="0" w:line="260" w:lineRule="auto"/>
        <w:rPr>
          <w:sz w:val="20"/>
          <w:szCs w:val="20"/>
          <w:color w:val="auto"/>
        </w:rPr>
      </w:pPr>
      <w:r>
        <w:rPr>
          <w:rFonts w:ascii="Times New Roman" w:cs="Times New Roman" w:eastAsia="Times New Roman" w:hAnsi="Times New Roman"/>
          <w:sz w:val="20"/>
          <w:szCs w:val="20"/>
          <w:color w:val="1E1E1E"/>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ectPr>
          <w:pgSz w:w="11880" w:h="15480" w:orient="portrait"/>
          <w:cols w:equalWidth="0" w:num="1">
            <w:col w:w="10270"/>
          </w:cols>
          <w:pgMar w:left="810" w:top="453" w:right="800" w:bottom="0" w:gutter="0" w:footer="0" w:header="0"/>
        </w:sectPr>
      </w:pPr>
    </w:p>
    <w:p>
      <w:pPr>
        <w:spacing w:after="0" w:line="3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270"/>
          </w:cols>
          <w:pgMar w:left="810" w:top="453" w:right="800" w:bottom="0" w:gutter="0" w:footer="0" w:header="0"/>
          <w:type w:val="continuous"/>
        </w:sectPr>
      </w:pPr>
    </w:p>
    <w:bookmarkStart w:id="76" w:name="page77"/>
    <w:bookmarkEnd w:id="76"/>
    <w:p>
      <w:pPr>
        <w:ind w:left="10" w:right="60"/>
        <w:spacing w:after="0" w:line="253" w:lineRule="auto"/>
        <w:rPr>
          <w:sz w:val="20"/>
          <w:szCs w:val="20"/>
          <w:color w:val="auto"/>
        </w:rPr>
      </w:pPr>
      <w:r>
        <w:rPr>
          <w:rFonts w:ascii="Times New Roman" w:cs="Times New Roman" w:eastAsia="Times New Roman" w:hAnsi="Times New Roman"/>
          <w:sz w:val="20"/>
          <w:szCs w:val="20"/>
          <w:color w:val="1E1E1E"/>
        </w:rPr>
        <w:t>Under the terms of the transition services agreements, as amended, the Company has provided its Former Parent certain services or functions, including information technology, certain logistics functions and customer marketing services. The primary services that the Company still provides to its Former Parent relate to information technology services. Additionally, the Former Parent has provided to the Company various services or functions, including human resources, payroll, information technology and certain logistics functions. The primary services that the Former Parent still provides to the Company relate to information technology services. The Company anticipates that both transition services agreements will terminate during fiscal 2024. Consideration and costs for the transition services are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based on the nature of the services. Consideration for transition services provided to the Former Parent are recorded within the Consolidated and Combined Statements of Income based on the nature of the services and as an offset to expenses incurred to provide the services.</w:t>
      </w:r>
    </w:p>
    <w:p>
      <w:pPr>
        <w:spacing w:after="0" w:line="71"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1E1E1E"/>
        </w:rPr>
        <w:t>The following table summarizes the recognized consideration and costs pursuant to the transition services agreements for 2023, 2022 and 2021:</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880" w:type="dxa"/>
            <w:vAlign w:val="bottom"/>
            <w:tcBorders>
              <w:bottom w:val="single" w:sz="8" w:color="1E1E1E"/>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380" w:type="dxa"/>
            <w:vAlign w:val="bottom"/>
            <w:tcBorders>
              <w:bottom w:val="single" w:sz="8" w:color="1E1E1E"/>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6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3"/>
        </w:trPr>
        <w:tc>
          <w:tcPr>
            <w:tcW w:w="6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Consideration Received</w:t>
            </w:r>
          </w:p>
        </w:tc>
        <w:tc>
          <w:tcPr>
            <w:tcW w:w="880" w:type="dxa"/>
            <w:vAlign w:val="bottom"/>
            <w:shd w:val="clear" w:color="auto" w:fill="E2E2E2"/>
          </w:tcPr>
          <w:p>
            <w:pPr>
              <w:jc w:val="right"/>
              <w:ind w:right="630"/>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72</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55</w:t>
            </w:r>
          </w:p>
        </w:tc>
      </w:tr>
      <w:tr>
        <w:trPr>
          <w:trHeight w:val="272"/>
        </w:trPr>
        <w:tc>
          <w:tcPr>
            <w:tcW w:w="6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Costs Recognized</w:t>
            </w:r>
          </w:p>
        </w:tc>
        <w:tc>
          <w:tcPr>
            <w:tcW w:w="8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E1E1E"/>
              </w:rPr>
              <w:t>74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42</w:t>
            </w:r>
          </w:p>
        </w:tc>
      </w:tr>
    </w:tbl>
    <w:p>
      <w:pPr>
        <w:spacing w:after="0" w:line="151"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1E1E1E"/>
        </w:rPr>
        <w:t>Under the terms of the Domestic Transportation Services Agreement, the Former Parent will provide transportation services to the Company for certain beauty and apparel merchandise in the U.S. and Canada until September 2026. Costs for the transportation services is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w:t>
      </w:r>
    </w:p>
    <w:p>
      <w:pPr>
        <w:spacing w:after="0" w:line="64"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1E1E1E"/>
        </w:rPr>
        <w:t>The following table summarizes the recognized costs pursuant to the Domestic Transportation Services Agreement for 2023, 2022 and 2021:</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080" w:type="dxa"/>
            <w:vAlign w:val="bottom"/>
            <w:tcBorders>
              <w:bottom w:val="single" w:sz="8" w:color="1E1E1E"/>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6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3"/>
        </w:trPr>
        <w:tc>
          <w:tcPr>
            <w:tcW w:w="6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Costs Recognized</w:t>
            </w:r>
          </w:p>
        </w:tc>
        <w:tc>
          <w:tcPr>
            <w:tcW w:w="32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78</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91</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46</w:t>
            </w:r>
          </w:p>
        </w:tc>
      </w:tr>
    </w:tbl>
    <w:p>
      <w:pPr>
        <w:spacing w:after="0" w:line="2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4. Revenue Recognition</w:t>
      </w:r>
    </w:p>
    <w:p>
      <w:pPr>
        <w:spacing w:after="0" w:line="137" w:lineRule="exact"/>
        <w:rPr>
          <w:sz w:val="20"/>
          <w:szCs w:val="20"/>
          <w:color w:val="auto"/>
        </w:rPr>
      </w:pPr>
    </w:p>
    <w:p>
      <w:pPr>
        <w:jc w:val="both"/>
        <w:ind w:left="10" w:right="280"/>
        <w:spacing w:after="0" w:line="266" w:lineRule="auto"/>
        <w:rPr>
          <w:sz w:val="20"/>
          <w:szCs w:val="20"/>
          <w:color w:val="auto"/>
        </w:rPr>
      </w:pPr>
      <w:r>
        <w:rPr>
          <w:rFonts w:ascii="Times New Roman" w:cs="Times New Roman" w:eastAsia="Times New Roman" w:hAnsi="Times New Roman"/>
          <w:sz w:val="20"/>
          <w:szCs w:val="20"/>
          <w:color w:val="1E1E1E"/>
        </w:rPr>
        <w:t>Accounts receivable, net from revenue-generating activities were $103 million as of February 3, 2024 and $101 million as of January 28, 2023. Accounts receivable primarily relate to amounts due from the Company's franchise, license and wholesale partners. Under these arrangements, payment terms are typically 60 to 90 days.</w:t>
      </w:r>
    </w:p>
    <w:p>
      <w:pPr>
        <w:spacing w:after="0" w:line="55"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1E1E1E"/>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$310 million as of February 3, 2024 and $309 million as of January 28, 2023. The Company recognized $134 million as revenue in 2023 from amounts recorded as deferred revenue at the beginning of the period. As of February 3, 2024, the Company recorded deferred revenues of $295 million within Accrued Expenses and Other, and $15 million within Other Long-term Liabilities on the Consolidated Balance Sheet.</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a disaggregation of Net Sales for 2023, 2022 and 2021:</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3"/>
        </w:trPr>
        <w:tc>
          <w:tcPr>
            <w:tcW w:w="69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Stores — North America (a)</w:t>
            </w:r>
          </w:p>
        </w:tc>
        <w:tc>
          <w:tcPr>
            <w:tcW w:w="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3,480</w:t>
            </w:r>
          </w:p>
        </w:tc>
        <w:tc>
          <w:tcPr>
            <w:tcW w:w="320" w:type="dxa"/>
            <w:vAlign w:val="bottom"/>
            <w:gridSpan w:val="2"/>
            <w:shd w:val="clear" w:color="auto" w:fill="E2E2E2"/>
          </w:tcPr>
          <w:p>
            <w:pPr>
              <w:jc w:val="right"/>
              <w:ind w:right="10"/>
              <w:spacing w:after="0"/>
              <w:rPr>
                <w:sz w:val="20"/>
                <w:szCs w:val="20"/>
                <w:color w:val="auto"/>
              </w:rPr>
            </w:pPr>
            <w:r>
              <w:rPr>
                <w:rFonts w:ascii="Times New Roman" w:cs="Times New Roman" w:eastAsia="Times New Roman" w:hAnsi="Times New Roman"/>
                <w:sz w:val="20"/>
                <w:szCs w:val="20"/>
                <w:color w:val="1E1E1E"/>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3,909</w:t>
            </w:r>
          </w:p>
        </w:tc>
        <w:tc>
          <w:tcPr>
            <w:tcW w:w="3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4,194</w:t>
            </w:r>
          </w:p>
        </w:tc>
      </w:tr>
      <w:tr>
        <w:trPr>
          <w:trHeight w:val="279"/>
        </w:trPr>
        <w:tc>
          <w:tcPr>
            <w:tcW w:w="69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 (a)</w:t>
            </w:r>
          </w:p>
        </w:tc>
        <w:tc>
          <w:tcPr>
            <w:tcW w:w="260" w:type="dxa"/>
            <w:vAlign w:val="bottom"/>
          </w:tcPr>
          <w:p>
            <w:pPr>
              <w:spacing w:after="0"/>
              <w:rPr>
                <w:sz w:val="24"/>
                <w:szCs w:val="24"/>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2,015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2,114</w:t>
            </w:r>
          </w:p>
        </w:tc>
      </w:tr>
      <w:tr>
        <w:trPr>
          <w:trHeight w:val="300"/>
        </w:trPr>
        <w:tc>
          <w:tcPr>
            <w:tcW w:w="69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International (b)</w:t>
            </w:r>
          </w:p>
        </w:tc>
        <w:tc>
          <w:tcPr>
            <w:tcW w:w="260" w:type="dxa"/>
            <w:vAlign w:val="bottom"/>
            <w:tcBorders>
              <w:bottom w:val="single" w:sz="8" w:color="1E1E1E"/>
            </w:tcBorders>
            <w:shd w:val="clear" w:color="auto" w:fill="E2E2E2"/>
          </w:tcPr>
          <w:p>
            <w:pPr>
              <w:spacing w:after="0"/>
              <w:rPr>
                <w:sz w:val="24"/>
                <w:szCs w:val="24"/>
                <w:color w:val="auto"/>
              </w:rPr>
            </w:pPr>
          </w:p>
        </w:tc>
        <w:tc>
          <w:tcPr>
            <w:tcW w:w="82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687</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592</w:t>
            </w:r>
          </w:p>
        </w:tc>
        <w:tc>
          <w:tcPr>
            <w:tcW w:w="8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477</w:t>
            </w:r>
          </w:p>
        </w:tc>
      </w:tr>
      <w:tr>
        <w:trPr>
          <w:trHeight w:val="226"/>
        </w:trPr>
        <w:tc>
          <w:tcPr>
            <w:tcW w:w="69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Total Net Sales</w:t>
            </w:r>
          </w:p>
        </w:tc>
        <w:tc>
          <w:tcPr>
            <w:tcW w:w="2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20" w:type="dxa"/>
            <w:vAlign w:val="bottom"/>
            <w:tcBorders>
              <w:bottom w:val="single" w:sz="8" w:color="1E1E1E"/>
            </w:tcBorders>
          </w:tcPr>
          <w:p>
            <w:pPr>
              <w:jc w:val="right"/>
              <w:ind w:right="4"/>
              <w:spacing w:after="0" w:line="227" w:lineRule="exact"/>
              <w:rPr>
                <w:sz w:val="20"/>
                <w:szCs w:val="20"/>
                <w:color w:val="auto"/>
              </w:rPr>
            </w:pPr>
            <w:r>
              <w:rPr>
                <w:rFonts w:ascii="Times New Roman" w:cs="Times New Roman" w:eastAsia="Times New Roman" w:hAnsi="Times New Roman"/>
                <w:sz w:val="20"/>
                <w:szCs w:val="20"/>
                <w:b w:val="1"/>
                <w:bCs w:val="1"/>
                <w:color w:val="1E1E1E"/>
              </w:rPr>
              <w:t>6,182</w:t>
            </w:r>
          </w:p>
        </w:tc>
        <w:tc>
          <w:tcPr>
            <w:tcW w:w="60" w:type="dxa"/>
            <w:vAlign w:val="bottom"/>
          </w:tcPr>
          <w:p>
            <w:pPr>
              <w:spacing w:after="0"/>
              <w:rPr>
                <w:sz w:val="19"/>
                <w:szCs w:val="19"/>
                <w:color w:val="auto"/>
              </w:rPr>
            </w:pPr>
          </w:p>
        </w:tc>
        <w:tc>
          <w:tcPr>
            <w:tcW w:w="260" w:type="dxa"/>
            <w:vAlign w:val="bottom"/>
            <w:tcBorders>
              <w:bottom w:val="single" w:sz="8" w:color="1E1E1E"/>
            </w:tcBorders>
          </w:tcPr>
          <w:p>
            <w:pPr>
              <w:jc w:val="right"/>
              <w:ind w:right="1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7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6,344</w:t>
            </w:r>
          </w:p>
        </w:tc>
        <w:tc>
          <w:tcPr>
            <w:tcW w:w="80" w:type="dxa"/>
            <w:vAlign w:val="bottom"/>
          </w:tcPr>
          <w:p>
            <w:pPr>
              <w:spacing w:after="0"/>
              <w:rPr>
                <w:sz w:val="19"/>
                <w:szCs w:val="19"/>
                <w:color w:val="auto"/>
              </w:rPr>
            </w:pPr>
          </w:p>
        </w:tc>
        <w:tc>
          <w:tcPr>
            <w:tcW w:w="260" w:type="dxa"/>
            <w:vAlign w:val="bottom"/>
            <w:tcBorders>
              <w:bottom w:val="single" w:sz="8" w:color="1E1E1E"/>
            </w:tcBorders>
          </w:tcPr>
          <w:p>
            <w:pPr>
              <w:jc w:val="right"/>
              <w:ind w:right="20"/>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8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6,785</w:t>
            </w:r>
          </w:p>
        </w:tc>
      </w:tr>
      <w:tr>
        <w:trPr>
          <w:trHeight w:val="20"/>
        </w:trPr>
        <w:tc>
          <w:tcPr>
            <w:tcW w:w="69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-224790</wp:posOffset>
            </wp:positionV>
            <wp:extent cx="1454150"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1">
                      <a:extLst>
                        <a:ext uri="{28A0092B-C50C-407E-A947-70E740481C1C}"/>
                      </a:extLst>
                    </a:blip>
                    <a:srcRect/>
                    <a:stretch>
                      <a:fillRect/>
                    </a:stretch>
                  </pic:blipFill>
                  <pic:spPr bwMode="auto">
                    <a:xfrm>
                      <a:off x="0" y="0"/>
                      <a:ext cx="1454150" cy="508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20"/>
          <w:szCs w:val="20"/>
          <w:color w:val="1E1E1E"/>
        </w:rPr>
        <w:t>_______________</w:t>
      </w:r>
    </w:p>
    <w:p>
      <w:pPr>
        <w:spacing w:after="0" w:line="30" w:lineRule="exact"/>
        <w:rPr>
          <w:sz w:val="20"/>
          <w:szCs w:val="20"/>
          <w:color w:val="auto"/>
        </w:rPr>
      </w:pPr>
    </w:p>
    <w:p>
      <w:pPr>
        <w:ind w:left="730" w:hanging="730"/>
        <w:spacing w:after="0"/>
        <w:tabs>
          <w:tab w:leader="none" w:pos="730" w:val="left"/>
        </w:tabs>
        <w:numPr>
          <w:ilvl w:val="0"/>
          <w:numId w:val="4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 2023 include Adore Me sales.</w:t>
      </w:r>
    </w:p>
    <w:p>
      <w:pPr>
        <w:spacing w:after="0" w:line="10" w:lineRule="exact"/>
        <w:rPr>
          <w:rFonts w:ascii="Times New Roman" w:cs="Times New Roman" w:eastAsia="Times New Roman" w:hAnsi="Times New Roman"/>
          <w:sz w:val="20"/>
          <w:szCs w:val="20"/>
          <w:color w:val="1E1E1E"/>
        </w:rPr>
      </w:pPr>
    </w:p>
    <w:p>
      <w:pPr>
        <w:ind w:left="730" w:right="380" w:hanging="730"/>
        <w:spacing w:after="0" w:line="260" w:lineRule="auto"/>
        <w:tabs>
          <w:tab w:leader="none" w:pos="730" w:val="left"/>
        </w:tabs>
        <w:numPr>
          <w:ilvl w:val="0"/>
          <w:numId w:val="4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Results include consolidated joint venture sales in China, royalties associated with franchised stores and wholesale sales.</w:t>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270"/>
          </w:cols>
          <w:pgMar w:left="810" w:top="453" w:right="800" w:bottom="0" w:gutter="0" w:footer="0" w:header="0"/>
          <w:type w:val="continuous"/>
        </w:sectPr>
      </w:pPr>
    </w:p>
    <w:bookmarkStart w:id="77" w:name="page78"/>
    <w:bookmarkEnd w:id="77"/>
    <w:p>
      <w:pPr>
        <w:ind w:left="10" w:right="100"/>
        <w:spacing w:after="0" w:line="256" w:lineRule="auto"/>
        <w:rPr>
          <w:sz w:val="20"/>
          <w:szCs w:val="20"/>
          <w:color w:val="auto"/>
        </w:rPr>
      </w:pPr>
      <w:r>
        <w:rPr>
          <w:rFonts w:ascii="Times New Roman" w:cs="Times New Roman" w:eastAsia="Times New Roman" w:hAnsi="Times New Roman"/>
          <w:sz w:val="20"/>
          <w:szCs w:val="20"/>
          <w:color w:val="1E1E1E"/>
        </w:rPr>
        <w:t>The Company has a Victoria's Secret and PINK multi-tender loyalty program along with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8" w:lineRule="exact"/>
        <w:rPr>
          <w:sz w:val="20"/>
          <w:szCs w:val="20"/>
          <w:color w:val="auto"/>
        </w:rPr>
      </w:pPr>
    </w:p>
    <w:p>
      <w:pPr>
        <w:ind w:left="10" w:right="500"/>
        <w:spacing w:after="0" w:line="281" w:lineRule="auto"/>
        <w:rPr>
          <w:sz w:val="20"/>
          <w:szCs w:val="20"/>
          <w:color w:val="auto"/>
        </w:rPr>
      </w:pPr>
      <w:r>
        <w:rPr>
          <w:rFonts w:ascii="Times New Roman" w:cs="Times New Roman" w:eastAsia="Times New Roman" w:hAnsi="Times New Roman"/>
          <w:sz w:val="20"/>
          <w:szCs w:val="20"/>
          <w:color w:val="1E1E1E"/>
        </w:rPr>
        <w:t>The Company recognized Net Sales of $95 million, $123 million and $132 million for 2023, 2022 and 2021, respectively, related to revenue earned in connection with its credit card arrangements.</w:t>
      </w:r>
    </w:p>
    <w:p>
      <w:pPr>
        <w:spacing w:after="0" w:line="41"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1E1E1E"/>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$910 million, $830 million and $736 million for 2023, 2022 and 2021, respectively.</w:t>
      </w:r>
    </w:p>
    <w:p>
      <w:pPr>
        <w:spacing w:after="0" w:line="1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5. Earnings Per Share</w:t>
      </w:r>
    </w:p>
    <w:p>
      <w:pPr>
        <w:spacing w:after="0" w:line="137" w:lineRule="exact"/>
        <w:rPr>
          <w:sz w:val="20"/>
          <w:szCs w:val="20"/>
          <w:color w:val="auto"/>
        </w:rPr>
      </w:pPr>
    </w:p>
    <w:p>
      <w:pPr>
        <w:ind w:left="10" w:right="480"/>
        <w:spacing w:after="0" w:line="266" w:lineRule="auto"/>
        <w:rPr>
          <w:sz w:val="20"/>
          <w:szCs w:val="20"/>
          <w:color w:val="auto"/>
        </w:rPr>
      </w:pPr>
      <w:r>
        <w:rPr>
          <w:rFonts w:ascii="Times New Roman" w:cs="Times New Roman" w:eastAsia="Times New Roman" w:hAnsi="Times New Roman"/>
          <w:sz w:val="20"/>
          <w:szCs w:val="20"/>
          <w:color w:val="1E1E1E"/>
        </w:rPr>
        <w:t>Earnings per basic share is computed based on the weighted-average number of common shares outstanding. Earnings per diluted share include the weighted-average effect of dilutive restricted stock units, performance share units and options (collectively, “Dilutive Awards”) on the weighted-average shares outstanding.</w:t>
      </w:r>
    </w:p>
    <w:p>
      <w:pPr>
        <w:spacing w:after="0" w:line="55"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1E1E1E"/>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70"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weighted-average shares utilized for the calculation of basic and diluted earnings per share for 2023, 2022 and 2021:</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080" w:type="dxa"/>
            <w:vAlign w:val="bottom"/>
            <w:gridSpan w:val="2"/>
          </w:tcPr>
          <w:p>
            <w:pPr>
              <w:ind w:left="666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00" w:type="dxa"/>
            <w:vAlign w:val="bottom"/>
          </w:tcPr>
          <w:p>
            <w:pPr>
              <w:spacing w:after="0"/>
              <w:rPr>
                <w:sz w:val="18"/>
                <w:szCs w:val="18"/>
                <w:color w:val="auto"/>
              </w:rPr>
            </w:pPr>
          </w:p>
        </w:tc>
        <w:tc>
          <w:tcPr>
            <w:tcW w:w="1380" w:type="dxa"/>
            <w:vAlign w:val="bottom"/>
            <w:gridSpan w:val="2"/>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900" w:type="dxa"/>
            <w:vAlign w:val="bottom"/>
            <w:tcBorders>
              <w:top w:val="single" w:sz="8" w:color="1E1E1E"/>
            </w:tcBorders>
          </w:tcPr>
          <w:p>
            <w:pPr>
              <w:spacing w:after="0"/>
              <w:rPr>
                <w:sz w:val="19"/>
                <w:szCs w:val="19"/>
                <w:color w:val="auto"/>
              </w:rPr>
            </w:pPr>
          </w:p>
        </w:tc>
        <w:tc>
          <w:tcPr>
            <w:tcW w:w="400" w:type="dxa"/>
            <w:vAlign w:val="bottom"/>
            <w:tcBorders>
              <w:top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1E1E1E"/>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0" w:type="dxa"/>
            <w:vAlign w:val="bottom"/>
          </w:tcPr>
          <w:p>
            <w:pPr>
              <w:spacing w:after="0"/>
              <w:rPr>
                <w:sz w:val="19"/>
                <w:szCs w:val="19"/>
                <w:color w:val="auto"/>
              </w:rPr>
            </w:pPr>
          </w:p>
        </w:tc>
        <w:tc>
          <w:tcPr>
            <w:tcW w:w="1300" w:type="dxa"/>
            <w:vAlign w:val="bottom"/>
            <w:tcBorders>
              <w:top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08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Common Shares</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w:t>
            </w:r>
          </w:p>
        </w:tc>
        <w:tc>
          <w:tcPr>
            <w:tcW w:w="0" w:type="dxa"/>
            <w:vAlign w:val="bottom"/>
          </w:tcPr>
          <w:p>
            <w:pPr>
              <w:spacing w:after="0"/>
              <w:rPr>
                <w:sz w:val="1"/>
                <w:szCs w:val="1"/>
                <w:color w:val="auto"/>
              </w:rPr>
            </w:pPr>
          </w:p>
        </w:tc>
      </w:tr>
      <w:tr>
        <w:trPr>
          <w:trHeight w:val="275"/>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Treasury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75"/>
        </w:trPr>
        <w:tc>
          <w:tcPr>
            <w:tcW w:w="6180" w:type="dxa"/>
            <w:vAlign w:val="bottom"/>
            <w:tcBorders>
              <w:top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b w:val="1"/>
                <w:bCs w:val="1"/>
                <w:color w:val="1E1E1E"/>
              </w:rPr>
              <w:t>Basic Shares</w:t>
            </w:r>
          </w:p>
        </w:tc>
        <w:tc>
          <w:tcPr>
            <w:tcW w:w="900" w:type="dxa"/>
            <w:vAlign w:val="bottom"/>
            <w:tcBorders>
              <w:top w:val="single" w:sz="8" w:color="1E1E1E"/>
            </w:tcBorders>
            <w:shd w:val="clear" w:color="auto" w:fill="E2E2E2"/>
          </w:tcPr>
          <w:p>
            <w:pPr>
              <w:spacing w:after="0"/>
              <w:rPr>
                <w:sz w:val="23"/>
                <w:szCs w:val="23"/>
                <w:color w:val="auto"/>
              </w:rPr>
            </w:pPr>
          </w:p>
        </w:tc>
        <w:tc>
          <w:tcPr>
            <w:tcW w:w="4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78</w:t>
            </w:r>
          </w:p>
        </w:tc>
        <w:tc>
          <w:tcPr>
            <w:tcW w:w="80" w:type="dxa"/>
            <w:vAlign w:val="bottom"/>
            <w:tcBorders>
              <w:top w:val="single" w:sz="8" w:color="E2E2E2"/>
            </w:tcBorders>
            <w:shd w:val="clear" w:color="auto" w:fill="E2E2E2"/>
          </w:tcPr>
          <w:p>
            <w:pPr>
              <w:spacing w:after="0"/>
              <w:rPr>
                <w:sz w:val="23"/>
                <w:szCs w:val="23"/>
                <w:color w:val="auto"/>
              </w:rPr>
            </w:pPr>
          </w:p>
        </w:tc>
        <w:tc>
          <w:tcPr>
            <w:tcW w:w="13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82</w:t>
            </w:r>
          </w:p>
        </w:tc>
        <w:tc>
          <w:tcPr>
            <w:tcW w:w="80" w:type="dxa"/>
            <w:vAlign w:val="bottom"/>
            <w:tcBorders>
              <w:top w:val="single" w:sz="8" w:color="E2E2E2"/>
            </w:tcBorders>
            <w:shd w:val="clear" w:color="auto" w:fill="E2E2E2"/>
          </w:tcPr>
          <w:p>
            <w:pPr>
              <w:spacing w:after="0"/>
              <w:rPr>
                <w:sz w:val="23"/>
                <w:szCs w:val="23"/>
                <w:color w:val="auto"/>
              </w:rPr>
            </w:pPr>
          </w:p>
        </w:tc>
        <w:tc>
          <w:tcPr>
            <w:tcW w:w="13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88</w:t>
            </w:r>
          </w:p>
        </w:tc>
        <w:tc>
          <w:tcPr>
            <w:tcW w:w="0" w:type="dxa"/>
            <w:vAlign w:val="bottom"/>
          </w:tcPr>
          <w:p>
            <w:pPr>
              <w:spacing w:after="0"/>
              <w:rPr>
                <w:sz w:val="1"/>
                <w:szCs w:val="1"/>
                <w:color w:val="auto"/>
              </w:rPr>
            </w:pPr>
          </w:p>
        </w:tc>
      </w:tr>
      <w:tr>
        <w:trPr>
          <w:trHeight w:val="275"/>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Effect of Dilutive Awards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70"/>
        </w:trPr>
        <w:tc>
          <w:tcPr>
            <w:tcW w:w="6180" w:type="dxa"/>
            <w:vAlign w:val="bottom"/>
            <w:tcBorders>
              <w:top w:val="single" w:sz="8" w:color="E2E2E2"/>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b w:val="1"/>
                <w:bCs w:val="1"/>
                <w:color w:val="1E1E1E"/>
              </w:rPr>
              <w:t>Diluted Shares</w:t>
            </w:r>
          </w:p>
        </w:tc>
        <w:tc>
          <w:tcPr>
            <w:tcW w:w="900" w:type="dxa"/>
            <w:vAlign w:val="bottom"/>
            <w:tcBorders>
              <w:top w:val="single" w:sz="8" w:color="1E1E1E"/>
              <w:bottom w:val="single" w:sz="8" w:color="1E1E1E"/>
            </w:tcBorders>
            <w:shd w:val="clear" w:color="auto" w:fill="E2E2E2"/>
          </w:tcPr>
          <w:p>
            <w:pPr>
              <w:spacing w:after="0"/>
              <w:rPr>
                <w:sz w:val="23"/>
                <w:szCs w:val="23"/>
                <w:color w:val="auto"/>
              </w:rPr>
            </w:pPr>
          </w:p>
        </w:tc>
        <w:tc>
          <w:tcPr>
            <w:tcW w:w="40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79</w:t>
            </w:r>
          </w:p>
        </w:tc>
        <w:tc>
          <w:tcPr>
            <w:tcW w:w="80" w:type="dxa"/>
            <w:vAlign w:val="bottom"/>
            <w:tcBorders>
              <w:top w:val="single" w:sz="8" w:color="E2E2E2"/>
              <w:bottom w:val="single" w:sz="8" w:color="E2E2E2"/>
            </w:tcBorders>
            <w:shd w:val="clear" w:color="auto" w:fill="E2E2E2"/>
          </w:tcPr>
          <w:p>
            <w:pPr>
              <w:spacing w:after="0"/>
              <w:rPr>
                <w:sz w:val="23"/>
                <w:szCs w:val="23"/>
                <w:color w:val="auto"/>
              </w:rPr>
            </w:pPr>
          </w:p>
        </w:tc>
        <w:tc>
          <w:tcPr>
            <w:tcW w:w="130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84</w:t>
            </w:r>
          </w:p>
        </w:tc>
        <w:tc>
          <w:tcPr>
            <w:tcW w:w="80" w:type="dxa"/>
            <w:vAlign w:val="bottom"/>
            <w:tcBorders>
              <w:top w:val="single" w:sz="8" w:color="E2E2E2"/>
              <w:bottom w:val="single" w:sz="8" w:color="E2E2E2"/>
            </w:tcBorders>
            <w:shd w:val="clear" w:color="auto" w:fill="E2E2E2"/>
          </w:tcPr>
          <w:p>
            <w:pPr>
              <w:spacing w:after="0"/>
              <w:rPr>
                <w:sz w:val="23"/>
                <w:szCs w:val="23"/>
                <w:color w:val="auto"/>
              </w:rPr>
            </w:pPr>
          </w:p>
        </w:tc>
        <w:tc>
          <w:tcPr>
            <w:tcW w:w="130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90</w:t>
            </w:r>
          </w:p>
        </w:tc>
        <w:tc>
          <w:tcPr>
            <w:tcW w:w="0" w:type="dxa"/>
            <w:vAlign w:val="bottom"/>
          </w:tcPr>
          <w:p>
            <w:pPr>
              <w:spacing w:after="0"/>
              <w:rPr>
                <w:sz w:val="1"/>
                <w:szCs w:val="1"/>
                <w:color w:val="auto"/>
              </w:rPr>
            </w:pPr>
          </w:p>
        </w:tc>
      </w:tr>
      <w:tr>
        <w:trPr>
          <w:trHeight w:val="20"/>
        </w:trPr>
        <w:tc>
          <w:tcPr>
            <w:tcW w:w="6180" w:type="dxa"/>
            <w:vAlign w:val="bottom"/>
            <w:tcBorders>
              <w:top w:val="single" w:sz="8" w:color="E2E2E2"/>
            </w:tcBorders>
            <w:vMerge w:val="restart"/>
          </w:tcPr>
          <w:p>
            <w:pPr>
              <w:ind w:left="40"/>
              <w:spacing w:after="0"/>
              <w:rPr>
                <w:sz w:val="20"/>
                <w:szCs w:val="20"/>
                <w:color w:val="auto"/>
              </w:rPr>
            </w:pPr>
            <w:r>
              <w:rPr>
                <w:rFonts w:ascii="Times New Roman" w:cs="Times New Roman" w:eastAsia="Times New Roman" w:hAnsi="Times New Roman"/>
                <w:sz w:val="20"/>
                <w:szCs w:val="20"/>
                <w:color w:val="1E1E1E"/>
              </w:rPr>
              <w:t>Anti-dilutive Awards (a)</w:t>
            </w:r>
          </w:p>
        </w:tc>
        <w:tc>
          <w:tcPr>
            <w:tcW w:w="900" w:type="dxa"/>
            <w:vAlign w:val="bottom"/>
            <w:tcBorders>
              <w:top w:val="single" w:sz="8" w:color="E2E2E2"/>
            </w:tcBorders>
          </w:tcPr>
          <w:p>
            <w:pPr>
              <w:spacing w:after="0" w:line="20" w:lineRule="exact"/>
              <w:rPr>
                <w:sz w:val="1"/>
                <w:szCs w:val="1"/>
                <w:color w:val="auto"/>
              </w:rPr>
            </w:pPr>
          </w:p>
        </w:tc>
        <w:tc>
          <w:tcPr>
            <w:tcW w:w="400" w:type="dxa"/>
            <w:vAlign w:val="bottom"/>
            <w:tcBorders>
              <w:top w:val="single" w:sz="8" w:color="E2E2E2"/>
            </w:tcBorders>
          </w:tcPr>
          <w:p>
            <w:pPr>
              <w:spacing w:after="0" w:line="20" w:lineRule="exact"/>
              <w:rPr>
                <w:sz w:val="1"/>
                <w:szCs w:val="1"/>
                <w:color w:val="auto"/>
              </w:rPr>
            </w:pPr>
          </w:p>
        </w:tc>
        <w:tc>
          <w:tcPr>
            <w:tcW w:w="1380" w:type="dxa"/>
            <w:vAlign w:val="bottom"/>
            <w:tcBorders>
              <w:top w:val="single" w:sz="8" w:color="E2E2E2"/>
            </w:tcBorders>
            <w:gridSpan w:val="2"/>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30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80" w:type="dxa"/>
            <w:vAlign w:val="bottom"/>
            <w:tcBorders>
              <w:top w:val="single" w:sz="8" w:color="E2E2E2"/>
            </w:tcBorders>
            <w:vMerge w:val="continue"/>
          </w:tcPr>
          <w:p>
            <w:pPr>
              <w:spacing w:after="0"/>
              <w:rPr>
                <w:sz w:val="20"/>
                <w:szCs w:val="20"/>
                <w:color w:val="auto"/>
              </w:rPr>
            </w:pPr>
          </w:p>
        </w:tc>
        <w:tc>
          <w:tcPr>
            <w:tcW w:w="900" w:type="dxa"/>
            <w:vAlign w:val="bottom"/>
            <w:tcBorders>
              <w:top w:val="single" w:sz="8" w:color="1E1E1E"/>
            </w:tcBorders>
          </w:tcPr>
          <w:p>
            <w:pPr>
              <w:spacing w:after="0"/>
              <w:rPr>
                <w:sz w:val="20"/>
                <w:szCs w:val="20"/>
                <w:color w:val="auto"/>
              </w:rPr>
            </w:pPr>
          </w:p>
        </w:tc>
        <w:tc>
          <w:tcPr>
            <w:tcW w:w="4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80" w:type="dxa"/>
            <w:vAlign w:val="bottom"/>
          </w:tcPr>
          <w:p>
            <w:pPr>
              <w:spacing w:after="0"/>
              <w:rPr>
                <w:sz w:val="20"/>
                <w:szCs w:val="20"/>
                <w:color w:val="auto"/>
              </w:rPr>
            </w:pPr>
          </w:p>
        </w:tc>
        <w:tc>
          <w:tcPr>
            <w:tcW w:w="13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80" w:type="dxa"/>
            <w:vAlign w:val="bottom"/>
          </w:tcPr>
          <w:p>
            <w:pPr>
              <w:spacing w:after="0"/>
              <w:rPr>
                <w:sz w:val="20"/>
                <w:szCs w:val="20"/>
                <w:color w:val="auto"/>
              </w:rPr>
            </w:pPr>
          </w:p>
        </w:tc>
        <w:tc>
          <w:tcPr>
            <w:tcW w:w="13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________________</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-938530</wp:posOffset>
            </wp:positionV>
            <wp:extent cx="1778000"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2">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-576580</wp:posOffset>
            </wp:positionV>
            <wp:extent cx="177800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3">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-408305</wp:posOffset>
            </wp:positionV>
            <wp:extent cx="2632075" cy="76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4">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ind w:left="370" w:right="60" w:hanging="370"/>
        <w:spacing w:after="0" w:line="260" w:lineRule="auto"/>
        <w:tabs>
          <w:tab w:leader="none" w:pos="370" w:val="left"/>
        </w:tabs>
        <w:numPr>
          <w:ilvl w:val="0"/>
          <w:numId w:val="4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Shares underlying certain restricted stock units, performance share units and options were excluded from the calculation of diluted earnings per share because their inclusion would have been anti-dilutive.</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6. Restructuring Activities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Organizational Restructuring</w:t>
      </w:r>
    </w:p>
    <w:p>
      <w:pPr>
        <w:spacing w:after="0" w:line="119"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1E1E1E"/>
        </w:rPr>
        <w:t>In the first quarter of 2023, the Company implemented additional restructuring actions to continue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spacing w:after="0" w:line="63" w:lineRule="exact"/>
        <w:rPr>
          <w:sz w:val="20"/>
          <w:szCs w:val="20"/>
          <w:color w:val="auto"/>
        </w:rPr>
      </w:pPr>
    </w:p>
    <w:p>
      <w:pPr>
        <w:ind w:left="10" w:right="300"/>
        <w:spacing w:after="0" w:line="260" w:lineRule="auto"/>
        <w:rPr>
          <w:sz w:val="20"/>
          <w:szCs w:val="20"/>
          <w:color w:val="auto"/>
        </w:rPr>
      </w:pPr>
      <w:r>
        <w:rPr>
          <w:rFonts w:ascii="Times New Roman" w:cs="Times New Roman" w:eastAsia="Times New Roman" w:hAnsi="Times New Roman"/>
          <w:sz w:val="20"/>
          <w:szCs w:val="20"/>
          <w:color w:val="1E1E1E"/>
        </w:rPr>
        <w:t>During the second quarter and fourth quarter of 2022, the Company implemented restructuring actions to reorganize and improve its organizational structure. As a result, pre-tax severance and related costs of $35 million, of which $21 million are included in General, Administrative and Store Operating Expenses and $14 million are included in Costs of Goods Sold, Buying and Occupancy, are included in the 2022 Consolidated Statement of Income.</w:t>
      </w:r>
    </w:p>
    <w:p>
      <w:pPr>
        <w:spacing w:after="0" w:line="63" w:lineRule="exact"/>
        <w:rPr>
          <w:sz w:val="20"/>
          <w:szCs w:val="20"/>
          <w:color w:val="auto"/>
        </w:rPr>
      </w:pPr>
    </w:p>
    <w:p>
      <w:pPr>
        <w:jc w:val="both"/>
        <w:ind w:left="10" w:right="520"/>
        <w:spacing w:after="0" w:line="266" w:lineRule="auto"/>
        <w:rPr>
          <w:sz w:val="20"/>
          <w:szCs w:val="20"/>
          <w:color w:val="auto"/>
        </w:rPr>
      </w:pPr>
      <w:r>
        <w:rPr>
          <w:rFonts w:ascii="Times New Roman" w:cs="Times New Roman" w:eastAsia="Times New Roman" w:hAnsi="Times New Roman"/>
          <w:sz w:val="20"/>
          <w:szCs w:val="20"/>
          <w:color w:val="1E1E1E"/>
        </w:rPr>
        <w:t>The Company made payments of $16 million and $18 million related to severance and related costs associated with these restructuring actions during 2023 and 2022, respectively. Liabilities, after accrual adjustments, related to the restructuring actions of $5 million are included in the February 3, 2024 Consolidated Balance Sheet.</w:t>
      </w:r>
    </w:p>
    <w:p>
      <w:pPr>
        <w:sectPr>
          <w:pgSz w:w="11880" w:h="15480" w:orient="portrait"/>
          <w:cols w:equalWidth="0" w:num="1">
            <w:col w:w="10250"/>
          </w:cols>
          <w:pgMar w:left="81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250"/>
          </w:cols>
          <w:pgMar w:left="810" w:top="453" w:right="820" w:bottom="0" w:gutter="0" w:footer="0" w:header="0"/>
          <w:type w:val="continuous"/>
        </w:sectPr>
      </w:pPr>
    </w:p>
    <w:bookmarkStart w:id="78" w:name="page79"/>
    <w:bookmarkEnd w:id="78"/>
    <w:p>
      <w:pPr>
        <w:ind w:left="20"/>
        <w:spacing w:after="0"/>
        <w:rPr>
          <w:sz w:val="20"/>
          <w:szCs w:val="20"/>
          <w:color w:val="auto"/>
        </w:rPr>
      </w:pPr>
      <w:r>
        <w:rPr>
          <w:rFonts w:ascii="Times New Roman" w:cs="Times New Roman" w:eastAsia="Times New Roman" w:hAnsi="Times New Roman"/>
          <w:sz w:val="20"/>
          <w:szCs w:val="20"/>
          <w:b w:val="1"/>
          <w:bCs w:val="1"/>
          <w:i w:val="1"/>
          <w:iCs w:val="1"/>
          <w:color w:val="1E1E1E"/>
        </w:rPr>
        <w:t>Victoria's Secret China</w:t>
      </w:r>
    </w:p>
    <w:p>
      <w:pPr>
        <w:spacing w:after="0" w:line="119"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20"/>
          <w:szCs w:val="20"/>
          <w:color w:val="1E1E1E"/>
        </w:rPr>
        <w:t>In April 2022, the Company entered into a joint venture agreement with Regina Miracle, a company listed on the Hong Kong Stock Exchange,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spacing w:after="0" w:line="70" w:lineRule="exact"/>
        <w:rPr>
          <w:sz w:val="20"/>
          <w:szCs w:val="20"/>
          <w:color w:val="auto"/>
        </w:rPr>
      </w:pPr>
    </w:p>
    <w:p>
      <w:pPr>
        <w:ind w:left="20" w:right="60"/>
        <w:spacing w:after="0" w:line="260" w:lineRule="auto"/>
        <w:rPr>
          <w:sz w:val="20"/>
          <w:szCs w:val="20"/>
          <w:color w:val="auto"/>
        </w:rPr>
      </w:pPr>
      <w:r>
        <w:rPr>
          <w:rFonts w:ascii="Times New Roman" w:cs="Times New Roman" w:eastAsia="Times New Roman" w:hAnsi="Times New Roman"/>
          <w:sz w:val="20"/>
          <w:szCs w:val="20"/>
          <w:color w:val="1E1E1E"/>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Sheets and in Net Income (Loss) Attributable to Noncontrolling Interest in the Consolidated Statements of Income.</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7. Inventories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provides details of Inventories as of February 3, 2024 and January 28, 2023:</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5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right"/>
              <w:ind w:right="848"/>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Finished Goods Merchandise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929</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997</w:t>
            </w:r>
          </w:p>
        </w:tc>
      </w:tr>
      <w:tr>
        <w:trPr>
          <w:trHeight w:val="275"/>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Raw Materials and Merchandise Components</w:t>
            </w:r>
          </w:p>
        </w:tc>
        <w:tc>
          <w:tcPr>
            <w:tcW w:w="200" w:type="dxa"/>
            <w:vAlign w:val="bottom"/>
            <w:tcBorders>
              <w:bottom w:val="single" w:sz="8" w:color="1E1E1E"/>
            </w:tcBorders>
          </w:tcPr>
          <w:p>
            <w:pPr>
              <w:spacing w:after="0"/>
              <w:rPr>
                <w:sz w:val="23"/>
                <w:szCs w:val="23"/>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80" w:type="dxa"/>
            <w:vAlign w:val="bottom"/>
            <w:tcBorders>
              <w:bottom w:val="single" w:sz="8" w:color="E2E2E2"/>
            </w:tcBorders>
          </w:tcPr>
          <w:p>
            <w:pPr>
              <w:spacing w:after="0"/>
              <w:rPr>
                <w:sz w:val="23"/>
                <w:szCs w:val="23"/>
                <w:color w:val="auto"/>
              </w:rPr>
            </w:pPr>
          </w:p>
        </w:tc>
        <w:tc>
          <w:tcPr>
            <w:tcW w:w="200" w:type="dxa"/>
            <w:vAlign w:val="bottom"/>
            <w:tcBorders>
              <w:bottom w:val="single" w:sz="8" w:color="1E1E1E"/>
            </w:tcBorders>
          </w:tcPr>
          <w:p>
            <w:pPr>
              <w:spacing w:after="0"/>
              <w:rPr>
                <w:sz w:val="23"/>
                <w:szCs w:val="23"/>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w:t>
            </w:r>
          </w:p>
        </w:tc>
      </w:tr>
      <w:tr>
        <w:trPr>
          <w:trHeight w:val="270"/>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Inventories</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985</w:t>
            </w:r>
          </w:p>
        </w:tc>
        <w:tc>
          <w:tcPr>
            <w:tcW w:w="8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1,052</w:t>
            </w:r>
          </w:p>
        </w:tc>
      </w:tr>
      <w:tr>
        <w:trPr>
          <w:trHeight w:val="20"/>
        </w:trPr>
        <w:tc>
          <w:tcPr>
            <w:tcW w:w="75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-224790</wp:posOffset>
            </wp:positionV>
            <wp:extent cx="175577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5">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-56515</wp:posOffset>
            </wp:positionV>
            <wp:extent cx="1755775" cy="76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6">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88" w:lineRule="exact"/>
        <w:rPr>
          <w:sz w:val="20"/>
          <w:szCs w:val="20"/>
          <w:color w:val="auto"/>
        </w:rPr>
      </w:pPr>
    </w:p>
    <w:p>
      <w:pPr>
        <w:ind w:left="20" w:right="200"/>
        <w:spacing w:after="0" w:line="266" w:lineRule="auto"/>
        <w:rPr>
          <w:sz w:val="20"/>
          <w:szCs w:val="20"/>
          <w:color w:val="auto"/>
        </w:rPr>
      </w:pPr>
      <w:r>
        <w:rPr>
          <w:rFonts w:ascii="Times New Roman" w:cs="Times New Roman" w:eastAsia="Times New Roman" w:hAnsi="Times New Roman"/>
          <w:sz w:val="20"/>
          <w:szCs w:val="20"/>
          <w:color w:val="1E1E1E"/>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8. Long-Lived Assets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provides details of Property and Equipment, Net as of February 3, 2024 and January 28, 2023:</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5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right"/>
              <w:ind w:right="844"/>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Land and Improvements</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2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r>
      <w:tr>
        <w:trPr>
          <w:trHeight w:val="278"/>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Buildings and Improvements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219</w:t>
            </w:r>
          </w:p>
        </w:tc>
      </w:tr>
      <w:tr>
        <w:trPr>
          <w:trHeight w:val="292"/>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Furniture, Fixtures, Software and Equipment</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2,308</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2,394</w:t>
            </w:r>
          </w:p>
        </w:tc>
      </w:tr>
      <w:tr>
        <w:trPr>
          <w:trHeight w:val="278"/>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Leasehold Improvements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1,018</w:t>
            </w:r>
          </w:p>
        </w:tc>
      </w:tr>
      <w:tr>
        <w:trPr>
          <w:trHeight w:val="300"/>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Construction in Progress</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r>
      <w:tr>
        <w:trPr>
          <w:trHeight w:val="250"/>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3,716</w:t>
            </w:r>
          </w:p>
        </w:tc>
      </w:tr>
      <w:tr>
        <w:trPr>
          <w:trHeight w:val="300"/>
        </w:trPr>
        <w:tc>
          <w:tcPr>
            <w:tcW w:w="75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Accumulated Depreciation and Amortization</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(2,773)</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(2,870)</w:t>
            </w:r>
          </w:p>
        </w:tc>
      </w:tr>
      <w:tr>
        <w:trPr>
          <w:trHeight w:val="226"/>
        </w:trPr>
        <w:tc>
          <w:tcPr>
            <w:tcW w:w="756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Property and Equipment, Net</w:t>
            </w:r>
          </w:p>
        </w:tc>
        <w:tc>
          <w:tcPr>
            <w:tcW w:w="2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843</w:t>
            </w:r>
          </w:p>
        </w:tc>
        <w:tc>
          <w:tcPr>
            <w:tcW w:w="80" w:type="dxa"/>
            <w:vAlign w:val="bottom"/>
          </w:tcPr>
          <w:p>
            <w:pPr>
              <w:spacing w:after="0"/>
              <w:rPr>
                <w:sz w:val="19"/>
                <w:szCs w:val="19"/>
                <w:color w:val="auto"/>
              </w:rPr>
            </w:pPr>
          </w:p>
        </w:tc>
        <w:tc>
          <w:tcPr>
            <w:tcW w:w="2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846</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-586740</wp:posOffset>
            </wp:positionV>
            <wp:extent cx="901700"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7">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-224790</wp:posOffset>
            </wp:positionV>
            <wp:extent cx="9017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8">
                      <a:extLst>
                        <a:ext uri="{28A0092B-C50C-407E-A947-70E740481C1C}"/>
                      </a:extLst>
                    </a:blip>
                    <a:srcRect/>
                    <a:stretch>
                      <a:fillRect/>
                    </a:stretch>
                  </pic:blipFill>
                  <pic:spPr bwMode="auto">
                    <a:xfrm>
                      <a:off x="0" y="0"/>
                      <a:ext cx="901700" cy="50800"/>
                    </a:xfrm>
                    <a:prstGeom prst="rect">
                      <a:avLst/>
                    </a:prstGeom>
                    <a:noFill/>
                  </pic:spPr>
                </pic:pic>
              </a:graphicData>
            </a:graphic>
          </wp:anchor>
        </w:drawing>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Depreciation expense was $259 million in 2023, $274 million in 2022 and $303 million in 2021.</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9. Leases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provides the components of lease cost for operating leases for 2023, 2022 and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18"/>
                <w:szCs w:val="18"/>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20" w:type="dxa"/>
            <w:vAlign w:val="bottom"/>
            <w:tcBorders>
              <w:bottom w:val="single" w:sz="8" w:color="1E1E1E"/>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82"/>
        </w:trPr>
        <w:tc>
          <w:tcPr>
            <w:tcW w:w="6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8"/>
        </w:trPr>
        <w:tc>
          <w:tcPr>
            <w:tcW w:w="62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Operating Lease Costs</w:t>
            </w:r>
          </w:p>
        </w:tc>
        <w:tc>
          <w:tcPr>
            <w:tcW w:w="880" w:type="dxa"/>
            <w:vAlign w:val="bottom"/>
            <w:shd w:val="clear" w:color="auto" w:fill="E2E2E2"/>
          </w:tcPr>
          <w:p>
            <w:pPr>
              <w:jc w:val="right"/>
              <w:ind w:right="627"/>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393</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385</w:t>
            </w:r>
          </w:p>
        </w:tc>
        <w:tc>
          <w:tcPr>
            <w:tcW w:w="38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399</w:t>
            </w:r>
          </w:p>
        </w:tc>
      </w:tr>
      <w:tr>
        <w:trPr>
          <w:trHeight w:val="294"/>
        </w:trPr>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Variable Lease Costs</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r>
      <w:tr>
        <w:trPr>
          <w:trHeight w:val="296"/>
        </w:trPr>
        <w:tc>
          <w:tcPr>
            <w:tcW w:w="62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Short-term Lease Costs</w:t>
            </w:r>
          </w:p>
        </w:tc>
        <w:tc>
          <w:tcPr>
            <w:tcW w:w="880" w:type="dxa"/>
            <w:vAlign w:val="bottom"/>
            <w:tcBorders>
              <w:bottom w:val="single" w:sz="8" w:color="1E1E1E"/>
            </w:tcBorders>
            <w:shd w:val="clear" w:color="auto" w:fill="E2E2E2"/>
          </w:tcPr>
          <w:p>
            <w:pPr>
              <w:spacing w:after="0"/>
              <w:rPr>
                <w:sz w:val="24"/>
                <w:szCs w:val="24"/>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6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60"/>
        </w:trPr>
        <w:tc>
          <w:tcPr>
            <w:tcW w:w="6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Total Lease Cost</w:t>
            </w:r>
          </w:p>
        </w:tc>
        <w:tc>
          <w:tcPr>
            <w:tcW w:w="880" w:type="dxa"/>
            <w:vAlign w:val="bottom"/>
          </w:tcPr>
          <w:p>
            <w:pPr>
              <w:jc w:val="right"/>
              <w:ind w:right="627"/>
              <w:spacing w:after="0"/>
              <w:rPr>
                <w:sz w:val="20"/>
                <w:szCs w:val="20"/>
                <w:color w:val="auto"/>
              </w:rPr>
            </w:pPr>
            <w:r>
              <w:rPr>
                <w:rFonts w:ascii="Times New Roman" w:cs="Times New Roman" w:eastAsia="Times New Roman" w:hAnsi="Times New Roman"/>
                <w:sz w:val="20"/>
                <w:szCs w:val="20"/>
                <w:b w:val="1"/>
                <w:bCs w:val="1"/>
                <w:color w:val="1E1E1E"/>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474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468</w:t>
            </w:r>
          </w:p>
        </w:tc>
      </w:tr>
      <w:tr>
        <w:trPr>
          <w:trHeight w:val="20"/>
        </w:trPr>
        <w:tc>
          <w:tcPr>
            <w:tcW w:w="6240" w:type="dxa"/>
            <w:vAlign w:val="bottom"/>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4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-234315</wp:posOffset>
            </wp:positionV>
            <wp:extent cx="175895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9">
                      <a:extLst>
                        <a:ext uri="{28A0092B-C50C-407E-A947-70E740481C1C}"/>
                      </a:extLst>
                    </a:blip>
                    <a:srcRect/>
                    <a:stretch>
                      <a:fillRect/>
                    </a:stretch>
                  </pic:blipFill>
                  <pic:spPr bwMode="auto">
                    <a:xfrm>
                      <a:off x="0" y="0"/>
                      <a:ext cx="1758950" cy="5080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-56515</wp:posOffset>
            </wp:positionV>
            <wp:extent cx="1746250"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0">
                      <a:extLst>
                        <a:ext uri="{28A0092B-C50C-407E-A947-70E740481C1C}"/>
                      </a:extLst>
                    </a:blip>
                    <a:srcRect/>
                    <a:stretch>
                      <a:fillRect/>
                    </a:stretch>
                  </pic:blipFill>
                  <pic:spPr bwMode="auto">
                    <a:xfrm>
                      <a:off x="0" y="0"/>
                      <a:ext cx="1746250" cy="76200"/>
                    </a:xfrm>
                    <a:prstGeom prst="rect">
                      <a:avLst/>
                    </a:prstGeom>
                    <a:noFill/>
                  </pic:spPr>
                </pic:pic>
              </a:graphicData>
            </a:graphic>
          </wp:anchor>
        </w:drawing>
      </w:r>
    </w:p>
    <w:p>
      <w:pPr>
        <w:spacing w:after="0" w:line="88" w:lineRule="exact"/>
        <w:rPr>
          <w:sz w:val="20"/>
          <w:szCs w:val="20"/>
          <w:color w:val="auto"/>
        </w:rPr>
      </w:pPr>
    </w:p>
    <w:p>
      <w:pPr>
        <w:ind w:left="20" w:right="200"/>
        <w:spacing w:after="0" w:line="281" w:lineRule="auto"/>
        <w:rPr>
          <w:sz w:val="20"/>
          <w:szCs w:val="20"/>
          <w:color w:val="auto"/>
        </w:rPr>
      </w:pPr>
      <w:r>
        <w:rPr>
          <w:rFonts w:ascii="Times New Roman" w:cs="Times New Roman" w:eastAsia="Times New Roman" w:hAnsi="Times New Roman"/>
          <w:sz w:val="20"/>
          <w:szCs w:val="20"/>
          <w:color w:val="1E1E1E"/>
        </w:rPr>
        <w:t>In 2021, the Company recognized a reduction of $31 million to occupancy expenses as a result of COVID-19-related landlord concessions.</w:t>
      </w:r>
    </w:p>
    <w:p>
      <w:pPr>
        <w:sectPr>
          <w:pgSz w:w="11880" w:h="15480" w:orient="portrait"/>
          <w:cols w:equalWidth="0" w:num="1">
            <w:col w:w="10280"/>
          </w:cols>
          <w:pgMar w:left="800" w:top="444" w:right="8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280"/>
          </w:cols>
          <w:pgMar w:left="800" w:top="444" w:right="80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1E1E1E"/>
        </w:rPr>
        <w:t>The following table provides future maturities of operating lease liabilities as of February 3,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Fiscal Year</w:t>
            </w:r>
          </w:p>
        </w:tc>
        <w:tc>
          <w:tcPr>
            <w:tcW w:w="200" w:type="dxa"/>
            <w:vAlign w:val="bottom"/>
          </w:tcPr>
          <w:p>
            <w:pPr>
              <w:spacing w:after="0"/>
              <w:rPr>
                <w:sz w:val="19"/>
                <w:szCs w:val="19"/>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36"/>
        </w:trPr>
        <w:tc>
          <w:tcPr>
            <w:tcW w:w="40" w:type="dxa"/>
            <w:vAlign w:val="bottom"/>
          </w:tcPr>
          <w:p>
            <w:pPr>
              <w:spacing w:after="0"/>
              <w:rPr>
                <w:sz w:val="3"/>
                <w:szCs w:val="3"/>
                <w:color w:val="auto"/>
              </w:rPr>
            </w:pPr>
          </w:p>
        </w:tc>
        <w:tc>
          <w:tcPr>
            <w:tcW w:w="980" w:type="dxa"/>
            <w:vAlign w:val="bottom"/>
            <w:tcBorders>
              <w:top w:val="single" w:sz="8" w:color="1E1E1E"/>
            </w:tcBorders>
          </w:tcPr>
          <w:p>
            <w:pPr>
              <w:spacing w:after="0"/>
              <w:rPr>
                <w:sz w:val="3"/>
                <w:szCs w:val="3"/>
                <w:color w:val="auto"/>
              </w:rPr>
            </w:pPr>
          </w:p>
        </w:tc>
        <w:tc>
          <w:tcPr>
            <w:tcW w:w="7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0"/>
        </w:trPr>
        <w:tc>
          <w:tcPr>
            <w:tcW w:w="102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2024</w:t>
            </w:r>
          </w:p>
        </w:tc>
        <w:tc>
          <w:tcPr>
            <w:tcW w:w="7920" w:type="dxa"/>
            <w:vAlign w:val="bottom"/>
            <w:shd w:val="clear" w:color="auto" w:fill="E2E2E2"/>
          </w:tcPr>
          <w:p>
            <w:pPr>
              <w:spacing w:after="0"/>
              <w:rPr>
                <w:sz w:val="24"/>
                <w:szCs w:val="24"/>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359</w:t>
            </w:r>
          </w:p>
        </w:tc>
      </w:tr>
      <w:tr>
        <w:trPr>
          <w:trHeight w:val="293"/>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2025</w:t>
            </w:r>
          </w:p>
        </w:tc>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338</w:t>
            </w:r>
          </w:p>
        </w:tc>
      </w:tr>
      <w:tr>
        <w:trPr>
          <w:trHeight w:val="307"/>
        </w:trPr>
        <w:tc>
          <w:tcPr>
            <w:tcW w:w="102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2026</w:t>
            </w:r>
          </w:p>
        </w:tc>
        <w:tc>
          <w:tcPr>
            <w:tcW w:w="79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273</w:t>
            </w:r>
          </w:p>
        </w:tc>
      </w:tr>
      <w:tr>
        <w:trPr>
          <w:trHeight w:val="293"/>
        </w:trPr>
        <w:tc>
          <w:tcPr>
            <w:tcW w:w="1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2027</w:t>
            </w:r>
          </w:p>
        </w:tc>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214</w:t>
            </w:r>
          </w:p>
        </w:tc>
      </w:tr>
      <w:tr>
        <w:trPr>
          <w:trHeight w:val="307"/>
        </w:trPr>
        <w:tc>
          <w:tcPr>
            <w:tcW w:w="102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w:t>
            </w:r>
          </w:p>
        </w:tc>
        <w:tc>
          <w:tcPr>
            <w:tcW w:w="79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177</w:t>
            </w:r>
          </w:p>
        </w:tc>
      </w:tr>
      <w:tr>
        <w:trPr>
          <w:trHeight w:val="290"/>
        </w:trPr>
        <w:tc>
          <w:tcPr>
            <w:tcW w:w="40" w:type="dxa"/>
            <w:vAlign w:val="bottom"/>
            <w:tcBorders>
              <w:bottom w:val="single" w:sz="8" w:color="E2E2E2"/>
            </w:tcBorders>
          </w:tcPr>
          <w:p>
            <w:pPr>
              <w:spacing w:after="0"/>
              <w:rPr>
                <w:sz w:val="24"/>
                <w:szCs w:val="24"/>
                <w:color w:val="auto"/>
              </w:rPr>
            </w:pPr>
          </w:p>
        </w:tc>
        <w:tc>
          <w:tcPr>
            <w:tcW w:w="890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20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ind w:right="2"/>
              <w:spacing w:after="0"/>
              <w:rPr>
                <w:sz w:val="20"/>
                <w:szCs w:val="20"/>
                <w:color w:val="auto"/>
              </w:rPr>
            </w:pPr>
            <w:r>
              <w:rPr>
                <w:rFonts w:ascii="Times New Roman" w:cs="Times New Roman" w:eastAsia="Times New Roman" w:hAnsi="Times New Roman"/>
                <w:sz w:val="20"/>
                <w:szCs w:val="20"/>
                <w:color w:val="1E1E1E"/>
              </w:rPr>
              <w:t>641</w:t>
            </w:r>
          </w:p>
        </w:tc>
      </w:tr>
      <w:tr>
        <w:trPr>
          <w:trHeight w:val="280"/>
        </w:trPr>
        <w:tc>
          <w:tcPr>
            <w:tcW w:w="40" w:type="dxa"/>
            <w:vAlign w:val="bottom"/>
            <w:tcBorders>
              <w:bottom w:val="single" w:sz="8" w:color="E2E2E2"/>
            </w:tcBorders>
            <w:shd w:val="clear" w:color="auto" w:fill="E2E2E2"/>
          </w:tcPr>
          <w:p>
            <w:pPr>
              <w:spacing w:after="0"/>
              <w:rPr>
                <w:sz w:val="24"/>
                <w:szCs w:val="24"/>
                <w:color w:val="auto"/>
              </w:rPr>
            </w:pPr>
          </w:p>
        </w:tc>
        <w:tc>
          <w:tcPr>
            <w:tcW w:w="890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Lease Payments</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2,002</w:t>
            </w:r>
          </w:p>
        </w:tc>
      </w:tr>
      <w:tr>
        <w:trPr>
          <w:trHeight w:val="280"/>
        </w:trPr>
        <w:tc>
          <w:tcPr>
            <w:tcW w:w="40" w:type="dxa"/>
            <w:vAlign w:val="bottom"/>
            <w:tcBorders>
              <w:bottom w:val="single" w:sz="8" w:color="E2E2E2"/>
            </w:tcBorders>
          </w:tcPr>
          <w:p>
            <w:pPr>
              <w:spacing w:after="0"/>
              <w:rPr>
                <w:sz w:val="24"/>
                <w:szCs w:val="24"/>
                <w:color w:val="auto"/>
              </w:rPr>
            </w:pPr>
          </w:p>
        </w:tc>
        <w:tc>
          <w:tcPr>
            <w:tcW w:w="8900" w:type="dxa"/>
            <w:vAlign w:val="bottom"/>
            <w:tcBorders>
              <w:bottom w:val="single" w:sz="8" w:color="E2E2E2"/>
            </w:tcBorders>
            <w:gridSpan w:val="2"/>
          </w:tcPr>
          <w:p>
            <w:pPr>
              <w:ind w:left="220"/>
              <w:spacing w:after="0"/>
              <w:rPr>
                <w:sz w:val="20"/>
                <w:szCs w:val="20"/>
                <w:color w:val="auto"/>
              </w:rPr>
            </w:pPr>
            <w:r>
              <w:rPr>
                <w:rFonts w:ascii="Times New Roman" w:cs="Times New Roman" w:eastAsia="Times New Roman" w:hAnsi="Times New Roman"/>
                <w:sz w:val="20"/>
                <w:szCs w:val="20"/>
                <w:color w:val="1E1E1E"/>
              </w:rPr>
              <w:t>Less: Interest</w:t>
            </w:r>
          </w:p>
        </w:tc>
        <w:tc>
          <w:tcPr>
            <w:tcW w:w="20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(423)</w:t>
            </w:r>
          </w:p>
        </w:tc>
      </w:tr>
      <w:tr>
        <w:trPr>
          <w:trHeight w:val="285"/>
        </w:trPr>
        <w:tc>
          <w:tcPr>
            <w:tcW w:w="40" w:type="dxa"/>
            <w:vAlign w:val="bottom"/>
            <w:tcBorders>
              <w:bottom w:val="single" w:sz="8" w:color="E2E2E2"/>
            </w:tcBorders>
            <w:shd w:val="clear" w:color="auto" w:fill="E2E2E2"/>
          </w:tcPr>
          <w:p>
            <w:pPr>
              <w:spacing w:after="0"/>
              <w:rPr>
                <w:sz w:val="24"/>
                <w:szCs w:val="24"/>
                <w:color w:val="auto"/>
              </w:rPr>
            </w:pPr>
          </w:p>
        </w:tc>
        <w:tc>
          <w:tcPr>
            <w:tcW w:w="890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rPr>
              <w:t>Present Value of Operating Lease Liabilities</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bottom w:val="single" w:sz="8" w:color="1E1E1E"/>
            </w:tcBorders>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b w:val="1"/>
                <w:bCs w:val="1"/>
                <w:color w:val="1E1E1E"/>
              </w:rPr>
              <w:t>1,579</w:t>
            </w:r>
          </w:p>
        </w:tc>
      </w:tr>
      <w:tr>
        <w:trPr>
          <w:trHeight w:val="20"/>
        </w:trPr>
        <w:tc>
          <w:tcPr>
            <w:tcW w:w="40" w:type="dxa"/>
            <w:vAlign w:val="bottom"/>
            <w:tcBorders>
              <w:top w:val="single" w:sz="8" w:color="E2E2E2"/>
            </w:tcBorders>
          </w:tcPr>
          <w:p>
            <w:pPr>
              <w:spacing w:after="0" w:line="20" w:lineRule="exact"/>
              <w:rPr>
                <w:sz w:val="1"/>
                <w:szCs w:val="1"/>
                <w:color w:val="auto"/>
              </w:rPr>
            </w:pPr>
          </w:p>
        </w:tc>
        <w:tc>
          <w:tcPr>
            <w:tcW w:w="980" w:type="dxa"/>
            <w:vAlign w:val="bottom"/>
            <w:tcBorders>
              <w:top w:val="single" w:sz="8" w:color="E2E2E2"/>
            </w:tcBorders>
          </w:tcPr>
          <w:p>
            <w:pPr>
              <w:spacing w:after="0" w:line="20" w:lineRule="exact"/>
              <w:rPr>
                <w:sz w:val="1"/>
                <w:szCs w:val="1"/>
                <w:color w:val="auto"/>
              </w:rPr>
            </w:pPr>
          </w:p>
        </w:tc>
        <w:tc>
          <w:tcPr>
            <w:tcW w:w="79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112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5673090</wp:posOffset>
                </wp:positionH>
                <wp:positionV relativeFrom="paragraph">
                  <wp:posOffset>-596900</wp:posOffset>
                </wp:positionV>
                <wp:extent cx="13335" cy="13335"/>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2E2E2"/>
                        </a:solidFill>
                      </wps:spPr>
                      <wps:bodyPr/>
                    </wps:wsp>
                  </a:graphicData>
                </a:graphic>
              </wp:anchor>
            </w:drawing>
          </mc:Choice>
          <mc:Fallback>
            <w:pict>
              <v:rect id="Shape 151" o:spid="_x0000_s1176" style="position:absolute;margin-left:446.7pt;margin-top:-47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5673090</wp:posOffset>
                </wp:positionH>
                <wp:positionV relativeFrom="paragraph">
                  <wp:posOffset>-406400</wp:posOffset>
                </wp:positionV>
                <wp:extent cx="13335" cy="127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52" o:spid="_x0000_s1177" style="position:absolute;margin-left:446.7pt;margin-top:-32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5673090</wp:posOffset>
                </wp:positionH>
                <wp:positionV relativeFrom="paragraph">
                  <wp:posOffset>-215900</wp:posOffset>
                </wp:positionV>
                <wp:extent cx="13335" cy="1333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2E2E2"/>
                        </a:solidFill>
                      </wps:spPr>
                      <wps:bodyPr/>
                    </wps:wsp>
                  </a:graphicData>
                </a:graphic>
              </wp:anchor>
            </w:drawing>
          </mc:Choice>
          <mc:Fallback>
            <w:pict>
              <v:rect id="Shape 153" o:spid="_x0000_s1178" style="position:absolute;margin-left:446.7pt;margin-top:-17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drawing>
          <wp:anchor simplePos="0" relativeHeight="251657728" behindDoc="1" locked="0" layoutInCell="0" allowOverlap="1">
            <wp:simplePos x="0" y="0"/>
            <wp:positionH relativeFrom="column">
              <wp:posOffset>5667375</wp:posOffset>
            </wp:positionH>
            <wp:positionV relativeFrom="paragraph">
              <wp:posOffset>-43815</wp:posOffset>
            </wp:positionV>
            <wp:extent cx="85407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1">
                      <a:extLst>
                        <a:ext uri="{28A0092B-C50C-407E-A947-70E740481C1C}"/>
                      </a:extLst>
                    </a:blip>
                    <a:srcRect/>
                    <a:stretch>
                      <a:fillRect/>
                    </a:stretch>
                  </pic:blipFill>
                  <pic:spPr bwMode="auto">
                    <a:xfrm>
                      <a:off x="0" y="0"/>
                      <a:ext cx="854075" cy="50800"/>
                    </a:xfrm>
                    <a:prstGeom prst="rect">
                      <a:avLst/>
                    </a:prstGeom>
                    <a:noFill/>
                  </pic:spPr>
                </pic:pic>
              </a:graphicData>
            </a:graphic>
          </wp:anchor>
        </w:drawing>
      </w:r>
    </w:p>
    <w:p>
      <w:pPr>
        <w:spacing w:after="0" w:line="88" w:lineRule="exact"/>
        <w:rPr>
          <w:sz w:val="20"/>
          <w:szCs w:val="20"/>
          <w:color w:val="auto"/>
        </w:rPr>
      </w:pPr>
    </w:p>
    <w:p>
      <w:pPr>
        <w:ind w:right="1060"/>
        <w:spacing w:after="0" w:line="281" w:lineRule="auto"/>
        <w:rPr>
          <w:sz w:val="20"/>
          <w:szCs w:val="20"/>
          <w:color w:val="auto"/>
        </w:rPr>
      </w:pPr>
      <w:r>
        <w:rPr>
          <w:rFonts w:ascii="Times New Roman" w:cs="Times New Roman" w:eastAsia="Times New Roman" w:hAnsi="Times New Roman"/>
          <w:sz w:val="20"/>
          <w:szCs w:val="20"/>
          <w:color w:val="1E1E1E"/>
        </w:rPr>
        <w:t>As of February 3, 2024, the Company had additional operating lease commitments that have not yet commenced of approximately $120 million.</w:t>
      </w:r>
    </w:p>
    <w:p>
      <w:pPr>
        <w:spacing w:after="0" w:line="4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weighted-average remaining lease term and discount rate for operating leases with lease liabilities as of February 3, 2024 and January 28,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56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90"/>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Weighted-Average Remaining Lease Term (years)</w:t>
            </w:r>
          </w:p>
        </w:tc>
        <w:tc>
          <w:tcPr>
            <w:tcW w:w="1320" w:type="dxa"/>
            <w:vAlign w:val="bottom"/>
            <w:shd w:val="clear" w:color="auto" w:fill="E2E2E2"/>
          </w:tcPr>
          <w:p>
            <w:pPr>
              <w:jc w:val="right"/>
              <w:ind w:right="450"/>
              <w:spacing w:after="0"/>
              <w:rPr>
                <w:sz w:val="20"/>
                <w:szCs w:val="20"/>
                <w:color w:val="auto"/>
              </w:rPr>
            </w:pPr>
            <w:r>
              <w:rPr>
                <w:rFonts w:ascii="Times New Roman" w:cs="Times New Roman" w:eastAsia="Times New Roman" w:hAnsi="Times New Roman"/>
                <w:sz w:val="20"/>
                <w:szCs w:val="20"/>
                <w:color w:val="1E1E1E"/>
              </w:rPr>
              <w:t>7.0</w:t>
            </w:r>
          </w:p>
        </w:tc>
        <w:tc>
          <w:tcPr>
            <w:tcW w:w="1380" w:type="dxa"/>
            <w:vAlign w:val="bottom"/>
            <w:gridSpan w:val="2"/>
            <w:shd w:val="clear" w:color="auto" w:fill="E2E2E2"/>
          </w:tcPr>
          <w:p>
            <w:pPr>
              <w:jc w:val="right"/>
              <w:ind w:right="460"/>
              <w:spacing w:after="0"/>
              <w:rPr>
                <w:sz w:val="20"/>
                <w:szCs w:val="20"/>
                <w:color w:val="auto"/>
              </w:rPr>
            </w:pPr>
            <w:r>
              <w:rPr>
                <w:rFonts w:ascii="Times New Roman" w:cs="Times New Roman" w:eastAsia="Times New Roman" w:hAnsi="Times New Roman"/>
                <w:sz w:val="20"/>
                <w:szCs w:val="20"/>
                <w:color w:val="1E1E1E"/>
              </w:rPr>
              <w:t>6.6</w:t>
            </w:r>
          </w:p>
        </w:tc>
      </w:tr>
      <w:tr>
        <w:trPr>
          <w:trHeight w:val="287"/>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20"/>
                <w:szCs w:val="20"/>
                <w:color w:val="1E1E1E"/>
              </w:rPr>
              <w:t>6.6%</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1E1E1E"/>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-397510</wp:posOffset>
            </wp:positionV>
            <wp:extent cx="176530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2">
                      <a:extLst>
                        <a:ext uri="{28A0092B-C50C-407E-A947-70E740481C1C}"/>
                      </a:extLst>
                    </a:blip>
                    <a:srcRect/>
                    <a:stretch>
                      <a:fillRect/>
                    </a:stretch>
                  </pic:blipFill>
                  <pic:spPr bwMode="auto">
                    <a:xfrm>
                      <a:off x="0" y="0"/>
                      <a:ext cx="1765300" cy="50800"/>
                    </a:xfrm>
                    <a:prstGeom prst="rect">
                      <a:avLst/>
                    </a:prstGeom>
                    <a:noFill/>
                  </pic:spPr>
                </pic:pic>
              </a:graphicData>
            </a:graphic>
          </wp:anchor>
        </w:drawing>
      </w:r>
    </w:p>
    <w:p>
      <w:pPr>
        <w:spacing w:after="0" w:line="13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The Company paid $406 million in 2023, $423 million in 2022 and $497 million in 2021 for operating lease liabilities recorded on the Consolidated Balance Sheets. These payments are included within the Operating Activities section of the Consolidated and Combined Statement of Cash Flows.</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1E1E1E"/>
        </w:rPr>
        <w:t>In 2023, 2022 and 2021, the Company obtained $392 million, $160 million and $120 million, respectively, of additional lease assets as a result of new operating lease obligations.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Asset Retirement Obligations</w:t>
      </w:r>
    </w:p>
    <w:p>
      <w:pPr>
        <w:spacing w:after="0" w:line="11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1E1E1E"/>
        </w:rPr>
        <w:t>The Company has asset retirement obligations related to certain Company-operated international stores that contractually obligate the Company to remove leasehold improvements at the end of a lease. The Company's liabilities for asset retirement obligations totaled $8 million as of February 3, 2024 and $12 million as of January 28, 2023. These liabilities are included in Other Long-term Liabilities on the Consolidated Balance Sheets.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10. Intangible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119"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19"/>
          <w:szCs w:val="19"/>
          <w:color w:val="1E1E1E"/>
        </w:rPr>
        <w:t>The Company's goodwill was established as a result of the acquisition of Adore Me on December 30, 2022. For additional information, see Note 2, “Acquisition.” Prior to the acquisition of Adore Me, the Company did not have any goodwill.</w:t>
      </w:r>
    </w:p>
    <w:p>
      <w:pPr>
        <w:spacing w:after="0" w:line="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The Company elected to perform its annual goodwill impairment assessment in the fourth quarter of 2023 using the quantitative approach, based on a weighted average of the market and income approaches. The market approach is based on earnings multiples of selected guideline public companies, while the income approach is based on estimated discounted future cash flows. The Company compared the total fair values of its reporting units to the Company's market capitalization to determine if the fair values are reasonable compared to external market indicators. The Company believes the use of significant assumptions within the valuation models are reasonable estimates of likely future events. The estimated fair value of each reporting unit was in excess of each of its respective carrying value, which resulted in a conclusion that no impairment existed as of February 3, 2024. Subsequent to this annual impairment test, no additional indications of an impairment were identified.</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260"/>
          </w:cols>
          <w:pgMar w:left="820" w:top="453" w:right="800" w:bottom="0" w:gutter="0" w:footer="0" w:header="0"/>
          <w:type w:val="continuous"/>
        </w:sectPr>
      </w:pPr>
    </w:p>
    <w:bookmarkStart w:id="80" w:name="page81"/>
    <w:bookmarkEnd w:id="80"/>
    <w:p>
      <w:pPr>
        <w:ind w:left="10"/>
        <w:spacing w:after="0"/>
        <w:rPr>
          <w:sz w:val="20"/>
          <w:szCs w:val="20"/>
          <w:color w:val="auto"/>
        </w:rPr>
      </w:pPr>
      <w:r>
        <w:rPr>
          <w:rFonts w:ascii="Times New Roman" w:cs="Times New Roman" w:eastAsia="Times New Roman" w:hAnsi="Times New Roman"/>
          <w:sz w:val="20"/>
          <w:szCs w:val="20"/>
          <w:color w:val="1E1E1E"/>
        </w:rPr>
        <w:t>The following table shows the change in the carrying value of Goodwill:</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9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0" w:type="dxa"/>
            <w:vAlign w:val="bottom"/>
          </w:tcPr>
          <w:p>
            <w:pPr>
              <w:spacing w:after="0"/>
              <w:rPr>
                <w:sz w:val="1"/>
                <w:szCs w:val="1"/>
                <w:color w:val="auto"/>
              </w:rPr>
            </w:pPr>
          </w:p>
        </w:tc>
      </w:tr>
      <w:tr>
        <w:trPr>
          <w:trHeight w:val="308"/>
        </w:trPr>
        <w:tc>
          <w:tcPr>
            <w:tcW w:w="92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28, 2023</w:t>
            </w:r>
          </w:p>
        </w:tc>
        <w:tc>
          <w:tcPr>
            <w:tcW w:w="400" w:type="dxa"/>
            <w:vAlign w:val="bottom"/>
            <w:shd w:val="clear" w:color="auto" w:fill="E2E2E2"/>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365</w:t>
            </w:r>
          </w:p>
        </w:tc>
        <w:tc>
          <w:tcPr>
            <w:tcW w:w="0" w:type="dxa"/>
            <w:vAlign w:val="bottom"/>
          </w:tcPr>
          <w:p>
            <w:pPr>
              <w:spacing w:after="0"/>
              <w:rPr>
                <w:sz w:val="1"/>
                <w:szCs w:val="1"/>
                <w:color w:val="auto"/>
              </w:rPr>
            </w:pPr>
          </w:p>
        </w:tc>
      </w:tr>
      <w:tr>
        <w:trPr>
          <w:trHeight w:val="290"/>
        </w:trPr>
        <w:tc>
          <w:tcPr>
            <w:tcW w:w="92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Adjustments (a)</w:t>
            </w:r>
          </w:p>
        </w:tc>
        <w:tc>
          <w:tcPr>
            <w:tcW w:w="400" w:type="dxa"/>
            <w:vAlign w:val="bottom"/>
            <w:tcBorders>
              <w:bottom w:val="single" w:sz="8" w:color="1E1E1E"/>
            </w:tcBorders>
          </w:tcPr>
          <w:p>
            <w:pPr>
              <w:spacing w:after="0"/>
              <w:rPr>
                <w:sz w:val="24"/>
                <w:szCs w:val="24"/>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85"/>
        </w:trPr>
        <w:tc>
          <w:tcPr>
            <w:tcW w:w="92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February 3, 2024</w:t>
            </w:r>
          </w:p>
        </w:tc>
        <w:tc>
          <w:tcPr>
            <w:tcW w:w="400" w:type="dxa"/>
            <w:vAlign w:val="bottom"/>
            <w:tcBorders>
              <w:bottom w:val="single" w:sz="8" w:color="1E1E1E"/>
            </w:tcBorders>
            <w:shd w:val="clear" w:color="auto" w:fill="E2E2E2"/>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w:t>
            </w: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367</w:t>
            </w:r>
          </w:p>
        </w:tc>
        <w:tc>
          <w:tcPr>
            <w:tcW w:w="0" w:type="dxa"/>
            <w:vAlign w:val="bottom"/>
          </w:tcPr>
          <w:p>
            <w:pPr>
              <w:spacing w:after="0"/>
              <w:rPr>
                <w:sz w:val="1"/>
                <w:szCs w:val="1"/>
                <w:color w:val="auto"/>
              </w:rPr>
            </w:pPr>
          </w:p>
        </w:tc>
      </w:tr>
      <w:tr>
        <w:trPr>
          <w:trHeight w:val="20"/>
        </w:trPr>
        <w:tc>
          <w:tcPr>
            <w:tcW w:w="9240" w:type="dxa"/>
            <w:vAlign w:val="bottom"/>
            <w:tcBorders>
              <w:top w:val="single" w:sz="8" w:color="E2E2E2"/>
              <w:bottom w:val="single" w:sz="8" w:color="E2E2E2"/>
            </w:tcBorders>
            <w:vMerge w:val="restart"/>
          </w:tcPr>
          <w:p>
            <w:pPr>
              <w:ind w:left="40"/>
              <w:spacing w:after="0"/>
              <w:rPr>
                <w:sz w:val="20"/>
                <w:szCs w:val="20"/>
                <w:color w:val="auto"/>
              </w:rPr>
            </w:pPr>
            <w:r>
              <w:rPr>
                <w:rFonts w:ascii="Times New Roman" w:cs="Times New Roman" w:eastAsia="Times New Roman" w:hAnsi="Times New Roman"/>
                <w:sz w:val="20"/>
                <w:szCs w:val="20"/>
                <w:color w:val="1E1E1E"/>
              </w:rPr>
              <w:t>________________</w:t>
            </w:r>
          </w:p>
        </w:tc>
        <w:tc>
          <w:tcPr>
            <w:tcW w:w="400" w:type="dxa"/>
            <w:vAlign w:val="bottom"/>
            <w:tcBorders>
              <w:top w:val="single" w:sz="8" w:color="E2E2E2"/>
              <w:bottom w:val="single" w:sz="8" w:color="1E1E1E"/>
            </w:tcBorders>
          </w:tcPr>
          <w:p>
            <w:pPr>
              <w:spacing w:after="0" w:line="20" w:lineRule="exact"/>
              <w:rPr>
                <w:sz w:val="1"/>
                <w:szCs w:val="1"/>
                <w:color w:val="auto"/>
              </w:rPr>
            </w:pPr>
          </w:p>
        </w:tc>
        <w:tc>
          <w:tcPr>
            <w:tcW w:w="6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2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5869940</wp:posOffset>
                </wp:positionH>
                <wp:positionV relativeFrom="paragraph">
                  <wp:posOffset>-386080</wp:posOffset>
                </wp:positionV>
                <wp:extent cx="13335" cy="127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56" o:spid="_x0000_s1181" style="position:absolute;margin-left:462.2pt;margin-top:-30.3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drawing>
          <wp:anchor simplePos="0" relativeHeight="251657728" behindDoc="1" locked="0" layoutInCell="0" allowOverlap="1">
            <wp:simplePos x="0" y="0"/>
            <wp:positionH relativeFrom="column">
              <wp:posOffset>5864225</wp:posOffset>
            </wp:positionH>
            <wp:positionV relativeFrom="paragraph">
              <wp:posOffset>-214630</wp:posOffset>
            </wp:positionV>
            <wp:extent cx="66357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3">
                      <a:extLst>
                        <a:ext uri="{28A0092B-C50C-407E-A947-70E740481C1C}"/>
                      </a:extLst>
                    </a:blip>
                    <a:srcRect/>
                    <a:stretch>
                      <a:fillRect/>
                    </a:stretch>
                  </pic:blipFill>
                  <pic:spPr bwMode="auto">
                    <a:xfrm>
                      <a:off x="0" y="0"/>
                      <a:ext cx="663575" cy="50800"/>
                    </a:xfrm>
                    <a:prstGeom prst="rect">
                      <a:avLst/>
                    </a:prstGeom>
                    <a:noFill/>
                  </pic:spPr>
                </pic:pic>
              </a:graphicData>
            </a:graphic>
          </wp:anchor>
        </w:drawing>
      </w:r>
    </w:p>
    <w:p>
      <w:pPr>
        <w:ind w:left="370" w:right="240" w:hanging="370"/>
        <w:spacing w:after="0" w:line="260" w:lineRule="auto"/>
        <w:tabs>
          <w:tab w:leader="none" w:pos="370" w:val="left"/>
        </w:tabs>
        <w:numPr>
          <w:ilvl w:val="0"/>
          <w:numId w:val="4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Includes measurement period adjustments related to the acquisition of Adore Me. For additional information, see Note 2, “Acquisition.”</w:t>
      </w:r>
    </w:p>
    <w:p>
      <w:pPr>
        <w:spacing w:after="0" w:line="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Trade Name - Indefinite-Lived</w:t>
      </w:r>
    </w:p>
    <w:p>
      <w:pPr>
        <w:spacing w:after="0" w:line="119" w:lineRule="exact"/>
        <w:rPr>
          <w:sz w:val="20"/>
          <w:szCs w:val="20"/>
          <w:color w:val="auto"/>
        </w:rPr>
      </w:pPr>
    </w:p>
    <w:p>
      <w:pPr>
        <w:ind w:left="10" w:right="140"/>
        <w:spacing w:after="0" w:line="281" w:lineRule="auto"/>
        <w:rPr>
          <w:sz w:val="20"/>
          <w:szCs w:val="20"/>
          <w:color w:val="auto"/>
        </w:rPr>
      </w:pPr>
      <w:r>
        <w:rPr>
          <w:rFonts w:ascii="Times New Roman" w:cs="Times New Roman" w:eastAsia="Times New Roman" w:hAnsi="Times New Roman"/>
          <w:sz w:val="20"/>
          <w:szCs w:val="20"/>
          <w:color w:val="1E1E1E"/>
        </w:rPr>
        <w:t>The Victoria's Secret trade name, an indefinite-lived intangible asset, was $246 million as of February 3, 2024 and January 28, 2023.</w:t>
      </w:r>
    </w:p>
    <w:p>
      <w:pPr>
        <w:spacing w:after="0" w:line="41" w:lineRule="exact"/>
        <w:rPr>
          <w:sz w:val="20"/>
          <w:szCs w:val="20"/>
          <w:color w:val="auto"/>
        </w:rPr>
      </w:pPr>
    </w:p>
    <w:p>
      <w:pPr>
        <w:jc w:val="both"/>
        <w:ind w:left="10" w:right="100"/>
        <w:spacing w:after="0" w:line="266" w:lineRule="auto"/>
        <w:rPr>
          <w:sz w:val="20"/>
          <w:szCs w:val="20"/>
          <w:color w:val="auto"/>
        </w:rPr>
      </w:pPr>
      <w:r>
        <w:rPr>
          <w:rFonts w:ascii="Times New Roman" w:cs="Times New Roman" w:eastAsia="Times New Roman" w:hAnsi="Times New Roman"/>
          <w:sz w:val="20"/>
          <w:szCs w:val="20"/>
          <w:color w:val="1E1E1E"/>
        </w:rPr>
        <w:t>As of the end of 2023 and 2022, the Company performed its annual impairment assessment of the Victoria's Secret trade name. To estimate the fair value of the trade name, the Company used the relief from royalty method under the income approach. The assessments concluded that the fair value of the trade name was in excess of its carrying value.</w:t>
      </w:r>
    </w:p>
    <w:p>
      <w:pPr>
        <w:spacing w:after="0" w:line="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Definite-Lived Intangible Assets</w:t>
      </w:r>
    </w:p>
    <w:p>
      <w:pPr>
        <w:spacing w:after="0" w:line="119" w:lineRule="exact"/>
        <w:rPr>
          <w:sz w:val="20"/>
          <w:szCs w:val="20"/>
          <w:color w:val="auto"/>
        </w:rPr>
      </w:pPr>
    </w:p>
    <w:p>
      <w:pPr>
        <w:ind w:left="10" w:right="780"/>
        <w:spacing w:after="0" w:line="281" w:lineRule="auto"/>
        <w:rPr>
          <w:sz w:val="20"/>
          <w:szCs w:val="20"/>
          <w:color w:val="auto"/>
        </w:rPr>
      </w:pPr>
      <w:r>
        <w:rPr>
          <w:rFonts w:ascii="Times New Roman" w:cs="Times New Roman" w:eastAsia="Times New Roman" w:hAnsi="Times New Roman"/>
          <w:sz w:val="20"/>
          <w:szCs w:val="20"/>
          <w:color w:val="1E1E1E"/>
        </w:rPr>
        <w:t>The Company's definite-lived intangible assets were established as a result of the acquisition of Adore Me. Prior to the acquisition of Adore Me on December 30, 2022, the Company did not have any definite-lived intangible assets.</w:t>
      </w:r>
    </w:p>
    <w:p>
      <w:pPr>
        <w:spacing w:after="0" w:line="41"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1E1E1E"/>
        </w:rPr>
        <w:t>The following table provides details of the gross carrying amount and accumulated amortization of the Company's definite-lived intangible assets as of February 3, 2024 and January 28, 2023:</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78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7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4"/>
          </w:tcPr>
          <w:p>
            <w:pPr>
              <w:jc w:val="right"/>
              <w:ind w:right="744"/>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73"/>
        </w:trPr>
        <w:tc>
          <w:tcPr>
            <w:tcW w:w="77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Gross Definite-Lived Intangible Assets</w:t>
            </w:r>
          </w:p>
        </w:tc>
        <w:tc>
          <w:tcPr>
            <w:tcW w:w="160" w:type="dxa"/>
            <w:vAlign w:val="bottom"/>
            <w:tcBorders>
              <w:bottom w:val="single" w:sz="8" w:color="E2E2E2"/>
            </w:tcBorders>
            <w:shd w:val="clear" w:color="auto" w:fill="E2E2E2"/>
          </w:tcPr>
          <w:p>
            <w:pPr>
              <w:spacing w:after="0"/>
              <w:rPr>
                <w:sz w:val="23"/>
                <w:szCs w:val="23"/>
                <w:color w:val="auto"/>
              </w:rPr>
            </w:pPr>
          </w:p>
        </w:tc>
        <w:tc>
          <w:tcPr>
            <w:tcW w:w="104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E2E2E2"/>
            </w:tcBorders>
            <w:shd w:val="clear" w:color="auto" w:fill="E2E2E2"/>
          </w:tcPr>
          <w:p>
            <w:pPr>
              <w:spacing w:after="0"/>
              <w:rPr>
                <w:sz w:val="23"/>
                <w:szCs w:val="23"/>
                <w:color w:val="auto"/>
              </w:rPr>
            </w:pPr>
          </w:p>
        </w:tc>
        <w:tc>
          <w:tcPr>
            <w:tcW w:w="1040" w:type="dxa"/>
            <w:vAlign w:val="bottom"/>
            <w:tcBorders>
              <w:bottom w:val="single" w:sz="8" w:color="E2E2E2"/>
            </w:tcBorders>
            <w:shd w:val="clear" w:color="auto" w:fill="E2E2E2"/>
          </w:tcPr>
          <w:p>
            <w:pPr>
              <w:spacing w:after="0"/>
              <w:rPr>
                <w:sz w:val="23"/>
                <w:szCs w:val="23"/>
                <w:color w:val="auto"/>
              </w:rPr>
            </w:pPr>
          </w:p>
        </w:tc>
      </w:tr>
      <w:tr>
        <w:trPr>
          <w:trHeight w:val="278"/>
        </w:trPr>
        <w:tc>
          <w:tcPr>
            <w:tcW w:w="778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81</w:t>
            </w:r>
          </w:p>
        </w:tc>
      </w:tr>
      <w:tr>
        <w:trPr>
          <w:trHeight w:val="292"/>
        </w:trPr>
        <w:tc>
          <w:tcPr>
            <w:tcW w:w="778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1E1E1E"/>
              </w:rPr>
              <w:t>Developed Technology</w:t>
            </w: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56</w:t>
            </w:r>
          </w:p>
        </w:tc>
      </w:tr>
      <w:tr>
        <w:trPr>
          <w:trHeight w:val="275"/>
        </w:trPr>
        <w:tc>
          <w:tcPr>
            <w:tcW w:w="7780" w:type="dxa"/>
            <w:vAlign w:val="bottom"/>
            <w:tcBorders>
              <w:bottom w:val="single" w:sz="8" w:color="E2E2E2"/>
            </w:tcBorders>
          </w:tcPr>
          <w:p>
            <w:pPr>
              <w:ind w:left="220"/>
              <w:spacing w:after="0"/>
              <w:rPr>
                <w:sz w:val="20"/>
                <w:szCs w:val="20"/>
                <w:color w:val="auto"/>
              </w:rPr>
            </w:pPr>
            <w:r>
              <w:rPr>
                <w:rFonts w:ascii="Times New Roman" w:cs="Times New Roman" w:eastAsia="Times New Roman" w:hAnsi="Times New Roman"/>
                <w:sz w:val="20"/>
                <w:szCs w:val="20"/>
                <w:color w:val="1E1E1E"/>
              </w:rPr>
              <w:t>Adore Me Trade Name</w:t>
            </w:r>
          </w:p>
        </w:tc>
        <w:tc>
          <w:tcPr>
            <w:tcW w:w="16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43</w:t>
            </w:r>
          </w:p>
        </w:tc>
      </w:tr>
      <w:tr>
        <w:trPr>
          <w:trHeight w:val="265"/>
        </w:trPr>
        <w:tc>
          <w:tcPr>
            <w:tcW w:w="778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1E1E1E"/>
              </w:rPr>
              <w:t>Total Gross Definite-Lived Intangible Assets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180</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180</w:t>
            </w:r>
          </w:p>
        </w:tc>
      </w:tr>
      <w:tr>
        <w:trPr>
          <w:trHeight w:val="275"/>
        </w:trPr>
        <w:tc>
          <w:tcPr>
            <w:tcW w:w="7780" w:type="dxa"/>
            <w:vAlign w:val="bottom"/>
            <w:tcBorders>
              <w:top w:val="single" w:sz="8" w:color="E2E2E2"/>
            </w:tcBorders>
          </w:tcPr>
          <w:p>
            <w:pPr>
              <w:spacing w:after="0"/>
              <w:rPr>
                <w:sz w:val="23"/>
                <w:szCs w:val="23"/>
                <w:color w:val="auto"/>
              </w:rPr>
            </w:pPr>
          </w:p>
        </w:tc>
        <w:tc>
          <w:tcPr>
            <w:tcW w:w="160" w:type="dxa"/>
            <w:vAlign w:val="bottom"/>
            <w:tcBorders>
              <w:top w:val="single" w:sz="8" w:color="1E1E1E"/>
            </w:tcBorders>
          </w:tcPr>
          <w:p>
            <w:pPr>
              <w:spacing w:after="0"/>
              <w:rPr>
                <w:sz w:val="23"/>
                <w:szCs w:val="23"/>
                <w:color w:val="auto"/>
              </w:rPr>
            </w:pPr>
          </w:p>
        </w:tc>
        <w:tc>
          <w:tcPr>
            <w:tcW w:w="1040" w:type="dxa"/>
            <w:vAlign w:val="bottom"/>
            <w:tcBorders>
              <w:top w:val="single" w:sz="8" w:color="1E1E1E"/>
            </w:tcBorders>
          </w:tcPr>
          <w:p>
            <w:pPr>
              <w:spacing w:after="0"/>
              <w:rPr>
                <w:sz w:val="23"/>
                <w:szCs w:val="23"/>
                <w:color w:val="auto"/>
              </w:rPr>
            </w:pPr>
          </w:p>
        </w:tc>
        <w:tc>
          <w:tcPr>
            <w:tcW w:w="80" w:type="dxa"/>
            <w:vAlign w:val="bottom"/>
            <w:tcBorders>
              <w:top w:val="single" w:sz="8" w:color="E2E2E2"/>
            </w:tcBorders>
          </w:tcPr>
          <w:p>
            <w:pPr>
              <w:spacing w:after="0"/>
              <w:rPr>
                <w:sz w:val="23"/>
                <w:szCs w:val="23"/>
                <w:color w:val="auto"/>
              </w:rPr>
            </w:pPr>
          </w:p>
        </w:tc>
        <w:tc>
          <w:tcPr>
            <w:tcW w:w="160" w:type="dxa"/>
            <w:vAlign w:val="bottom"/>
            <w:tcBorders>
              <w:top w:val="single" w:sz="8" w:color="1E1E1E"/>
            </w:tcBorders>
          </w:tcPr>
          <w:p>
            <w:pPr>
              <w:spacing w:after="0"/>
              <w:rPr>
                <w:sz w:val="23"/>
                <w:szCs w:val="23"/>
                <w:color w:val="auto"/>
              </w:rPr>
            </w:pPr>
          </w:p>
        </w:tc>
        <w:tc>
          <w:tcPr>
            <w:tcW w:w="1040" w:type="dxa"/>
            <w:vAlign w:val="bottom"/>
            <w:tcBorders>
              <w:top w:val="single" w:sz="8" w:color="1E1E1E"/>
            </w:tcBorders>
          </w:tcPr>
          <w:p>
            <w:pPr>
              <w:spacing w:after="0"/>
              <w:rPr>
                <w:sz w:val="23"/>
                <w:szCs w:val="23"/>
                <w:color w:val="auto"/>
              </w:rPr>
            </w:pPr>
          </w:p>
        </w:tc>
      </w:tr>
      <w:tr>
        <w:trPr>
          <w:trHeight w:val="265"/>
        </w:trPr>
        <w:tc>
          <w:tcPr>
            <w:tcW w:w="77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Accumulated Amortization</w:t>
            </w:r>
          </w:p>
        </w:tc>
        <w:tc>
          <w:tcPr>
            <w:tcW w:w="160" w:type="dxa"/>
            <w:vAlign w:val="bottom"/>
            <w:tcBorders>
              <w:bottom w:val="single" w:sz="8" w:color="E2E2E2"/>
            </w:tcBorders>
            <w:shd w:val="clear" w:color="auto" w:fill="E2E2E2"/>
          </w:tcPr>
          <w:p>
            <w:pPr>
              <w:spacing w:after="0"/>
              <w:rPr>
                <w:sz w:val="23"/>
                <w:szCs w:val="23"/>
                <w:color w:val="auto"/>
              </w:rPr>
            </w:pPr>
          </w:p>
        </w:tc>
        <w:tc>
          <w:tcPr>
            <w:tcW w:w="104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E2E2E2"/>
            </w:tcBorders>
            <w:shd w:val="clear" w:color="auto" w:fill="E2E2E2"/>
          </w:tcPr>
          <w:p>
            <w:pPr>
              <w:spacing w:after="0"/>
              <w:rPr>
                <w:sz w:val="23"/>
                <w:szCs w:val="23"/>
                <w:color w:val="auto"/>
              </w:rPr>
            </w:pPr>
          </w:p>
        </w:tc>
        <w:tc>
          <w:tcPr>
            <w:tcW w:w="1040" w:type="dxa"/>
            <w:vAlign w:val="bottom"/>
            <w:tcBorders>
              <w:bottom w:val="single" w:sz="8" w:color="E2E2E2"/>
            </w:tcBorders>
            <w:shd w:val="clear" w:color="auto" w:fill="E2E2E2"/>
          </w:tcPr>
          <w:p>
            <w:pPr>
              <w:spacing w:after="0"/>
              <w:rPr>
                <w:sz w:val="23"/>
                <w:szCs w:val="23"/>
                <w:color w:val="auto"/>
              </w:rPr>
            </w:pPr>
          </w:p>
        </w:tc>
      </w:tr>
      <w:tr>
        <w:trPr>
          <w:trHeight w:val="278"/>
        </w:trPr>
        <w:tc>
          <w:tcPr>
            <w:tcW w:w="778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r>
      <w:tr>
        <w:trPr>
          <w:trHeight w:val="292"/>
        </w:trPr>
        <w:tc>
          <w:tcPr>
            <w:tcW w:w="778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20"/>
                <w:szCs w:val="20"/>
                <w:color w:val="1E1E1E"/>
              </w:rPr>
              <w:t>Developed Technology</w:t>
            </w: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r>
      <w:tr>
        <w:trPr>
          <w:trHeight w:val="275"/>
        </w:trPr>
        <w:tc>
          <w:tcPr>
            <w:tcW w:w="7780" w:type="dxa"/>
            <w:vAlign w:val="bottom"/>
            <w:tcBorders>
              <w:bottom w:val="single" w:sz="8" w:color="E2E2E2"/>
            </w:tcBorders>
          </w:tcPr>
          <w:p>
            <w:pPr>
              <w:ind w:left="220"/>
              <w:spacing w:after="0"/>
              <w:rPr>
                <w:sz w:val="20"/>
                <w:szCs w:val="20"/>
                <w:color w:val="auto"/>
              </w:rPr>
            </w:pPr>
            <w:r>
              <w:rPr>
                <w:rFonts w:ascii="Times New Roman" w:cs="Times New Roman" w:eastAsia="Times New Roman" w:hAnsi="Times New Roman"/>
                <w:sz w:val="20"/>
                <w:szCs w:val="20"/>
                <w:color w:val="1E1E1E"/>
              </w:rPr>
              <w:t>Adore Me Trade Name</w:t>
            </w:r>
          </w:p>
        </w:tc>
        <w:tc>
          <w:tcPr>
            <w:tcW w:w="16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r>
      <w:tr>
        <w:trPr>
          <w:trHeight w:val="283"/>
        </w:trPr>
        <w:tc>
          <w:tcPr>
            <w:tcW w:w="7780" w:type="dxa"/>
            <w:vAlign w:val="bottom"/>
            <w:tcBorders>
              <w:bottom w:val="single" w:sz="8" w:color="E2E2E2"/>
            </w:tcBorders>
            <w:shd w:val="clear" w:color="auto" w:fill="E2E2E2"/>
          </w:tcPr>
          <w:p>
            <w:pPr>
              <w:ind w:left="220"/>
              <w:spacing w:after="0"/>
              <w:rPr>
                <w:sz w:val="20"/>
                <w:szCs w:val="20"/>
                <w:color w:val="auto"/>
              </w:rPr>
            </w:pPr>
            <w:r>
              <w:rPr>
                <w:rFonts w:ascii="Times New Roman" w:cs="Times New Roman" w:eastAsia="Times New Roman" w:hAnsi="Times New Roman"/>
                <w:sz w:val="20"/>
                <w:szCs w:val="20"/>
                <w:color w:val="1E1E1E"/>
              </w:rPr>
              <w:t>Total Accumulated Amortization</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w:t>
            </w:r>
          </w:p>
        </w:tc>
      </w:tr>
      <w:tr>
        <w:trPr>
          <w:trHeight w:val="227"/>
        </w:trPr>
        <w:tc>
          <w:tcPr>
            <w:tcW w:w="77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Total Definite-Lived Intangible Assets</w:t>
            </w:r>
          </w:p>
        </w:tc>
        <w:tc>
          <w:tcPr>
            <w:tcW w:w="1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04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155</w:t>
            </w:r>
          </w:p>
        </w:tc>
        <w:tc>
          <w:tcPr>
            <w:tcW w:w="80" w:type="dxa"/>
            <w:vAlign w:val="bottom"/>
          </w:tcPr>
          <w:p>
            <w:pPr>
              <w:spacing w:after="0"/>
              <w:rPr>
                <w:sz w:val="19"/>
                <w:szCs w:val="19"/>
                <w:color w:val="auto"/>
              </w:rPr>
            </w:pPr>
          </w:p>
        </w:tc>
        <w:tc>
          <w:tcPr>
            <w:tcW w:w="1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1E1E1E"/>
              </w:rPr>
              <w:t>$</w:t>
            </w:r>
          </w:p>
        </w:tc>
        <w:tc>
          <w:tcPr>
            <w:tcW w:w="1040" w:type="dxa"/>
            <w:vAlign w:val="bottom"/>
            <w:tcBorders>
              <w:bottom w:val="single" w:sz="8" w:color="1E1E1E"/>
            </w:tcBorders>
          </w:tcPr>
          <w:p>
            <w:pPr>
              <w:jc w:val="right"/>
              <w:ind w:right="4"/>
              <w:spacing w:after="0" w:line="227" w:lineRule="exact"/>
              <w:rPr>
                <w:sz w:val="20"/>
                <w:szCs w:val="20"/>
                <w:color w:val="auto"/>
              </w:rPr>
            </w:pPr>
            <w:r>
              <w:rPr>
                <w:rFonts w:ascii="Times New Roman" w:cs="Times New Roman" w:eastAsia="Times New Roman" w:hAnsi="Times New Roman"/>
                <w:sz w:val="20"/>
                <w:szCs w:val="20"/>
                <w:b w:val="1"/>
                <w:bCs w:val="1"/>
                <w:color w:val="1E1E1E"/>
              </w:rPr>
              <w:t>180</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-1491615</wp:posOffset>
            </wp:positionV>
            <wp:extent cx="83502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4">
                      <a:extLst>
                        <a:ext uri="{28A0092B-C50C-407E-A947-70E740481C1C}"/>
                      </a:extLst>
                    </a:blip>
                    <a:srcRect/>
                    <a:stretch>
                      <a:fillRect/>
                    </a:stretch>
                  </pic:blipFill>
                  <pic:spPr bwMode="auto">
                    <a:xfrm>
                      <a:off x="0" y="0"/>
                      <a:ext cx="835025" cy="5080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-1310640</wp:posOffset>
            </wp:positionV>
            <wp:extent cx="8350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5">
                      <a:extLst>
                        <a:ext uri="{28A0092B-C50C-407E-A947-70E740481C1C}"/>
                      </a:extLst>
                    </a:blip>
                    <a:srcRect/>
                    <a:stretch>
                      <a:fillRect/>
                    </a:stretch>
                  </pic:blipFill>
                  <pic:spPr bwMode="auto">
                    <a:xfrm>
                      <a:off x="0" y="0"/>
                      <a:ext cx="835025" cy="5080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-405765</wp:posOffset>
            </wp:positionV>
            <wp:extent cx="83502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6">
                      <a:extLst>
                        <a:ext uri="{28A0092B-C50C-407E-A947-70E740481C1C}"/>
                      </a:extLst>
                    </a:blip>
                    <a:srcRect/>
                    <a:stretch>
                      <a:fillRect/>
                    </a:stretch>
                  </pic:blipFill>
                  <pic:spPr bwMode="auto">
                    <a:xfrm>
                      <a:off x="0" y="0"/>
                      <a:ext cx="835025" cy="50800"/>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-224790</wp:posOffset>
            </wp:positionV>
            <wp:extent cx="83502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7">
                      <a:extLst>
                        <a:ext uri="{28A0092B-C50C-407E-A947-70E740481C1C}"/>
                      </a:extLst>
                    </a:blip>
                    <a:srcRect/>
                    <a:stretch>
                      <a:fillRect/>
                    </a:stretch>
                  </pic:blipFill>
                  <pic:spPr bwMode="auto">
                    <a:xfrm>
                      <a:off x="0" y="0"/>
                      <a:ext cx="835025" cy="50800"/>
                    </a:xfrm>
                    <a:prstGeom prst="rect">
                      <a:avLst/>
                    </a:prstGeom>
                    <a:noFill/>
                  </pic:spPr>
                </pic:pic>
              </a:graphicData>
            </a:graphic>
          </wp:anchor>
        </w:drawing>
      </w:r>
    </w:p>
    <w:p>
      <w:pPr>
        <w:spacing w:after="0" w:line="88" w:lineRule="exact"/>
        <w:rPr>
          <w:sz w:val="20"/>
          <w:szCs w:val="20"/>
          <w:color w:val="auto"/>
        </w:rPr>
      </w:pPr>
    </w:p>
    <w:p>
      <w:pPr>
        <w:ind w:left="10" w:right="840"/>
        <w:spacing w:after="0" w:line="266" w:lineRule="auto"/>
        <w:rPr>
          <w:sz w:val="20"/>
          <w:szCs w:val="20"/>
          <w:color w:val="auto"/>
        </w:rPr>
      </w:pPr>
      <w:r>
        <w:rPr>
          <w:rFonts w:ascii="Times New Roman" w:cs="Times New Roman" w:eastAsia="Times New Roman" w:hAnsi="Times New Roman"/>
          <w:sz w:val="20"/>
          <w:szCs w:val="20"/>
          <w:color w:val="1E1E1E"/>
        </w:rPr>
        <w:t>Amortization expense for intangible assets was $25 million for 2023. Due to the timing of the acquisition date and the Company consolidating Adore Me's financial information on an approximate one-month reporting lag, there was no amortization expense recorded related to these definite-lived intangible assets prior to 2023.</w:t>
      </w:r>
    </w:p>
    <w:p>
      <w:pPr>
        <w:spacing w:after="0" w:line="55"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1E1E1E"/>
        </w:rPr>
        <w:t>Definite-lived intangible assets are evaluated for impairment whenever events or circumstances indicate that a certain asset or asset group may be impaired. No impairment has been recorded for these definite-lived intangible assets.</w:t>
      </w:r>
    </w:p>
    <w:p>
      <w:pPr>
        <w:spacing w:after="0" w:line="41" w:lineRule="exact"/>
        <w:rPr>
          <w:sz w:val="20"/>
          <w:szCs w:val="20"/>
          <w:color w:val="auto"/>
        </w:rPr>
      </w:pPr>
    </w:p>
    <w:p>
      <w:pPr>
        <w:ind w:left="10" w:right="800"/>
        <w:spacing w:after="0" w:line="281" w:lineRule="auto"/>
        <w:rPr>
          <w:sz w:val="20"/>
          <w:szCs w:val="20"/>
          <w:color w:val="auto"/>
        </w:rPr>
      </w:pPr>
      <w:r>
        <w:rPr>
          <w:rFonts w:ascii="Times New Roman" w:cs="Times New Roman" w:eastAsia="Times New Roman" w:hAnsi="Times New Roman"/>
          <w:sz w:val="20"/>
          <w:szCs w:val="20"/>
          <w:color w:val="1E1E1E"/>
        </w:rPr>
        <w:t>The estimated future annual amortization expense is $25 million for each of the next five fiscal years for definite-lived intangible assets recorded as of February 3, 2024.</w:t>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270"/>
          </w:cols>
          <w:pgMar w:left="810" w:top="453" w:right="80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1E1E1E"/>
        </w:rPr>
        <w:t>11. Accrued Expenses and 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additional information about the composition of Accrued Expenses and Other as of February 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2024 and January 28,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1E1E1E"/>
                <w:w w:val="98"/>
              </w:rPr>
              <w:t>February 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7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020" w:type="dxa"/>
            <w:vAlign w:val="bottom"/>
            <w:tcBorders>
              <w:bottom w:val="single" w:sz="8" w:color="1E1E1E"/>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4"/>
          </w:tcPr>
          <w:p>
            <w:pPr>
              <w:jc w:val="right"/>
              <w:ind w:right="742"/>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Deferred Revenue on Gift Cards and Merchandise Credits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239</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238</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Compensation, Payroll Taxes and Benefits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Fixed Payment Related to Adore Me Acquisition</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Contingent Consideration Related to Adore Me Acquisition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Deferred Revenue on Loyalty and Credit Card Programs</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Taxes, Other than Income</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Accrued Marketing</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Returns Reserve</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Accrued Freight and Other Logistics</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Deferred Revenue on Direct Shipments Not Yet Delivered</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Accrued Claims on Self-insured Activities</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w:t>
            </w:r>
          </w:p>
        </w:tc>
      </w:tr>
      <w:tr>
        <w:trPr>
          <w:trHeight w:val="279"/>
        </w:trPr>
        <w:tc>
          <w:tcPr>
            <w:tcW w:w="77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Accrued Interest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r>
      <w:tr>
        <w:trPr>
          <w:trHeight w:val="291"/>
        </w:trPr>
        <w:tc>
          <w:tcPr>
            <w:tcW w:w="7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Rent</w:t>
            </w:r>
          </w:p>
        </w:tc>
        <w:tc>
          <w:tcPr>
            <w:tcW w:w="1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w:t>
            </w:r>
          </w:p>
        </w:tc>
      </w:tr>
      <w:tr>
        <w:trPr>
          <w:trHeight w:val="275"/>
        </w:trPr>
        <w:tc>
          <w:tcPr>
            <w:tcW w:w="77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Other</w:t>
            </w:r>
          </w:p>
        </w:tc>
        <w:tc>
          <w:tcPr>
            <w:tcW w:w="180" w:type="dxa"/>
            <w:vAlign w:val="bottom"/>
            <w:tcBorders>
              <w:bottom w:val="single" w:sz="8" w:color="1E1E1E"/>
            </w:tcBorders>
          </w:tcPr>
          <w:p>
            <w:pPr>
              <w:spacing w:after="0"/>
              <w:rPr>
                <w:sz w:val="23"/>
                <w:szCs w:val="23"/>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118</w:t>
            </w:r>
          </w:p>
        </w:tc>
      </w:tr>
      <w:tr>
        <w:trPr>
          <w:trHeight w:val="270"/>
        </w:trPr>
        <w:tc>
          <w:tcPr>
            <w:tcW w:w="77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Total Accrued Expenses and Other</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810</w:t>
            </w: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737</w:t>
            </w:r>
          </w:p>
        </w:tc>
      </w:tr>
      <w:tr>
        <w:trPr>
          <w:trHeight w:val="20"/>
        </w:trPr>
        <w:tc>
          <w:tcPr>
            <w:tcW w:w="776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1020" w:type="dxa"/>
            <w:vAlign w:val="bottom"/>
            <w:tcBorders>
              <w:top w:val="single" w:sz="8" w:color="E2E2E2"/>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-224790</wp:posOffset>
            </wp:positionV>
            <wp:extent cx="83502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8">
                      <a:extLst>
                        <a:ext uri="{28A0092B-C50C-407E-A947-70E740481C1C}"/>
                      </a:extLst>
                    </a:blip>
                    <a:srcRect/>
                    <a:stretch>
                      <a:fillRect/>
                    </a:stretch>
                  </pic:blipFill>
                  <pic:spPr bwMode="auto">
                    <a:xfrm>
                      <a:off x="0" y="0"/>
                      <a:ext cx="835025" cy="5080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-56515</wp:posOffset>
            </wp:positionV>
            <wp:extent cx="1622425" cy="762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9">
                      <a:extLst>
                        <a:ext uri="{28A0092B-C50C-407E-A947-70E740481C1C}"/>
                      </a:extLst>
                    </a:blip>
                    <a:srcRect/>
                    <a:stretch>
                      <a:fillRect/>
                    </a:stretch>
                  </pic:blipFill>
                  <pic:spPr bwMode="auto">
                    <a:xfrm>
                      <a:off x="0" y="0"/>
                      <a:ext cx="1622425" cy="762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12. Income Taxes</w:t>
      </w:r>
    </w:p>
    <w:p>
      <w:pPr>
        <w:spacing w:after="0" w:line="1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1E1E1E"/>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5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1E1E1E"/>
        </w:rPr>
        <w:t>Post-Separation, the Company files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the components of the Company’s Provision for Income Taxes for 2023,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20" w:type="dxa"/>
            <w:vAlign w:val="bottom"/>
            <w:tcBorders>
              <w:bottom w:val="single" w:sz="8" w:color="1E1E1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6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3"/>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Current:</w:t>
            </w:r>
          </w:p>
        </w:tc>
        <w:tc>
          <w:tcPr>
            <w:tcW w:w="880" w:type="dxa"/>
            <w:vAlign w:val="bottom"/>
            <w:shd w:val="clear" w:color="auto" w:fill="E2E2E2"/>
          </w:tcPr>
          <w:p>
            <w:pPr>
              <w:spacing w:after="0"/>
              <w:rPr>
                <w:sz w:val="22"/>
                <w:szCs w:val="22"/>
                <w:color w:val="auto"/>
              </w:rPr>
            </w:pPr>
          </w:p>
        </w:tc>
        <w:tc>
          <w:tcPr>
            <w:tcW w:w="4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1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980" w:type="dxa"/>
            <w:vAlign w:val="bottom"/>
            <w:shd w:val="clear" w:color="auto" w:fill="E2E2E2"/>
          </w:tcPr>
          <w:p>
            <w:pPr>
              <w:spacing w:after="0"/>
              <w:rPr>
                <w:sz w:val="22"/>
                <w:szCs w:val="22"/>
                <w:color w:val="auto"/>
              </w:rPr>
            </w:pPr>
          </w:p>
        </w:tc>
      </w:tr>
      <w:tr>
        <w:trPr>
          <w:trHeight w:val="279"/>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U.S. Federal</w:t>
            </w:r>
          </w:p>
        </w:tc>
        <w:tc>
          <w:tcPr>
            <w:tcW w:w="880" w:type="dxa"/>
            <w:vAlign w:val="bottom"/>
          </w:tcPr>
          <w:p>
            <w:pPr>
              <w:jc w:val="right"/>
              <w:ind w:right="647"/>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w:t>
            </w:r>
          </w:p>
        </w:tc>
      </w:tr>
      <w:tr>
        <w:trPr>
          <w:trHeight w:val="291"/>
        </w:trPr>
        <w:tc>
          <w:tcPr>
            <w:tcW w:w="61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U.S. State</w:t>
            </w:r>
          </w:p>
        </w:tc>
        <w:tc>
          <w:tcPr>
            <w:tcW w:w="880" w:type="dxa"/>
            <w:vAlign w:val="bottom"/>
            <w:shd w:val="clear" w:color="auto" w:fill="E2E2E2"/>
          </w:tcPr>
          <w:p>
            <w:pPr>
              <w:spacing w:after="0"/>
              <w:rPr>
                <w:sz w:val="24"/>
                <w:szCs w:val="24"/>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75"/>
        </w:trPr>
        <w:tc>
          <w:tcPr>
            <w:tcW w:w="618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Non-U.S.</w:t>
            </w:r>
          </w:p>
        </w:tc>
        <w:tc>
          <w:tcPr>
            <w:tcW w:w="880" w:type="dxa"/>
            <w:vAlign w:val="bottom"/>
            <w:tcBorders>
              <w:bottom w:val="single" w:sz="8" w:color="1E1E1E"/>
            </w:tcBorders>
          </w:tcPr>
          <w:p>
            <w:pPr>
              <w:spacing w:after="0"/>
              <w:rPr>
                <w:sz w:val="23"/>
                <w:szCs w:val="23"/>
                <w:color w:val="auto"/>
              </w:rPr>
            </w:pPr>
          </w:p>
        </w:tc>
        <w:tc>
          <w:tcPr>
            <w:tcW w:w="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80" w:type="dxa"/>
            <w:vAlign w:val="bottom"/>
            <w:tcBorders>
              <w:bottom w:val="single" w:sz="8" w:color="E2E2E2"/>
            </w:tcBorders>
          </w:tcPr>
          <w:p>
            <w:pPr>
              <w:spacing w:after="0"/>
              <w:rPr>
                <w:sz w:val="23"/>
                <w:szCs w:val="23"/>
                <w:color w:val="auto"/>
              </w:rPr>
            </w:pPr>
          </w:p>
        </w:tc>
        <w:tc>
          <w:tcPr>
            <w:tcW w:w="1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80" w:type="dxa"/>
            <w:vAlign w:val="bottom"/>
            <w:tcBorders>
              <w:bottom w:val="single" w:sz="8" w:color="E2E2E2"/>
            </w:tcBorders>
          </w:tcPr>
          <w:p>
            <w:pPr>
              <w:spacing w:after="0"/>
              <w:rPr>
                <w:sz w:val="23"/>
                <w:szCs w:val="23"/>
                <w:color w:val="auto"/>
              </w:rPr>
            </w:pPr>
          </w:p>
        </w:tc>
        <w:tc>
          <w:tcPr>
            <w:tcW w:w="320" w:type="dxa"/>
            <w:vAlign w:val="bottom"/>
            <w:tcBorders>
              <w:bottom w:val="single" w:sz="8" w:color="1E1E1E"/>
            </w:tcBorders>
          </w:tcPr>
          <w:p>
            <w:pPr>
              <w:spacing w:after="0"/>
              <w:rPr>
                <w:sz w:val="23"/>
                <w:szCs w:val="23"/>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84"/>
        </w:trPr>
        <w:tc>
          <w:tcPr>
            <w:tcW w:w="61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w:t>
            </w:r>
          </w:p>
        </w:tc>
        <w:tc>
          <w:tcPr>
            <w:tcW w:w="880" w:type="dxa"/>
            <w:vAlign w:val="bottom"/>
            <w:tcBorders>
              <w:bottom w:val="single" w:sz="8" w:color="1E1E1E"/>
            </w:tcBorders>
            <w:shd w:val="clear" w:color="auto" w:fill="E2E2E2"/>
          </w:tcPr>
          <w:p>
            <w:pPr>
              <w:spacing w:after="0"/>
              <w:rPr>
                <w:sz w:val="24"/>
                <w:szCs w:val="24"/>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107</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196</w:t>
            </w:r>
          </w:p>
        </w:tc>
      </w:tr>
      <w:tr>
        <w:trPr>
          <w:trHeight w:val="226"/>
        </w:trPr>
        <w:tc>
          <w:tcPr>
            <w:tcW w:w="61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Deferred:</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85"/>
        </w:trPr>
        <w:tc>
          <w:tcPr>
            <w:tcW w:w="618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U.S. Federal</w:t>
            </w:r>
          </w:p>
        </w:tc>
        <w:tc>
          <w:tcPr>
            <w:tcW w:w="880" w:type="dxa"/>
            <w:vAlign w:val="bottom"/>
            <w:shd w:val="clear" w:color="auto" w:fill="E2E2E2"/>
          </w:tcPr>
          <w:p>
            <w:pPr>
              <w:spacing w:after="0"/>
              <w:rPr>
                <w:sz w:val="24"/>
                <w:szCs w:val="24"/>
                <w:color w:val="auto"/>
              </w:rPr>
            </w:pP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w:t>
            </w:r>
          </w:p>
        </w:tc>
      </w:tr>
      <w:tr>
        <w:trPr>
          <w:trHeight w:val="279"/>
        </w:trPr>
        <w:tc>
          <w:tcPr>
            <w:tcW w:w="61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U.S. State</w:t>
            </w: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300"/>
        </w:trPr>
        <w:tc>
          <w:tcPr>
            <w:tcW w:w="618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Non-U.S.</w:t>
            </w:r>
          </w:p>
        </w:tc>
        <w:tc>
          <w:tcPr>
            <w:tcW w:w="880" w:type="dxa"/>
            <w:vAlign w:val="bottom"/>
            <w:tcBorders>
              <w:bottom w:val="single" w:sz="8" w:color="1E1E1E"/>
            </w:tcBorders>
            <w:shd w:val="clear" w:color="auto" w:fill="E2E2E2"/>
          </w:tcPr>
          <w:p>
            <w:pPr>
              <w:spacing w:after="0"/>
              <w:rPr>
                <w:sz w:val="24"/>
                <w:szCs w:val="24"/>
                <w:color w:val="auto"/>
              </w:rPr>
            </w:pPr>
          </w:p>
        </w:tc>
        <w:tc>
          <w:tcPr>
            <w:tcW w:w="4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46"/>
        </w:trPr>
        <w:tc>
          <w:tcPr>
            <w:tcW w:w="61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Total</w:t>
            </w:r>
          </w:p>
        </w:tc>
        <w:tc>
          <w:tcPr>
            <w:tcW w:w="880" w:type="dxa"/>
            <w:vAlign w:val="bottom"/>
            <w:tcBorders>
              <w:bottom w:val="single" w:sz="8" w:color="1E1E1E"/>
            </w:tcBorders>
          </w:tcPr>
          <w:p>
            <w:pPr>
              <w:spacing w:after="0"/>
              <w:rPr>
                <w:sz w:val="21"/>
                <w:szCs w:val="21"/>
                <w:color w:val="auto"/>
              </w:rPr>
            </w:pPr>
          </w:p>
        </w:tc>
        <w:tc>
          <w:tcPr>
            <w:tcW w:w="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8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80" w:type="dxa"/>
            <w:vAlign w:val="bottom"/>
            <w:tcBorders>
              <w:bottom w:val="single" w:sz="8" w:color="E2E2E2"/>
            </w:tcBorders>
          </w:tcPr>
          <w:p>
            <w:pPr>
              <w:spacing w:after="0"/>
              <w:rPr>
                <w:sz w:val="21"/>
                <w:szCs w:val="21"/>
                <w:color w:val="auto"/>
              </w:rPr>
            </w:pPr>
          </w:p>
        </w:tc>
        <w:tc>
          <w:tcPr>
            <w:tcW w:w="32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r>
      <w:tr>
        <w:trPr>
          <w:trHeight w:val="265"/>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Provision for Income Taxes</w:t>
            </w:r>
          </w:p>
        </w:tc>
        <w:tc>
          <w:tcPr>
            <w:tcW w:w="880" w:type="dxa"/>
            <w:vAlign w:val="bottom"/>
            <w:shd w:val="clear" w:color="auto" w:fill="E2E2E2"/>
          </w:tcPr>
          <w:p>
            <w:pPr>
              <w:jc w:val="right"/>
              <w:ind w:right="647"/>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4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w:t>
            </w:r>
          </w:p>
        </w:tc>
      </w:tr>
      <w:tr>
        <w:trPr>
          <w:trHeight w:val="20"/>
        </w:trPr>
        <w:tc>
          <w:tcPr>
            <w:tcW w:w="6180" w:type="dxa"/>
            <w:vAlign w:val="bottom"/>
            <w:tcBorders>
              <w:top w:val="single" w:sz="8" w:color="E2E2E2"/>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4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-1291590</wp:posOffset>
            </wp:positionV>
            <wp:extent cx="177800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0">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-1110615</wp:posOffset>
            </wp:positionV>
            <wp:extent cx="177800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1">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-405765</wp:posOffset>
            </wp:positionV>
            <wp:extent cx="177800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2">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-224790</wp:posOffset>
            </wp:positionV>
            <wp:extent cx="177800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3">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-56515</wp:posOffset>
            </wp:positionV>
            <wp:extent cx="2632075" cy="76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4">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8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1E1E1E"/>
        </w:rPr>
        <w:t>The non-U.S. component of pre-tax income, arising principally from overseas operations, was income of $112 million, $92 million and $92 million for 2023, 2022 and 2021, respectively.</w:t>
      </w:r>
    </w:p>
    <w:p>
      <w:pPr>
        <w:sectPr>
          <w:pgSz w:w="11880" w:h="15480" w:orient="portrait"/>
          <w:cols w:equalWidth="0" w:num="1">
            <w:col w:w="10240"/>
          </w:cols>
          <w:pgMar w:left="820" w:top="446" w:right="82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240"/>
          </w:cols>
          <w:pgMar w:left="820" w:top="446" w:right="820" w:bottom="0" w:gutter="0" w:footer="0" w:header="0"/>
          <w:type w:val="continuous"/>
        </w:sectPr>
      </w:pPr>
    </w:p>
    <w:bookmarkStart w:id="82" w:name="page83"/>
    <w:bookmarkEnd w:id="82"/>
    <w:p>
      <w:pPr>
        <w:ind w:right="6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reconciliation between the statutory federal income tax rate and the effective tax rate for 2023, 2022 and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6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90"/>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Federal Income Tax Rate</w:t>
            </w:r>
          </w:p>
        </w:tc>
        <w:tc>
          <w:tcPr>
            <w:tcW w:w="13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21.0%</w:t>
            </w:r>
          </w:p>
        </w:tc>
        <w:tc>
          <w:tcPr>
            <w:tcW w:w="1380" w:type="dxa"/>
            <w:vAlign w:val="bottom"/>
            <w:gridSpan w:val="2"/>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21.0%</w:t>
            </w:r>
          </w:p>
        </w:tc>
        <w:tc>
          <w:tcPr>
            <w:tcW w:w="1380" w:type="dxa"/>
            <w:vAlign w:val="bottom"/>
            <w:gridSpan w:val="2"/>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21.0%</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State Income Taxes, Net of Federal Income Tax Effect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3.1%</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3.9%</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4.3%</w:t>
            </w:r>
          </w:p>
        </w:tc>
      </w:tr>
      <w:tr>
        <w:trPr>
          <w:trHeight w:val="292"/>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Rate Differential</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r>
      <w:tr>
        <w:trPr>
          <w:trHeight w:val="27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Impact of Non-U.S. Operations</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1.4%</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1.8%</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0.9%</w:t>
            </w:r>
          </w:p>
        </w:tc>
      </w:tr>
      <w:tr>
        <w:trPr>
          <w:trHeight w:val="307"/>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Share-based Compensation</w:t>
            </w:r>
          </w:p>
        </w:tc>
        <w:tc>
          <w:tcPr>
            <w:tcW w:w="13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1.1%</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Uncertain Tax Positions</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0.7%</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(0.2%)</w:t>
            </w:r>
          </w:p>
        </w:tc>
      </w:tr>
      <w:tr>
        <w:trPr>
          <w:trHeight w:val="292"/>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Change in Valuation Allowance</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13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6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U.S. Permanent Items</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1.7%</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0.3%</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0.1%</w:t>
            </w:r>
          </w:p>
        </w:tc>
      </w:tr>
      <w:tr>
        <w:trPr>
          <w:trHeight w:val="307"/>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Adore Me Contingent Compensation</w:t>
            </w:r>
          </w:p>
        </w:tc>
        <w:tc>
          <w:tcPr>
            <w:tcW w:w="1320" w:type="dxa"/>
            <w:vAlign w:val="bottom"/>
            <w:shd w:val="clear" w:color="auto" w:fill="E2E2E2"/>
          </w:tcPr>
          <w:p>
            <w:pPr>
              <w:jc w:val="right"/>
              <w:ind w:right="2"/>
              <w:spacing w:after="0"/>
              <w:rPr>
                <w:sz w:val="20"/>
                <w:szCs w:val="20"/>
                <w:color w:val="auto"/>
              </w:rPr>
            </w:pPr>
            <w:r>
              <w:rPr>
                <w:rFonts w:ascii="Times New Roman" w:cs="Times New Roman" w:eastAsia="Times New Roman" w:hAnsi="Times New Roman"/>
                <w:sz w:val="20"/>
                <w:szCs w:val="20"/>
                <w:color w:val="1E1E1E"/>
              </w:rPr>
              <w:t>3.3%</w:t>
            </w:r>
          </w:p>
        </w:tc>
        <w:tc>
          <w:tcPr>
            <w:tcW w:w="6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shd w:val="clear" w:color="auto" w:fill="E2E2E2"/>
          </w:tcPr>
          <w:p>
            <w:pPr>
              <w:spacing w:after="0"/>
              <w:rPr>
                <w:sz w:val="24"/>
                <w:szCs w:val="24"/>
                <w:color w:val="auto"/>
              </w:rPr>
            </w:pPr>
          </w:p>
        </w:tc>
        <w:tc>
          <w:tcPr>
            <w:tcW w:w="132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Restructuring of Foreign Investments</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0.2%</w:t>
            </w:r>
          </w:p>
        </w:tc>
      </w:tr>
      <w:tr>
        <w:trPr>
          <w:trHeight w:val="315"/>
        </w:trPr>
        <w:tc>
          <w:tcPr>
            <w:tcW w:w="61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Items, Net</w:t>
            </w: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6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60" w:type="dxa"/>
            <w:vAlign w:val="bottom"/>
            <w:tcBorders>
              <w:bottom w:val="single" w:sz="8" w:color="E2E2E2"/>
            </w:tcBorders>
            <w:shd w:val="clear" w:color="auto" w:fill="E2E2E2"/>
          </w:tcPr>
          <w:p>
            <w:pPr>
              <w:spacing w:after="0"/>
              <w:rPr>
                <w:sz w:val="24"/>
                <w:szCs w:val="24"/>
                <w:color w:val="auto"/>
              </w:rPr>
            </w:pPr>
          </w:p>
        </w:tc>
        <w:tc>
          <w:tcPr>
            <w:tcW w:w="132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w:t>
            </w:r>
          </w:p>
        </w:tc>
      </w:tr>
      <w:tr>
        <w:trPr>
          <w:trHeight w:val="242"/>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Effective Tax Rate</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E1E1E"/>
              </w:rPr>
              <w:t>21.4%</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19.0%</w:t>
            </w:r>
          </w:p>
        </w:tc>
        <w:tc>
          <w:tcPr>
            <w:tcW w:w="1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1E1E1E"/>
              </w:rPr>
              <w:t>23.3%</w:t>
            </w:r>
          </w:p>
        </w:tc>
      </w:tr>
      <w:tr>
        <w:trPr>
          <w:trHeight w:val="20"/>
        </w:trPr>
        <w:tc>
          <w:tcPr>
            <w:tcW w:w="6180" w:type="dxa"/>
            <w:vAlign w:val="bottom"/>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-2288540</wp:posOffset>
            </wp:positionV>
            <wp:extent cx="260667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5">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-221615</wp:posOffset>
            </wp:positionV>
            <wp:extent cx="176530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6">
                      <a:extLst>
                        <a:ext uri="{28A0092B-C50C-407E-A947-70E740481C1C}"/>
                      </a:extLst>
                    </a:blip>
                    <a:srcRect/>
                    <a:stretch>
                      <a:fillRect/>
                    </a:stretch>
                  </pic:blipFill>
                  <pic:spPr bwMode="auto">
                    <a:xfrm>
                      <a:off x="0" y="0"/>
                      <a:ext cx="1765300" cy="254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Deferred Taxes</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1E1E1E"/>
        </w:rPr>
        <w:t>The following table provides the effect of temporary differences that cause deferred income taxes as of February 3, 2024 and January 28, 2023. Deferred tax assets and liabilities represent the future effects on income taxes resulting from temporary differences and carryforwards at the end of the respective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gridSpan w:val="6"/>
          </w:tcPr>
          <w:p>
            <w:pPr>
              <w:spacing w:after="0"/>
              <w:rPr>
                <w:sz w:val="20"/>
                <w:szCs w:val="20"/>
                <w:color w:val="auto"/>
              </w:rPr>
            </w:pPr>
            <w:r>
              <w:rPr>
                <w:rFonts w:ascii="Times New Roman" w:cs="Times New Roman" w:eastAsia="Times New Roman" w:hAnsi="Times New Roman"/>
                <w:sz w:val="16"/>
                <w:szCs w:val="16"/>
                <w:b w:val="1"/>
                <w:bCs w:val="1"/>
                <w:color w:val="1E1E1E"/>
              </w:rPr>
              <w:t>February 3, 2024</w:t>
            </w:r>
          </w:p>
        </w:tc>
        <w:tc>
          <w:tcPr>
            <w:tcW w:w="20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76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gridSpan w:val="6"/>
          </w:tcPr>
          <w:p>
            <w:pPr>
              <w:spacing w:after="0"/>
              <w:rPr>
                <w:sz w:val="20"/>
                <w:szCs w:val="20"/>
                <w:color w:val="auto"/>
              </w:rPr>
            </w:pPr>
            <w:r>
              <w:rPr>
                <w:rFonts w:ascii="Times New Roman" w:cs="Times New Roman" w:eastAsia="Times New Roman" w:hAnsi="Times New Roman"/>
                <w:sz w:val="16"/>
                <w:szCs w:val="16"/>
                <w:b w:val="1"/>
                <w:bCs w:val="1"/>
                <w:color w:val="1E1E1E"/>
              </w:rPr>
              <w:t>January 28, 2023</w:t>
            </w:r>
          </w:p>
        </w:tc>
        <w:tc>
          <w:tcPr>
            <w:tcW w:w="20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spacing w:after="0"/>
              <w:rPr>
                <w:sz w:val="18"/>
                <w:szCs w:val="18"/>
                <w:color w:val="auto"/>
              </w:rPr>
            </w:pPr>
          </w:p>
        </w:tc>
      </w:tr>
      <w:tr>
        <w:trPr>
          <w:trHeight w:val="220"/>
        </w:trPr>
        <w:tc>
          <w:tcPr>
            <w:tcW w:w="384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76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Assets</w:t>
            </w:r>
          </w:p>
        </w:tc>
        <w:tc>
          <w:tcPr>
            <w:tcW w:w="20" w:type="dxa"/>
            <w:vAlign w:val="bottom"/>
            <w:tcBorders>
              <w:bottom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w w:val="99"/>
              </w:rPr>
              <w:t>Liabilities</w:t>
            </w:r>
          </w:p>
        </w:tc>
        <w:tc>
          <w:tcPr>
            <w:tcW w:w="80" w:type="dxa"/>
            <w:vAlign w:val="bottom"/>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80" w:type="dxa"/>
            <w:vAlign w:val="bottom"/>
            <w:tcBorders>
              <w:bottom w:val="single" w:sz="8" w:color="1E1E1E"/>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8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760" w:type="dxa"/>
            <w:vAlign w:val="bottom"/>
            <w:tcBorders>
              <w:bottom w:val="single" w:sz="8" w:color="1E1E1E"/>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1E1E1E"/>
              </w:rPr>
              <w:t>Assets</w:t>
            </w:r>
          </w:p>
        </w:tc>
        <w:tc>
          <w:tcPr>
            <w:tcW w:w="20" w:type="dxa"/>
            <w:vAlign w:val="bottom"/>
            <w:tcBorders>
              <w:bottom w:val="single" w:sz="8" w:color="1E1E1E"/>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1E1E1E"/>
                <w:w w:val="99"/>
              </w:rPr>
              <w:t>Liabilities</w:t>
            </w:r>
          </w:p>
        </w:tc>
        <w:tc>
          <w:tcPr>
            <w:tcW w:w="80" w:type="dxa"/>
            <w:vAlign w:val="bottom"/>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780" w:type="dxa"/>
            <w:vAlign w:val="bottom"/>
            <w:tcBorders>
              <w:bottom w:val="single" w:sz="8" w:color="1E1E1E"/>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22"/>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4"/>
          </w:tcPr>
          <w:p>
            <w:pPr>
              <w:jc w:val="right"/>
              <w:ind w:right="522"/>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93"/>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Loss Carryforwards</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24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w:t>
            </w:r>
          </w:p>
        </w:tc>
        <w:tc>
          <w:tcPr>
            <w:tcW w:w="240" w:type="dxa"/>
            <w:vAlign w:val="bottom"/>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w:t>
            </w:r>
          </w:p>
        </w:tc>
      </w:tr>
      <w:tr>
        <w:trPr>
          <w:trHeight w:val="278"/>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Leases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92"/>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Deferred Revenue</w:t>
            </w: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78"/>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Accrued Expenses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w:t>
            </w:r>
          </w:p>
        </w:tc>
      </w:tr>
      <w:tr>
        <w:trPr>
          <w:trHeight w:val="292"/>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Share-based Compensation</w:t>
            </w: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960" w:type="dxa"/>
            <w:vAlign w:val="bottom"/>
            <w:gridSpan w:val="3"/>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78"/>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Trade Name and Other Intangibles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r>
      <w:tr>
        <w:trPr>
          <w:trHeight w:val="292"/>
        </w:trPr>
        <w:tc>
          <w:tcPr>
            <w:tcW w:w="38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Property and Equipment</w:t>
            </w: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8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w:t>
            </w:r>
          </w:p>
        </w:tc>
        <w:tc>
          <w:tcPr>
            <w:tcW w:w="8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w:t>
            </w:r>
          </w:p>
        </w:tc>
      </w:tr>
      <w:tr>
        <w:trPr>
          <w:trHeight w:val="278"/>
        </w:trPr>
        <w:tc>
          <w:tcPr>
            <w:tcW w:w="38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300"/>
        </w:trPr>
        <w:tc>
          <w:tcPr>
            <w:tcW w:w="38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Valuation Allowance</w:t>
            </w:r>
          </w:p>
        </w:tc>
        <w:tc>
          <w:tcPr>
            <w:tcW w:w="22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2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7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2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r>
      <w:tr>
        <w:trPr>
          <w:trHeight w:val="227"/>
        </w:trPr>
        <w:tc>
          <w:tcPr>
            <w:tcW w:w="384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b w:val="1"/>
                <w:bCs w:val="1"/>
                <w:color w:val="1E1E1E"/>
              </w:rPr>
              <w:t>Total Deferred Income Taxes</w:t>
            </w: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467</w:t>
            </w:r>
          </w:p>
        </w:tc>
        <w:tc>
          <w:tcPr>
            <w:tcW w:w="2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(484)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w w:val="99"/>
              </w:rPr>
              <w:t>$</w:t>
            </w: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(17)</w:t>
            </w:r>
          </w:p>
        </w:tc>
        <w:tc>
          <w:tcPr>
            <w:tcW w:w="30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443</w:t>
            </w:r>
          </w:p>
        </w:tc>
        <w:tc>
          <w:tcPr>
            <w:tcW w:w="2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(478)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w w:val="99"/>
              </w:rPr>
              <w:t>$</w:t>
            </w: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(35)</w:t>
            </w: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-224790</wp:posOffset>
            </wp:positionV>
            <wp:extent cx="345440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7">
                      <a:extLst>
                        <a:ext uri="{28A0092B-C50C-407E-A947-70E740481C1C}"/>
                      </a:extLst>
                    </a:blip>
                    <a:srcRect/>
                    <a:stretch>
                      <a:fillRect/>
                    </a:stretch>
                  </pic:blipFill>
                  <pic:spPr bwMode="auto">
                    <a:xfrm>
                      <a:off x="0" y="0"/>
                      <a:ext cx="3454400" cy="50800"/>
                    </a:xfrm>
                    <a:prstGeom prst="rect">
                      <a:avLst/>
                    </a:prstGeom>
                    <a:noFill/>
                  </pic:spPr>
                </pic:pic>
              </a:graphicData>
            </a:graphic>
          </wp:anchor>
        </w:drawing>
      </w:r>
    </w:p>
    <w:p>
      <w:pPr>
        <w:spacing w:after="0" w:line="8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1E1E1E"/>
        </w:rPr>
        <w:t>As of February 3, 2024, the Company had loss carryforwards of $130 million, of which $34 million has an indefinite carryforward. The remainder of the non-U.S. carryforwards, if unused, will expire at various dates from 2024 through 2040.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Income tax payments were $74 million for 2023, $161 million for 2022 and $56 million for 2021.</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260"/>
          </w:cols>
          <w:pgMar w:left="820" w:top="453" w:right="80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1E1E1E"/>
        </w:rPr>
        <w:t>Uncertain Tax 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summarizes the activity related to the Company’s unrecognized tax benefits for U.S. federal, state and non-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U.S. tax jurisdictions for 2023, 2022 and 2021, without interest and penalties: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62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2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620" w:type="dxa"/>
            <w:vAlign w:val="bottom"/>
            <w:tcBorders>
              <w:bottom w:val="single" w:sz="8" w:color="1E1E1E"/>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2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64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37"/>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w w:val="97"/>
              </w:rPr>
              <w:t>(in millions)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08"/>
        </w:trPr>
        <w:tc>
          <w:tcPr>
            <w:tcW w:w="75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Gross Unrecognized Tax Benefits, as of the Beginning of the Fiscal Year</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32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126</w:t>
            </w:r>
          </w:p>
        </w:tc>
      </w:tr>
      <w:tr>
        <w:trPr>
          <w:trHeight w:val="278"/>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Decreases to Unrecognized Tax Benefits Transferred to Former Parent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w:t>
            </w:r>
          </w:p>
        </w:tc>
      </w:tr>
      <w:tr>
        <w:trPr>
          <w:trHeight w:val="307"/>
        </w:trPr>
        <w:tc>
          <w:tcPr>
            <w:tcW w:w="75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Increases to Unrecognized Tax Benefits as a Result of Current Year Activity</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64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10</w:t>
            </w:r>
          </w:p>
        </w:tc>
      </w:tr>
      <w:tr>
        <w:trPr>
          <w:trHeight w:val="293"/>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Increases to Unrecognized Tax Benefits for Prior Years, Including Acquisitions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r>
      <w:tr>
        <w:trPr>
          <w:trHeight w:val="315"/>
        </w:trPr>
        <w:tc>
          <w:tcPr>
            <w:tcW w:w="75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Decreases to Unrecognized Tax Benefits for Prior Years</w:t>
            </w:r>
          </w:p>
        </w:tc>
        <w:tc>
          <w:tcPr>
            <w:tcW w:w="20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12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w:t>
            </w:r>
          </w:p>
        </w:tc>
      </w:tr>
      <w:tr>
        <w:trPr>
          <w:trHeight w:val="242"/>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Gross Unrecognized Tax Benefits, as of the End of the Fiscal Year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10</w:t>
            </w:r>
          </w:p>
        </w:tc>
      </w:tr>
      <w:tr>
        <w:trPr>
          <w:trHeight w:val="20"/>
        </w:trPr>
        <w:tc>
          <w:tcPr>
            <w:tcW w:w="754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2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-234315</wp:posOffset>
            </wp:positionV>
            <wp:extent cx="12255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8">
                      <a:extLst>
                        <a:ext uri="{28A0092B-C50C-407E-A947-70E740481C1C}"/>
                      </a:extLst>
                    </a:blip>
                    <a:srcRect/>
                    <a:stretch>
                      <a:fillRect/>
                    </a:stretch>
                  </pic:blipFill>
                  <pic:spPr bwMode="auto">
                    <a:xfrm>
                      <a:off x="0" y="0"/>
                      <a:ext cx="1225550" cy="50800"/>
                    </a:xfrm>
                    <a:prstGeom prst="rect">
                      <a:avLst/>
                    </a:prstGeom>
                    <a:noFill/>
                  </pic:spPr>
                </pic:pic>
              </a:graphicData>
            </a:graphic>
          </wp:anchor>
        </w:drawing>
      </w:r>
    </w:p>
    <w:p>
      <w:pPr>
        <w:spacing w:after="0" w:line="8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1E1E1E"/>
        </w:rPr>
        <w:t>Of the total gross unrecognized tax benefits, approximately $35 million, $20 million and $9 million at February 3, 2024, January 28, 2023, and January 29, 2022, respectively, represent the amount of unrecognized tax benefits that, if recognized, would favorably affect the effective income tax rate in future periods. These amounts are net of the offsetting tax effects from other tax jurisdictions.</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Of the total unrecognized tax benefits, it is reasonably possible that $27 million could change in the next 12 months due to audit settlement, expiration of statute of limitations or other resolution of uncertainties. Due to the uncertain and complex application of tax regulations, it is possible that the ultimate resolution of audits may result in amounts which could be different from this estimate. In such case, the Company will record additional tax expense or tax benefit in the period in which such matters are effectively settled.</w:t>
      </w:r>
    </w:p>
    <w:p>
      <w:pPr>
        <w:spacing w:after="0" w:line="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The Company recognizes interest and penalties related to unrecognized tax benefits as components of income tax expense. The Company recognized interest and penalties expense of $2 million in 2023, $1 million in 2022, and did not recognize expense in 2021. The Company has accrued approximately $3 million for the payment of interest and penalties as of February 3, 2024, and $1 million as of January 28, 2023. Accrued interest and penalties are included within Other Long-term Liabilities on the Consolidated Balance Sheets.</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Company files income tax returns with the U.S. and various state, local, and non-U.S. jurisdictions. The Company participates in the Compliance Assurance Process (“CAP”) of the Internal Revenue Service. As part of CAP, tax years are examined on a contemporaneous basis. The Company is no longer subject to U.S. federal examination for years prior to fiscal year 2020. The Company is currently under examination, or may be subject to examination, by various state, local, and non-U.S. tax jurisdictions for fiscal year 2015 through 2022. The Company is no longer subject to state and local examinations for years prior to fiscal year 2017 or examinations in any material non-U.S. jurisdictions for years prior to fiscal year 2015.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7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1E1E1E"/>
        </w:rPr>
        <w:t>On December 30, 2022, the Company acquired Adore Me. Pursuant to the Merger Agreement, the Company is responsible for all U.S. federal, state, local and non-U.S. income taxes for any taxable period, or portion of such period, ending on or before the date of acquisition. Approximately $22 million, including measurement period adjustments, in gross unrecognized tax benefits were established through acquisition accounting attributable to this acquisition.</w:t>
      </w:r>
    </w:p>
    <w:p>
      <w:pPr>
        <w:spacing w:after="0" w:line="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On August 2, 2021, the Company and the Former Parent entered into a Tax Matters Agreement. Under the agreement, the Former Parent is responsible for all U.S. federal, state, local and non-U.S. income taxes of the Company for any taxable period, or portion of such period, ending on or before the Separation. Accordingly, the net liabilities associated with uncertain tax positions that were presented in the financial statements in prior periods on a carve-out basis were not transferred to the Company as part of the Separation.</w:t>
      </w: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260"/>
          </w:cols>
          <w:pgMar w:left="820" w:top="446" w:right="8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1E1E1E"/>
        </w:rPr>
        <w:t>13. Long-term Debt and Borrowing Facilities</w:t>
      </w:r>
    </w:p>
    <w:p>
      <w:pPr>
        <w:spacing w:after="0" w:line="13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1E1E1E"/>
        </w:rPr>
        <w:t>The following table provides the Company’s outstanding Long-term Debt balance, net of unamortized debt issuance costs and discounts and any current portion, as of February 3, 2024 and January 28,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1E1E1E"/>
              </w:rPr>
              <w:t>February 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4"/>
          </w:tcPr>
          <w:p>
            <w:pPr>
              <w:jc w:val="right"/>
              <w:ind w:right="724"/>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303"/>
        </w:trPr>
        <w:tc>
          <w:tcPr>
            <w:tcW w:w="40" w:type="dxa"/>
            <w:vAlign w:val="bottom"/>
            <w:tcBorders>
              <w:bottom w:val="single" w:sz="8" w:color="E2E2E2"/>
            </w:tcBorders>
            <w:shd w:val="clear" w:color="auto" w:fill="E2E2E2"/>
          </w:tcPr>
          <w:p>
            <w:pPr>
              <w:spacing w:after="0"/>
              <w:rPr>
                <w:sz w:val="24"/>
                <w:szCs w:val="24"/>
                <w:color w:val="auto"/>
              </w:rPr>
            </w:pPr>
          </w:p>
        </w:tc>
        <w:tc>
          <w:tcPr>
            <w:tcW w:w="4120" w:type="dxa"/>
            <w:vAlign w:val="bottom"/>
            <w:tcBorders>
              <w:bottom w:val="single" w:sz="8" w:color="1E1E1E"/>
            </w:tcBorders>
            <w:gridSpan w:val="2"/>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w w:val="99"/>
              </w:rPr>
              <w:t>Senior Secured Debt with Subsidiary Guarantee</w:t>
            </w:r>
          </w:p>
        </w:tc>
        <w:tc>
          <w:tcPr>
            <w:tcW w:w="36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r>
      <w:tr>
        <w:trPr>
          <w:trHeight w:val="30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$391 million Term Loan due August 2028 (“Term Loan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385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387</w:t>
            </w:r>
          </w:p>
        </w:tc>
      </w:tr>
      <w:tr>
        <w:trPr>
          <w:trHeight w:val="312"/>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Asset-based Revolving Credit Facility due August 2026 (“ABL Facility”)</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145</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295</w:t>
            </w:r>
          </w:p>
        </w:tc>
      </w:tr>
      <w:tr>
        <w:trPr>
          <w:trHeight w:val="29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Senior Secured Debt with Subsidiary Guarantee</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530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682</w:t>
            </w:r>
          </w:p>
        </w:tc>
      </w:tr>
      <w:tr>
        <w:trPr>
          <w:trHeight w:val="302"/>
        </w:trPr>
        <w:tc>
          <w:tcPr>
            <w:tcW w:w="40" w:type="dxa"/>
            <w:vAlign w:val="bottom"/>
            <w:tcBorders>
              <w:bottom w:val="single" w:sz="8" w:color="E2E2E2"/>
            </w:tcBorders>
            <w:shd w:val="clear" w:color="auto" w:fill="E2E2E2"/>
          </w:tcPr>
          <w:p>
            <w:pPr>
              <w:spacing w:after="0"/>
              <w:rPr>
                <w:sz w:val="24"/>
                <w:szCs w:val="24"/>
                <w:color w:val="auto"/>
              </w:rPr>
            </w:pPr>
          </w:p>
        </w:tc>
        <w:tc>
          <w:tcPr>
            <w:tcW w:w="338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20"/>
                <w:szCs w:val="20"/>
                <w:b w:val="1"/>
                <w:bCs w:val="1"/>
                <w:color w:val="1E1E1E"/>
                <w:w w:val="99"/>
              </w:rPr>
              <w:t>Senior Debt with Subsidiary Guarantee</w:t>
            </w:r>
          </w:p>
        </w:tc>
        <w:tc>
          <w:tcPr>
            <w:tcW w:w="4380" w:type="dxa"/>
            <w:vAlign w:val="bottom"/>
            <w:tcBorders>
              <w:bottom w:val="single" w:sz="8" w:color="E2E2E2"/>
            </w:tcBorders>
            <w:gridSpan w:val="2"/>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1040" w:type="dxa"/>
            <w:vAlign w:val="bottom"/>
            <w:tcBorders>
              <w:bottom w:val="single" w:sz="8" w:color="E2E2E2"/>
            </w:tcBorders>
            <w:shd w:val="clear" w:color="auto" w:fill="E2E2E2"/>
          </w:tcPr>
          <w:p>
            <w:pPr>
              <w:spacing w:after="0"/>
              <w:rPr>
                <w:sz w:val="24"/>
                <w:szCs w:val="24"/>
                <w:color w:val="auto"/>
              </w:rPr>
            </w:pPr>
          </w:p>
        </w:tc>
      </w:tr>
      <w:tr>
        <w:trPr>
          <w:trHeight w:val="305"/>
        </w:trPr>
        <w:tc>
          <w:tcPr>
            <w:tcW w:w="40" w:type="dxa"/>
            <w:vAlign w:val="bottom"/>
            <w:tcBorders>
              <w:bottom w:val="single" w:sz="8" w:color="E2E2E2"/>
            </w:tcBorders>
          </w:tcPr>
          <w:p>
            <w:pPr>
              <w:spacing w:after="0"/>
              <w:rPr>
                <w:sz w:val="24"/>
                <w:szCs w:val="24"/>
                <w:color w:val="auto"/>
              </w:rPr>
            </w:pPr>
          </w:p>
        </w:tc>
        <w:tc>
          <w:tcPr>
            <w:tcW w:w="7760" w:type="dxa"/>
            <w:vAlign w:val="bottom"/>
            <w:tcBorders>
              <w:bottom w:val="single" w:sz="8" w:color="E2E2E2"/>
            </w:tcBorders>
            <w:gridSpan w:val="3"/>
          </w:tcPr>
          <w:p>
            <w:pPr>
              <w:spacing w:after="0"/>
              <w:rPr>
                <w:sz w:val="20"/>
                <w:szCs w:val="20"/>
                <w:color w:val="auto"/>
              </w:rPr>
            </w:pPr>
            <w:r>
              <w:rPr>
                <w:rFonts w:ascii="Times New Roman" w:cs="Times New Roman" w:eastAsia="Times New Roman" w:hAnsi="Times New Roman"/>
                <w:sz w:val="20"/>
                <w:szCs w:val="20"/>
                <w:color w:val="1E1E1E"/>
              </w:rPr>
              <w:t>$600 million, 4.625% Fixed Interest Rate Notes due July 2029 (“2029 Notes”)</w:t>
            </w:r>
          </w:p>
        </w:tc>
        <w:tc>
          <w:tcPr>
            <w:tcW w:w="16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5"/>
              <w:spacing w:after="0"/>
              <w:rPr>
                <w:sz w:val="20"/>
                <w:szCs w:val="20"/>
                <w:color w:val="auto"/>
              </w:rPr>
            </w:pPr>
            <w:r>
              <w:rPr>
                <w:rFonts w:ascii="Times New Roman" w:cs="Times New Roman" w:eastAsia="Times New Roman" w:hAnsi="Times New Roman"/>
                <w:sz w:val="20"/>
                <w:szCs w:val="20"/>
                <w:color w:val="1E1E1E"/>
              </w:rPr>
              <w:t>594</w:t>
            </w:r>
          </w:p>
        </w:tc>
        <w:tc>
          <w:tcPr>
            <w:tcW w:w="6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20"/>
                <w:szCs w:val="20"/>
                <w:color w:val="1E1E1E"/>
              </w:rPr>
              <w:t>593</w:t>
            </w:r>
          </w:p>
        </w:tc>
      </w:tr>
      <w:tr>
        <w:trPr>
          <w:trHeight w:val="295"/>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Total Senior Debt with Subsidiary Guarantee</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20"/>
                <w:szCs w:val="20"/>
                <w:color w:val="1E1E1E"/>
              </w:rPr>
              <w:t>594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4"/>
              <w:spacing w:after="0"/>
              <w:rPr>
                <w:sz w:val="20"/>
                <w:szCs w:val="20"/>
                <w:color w:val="auto"/>
              </w:rPr>
            </w:pPr>
            <w:r>
              <w:rPr>
                <w:rFonts w:ascii="Times New Roman" w:cs="Times New Roman" w:eastAsia="Times New Roman" w:hAnsi="Times New Roman"/>
                <w:sz w:val="20"/>
                <w:szCs w:val="20"/>
                <w:color w:val="1E1E1E"/>
              </w:rPr>
              <w:t>593</w:t>
            </w:r>
          </w:p>
        </w:tc>
      </w:tr>
      <w:tr>
        <w:trPr>
          <w:trHeight w:val="298"/>
        </w:trPr>
        <w:tc>
          <w:tcPr>
            <w:tcW w:w="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tcPr>
          <w:p>
            <w:pPr>
              <w:spacing w:after="0"/>
              <w:rPr>
                <w:sz w:val="24"/>
                <w:szCs w:val="24"/>
                <w:color w:val="auto"/>
              </w:rPr>
            </w:pP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1,124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1,275</w:t>
            </w:r>
          </w:p>
        </w:tc>
      </w:tr>
      <w:tr>
        <w:trPr>
          <w:trHeight w:val="312"/>
        </w:trPr>
        <w:tc>
          <w:tcPr>
            <w:tcW w:w="40" w:type="dxa"/>
            <w:vAlign w:val="bottom"/>
            <w:tcBorders>
              <w:bottom w:val="single" w:sz="8" w:color="E2E2E2"/>
            </w:tcBorders>
            <w:shd w:val="clear" w:color="auto" w:fill="E2E2E2"/>
          </w:tcPr>
          <w:p>
            <w:pPr>
              <w:spacing w:after="0"/>
              <w:rPr>
                <w:sz w:val="24"/>
                <w:szCs w:val="24"/>
                <w:color w:val="auto"/>
              </w:rPr>
            </w:pPr>
          </w:p>
        </w:tc>
        <w:tc>
          <w:tcPr>
            <w:tcW w:w="7760" w:type="dxa"/>
            <w:vAlign w:val="bottom"/>
            <w:tcBorders>
              <w:bottom w:val="single" w:sz="8" w:color="E2E2E2"/>
            </w:tcBorders>
            <w:gridSpan w:val="3"/>
            <w:shd w:val="clear" w:color="auto" w:fill="E2E2E2"/>
          </w:tcPr>
          <w:p>
            <w:pPr>
              <w:spacing w:after="0"/>
              <w:rPr>
                <w:sz w:val="20"/>
                <w:szCs w:val="20"/>
                <w:color w:val="auto"/>
              </w:rPr>
            </w:pPr>
            <w:r>
              <w:rPr>
                <w:rFonts w:ascii="Times New Roman" w:cs="Times New Roman" w:eastAsia="Times New Roman" w:hAnsi="Times New Roman"/>
                <w:sz w:val="20"/>
                <w:szCs w:val="20"/>
                <w:color w:val="1E1E1E"/>
              </w:rPr>
              <w:t>Current Debt</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75"/>
        </w:trPr>
        <w:tc>
          <w:tcPr>
            <w:tcW w:w="40" w:type="dxa"/>
            <w:vAlign w:val="bottom"/>
          </w:tcPr>
          <w:p>
            <w:pPr>
              <w:spacing w:after="0"/>
              <w:rPr>
                <w:sz w:val="23"/>
                <w:szCs w:val="23"/>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20"/>
                <w:szCs w:val="20"/>
                <w:color w:val="1E1E1E"/>
              </w:rPr>
              <w:t>Total Long-term Debt,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E1E1E"/>
              </w:rPr>
              <w:t>1,120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E1E1E"/>
              </w:rPr>
              <w:t>1,271</w:t>
            </w:r>
          </w:p>
        </w:tc>
      </w:tr>
      <w:tr>
        <w:trPr>
          <w:trHeight w:val="20"/>
        </w:trPr>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-1443990</wp:posOffset>
            </wp:positionV>
            <wp:extent cx="82550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9">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-843915</wp:posOffset>
            </wp:positionV>
            <wp:extent cx="825500"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0">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-643890</wp:posOffset>
            </wp:positionV>
            <wp:extent cx="82550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1">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-243840</wp:posOffset>
            </wp:positionV>
            <wp:extent cx="82550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2">
                      <a:extLst>
                        <a:ext uri="{28A0092B-C50C-407E-A947-70E740481C1C}"/>
                      </a:extLst>
                    </a:blip>
                    <a:srcRect/>
                    <a:stretch>
                      <a:fillRect/>
                    </a:stretch>
                  </pic:blipFill>
                  <pic:spPr bwMode="auto">
                    <a:xfrm>
                      <a:off x="0" y="0"/>
                      <a:ext cx="825500" cy="5080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-56515</wp:posOffset>
            </wp:positionV>
            <wp:extent cx="812800" cy="76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3">
                      <a:extLst>
                        <a:ext uri="{28A0092B-C50C-407E-A947-70E740481C1C}"/>
                      </a:extLst>
                    </a:blip>
                    <a:srcRect/>
                    <a:stretch>
                      <a:fillRect/>
                    </a:stretch>
                  </pic:blipFill>
                  <pic:spPr bwMode="auto">
                    <a:xfrm>
                      <a:off x="0" y="0"/>
                      <a:ext cx="812800" cy="76200"/>
                    </a:xfrm>
                    <a:prstGeom prst="rect">
                      <a:avLst/>
                    </a:prstGeom>
                    <a:noFill/>
                  </pic:spPr>
                </pic:pic>
              </a:graphicData>
            </a:graphic>
          </wp:anchor>
        </w:drawing>
      </w:r>
    </w:p>
    <w:p>
      <w:pPr>
        <w:spacing w:after="0" w:line="8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1E1E1E"/>
        </w:rPr>
        <w:t>The following table provides principal payments due on outstanding debt in the next five fiscal years and the remaining years thereafter: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16"/>
                <w:szCs w:val="16"/>
                <w:b w:val="1"/>
                <w:bCs w:val="1"/>
                <w:color w:val="1E1E1E"/>
              </w:rPr>
              <w:t>Fiscal Year</w:t>
            </w:r>
          </w:p>
        </w:tc>
        <w:tc>
          <w:tcPr>
            <w:tcW w:w="42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75"/>
        </w:trPr>
        <w:tc>
          <w:tcPr>
            <w:tcW w:w="4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2024</w:t>
            </w:r>
          </w:p>
        </w:tc>
        <w:tc>
          <w:tcPr>
            <w:tcW w:w="4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4</w:t>
            </w:r>
          </w:p>
        </w:tc>
      </w:tr>
      <w:tr>
        <w:trPr>
          <w:trHeight w:val="278"/>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2025</w:t>
            </w:r>
          </w:p>
        </w:tc>
        <w:tc>
          <w:tcPr>
            <w:tcW w:w="4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4</w:t>
            </w:r>
          </w:p>
        </w:tc>
      </w:tr>
      <w:tr>
        <w:trPr>
          <w:trHeight w:val="292"/>
        </w:trPr>
        <w:tc>
          <w:tcPr>
            <w:tcW w:w="4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2026</w:t>
            </w:r>
          </w:p>
        </w:tc>
        <w:tc>
          <w:tcPr>
            <w:tcW w:w="420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149</w:t>
            </w:r>
          </w:p>
        </w:tc>
      </w:tr>
      <w:tr>
        <w:trPr>
          <w:trHeight w:val="278"/>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2027</w:t>
            </w:r>
          </w:p>
        </w:tc>
        <w:tc>
          <w:tcPr>
            <w:tcW w:w="42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4</w:t>
            </w:r>
          </w:p>
        </w:tc>
      </w:tr>
      <w:tr>
        <w:trPr>
          <w:trHeight w:val="292"/>
        </w:trPr>
        <w:tc>
          <w:tcPr>
            <w:tcW w:w="4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w:t>
            </w:r>
          </w:p>
        </w:tc>
        <w:tc>
          <w:tcPr>
            <w:tcW w:w="420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3"/>
              <w:spacing w:after="0"/>
              <w:rPr>
                <w:sz w:val="20"/>
                <w:szCs w:val="20"/>
                <w:color w:val="auto"/>
              </w:rPr>
            </w:pPr>
            <w:r>
              <w:rPr>
                <w:rFonts w:ascii="Times New Roman" w:cs="Times New Roman" w:eastAsia="Times New Roman" w:hAnsi="Times New Roman"/>
                <w:sz w:val="20"/>
                <w:szCs w:val="20"/>
                <w:color w:val="1E1E1E"/>
              </w:rPr>
              <w:t>375</w:t>
            </w:r>
          </w:p>
        </w:tc>
      </w:tr>
      <w:tr>
        <w:trPr>
          <w:trHeight w:val="272"/>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Thereafter</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E1E1E"/>
              </w:rPr>
              <w:t>600</w:t>
            </w:r>
          </w:p>
        </w:tc>
      </w:tr>
    </w:tbl>
    <w:p>
      <w:pPr>
        <w:spacing w:after="0" w:line="151" w:lineRule="exact"/>
        <w:rPr>
          <w:sz w:val="20"/>
          <w:szCs w:val="20"/>
          <w:color w:val="auto"/>
        </w:rPr>
      </w:pPr>
    </w:p>
    <w:p>
      <w:pPr>
        <w:ind w:right="1820"/>
        <w:spacing w:after="0" w:line="354" w:lineRule="auto"/>
        <w:rPr>
          <w:sz w:val="20"/>
          <w:szCs w:val="20"/>
          <w:color w:val="auto"/>
        </w:rPr>
      </w:pPr>
      <w:r>
        <w:rPr>
          <w:rFonts w:ascii="Times New Roman" w:cs="Times New Roman" w:eastAsia="Times New Roman" w:hAnsi="Times New Roman"/>
          <w:sz w:val="20"/>
          <w:szCs w:val="20"/>
          <w:color w:val="1E1E1E"/>
        </w:rPr>
        <w:t xml:space="preserve">Cash paid for interest was $87 million, $52 million and $18 million in 2023, 2022 and 2021, respectively. </w:t>
      </w:r>
      <w:r>
        <w:rPr>
          <w:rFonts w:ascii="Times New Roman" w:cs="Times New Roman" w:eastAsia="Times New Roman" w:hAnsi="Times New Roman"/>
          <w:sz w:val="20"/>
          <w:szCs w:val="20"/>
          <w:b w:val="1"/>
          <w:bCs w:val="1"/>
          <w:i w:val="1"/>
          <w:iCs w:val="1"/>
          <w:color w:val="1E1E1E"/>
        </w:rPr>
        <w:t>Issuance of Notes</w:t>
      </w:r>
    </w:p>
    <w:p>
      <w:pPr>
        <w:spacing w:after="0" w:line="2" w:lineRule="exact"/>
        <w:rPr>
          <w:sz w:val="20"/>
          <w:szCs w:val="20"/>
          <w:color w:val="auto"/>
        </w:rPr>
      </w:pPr>
    </w:p>
    <w:p>
      <w:pPr>
        <w:jc w:val="both"/>
        <w:ind w:right="440"/>
        <w:spacing w:after="0" w:line="286" w:lineRule="auto"/>
        <w:rPr>
          <w:sz w:val="20"/>
          <w:szCs w:val="20"/>
          <w:color w:val="auto"/>
        </w:rPr>
      </w:pPr>
      <w:r>
        <w:rPr>
          <w:rFonts w:ascii="Times New Roman" w:cs="Times New Roman" w:eastAsia="Times New Roman" w:hAnsi="Times New Roman"/>
          <w:sz w:val="19"/>
          <w:szCs w:val="19"/>
          <w:color w:val="1E1E1E"/>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w:t>
      </w:r>
    </w:p>
    <w:p>
      <w:pPr>
        <w:spacing w:after="0" w:line="3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1E1E1E"/>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Credit Facilities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In September 2023, the Company entered into a delayed draw term loan agreement, secured by certain real estate assets owned by the Company, to increase available liquidity in consideration of potential seasonal working capital needs. The delayed draw term loan had a maximum borrowing capacity of $75 million. The Company did not draw any amounts under this term loan and the agreement terminated in December 2023. During 2023, fees incurred in relation to this delayed draw term loan agreement were $1 million and were amortized over the life of the agreement.</w:t>
      </w:r>
    </w:p>
    <w:p>
      <w:pPr>
        <w:spacing w:after="0" w:line="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1E1E1E"/>
        </w:rPr>
        <w:t>On August 2, 2021, the Company entered into a term loan B credit facility in an aggregate principal amount of $400 million, which will mature in August 2028. Commencing in December 2021, the Company is required to make quarterly principal payments on the Term Loan Facility in an amount equal to 0.25% of the original principal amount of $400 million. The Company made principal payments of $4 million, $4 million and $1 million for the Term Loan Facility during 2023, 2022 and 2021, respectively.</w:t>
      </w: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260"/>
          </w:cols>
          <w:pgMar w:left="820" w:top="446" w:right="800" w:bottom="0" w:gutter="0" w:footer="0" w:header="0"/>
          <w:type w:val="continuous"/>
        </w:sectPr>
      </w:pPr>
    </w:p>
    <w:bookmarkStart w:id="85" w:name="page86"/>
    <w:bookmarkEnd w:id="85"/>
    <w:p>
      <w:pPr>
        <w:ind w:right="100"/>
        <w:spacing w:after="0" w:line="253" w:lineRule="auto"/>
        <w:rPr>
          <w:sz w:val="20"/>
          <w:szCs w:val="20"/>
          <w:color w:val="auto"/>
        </w:rPr>
      </w:pPr>
      <w:r>
        <w:rPr>
          <w:rFonts w:ascii="Times New Roman" w:cs="Times New Roman" w:eastAsia="Times New Roman" w:hAnsi="Times New Roman"/>
          <w:sz w:val="20"/>
          <w:szCs w:val="20"/>
          <w:color w:val="1E1E1E"/>
        </w:rPr>
        <w:t>In May 2023, the Company amended its Term Loan Facility to allow for an early transition to using Term SOFR as the applicable reference rate to calculate interest instead of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February 3, 2024, the interest rate on loans under the Term Loan Facility was 8.89%.</w:t>
      </w:r>
    </w:p>
    <w:p>
      <w:pPr>
        <w:spacing w:after="0" w:line="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1E1E1E"/>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The Company borrowed $465 million and $295 million from the ABL Facility during 2023 and 2022, respectively, and made payments of $615 million under the ABL Facility during 2023. As of February 3, 2024, there were borrowings of $145 million outstanding under the ABL Facility and the interest rate on the borrowings was 7.46%. The Company had $19 million of outstanding letters of credit as of February 3, 2024 that further reduced its availability under the ABL Facility. As of February 3, 2024, the Company's remaining availability under the ABL Facility was $423 million.</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Consolidated Balance Sheets.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1E1E1E"/>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February 3, 2024, the Company was in compliance with all covenants under its long-term debt and borrowing facilities.</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1E1E1E"/>
        </w:rPr>
        <w:t xml:space="preserve">The Company elected the optional expedient under Accounting Standards Update No. 2020-04, </w:t>
      </w:r>
      <w:r>
        <w:rPr>
          <w:rFonts w:ascii="Times New Roman" w:cs="Times New Roman" w:eastAsia="Times New Roman" w:hAnsi="Times New Roman"/>
          <w:sz w:val="20"/>
          <w:szCs w:val="20"/>
          <w:i w:val="1"/>
          <w:iCs w:val="1"/>
          <w:color w:val="1E1E1E"/>
        </w:rPr>
        <w:t>Reference Rate Reform</w:t>
      </w:r>
      <w:r>
        <w:rPr>
          <w:rFonts w:ascii="Times New Roman" w:cs="Times New Roman" w:eastAsia="Times New Roman" w:hAnsi="Times New Roman"/>
          <w:sz w:val="20"/>
          <w:szCs w:val="20"/>
          <w:color w:val="1E1E1E"/>
        </w:rPr>
        <w:t>, in connection with amending its Term Loan Facility and ABL Facility agreements to replace the reference rate from LIBOR to Term SOFR to consider the amendments as a continuation of the existing contract without having to perform an assessment that would otherwise be required under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14. Fair Value Measurements</w:t>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240"/>
          </w:cols>
          <w:pgMar w:left="820" w:top="453" w:right="820" w:bottom="0" w:gutter="0" w:footer="0" w:header="0"/>
          <w:type w:val="continuous"/>
        </w:sectPr>
      </w:pPr>
    </w:p>
    <w:bookmarkStart w:id="86" w:name="page87"/>
    <w:bookmarkEnd w:id="86"/>
    <w:p>
      <w:pPr>
        <w:ind w:left="10" w:right="300"/>
        <w:spacing w:after="0" w:line="281" w:lineRule="auto"/>
        <w:rPr>
          <w:sz w:val="20"/>
          <w:szCs w:val="20"/>
          <w:color w:val="auto"/>
        </w:rPr>
      </w:pPr>
      <w:r>
        <w:rPr>
          <w:rFonts w:ascii="Times New Roman" w:cs="Times New Roman" w:eastAsia="Times New Roman" w:hAnsi="Times New Roman"/>
          <w:sz w:val="20"/>
          <w:szCs w:val="20"/>
          <w:color w:val="1E1E1E"/>
        </w:rPr>
        <w:t>The following table provides a summary of the principal value and estimated fair value of outstanding debt as of February 3, 2024 and January 28, 2023:</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1E1E1E"/>
                <w:w w:val="98"/>
              </w:rPr>
              <w:t>February 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1E1E1E"/>
              </w:rPr>
              <w:t>January 28,</w:t>
            </w:r>
          </w:p>
        </w:tc>
      </w:tr>
      <w:tr>
        <w:trPr>
          <w:trHeight w:val="214"/>
        </w:trPr>
        <w:tc>
          <w:tcPr>
            <w:tcW w:w="756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1E1E1E"/>
              </w:rPr>
              <w:t>2023</w:t>
            </w:r>
          </w:p>
        </w:tc>
      </w:tr>
      <w:tr>
        <w:trPr>
          <w:trHeight w:val="222"/>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1E1E1E"/>
              </w:rPr>
              <w:t>(in millions)</w:t>
            </w:r>
          </w:p>
        </w:tc>
      </w:tr>
      <w:tr>
        <w:trPr>
          <w:trHeight w:val="293"/>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Principal Value</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ind w:left="720"/>
              <w:spacing w:after="0"/>
              <w:rPr>
                <w:sz w:val="20"/>
                <w:szCs w:val="20"/>
                <w:color w:val="auto"/>
              </w:rPr>
            </w:pPr>
            <w:r>
              <w:rPr>
                <w:rFonts w:ascii="Times New Roman" w:cs="Times New Roman" w:eastAsia="Times New Roman" w:hAnsi="Times New Roman"/>
                <w:sz w:val="20"/>
                <w:szCs w:val="20"/>
                <w:color w:val="1E1E1E"/>
              </w:rPr>
              <w:t>991</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995</w:t>
            </w:r>
          </w:p>
        </w:tc>
      </w:tr>
      <w:tr>
        <w:trPr>
          <w:trHeight w:val="272"/>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Fair Value, Estimated (a)</w:t>
            </w:r>
          </w:p>
        </w:tc>
        <w:tc>
          <w:tcPr>
            <w:tcW w:w="200" w:type="dxa"/>
            <w:vAlign w:val="bottom"/>
          </w:tcPr>
          <w:p>
            <w:pPr>
              <w:spacing w:after="0"/>
              <w:rPr>
                <w:sz w:val="23"/>
                <w:szCs w:val="23"/>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20"/>
                <w:szCs w:val="20"/>
                <w:color w:val="1E1E1E"/>
              </w:rPr>
              <w:t>897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894</w:t>
            </w:r>
          </w:p>
        </w:tc>
      </w:tr>
      <w:tr>
        <w:trPr>
          <w:trHeight w:val="312"/>
        </w:trPr>
        <w:tc>
          <w:tcPr>
            <w:tcW w:w="7560" w:type="dxa"/>
            <w:vAlign w:val="bottom"/>
          </w:tcPr>
          <w:p>
            <w:pPr>
              <w:jc w:val="right"/>
              <w:ind w:right="5860"/>
              <w:spacing w:after="0"/>
              <w:rPr>
                <w:sz w:val="20"/>
                <w:szCs w:val="20"/>
                <w:color w:val="auto"/>
              </w:rPr>
            </w:pPr>
            <w:r>
              <w:rPr>
                <w:rFonts w:ascii="Times New Roman" w:cs="Times New Roman" w:eastAsia="Times New Roman" w:hAnsi="Times New Roman"/>
                <w:sz w:val="20"/>
                <w:szCs w:val="20"/>
                <w:color w:val="1E1E1E"/>
                <w:w w:val="98"/>
              </w:rPr>
              <w:t>________________</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70" w:right="780" w:hanging="370"/>
        <w:spacing w:after="0" w:line="255" w:lineRule="auto"/>
        <w:tabs>
          <w:tab w:leader="none" w:pos="370" w:val="left"/>
        </w:tabs>
        <w:numPr>
          <w:ilvl w:val="0"/>
          <w:numId w:val="4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20"/>
          <w:szCs w:val="20"/>
          <w:i w:val="1"/>
          <w:iCs w:val="1"/>
          <w:color w:val="1E1E1E"/>
        </w:rPr>
        <w:t>Fair Value Measurement</w:t>
      </w:r>
      <w:r>
        <w:rPr>
          <w:rFonts w:ascii="Times New Roman" w:cs="Times New Roman" w:eastAsia="Times New Roman" w:hAnsi="Times New Roman"/>
          <w:sz w:val="20"/>
          <w:szCs w:val="20"/>
          <w:color w:val="1E1E1E"/>
        </w:rPr>
        <w:t>. The estimates presented are not necessarily indicative of the amounts that the Company could realize in a current market exchange.</w:t>
      </w:r>
    </w:p>
    <w:p>
      <w:pPr>
        <w:spacing w:after="0" w:line="87" w:lineRule="exact"/>
        <w:rPr>
          <w:sz w:val="20"/>
          <w:szCs w:val="20"/>
          <w:color w:val="auto"/>
        </w:rPr>
      </w:pPr>
    </w:p>
    <w:p>
      <w:pPr>
        <w:jc w:val="both"/>
        <w:ind w:left="10" w:right="140"/>
        <w:spacing w:after="0" w:line="266" w:lineRule="auto"/>
        <w:rPr>
          <w:sz w:val="20"/>
          <w:szCs w:val="20"/>
          <w:color w:val="auto"/>
        </w:rPr>
      </w:pPr>
      <w:r>
        <w:rPr>
          <w:rFonts w:ascii="Times New Roman" w:cs="Times New Roman" w:eastAsia="Times New Roman" w:hAnsi="Times New Roman"/>
          <w:sz w:val="20"/>
          <w:szCs w:val="20"/>
          <w:color w:val="1E1E1E"/>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February 3, 2024 based on the terms of the borrowings under the ABL Facility.</w:t>
      </w:r>
    </w:p>
    <w:p>
      <w:pPr>
        <w:spacing w:after="0" w:line="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E1E1E"/>
        </w:rPr>
        <w:t>Recurring Fair Value Measurements</w:t>
      </w:r>
    </w:p>
    <w:p>
      <w:pPr>
        <w:spacing w:after="0" w:line="1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a summary of the Company's contingent consideration recognized at fair value related to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Adore Me acquisition as of February 3, 2024 and January 28, 2023 (in millions):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1E1E1E"/>
                <w:w w:val="98"/>
              </w:rPr>
              <w:t>February 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1E1E1E"/>
              </w:rPr>
              <w:t>Level 1</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1E1E1E"/>
              </w:rPr>
              <w:t>Level 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1E1E1E"/>
              </w:rPr>
              <w:t>Level 3</w:t>
            </w:r>
          </w:p>
        </w:tc>
        <w:tc>
          <w:tcPr>
            <w:tcW w:w="0" w:type="dxa"/>
            <w:vAlign w:val="bottom"/>
          </w:tcPr>
          <w:p>
            <w:pPr>
              <w:spacing w:after="0"/>
              <w:rPr>
                <w:sz w:val="1"/>
                <w:szCs w:val="1"/>
                <w:color w:val="auto"/>
              </w:rPr>
            </w:pPr>
          </w:p>
        </w:tc>
      </w:tr>
      <w:tr>
        <w:trPr>
          <w:trHeight w:val="214"/>
        </w:trPr>
        <w:tc>
          <w:tcPr>
            <w:tcW w:w="4680" w:type="dxa"/>
            <w:vAlign w:val="bottom"/>
            <w:tcBorders>
              <w:bottom w:val="single" w:sz="8" w:color="1E1E1E"/>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1E1E1E"/>
                <w:w w:val="99"/>
              </w:rPr>
              <w:t>2024</w:t>
            </w:r>
          </w:p>
        </w:tc>
        <w:tc>
          <w:tcPr>
            <w:tcW w:w="8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960" w:type="dxa"/>
            <w:vAlign w:val="bottom"/>
            <w:tcBorders>
              <w:bottom w:val="single" w:sz="8" w:color="1E1E1E"/>
            </w:tcBorders>
            <w:vMerge w:val="continue"/>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Accrued Expenses and Other</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3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ind w:left="76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272"/>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18</w:t>
            </w:r>
          </w:p>
        </w:tc>
        <w:tc>
          <w:tcPr>
            <w:tcW w:w="0" w:type="dxa"/>
            <w:vAlign w:val="bottom"/>
          </w:tcPr>
          <w:p>
            <w:pPr>
              <w:spacing w:after="0"/>
              <w:rPr>
                <w:sz w:val="1"/>
                <w:szCs w:val="1"/>
                <w:color w:val="auto"/>
              </w:rPr>
            </w:pPr>
          </w:p>
        </w:tc>
      </w:tr>
      <w:tr>
        <w:trPr>
          <w:trHeight w:val="394"/>
        </w:trPr>
        <w:tc>
          <w:tcPr>
            <w:tcW w:w="4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1E1E1E"/>
                <w:w w:val="98"/>
              </w:rPr>
              <w:t>January 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1E1E1E"/>
              </w:rPr>
              <w:t>Level 1</w:t>
            </w:r>
          </w:p>
        </w:tc>
        <w:tc>
          <w:tcPr>
            <w:tcW w:w="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1E1E1E"/>
              </w:rPr>
              <w:t>Level 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1E1E1E"/>
              </w:rPr>
              <w:t>Level 3</w:t>
            </w:r>
          </w:p>
        </w:tc>
        <w:tc>
          <w:tcPr>
            <w:tcW w:w="0" w:type="dxa"/>
            <w:vAlign w:val="bottom"/>
          </w:tcPr>
          <w:p>
            <w:pPr>
              <w:spacing w:after="0"/>
              <w:rPr>
                <w:sz w:val="1"/>
                <w:szCs w:val="1"/>
                <w:color w:val="auto"/>
              </w:rPr>
            </w:pPr>
          </w:p>
        </w:tc>
      </w:tr>
      <w:tr>
        <w:trPr>
          <w:trHeight w:val="214"/>
        </w:trPr>
        <w:tc>
          <w:tcPr>
            <w:tcW w:w="4680" w:type="dxa"/>
            <w:vAlign w:val="bottom"/>
            <w:tcBorders>
              <w:bottom w:val="single" w:sz="8" w:color="1E1E1E"/>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1E1E1E"/>
                <w:w w:val="99"/>
              </w:rPr>
              <w:t>2023</w:t>
            </w:r>
          </w:p>
        </w:tc>
        <w:tc>
          <w:tcPr>
            <w:tcW w:w="8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960" w:type="dxa"/>
            <w:vAlign w:val="bottom"/>
            <w:tcBorders>
              <w:bottom w:val="single" w:sz="8" w:color="1E1E1E"/>
            </w:tcBorders>
            <w:vMerge w:val="continue"/>
          </w:tcPr>
          <w:p>
            <w:pPr>
              <w:spacing w:after="0"/>
              <w:rPr>
                <w:sz w:val="18"/>
                <w:szCs w:val="18"/>
                <w:color w:val="auto"/>
              </w:rPr>
            </w:pPr>
          </w:p>
        </w:tc>
        <w:tc>
          <w:tcPr>
            <w:tcW w:w="36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040" w:type="dxa"/>
            <w:vAlign w:val="bottom"/>
            <w:tcBorders>
              <w:bottom w:val="single" w:sz="8" w:color="1E1E1E"/>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Accrued Expenses and Other</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360" w:type="dxa"/>
            <w:vAlign w:val="bottom"/>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ind w:left="76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r>
        <w:trPr>
          <w:trHeight w:val="272"/>
        </w:trPr>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-1124585</wp:posOffset>
            </wp:positionV>
            <wp:extent cx="6565900"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-378460</wp:posOffset>
            </wp:positionV>
            <wp:extent cx="6565900"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5">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131"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1E1E1E"/>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20"/>
          <w:szCs w:val="20"/>
          <w:i w:val="1"/>
          <w:iCs w:val="1"/>
          <w:color w:val="1E1E1E"/>
        </w:rPr>
        <w:t>Fair Value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Measurement</w:t>
      </w:r>
      <w:r>
        <w:rPr>
          <w:rFonts w:ascii="Times New Roman" w:cs="Times New Roman" w:eastAsia="Times New Roman" w:hAnsi="Times New Roman"/>
          <w:sz w:val="20"/>
          <w:szCs w:val="20"/>
          <w:color w:val="1E1E1E"/>
        </w:rPr>
        <w:t>. Changes in the fair value of the contingent consideration are recorded within General, Administrative and Store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Operating Expenses on the Consolidated and Combined Statements of Income. For additional information regarding the contingent consideration, see Note 2, “Acquisition.”</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15. Comprehensive Income (Loss)</w:t>
      </w:r>
    </w:p>
    <w:p>
      <w:pPr>
        <w:spacing w:after="0" w:line="137" w:lineRule="exact"/>
        <w:rPr>
          <w:sz w:val="20"/>
          <w:szCs w:val="20"/>
          <w:color w:val="auto"/>
        </w:rPr>
      </w:pPr>
    </w:p>
    <w:p>
      <w:pPr>
        <w:ind w:left="10" w:right="400"/>
        <w:spacing w:after="0" w:line="266" w:lineRule="auto"/>
        <w:rPr>
          <w:sz w:val="20"/>
          <w:szCs w:val="20"/>
          <w:color w:val="auto"/>
        </w:rPr>
      </w:pPr>
      <w:r>
        <w:rPr>
          <w:rFonts w:ascii="Times New Roman" w:cs="Times New Roman" w:eastAsia="Times New Roman" w:hAnsi="Times New Roman"/>
          <w:sz w:val="20"/>
          <w:szCs w:val="20"/>
          <w:color w:val="1E1E1E"/>
        </w:rPr>
        <w:t>Comprehensive Income (Loss) includes gains and losses on foreign currency translation and derivative instruments. The cumulative gains and losses on these items are included in Accumulated Other Comprehensive Income on the Consolidated Balance Sheets and Consolidated and Combined Statements of Equity.</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following table provides the rollforward of accumulated other comprehensive income for 2023:</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6"/>
                <w:szCs w:val="16"/>
                <w:b w:val="1"/>
                <w:bCs w:val="1"/>
                <w:color w:val="1E1E1E"/>
                <w:w w:val="97"/>
              </w:rPr>
              <w:t>Foreign</w:t>
            </w:r>
          </w:p>
        </w:tc>
        <w:tc>
          <w:tcPr>
            <w:tcW w:w="10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0" w:type="dxa"/>
            <w:vAlign w:val="bottom"/>
          </w:tcPr>
          <w:p>
            <w:pPr>
              <w:spacing w:after="0"/>
              <w:rPr>
                <w:sz w:val="1"/>
                <w:szCs w:val="1"/>
                <w:color w:val="auto"/>
              </w:rPr>
            </w:pPr>
          </w:p>
        </w:tc>
      </w:tr>
      <w:tr>
        <w:trPr>
          <w:trHeight w:val="160"/>
        </w:trPr>
        <w:tc>
          <w:tcPr>
            <w:tcW w:w="7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left="240"/>
              <w:spacing w:after="0" w:line="160" w:lineRule="exact"/>
              <w:rPr>
                <w:sz w:val="20"/>
                <w:szCs w:val="20"/>
                <w:color w:val="auto"/>
              </w:rPr>
            </w:pPr>
            <w:r>
              <w:rPr>
                <w:rFonts w:ascii="Times New Roman" w:cs="Times New Roman" w:eastAsia="Times New Roman" w:hAnsi="Times New Roman"/>
                <w:sz w:val="16"/>
                <w:szCs w:val="16"/>
                <w:b w:val="1"/>
                <w:bCs w:val="1"/>
                <w:color w:val="1E1E1E"/>
                <w:w w:val="97"/>
              </w:rPr>
              <w:t>Other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1E1E1E"/>
              </w:rPr>
              <w:t>Currency</w:t>
            </w:r>
          </w:p>
        </w:tc>
        <w:tc>
          <w:tcPr>
            <w:tcW w:w="10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Comprehensive</w:t>
            </w:r>
          </w:p>
        </w:tc>
        <w:tc>
          <w:tcPr>
            <w:tcW w:w="0" w:type="dxa"/>
            <w:vAlign w:val="bottom"/>
          </w:tcPr>
          <w:p>
            <w:pPr>
              <w:spacing w:after="0"/>
              <w:rPr>
                <w:sz w:val="1"/>
                <w:szCs w:val="1"/>
                <w:color w:val="auto"/>
              </w:rPr>
            </w:pPr>
          </w:p>
        </w:tc>
      </w:tr>
      <w:tr>
        <w:trPr>
          <w:trHeight w:val="214"/>
        </w:trPr>
        <w:tc>
          <w:tcPr>
            <w:tcW w:w="7960" w:type="dxa"/>
            <w:vAlign w:val="bottom"/>
          </w:tcPr>
          <w:p>
            <w:pPr>
              <w:spacing w:after="0"/>
              <w:rPr>
                <w:sz w:val="18"/>
                <w:szCs w:val="18"/>
                <w:color w:val="auto"/>
              </w:rPr>
            </w:pPr>
          </w:p>
        </w:tc>
        <w:tc>
          <w:tcPr>
            <w:tcW w:w="10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Translation</w:t>
            </w:r>
          </w:p>
        </w:tc>
        <w:tc>
          <w:tcPr>
            <w:tcW w:w="100" w:type="dxa"/>
            <w:vAlign w:val="bottom"/>
          </w:tcPr>
          <w:p>
            <w:pPr>
              <w:spacing w:after="0"/>
              <w:rPr>
                <w:sz w:val="18"/>
                <w:szCs w:val="18"/>
                <w:color w:val="auto"/>
              </w:rPr>
            </w:pPr>
          </w:p>
        </w:tc>
        <w:tc>
          <w:tcPr>
            <w:tcW w:w="880" w:type="dxa"/>
            <w:vAlign w:val="bottom"/>
            <w:tcBorders>
              <w:bottom w:val="single" w:sz="8" w:color="1E1E1E"/>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1E1E1E"/>
              </w:rPr>
              <w:t>Income</w:t>
            </w:r>
          </w:p>
        </w:tc>
        <w:tc>
          <w:tcPr>
            <w:tcW w:w="3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79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28, 2023</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980" w:type="dxa"/>
            <w:vAlign w:val="bottom"/>
            <w:gridSpan w:val="2"/>
            <w:shd w:val="clear" w:color="auto" w:fill="E2E2E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94"/>
        </w:trPr>
        <w:tc>
          <w:tcPr>
            <w:tcW w:w="796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Other Comprehensive Loss Before Reclassifications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96"/>
        </w:trPr>
        <w:tc>
          <w:tcPr>
            <w:tcW w:w="79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Tax Effect</w:t>
            </w:r>
          </w:p>
        </w:tc>
        <w:tc>
          <w:tcPr>
            <w:tcW w:w="1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0" w:type="dxa"/>
            <w:vAlign w:val="bottom"/>
          </w:tcPr>
          <w:p>
            <w:pPr>
              <w:spacing w:after="0"/>
              <w:rPr>
                <w:sz w:val="1"/>
                <w:szCs w:val="1"/>
                <w:color w:val="auto"/>
              </w:rPr>
            </w:pPr>
          </w:p>
        </w:tc>
      </w:tr>
      <w:tr>
        <w:trPr>
          <w:trHeight w:val="280"/>
        </w:trPr>
        <w:tc>
          <w:tcPr>
            <w:tcW w:w="79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Current-period Other Comprehensive Loss</w:t>
            </w:r>
          </w:p>
        </w:tc>
        <w:tc>
          <w:tcPr>
            <w:tcW w:w="1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tcBorders>
              <w:bottom w:val="single" w:sz="8" w:color="E2E2E2"/>
            </w:tcBorders>
          </w:tcPr>
          <w:p>
            <w:pPr>
              <w:spacing w:after="0"/>
              <w:rPr>
                <w:sz w:val="24"/>
                <w:szCs w:val="24"/>
                <w:color w:val="auto"/>
              </w:rPr>
            </w:pPr>
          </w:p>
        </w:tc>
        <w:tc>
          <w:tcPr>
            <w:tcW w:w="880" w:type="dxa"/>
            <w:vAlign w:val="bottom"/>
            <w:tcBorders>
              <w:bottom w:val="single" w:sz="8" w:color="1E1E1E"/>
            </w:tcBorders>
          </w:tcPr>
          <w:p>
            <w:pPr>
              <w:spacing w:after="0"/>
              <w:rPr>
                <w:sz w:val="24"/>
                <w:szCs w:val="24"/>
                <w:color w:val="auto"/>
              </w:rPr>
            </w:pPr>
          </w:p>
        </w:tc>
        <w:tc>
          <w:tcPr>
            <w:tcW w:w="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80"/>
        </w:trPr>
        <w:tc>
          <w:tcPr>
            <w:tcW w:w="79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February 3, 2024</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gridSpan w:val="2"/>
            <w:shd w:val="clear" w:color="auto" w:fill="E2E2E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E2E2E2"/>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5689600</wp:posOffset>
                </wp:positionH>
                <wp:positionV relativeFrom="paragraph">
                  <wp:posOffset>-406400</wp:posOffset>
                </wp:positionV>
                <wp:extent cx="12700" cy="1270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2E2E2"/>
                        </a:solidFill>
                      </wps:spPr>
                      <wps:bodyPr/>
                    </wps:wsp>
                  </a:graphicData>
                </a:graphic>
              </wp:anchor>
            </w:drawing>
          </mc:Choice>
          <mc:Fallback>
            <w:pict>
              <v:rect id="Shape 180" o:spid="_x0000_s1205" style="position:absolute;margin-left:448pt;margin-top:-32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5050790</wp:posOffset>
                </wp:positionH>
                <wp:positionV relativeFrom="paragraph">
                  <wp:posOffset>-406400</wp:posOffset>
                </wp:positionV>
                <wp:extent cx="12700" cy="1270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2E2E2"/>
                        </a:solidFill>
                      </wps:spPr>
                      <wps:bodyPr/>
                    </wps:wsp>
                  </a:graphicData>
                </a:graphic>
              </wp:anchor>
            </w:drawing>
          </mc:Choice>
          <mc:Fallback>
            <w:pict>
              <v:rect id="Shape 181" o:spid="_x0000_s1206" style="position:absolute;margin-left:397.7pt;margin-top:-32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5755640</wp:posOffset>
                </wp:positionH>
                <wp:positionV relativeFrom="paragraph">
                  <wp:posOffset>-406400</wp:posOffset>
                </wp:positionV>
                <wp:extent cx="13335" cy="127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82" o:spid="_x0000_s1207" style="position:absolute;margin-left:453.2pt;margin-top:-32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5689600</wp:posOffset>
                </wp:positionH>
                <wp:positionV relativeFrom="paragraph">
                  <wp:posOffset>-215265</wp:posOffset>
                </wp:positionV>
                <wp:extent cx="12700" cy="1270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2E2E2"/>
                        </a:solidFill>
                      </wps:spPr>
                      <wps:bodyPr/>
                    </wps:wsp>
                  </a:graphicData>
                </a:graphic>
              </wp:anchor>
            </w:drawing>
          </mc:Choice>
          <mc:Fallback>
            <w:pict>
              <v:rect id="Shape 183" o:spid="_x0000_s1208" style="position:absolute;margin-left:448pt;margin-top:-16.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5050790</wp:posOffset>
                </wp:positionH>
                <wp:positionV relativeFrom="paragraph">
                  <wp:posOffset>-215265</wp:posOffset>
                </wp:positionV>
                <wp:extent cx="12700" cy="1270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2E2E2"/>
                        </a:solidFill>
                      </wps:spPr>
                      <wps:bodyPr/>
                    </wps:wsp>
                  </a:graphicData>
                </a:graphic>
              </wp:anchor>
            </w:drawing>
          </mc:Choice>
          <mc:Fallback>
            <w:pict>
              <v:rect id="Shape 184" o:spid="_x0000_s1209" style="position:absolute;margin-left:397.7pt;margin-top:-16.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5755640</wp:posOffset>
                </wp:positionH>
                <wp:positionV relativeFrom="paragraph">
                  <wp:posOffset>-215265</wp:posOffset>
                </wp:positionV>
                <wp:extent cx="13335" cy="1270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2E2E2"/>
                        </a:solidFill>
                      </wps:spPr>
                      <wps:bodyPr/>
                    </wps:wsp>
                  </a:graphicData>
                </a:graphic>
              </wp:anchor>
            </w:drawing>
          </mc:Choice>
          <mc:Fallback>
            <w:pict>
              <v:rect id="Shape 185" o:spid="_x0000_s1210" style="position:absolute;margin-left:453.2pt;margin-top:-16.9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drawing>
          <wp:anchor simplePos="0" relativeHeight="251657728" behindDoc="1" locked="0" layoutInCell="0" allowOverlap="1">
            <wp:simplePos x="0" y="0"/>
            <wp:positionH relativeFrom="column">
              <wp:posOffset>5032375</wp:posOffset>
            </wp:positionH>
            <wp:positionV relativeFrom="paragraph">
              <wp:posOffset>-56515</wp:posOffset>
            </wp:positionV>
            <wp:extent cx="1508125" cy="76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36">
                      <a:extLst>
                        <a:ext uri="{28A0092B-C50C-407E-A947-70E740481C1C}"/>
                      </a:extLst>
                    </a:blip>
                    <a:srcRect/>
                    <a:stretch>
                      <a:fillRect/>
                    </a:stretch>
                  </pic:blipFill>
                  <pic:spPr bwMode="auto">
                    <a:xfrm>
                      <a:off x="0" y="0"/>
                      <a:ext cx="1508125" cy="76200"/>
                    </a:xfrm>
                    <a:prstGeom prst="rect">
                      <a:avLst/>
                    </a:prstGeom>
                    <a:noFill/>
                  </pic:spPr>
                </pic:pic>
              </a:graphicData>
            </a:graphic>
          </wp:anchor>
        </w:drawing>
      </w:r>
    </w:p>
    <w:p>
      <w:pPr>
        <w:sectPr>
          <w:pgSz w:w="11880" w:h="15480" w:orient="portrait"/>
          <w:cols w:equalWidth="0" w:num="1">
            <w:col w:w="10270"/>
          </w:cols>
          <w:pgMar w:left="81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270"/>
          </w:cols>
          <w:pgMar w:left="810" w:top="453" w:right="8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1E1E1E"/>
        </w:rPr>
        <w:t>The following table provides the rollforward of accumulated other comprehensive income for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center"/>
              <w:ind w:right="67"/>
              <w:spacing w:after="0"/>
              <w:rPr>
                <w:sz w:val="20"/>
                <w:szCs w:val="20"/>
                <w:color w:val="auto"/>
              </w:rPr>
            </w:pPr>
            <w:r>
              <w:rPr>
                <w:rFonts w:ascii="Times New Roman" w:cs="Times New Roman" w:eastAsia="Times New Roman" w:hAnsi="Times New Roman"/>
                <w:sz w:val="16"/>
                <w:szCs w:val="16"/>
                <w:b w:val="1"/>
                <w:bCs w:val="1"/>
                <w:color w:val="1E1E1E"/>
                <w:w w:val="97"/>
              </w:rPr>
              <w:t>Foreign</w:t>
            </w:r>
          </w:p>
        </w:tc>
        <w:tc>
          <w:tcPr>
            <w:tcW w:w="12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left="240"/>
              <w:spacing w:after="0" w:line="160" w:lineRule="exact"/>
              <w:rPr>
                <w:sz w:val="20"/>
                <w:szCs w:val="20"/>
                <w:color w:val="auto"/>
              </w:rPr>
            </w:pPr>
            <w:r>
              <w:rPr>
                <w:rFonts w:ascii="Times New Roman" w:cs="Times New Roman" w:eastAsia="Times New Roman" w:hAnsi="Times New Roman"/>
                <w:sz w:val="16"/>
                <w:szCs w:val="16"/>
                <w:b w:val="1"/>
                <w:bCs w:val="1"/>
                <w:color w:val="1E1E1E"/>
                <w:w w:val="97"/>
              </w:rPr>
              <w:t>Other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47"/>
              <w:spacing w:after="0" w:line="160" w:lineRule="exact"/>
              <w:rPr>
                <w:sz w:val="20"/>
                <w:szCs w:val="20"/>
                <w:color w:val="auto"/>
              </w:rPr>
            </w:pPr>
            <w:r>
              <w:rPr>
                <w:rFonts w:ascii="Times New Roman" w:cs="Times New Roman" w:eastAsia="Times New Roman" w:hAnsi="Times New Roman"/>
                <w:sz w:val="16"/>
                <w:szCs w:val="16"/>
                <w:b w:val="1"/>
                <w:bCs w:val="1"/>
                <w:color w:val="1E1E1E"/>
              </w:rPr>
              <w:t>Currency</w:t>
            </w:r>
          </w:p>
        </w:tc>
        <w:tc>
          <w:tcPr>
            <w:tcW w:w="12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Comprehensive</w:t>
            </w:r>
          </w:p>
        </w:tc>
        <w:tc>
          <w:tcPr>
            <w:tcW w:w="0" w:type="dxa"/>
            <w:vAlign w:val="bottom"/>
          </w:tcPr>
          <w:p>
            <w:pPr>
              <w:spacing w:after="0"/>
              <w:rPr>
                <w:sz w:val="1"/>
                <w:szCs w:val="1"/>
                <w:color w:val="auto"/>
              </w:rPr>
            </w:pPr>
          </w:p>
        </w:tc>
      </w:tr>
      <w:tr>
        <w:trPr>
          <w:trHeight w:val="214"/>
        </w:trPr>
        <w:tc>
          <w:tcPr>
            <w:tcW w:w="7940" w:type="dxa"/>
            <w:vAlign w:val="bottom"/>
          </w:tcPr>
          <w:p>
            <w:pPr>
              <w:spacing w:after="0"/>
              <w:rPr>
                <w:sz w:val="18"/>
                <w:szCs w:val="18"/>
                <w:color w:val="auto"/>
              </w:rPr>
            </w:pPr>
          </w:p>
        </w:tc>
        <w:tc>
          <w:tcPr>
            <w:tcW w:w="10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Translation</w:t>
            </w:r>
          </w:p>
        </w:tc>
        <w:tc>
          <w:tcPr>
            <w:tcW w:w="120" w:type="dxa"/>
            <w:vAlign w:val="bottom"/>
          </w:tcPr>
          <w:p>
            <w:pPr>
              <w:spacing w:after="0"/>
              <w:rPr>
                <w:sz w:val="18"/>
                <w:szCs w:val="18"/>
                <w:color w:val="auto"/>
              </w:rPr>
            </w:pPr>
          </w:p>
        </w:tc>
        <w:tc>
          <w:tcPr>
            <w:tcW w:w="880" w:type="dxa"/>
            <w:vAlign w:val="bottom"/>
            <w:tcBorders>
              <w:bottom w:val="single" w:sz="8" w:color="1E1E1E"/>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1E1E1E"/>
              </w:rPr>
              <w:t>Income</w:t>
            </w:r>
          </w:p>
        </w:tc>
        <w:tc>
          <w:tcPr>
            <w:tcW w:w="3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7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29, 2022</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000" w:type="dxa"/>
            <w:vAlign w:val="bottom"/>
            <w:gridSpan w:val="2"/>
            <w:shd w:val="clear" w:color="auto" w:fill="E2E2E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0" w:type="dxa"/>
            <w:vAlign w:val="bottom"/>
          </w:tcPr>
          <w:p>
            <w:pPr>
              <w:spacing w:after="0"/>
              <w:rPr>
                <w:sz w:val="1"/>
                <w:szCs w:val="1"/>
                <w:color w:val="auto"/>
              </w:rPr>
            </w:pPr>
          </w:p>
        </w:tc>
      </w:tr>
      <w:tr>
        <w:trPr>
          <w:trHeight w:val="293"/>
        </w:trPr>
        <w:tc>
          <w:tcPr>
            <w:tcW w:w="794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Other Comprehensive Loss Before Reclassifications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0" w:type="dxa"/>
            <w:vAlign w:val="bottom"/>
          </w:tcPr>
          <w:p>
            <w:pPr>
              <w:spacing w:after="0"/>
              <w:rPr>
                <w:sz w:val="1"/>
                <w:szCs w:val="1"/>
                <w:color w:val="auto"/>
              </w:rPr>
            </w:pPr>
          </w:p>
        </w:tc>
      </w:tr>
      <w:tr>
        <w:trPr>
          <w:trHeight w:val="292"/>
        </w:trPr>
        <w:tc>
          <w:tcPr>
            <w:tcW w:w="794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Amounts Reclassified from Accumulated Other Comprehensive Income to Paid-in Capital</w:t>
            </w:r>
          </w:p>
        </w:tc>
        <w:tc>
          <w:tcPr>
            <w:tcW w:w="1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2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0" w:type="dxa"/>
            <w:vAlign w:val="bottom"/>
          </w:tcPr>
          <w:p>
            <w:pPr>
              <w:spacing w:after="0"/>
              <w:rPr>
                <w:sz w:val="1"/>
                <w:szCs w:val="1"/>
                <w:color w:val="auto"/>
              </w:rPr>
            </w:pPr>
          </w:p>
        </w:tc>
      </w:tr>
      <w:tr>
        <w:trPr>
          <w:trHeight w:val="275"/>
        </w:trPr>
        <w:tc>
          <w:tcPr>
            <w:tcW w:w="794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Tax Effect</w:t>
            </w:r>
          </w:p>
        </w:tc>
        <w:tc>
          <w:tcPr>
            <w:tcW w:w="160" w:type="dxa"/>
            <w:vAlign w:val="bottom"/>
            <w:tcBorders>
              <w:bottom w:val="single" w:sz="8" w:color="1E1E1E"/>
            </w:tcBorders>
          </w:tcPr>
          <w:p>
            <w:pPr>
              <w:spacing w:after="0"/>
              <w:rPr>
                <w:sz w:val="23"/>
                <w:szCs w:val="23"/>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tcPr>
          <w:p>
            <w:pPr>
              <w:spacing w:after="0"/>
              <w:rPr>
                <w:sz w:val="23"/>
                <w:szCs w:val="23"/>
                <w:color w:val="auto"/>
              </w:rPr>
            </w:pPr>
          </w:p>
        </w:tc>
        <w:tc>
          <w:tcPr>
            <w:tcW w:w="880" w:type="dxa"/>
            <w:vAlign w:val="bottom"/>
            <w:tcBorders>
              <w:bottom w:val="single" w:sz="8" w:color="1E1E1E"/>
            </w:tcBorders>
          </w:tcPr>
          <w:p>
            <w:pPr>
              <w:spacing w:after="0"/>
              <w:rPr>
                <w:sz w:val="23"/>
                <w:szCs w:val="23"/>
                <w:color w:val="auto"/>
              </w:rPr>
            </w:pPr>
          </w:p>
        </w:tc>
        <w:tc>
          <w:tcPr>
            <w:tcW w:w="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0" w:type="dxa"/>
            <w:vAlign w:val="bottom"/>
          </w:tcPr>
          <w:p>
            <w:pPr>
              <w:spacing w:after="0"/>
              <w:rPr>
                <w:sz w:val="1"/>
                <w:szCs w:val="1"/>
                <w:color w:val="auto"/>
              </w:rPr>
            </w:pPr>
          </w:p>
        </w:tc>
      </w:tr>
      <w:tr>
        <w:trPr>
          <w:trHeight w:val="283"/>
        </w:trPr>
        <w:tc>
          <w:tcPr>
            <w:tcW w:w="79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Current-period Other Comprehensive Loss</w:t>
            </w:r>
          </w:p>
        </w:tc>
        <w:tc>
          <w:tcPr>
            <w:tcW w:w="1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2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242"/>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28, 2023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-415290</wp:posOffset>
            </wp:positionV>
            <wp:extent cx="73977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7">
                      <a:extLst>
                        <a:ext uri="{28A0092B-C50C-407E-A947-70E740481C1C}"/>
                      </a:extLst>
                    </a:blip>
                    <a:srcRect/>
                    <a:stretch>
                      <a:fillRect/>
                    </a:stretch>
                  </pic:blipFill>
                  <pic:spPr bwMode="auto">
                    <a:xfrm>
                      <a:off x="0" y="0"/>
                      <a:ext cx="739775" cy="508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-234315</wp:posOffset>
            </wp:positionV>
            <wp:extent cx="73977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38">
                      <a:extLst>
                        <a:ext uri="{28A0092B-C50C-407E-A947-70E740481C1C}"/>
                      </a:extLst>
                    </a:blip>
                    <a:srcRect/>
                    <a:stretch>
                      <a:fillRect/>
                    </a:stretch>
                  </pic:blipFill>
                  <pic:spPr bwMode="auto">
                    <a:xfrm>
                      <a:off x="0" y="0"/>
                      <a:ext cx="739775" cy="50800"/>
                    </a:xfrm>
                    <a:prstGeom prst="rect">
                      <a:avLst/>
                    </a:prstGeom>
                    <a:noFill/>
                  </pic:spPr>
                </pic:pic>
              </a:graphicData>
            </a:graphic>
          </wp:anchor>
        </w:drawing>
      </w:r>
    </w:p>
    <w:p>
      <w:pPr>
        <w:spacing w:after="0" w:line="8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1E1E1E"/>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6, “Restructuring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the rollforward of accumulated other comprehensive income for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6"/>
                <w:szCs w:val="16"/>
                <w:b w:val="1"/>
                <w:bCs w:val="1"/>
                <w:color w:val="1E1E1E"/>
                <w:w w:val="97"/>
              </w:rPr>
              <w:t>Foreign</w:t>
            </w:r>
          </w:p>
        </w:tc>
        <w:tc>
          <w:tcPr>
            <w:tcW w:w="1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0" w:type="dxa"/>
            <w:vAlign w:val="bottom"/>
          </w:tcPr>
          <w:p>
            <w:pPr>
              <w:spacing w:after="0"/>
              <w:rPr>
                <w:sz w:val="1"/>
                <w:szCs w:val="1"/>
                <w:color w:val="auto"/>
              </w:rPr>
            </w:pPr>
          </w:p>
        </w:tc>
      </w:tr>
      <w:tr>
        <w:trPr>
          <w:trHeight w:val="160"/>
        </w:trPr>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left="240"/>
              <w:spacing w:after="0" w:line="160" w:lineRule="exact"/>
              <w:rPr>
                <w:sz w:val="20"/>
                <w:szCs w:val="20"/>
                <w:color w:val="auto"/>
              </w:rPr>
            </w:pPr>
            <w:r>
              <w:rPr>
                <w:rFonts w:ascii="Times New Roman" w:cs="Times New Roman" w:eastAsia="Times New Roman" w:hAnsi="Times New Roman"/>
                <w:sz w:val="16"/>
                <w:szCs w:val="16"/>
                <w:b w:val="1"/>
                <w:bCs w:val="1"/>
                <w:color w:val="1E1E1E"/>
                <w:w w:val="97"/>
              </w:rPr>
              <w:t>Other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6"/>
                <w:szCs w:val="16"/>
                <w:b w:val="1"/>
                <w:bCs w:val="1"/>
                <w:color w:val="1E1E1E"/>
              </w:rPr>
              <w:t>Currency</w:t>
            </w:r>
          </w:p>
        </w:tc>
        <w:tc>
          <w:tcPr>
            <w:tcW w:w="120" w:type="dxa"/>
            <w:vAlign w:val="bottom"/>
          </w:tcPr>
          <w:p>
            <w:pPr>
              <w:spacing w:after="0"/>
              <w:rPr>
                <w:sz w:val="13"/>
                <w:szCs w:val="13"/>
                <w:color w:val="auto"/>
              </w:rPr>
            </w:pPr>
          </w:p>
        </w:tc>
        <w:tc>
          <w:tcPr>
            <w:tcW w:w="12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1E1E1E"/>
              </w:rPr>
              <w:t>Comprehensive</w:t>
            </w:r>
          </w:p>
        </w:tc>
        <w:tc>
          <w:tcPr>
            <w:tcW w:w="0" w:type="dxa"/>
            <w:vAlign w:val="bottom"/>
          </w:tcPr>
          <w:p>
            <w:pPr>
              <w:spacing w:after="0"/>
              <w:rPr>
                <w:sz w:val="1"/>
                <w:szCs w:val="1"/>
                <w:color w:val="auto"/>
              </w:rPr>
            </w:pPr>
          </w:p>
        </w:tc>
      </w:tr>
      <w:tr>
        <w:trPr>
          <w:trHeight w:val="214"/>
        </w:trPr>
        <w:tc>
          <w:tcPr>
            <w:tcW w:w="7940" w:type="dxa"/>
            <w:vAlign w:val="bottom"/>
          </w:tcPr>
          <w:p>
            <w:pPr>
              <w:spacing w:after="0"/>
              <w:rPr>
                <w:sz w:val="18"/>
                <w:szCs w:val="18"/>
                <w:color w:val="auto"/>
              </w:rPr>
            </w:pPr>
          </w:p>
        </w:tc>
        <w:tc>
          <w:tcPr>
            <w:tcW w:w="10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Translation</w:t>
            </w:r>
          </w:p>
        </w:tc>
        <w:tc>
          <w:tcPr>
            <w:tcW w:w="120" w:type="dxa"/>
            <w:vAlign w:val="bottom"/>
          </w:tcPr>
          <w:p>
            <w:pPr>
              <w:spacing w:after="0"/>
              <w:rPr>
                <w:sz w:val="18"/>
                <w:szCs w:val="18"/>
                <w:color w:val="auto"/>
              </w:rPr>
            </w:pPr>
          </w:p>
        </w:tc>
        <w:tc>
          <w:tcPr>
            <w:tcW w:w="880" w:type="dxa"/>
            <w:vAlign w:val="bottom"/>
            <w:tcBorders>
              <w:bottom w:val="single" w:sz="8" w:color="1E1E1E"/>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1E1E1E"/>
              </w:rPr>
              <w:t>Income</w:t>
            </w:r>
          </w:p>
        </w:tc>
        <w:tc>
          <w:tcPr>
            <w:tcW w:w="32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7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30, 2021</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000" w:type="dxa"/>
            <w:vAlign w:val="bottom"/>
            <w:gridSpan w:val="2"/>
            <w:shd w:val="clear" w:color="auto" w:fill="E2E2E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293"/>
        </w:trPr>
        <w:tc>
          <w:tcPr>
            <w:tcW w:w="794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Other Comprehensive Income Before Reclassifications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300"/>
        </w:trPr>
        <w:tc>
          <w:tcPr>
            <w:tcW w:w="794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Tax Effect</w:t>
            </w:r>
          </w:p>
        </w:tc>
        <w:tc>
          <w:tcPr>
            <w:tcW w:w="16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0" w:type="dxa"/>
            <w:vAlign w:val="bottom"/>
          </w:tcPr>
          <w:p>
            <w:pPr>
              <w:spacing w:after="0"/>
              <w:rPr>
                <w:sz w:val="1"/>
                <w:szCs w:val="1"/>
                <w:color w:val="auto"/>
              </w:rPr>
            </w:pPr>
          </w:p>
        </w:tc>
      </w:tr>
      <w:tr>
        <w:trPr>
          <w:trHeight w:val="247"/>
        </w:trPr>
        <w:tc>
          <w:tcPr>
            <w:tcW w:w="79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Current-period Other Comprehensive Income</w:t>
            </w:r>
          </w:p>
        </w:tc>
        <w:tc>
          <w:tcPr>
            <w:tcW w:w="1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20" w:type="dxa"/>
            <w:vAlign w:val="bottom"/>
            <w:tcBorders>
              <w:bottom w:val="single" w:sz="8" w:color="E2E2E2"/>
            </w:tcBorders>
          </w:tcPr>
          <w:p>
            <w:pPr>
              <w:spacing w:after="0"/>
              <w:rPr>
                <w:sz w:val="21"/>
                <w:szCs w:val="21"/>
                <w:color w:val="auto"/>
              </w:rPr>
            </w:pPr>
          </w:p>
        </w:tc>
        <w:tc>
          <w:tcPr>
            <w:tcW w:w="880" w:type="dxa"/>
            <w:vAlign w:val="bottom"/>
            <w:tcBorders>
              <w:bottom w:val="single" w:sz="8" w:color="1E1E1E"/>
            </w:tcBorders>
          </w:tcPr>
          <w:p>
            <w:pPr>
              <w:spacing w:after="0"/>
              <w:rPr>
                <w:sz w:val="21"/>
                <w:szCs w:val="21"/>
                <w:color w:val="auto"/>
              </w:rPr>
            </w:pPr>
          </w:p>
        </w:tc>
        <w:tc>
          <w:tcPr>
            <w:tcW w:w="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80"/>
        </w:trPr>
        <w:tc>
          <w:tcPr>
            <w:tcW w:w="7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as of January 29, 2022</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000" w:type="dxa"/>
            <w:vAlign w:val="bottom"/>
            <w:gridSpan w:val="2"/>
            <w:shd w:val="clear" w:color="auto" w:fill="E2E2E2"/>
          </w:tcPr>
          <w:p>
            <w:pPr>
              <w:jc w:val="right"/>
              <w:ind w:right="64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0" w:type="dxa"/>
            <w:vAlign w:val="bottom"/>
          </w:tcPr>
          <w:p>
            <w:pPr>
              <w:spacing w:after="0"/>
              <w:rPr>
                <w:sz w:val="1"/>
                <w:szCs w:val="1"/>
                <w:color w:val="auto"/>
              </w:rPr>
            </w:pPr>
          </w:p>
        </w:tc>
      </w:tr>
      <w:tr>
        <w:trPr>
          <w:trHeight w:val="20"/>
        </w:trPr>
        <w:tc>
          <w:tcPr>
            <w:tcW w:w="794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-415290</wp:posOffset>
            </wp:positionV>
            <wp:extent cx="73977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39">
                      <a:extLst>
                        <a:ext uri="{28A0092B-C50C-407E-A947-70E740481C1C}"/>
                      </a:extLst>
                    </a:blip>
                    <a:srcRect/>
                    <a:stretch>
                      <a:fillRect/>
                    </a:stretch>
                  </pic:blipFill>
                  <pic:spPr bwMode="auto">
                    <a:xfrm>
                      <a:off x="0" y="0"/>
                      <a:ext cx="739775" cy="508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-234315</wp:posOffset>
            </wp:positionV>
            <wp:extent cx="73977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0">
                      <a:extLst>
                        <a:ext uri="{28A0092B-C50C-407E-A947-70E740481C1C}"/>
                      </a:extLst>
                    </a:blip>
                    <a:srcRect/>
                    <a:stretch>
                      <a:fillRect/>
                    </a:stretch>
                  </pic:blipFill>
                  <pic:spPr bwMode="auto">
                    <a:xfrm>
                      <a:off x="0" y="0"/>
                      <a:ext cx="739775" cy="50800"/>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-56515</wp:posOffset>
            </wp:positionV>
            <wp:extent cx="1517650" cy="762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1">
                      <a:extLst>
                        <a:ext uri="{28A0092B-C50C-407E-A947-70E740481C1C}"/>
                      </a:extLst>
                    </a:blip>
                    <a:srcRect/>
                    <a:stretch>
                      <a:fillRect/>
                    </a:stretch>
                  </pic:blipFill>
                  <pic:spPr bwMode="auto">
                    <a:xfrm>
                      <a:off x="0" y="0"/>
                      <a:ext cx="1517650" cy="762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16. Commitments and Contingencies</w:t>
      </w:r>
    </w:p>
    <w:p>
      <w:pPr>
        <w:spacing w:after="0" w:line="13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1E1E1E"/>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Occupancy-related Legal Matter</w:t>
      </w:r>
    </w:p>
    <w:p>
      <w:pPr>
        <w:spacing w:after="0" w:line="11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1E1E1E"/>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260"/>
          </w:cols>
          <w:pgMar w:left="820" w:top="453" w:right="8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1E1E1E"/>
        </w:rPr>
        <w:t>17. Retirement Benefits</w:t>
      </w:r>
    </w:p>
    <w:p>
      <w:pPr>
        <w:spacing w:after="0" w:line="137" w:lineRule="exact"/>
        <w:rPr>
          <w:sz w:val="20"/>
          <w:szCs w:val="20"/>
          <w:color w:val="auto"/>
        </w:rPr>
      </w:pPr>
    </w:p>
    <w:p>
      <w:pPr>
        <w:jc w:val="both"/>
        <w:ind w:right="340"/>
        <w:spacing w:after="0" w:line="269" w:lineRule="auto"/>
        <w:rPr>
          <w:sz w:val="20"/>
          <w:szCs w:val="20"/>
          <w:color w:val="auto"/>
        </w:rPr>
      </w:pPr>
      <w:r>
        <w:rPr>
          <w:rFonts w:ascii="Times New Roman" w:cs="Times New Roman" w:eastAsia="Times New Roman" w:hAnsi="Times New Roman"/>
          <w:sz w:val="19"/>
          <w:szCs w:val="19"/>
          <w:color w:val="1E1E1E"/>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w:t>
      </w:r>
    </w:p>
    <w:p>
      <w:pPr>
        <w:spacing w:after="0" w:line="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20"/>
          <w:szCs w:val="20"/>
          <w:color w:val="1E1E1E"/>
        </w:rPr>
        <w:t>Associate contributions and Company matching contributions vest immediately. Additional Company contributions and the related investment earnings are subject to vesting based on years of service. Total expense recognized related to the qualified plan was $42 million for 2023, $43 million for 2022 and $43 million for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18. Shareholders’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Common Stock Share Repurchases &amp; Treasury Stock Retirements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March 2024 Share Repurchase Program</w:t>
      </w:r>
    </w:p>
    <w:p>
      <w:pPr>
        <w:spacing w:after="0" w:line="1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In March 2024, subsequent to the end of fiscal year 2023, the Company's Board of Directors approved the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eligible to begin immediately and will continue until exhausted.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January 2023 Share Repurchase Program</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1E1E1E"/>
        </w:rPr>
        <w:t>In January 2023, the Company's Board of Directors approved the January 2023 Share Repurchase Program, authorizing the repurchase of up to $250 million of the Company's common stock. The authorization, which expired at the end of 2023, was utilized in 2023 to repurchase shares in the open market and under the accelerated share repurchase agreement described below.</w:t>
      </w:r>
    </w:p>
    <w:p>
      <w:pPr>
        <w:spacing w:after="0" w:line="3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9"/>
          <w:szCs w:val="19"/>
          <w:color w:val="1E1E1E"/>
        </w:rPr>
        <w:t>In February 2023, as part of the January 2023 Share Repurchase Program, the Company entered into the ASR Agreement with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48"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20"/>
          <w:szCs w:val="20"/>
          <w:color w:val="1E1E1E"/>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spacing w:after="0" w:line="6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20"/>
          <w:szCs w:val="20"/>
          <w:color w:val="1E1E1E"/>
        </w:rPr>
        <w:t>The Company repurchased the following shares of its common stock under the January 2023 Share Repurchase Program during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Average Stock</w:t>
            </w:r>
          </w:p>
        </w:tc>
      </w:tr>
      <w:tr>
        <w:trPr>
          <w:trHeight w:val="214"/>
        </w:trPr>
        <w:tc>
          <w:tcPr>
            <w:tcW w:w="48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8"/>
              </w:rPr>
              <w:t>Authorized</w:t>
            </w:r>
          </w:p>
        </w:tc>
        <w:tc>
          <w:tcPr>
            <w:tcW w:w="60" w:type="dxa"/>
            <w:vAlign w:val="bottom"/>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Price</w:t>
            </w:r>
          </w:p>
        </w:tc>
      </w:tr>
      <w:tr>
        <w:trPr>
          <w:trHeight w:val="267"/>
        </w:trPr>
        <w:tc>
          <w:tcPr>
            <w:tcW w:w="4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3"/>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January 2023 Share Repurchase Program</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250</w:t>
            </w:r>
          </w:p>
        </w:tc>
        <w:tc>
          <w:tcPr>
            <w:tcW w:w="13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3,652</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125</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34.22</w:t>
            </w:r>
          </w:p>
        </w:tc>
      </w:tr>
    </w:tbl>
    <w:p>
      <w:pPr>
        <w:spacing w:after="0" w:line="13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1E1E1E"/>
        </w:rPr>
        <w:t>Shares repurchased under the January 2023 Share Repurchase Program were retired upon repurchase. As a result, the Company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March 2022 Share Repurchase Program</w:t>
      </w:r>
    </w:p>
    <w:p>
      <w:pPr>
        <w:spacing w:after="0" w:line="11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20"/>
          <w:szCs w:val="20"/>
          <w:color w:val="1E1E1E"/>
        </w:rPr>
        <w:t>In March 2022, the Company's Board of Directors approved the March 2022 Share Repurchase Program, providing for the repurchase of up to $250 million of the Company's common stock. The $250 million authorization was utilized in 2022 to repurchase shares in the open market.</w:t>
      </w:r>
    </w:p>
    <w:p>
      <w:pPr>
        <w:spacing w:after="0" w:line="5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1E1E1E"/>
        </w:rPr>
        <w:t>The Company repurchased the following shares of its common stock under the March 2022 Share Repurchase Program during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Average Stock</w:t>
            </w:r>
          </w:p>
        </w:tc>
      </w:tr>
      <w:tr>
        <w:trPr>
          <w:trHeight w:val="214"/>
        </w:trPr>
        <w:tc>
          <w:tcPr>
            <w:tcW w:w="48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1E1E1E"/>
                <w:w w:val="98"/>
              </w:rPr>
              <w:t>Authorized</w:t>
            </w:r>
          </w:p>
        </w:tc>
        <w:tc>
          <w:tcPr>
            <w:tcW w:w="60" w:type="dxa"/>
            <w:vAlign w:val="bottom"/>
          </w:tcPr>
          <w:p>
            <w:pPr>
              <w:spacing w:after="0"/>
              <w:rPr>
                <w:sz w:val="18"/>
                <w:szCs w:val="18"/>
                <w:color w:val="auto"/>
              </w:rPr>
            </w:pPr>
          </w:p>
        </w:tc>
        <w:tc>
          <w:tcPr>
            <w:tcW w:w="13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rPr>
              <w:t>Repurchased</w:t>
            </w:r>
          </w:p>
        </w:tc>
        <w:tc>
          <w:tcPr>
            <w:tcW w:w="60" w:type="dxa"/>
            <w:vAlign w:val="bottom"/>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160" w:type="dxa"/>
            <w:vAlign w:val="bottom"/>
            <w:tcBorders>
              <w:bottom w:val="single" w:sz="8" w:color="1E1E1E"/>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1E1E1E"/>
              </w:rPr>
              <w:t>Price</w:t>
            </w:r>
          </w:p>
        </w:tc>
      </w:tr>
      <w:tr>
        <w:trPr>
          <w:trHeight w:val="267"/>
        </w:trPr>
        <w:tc>
          <w:tcPr>
            <w:tcW w:w="4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(in thousands)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1E1E1E"/>
                <w:w w:val="99"/>
              </w:rPr>
              <w:t>(in millions)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93"/>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March 2022 Share Repurchase Program</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250</w:t>
            </w:r>
          </w:p>
        </w:tc>
        <w:tc>
          <w:tcPr>
            <w:tcW w:w="138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5,985</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ind w:right="15"/>
              <w:spacing w:after="0"/>
              <w:rPr>
                <w:sz w:val="20"/>
                <w:szCs w:val="20"/>
                <w:color w:val="auto"/>
              </w:rPr>
            </w:pPr>
            <w:r>
              <w:rPr>
                <w:rFonts w:ascii="Times New Roman" w:cs="Times New Roman" w:eastAsia="Times New Roman" w:hAnsi="Times New Roman"/>
                <w:sz w:val="20"/>
                <w:szCs w:val="20"/>
                <w:color w:val="1E1E1E"/>
              </w:rPr>
              <w:t>250</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ind w:right="13"/>
              <w:spacing w:after="0"/>
              <w:rPr>
                <w:sz w:val="20"/>
                <w:szCs w:val="20"/>
                <w:color w:val="auto"/>
              </w:rPr>
            </w:pPr>
            <w:r>
              <w:rPr>
                <w:rFonts w:ascii="Times New Roman" w:cs="Times New Roman" w:eastAsia="Times New Roman" w:hAnsi="Times New Roman"/>
                <w:sz w:val="20"/>
                <w:szCs w:val="20"/>
                <w:color w:val="1E1E1E"/>
              </w:rPr>
              <w:t>41.77</w:t>
            </w:r>
          </w:p>
        </w:tc>
      </w:tr>
    </w:tbl>
    <w:p>
      <w:pPr>
        <w:spacing w:after="0" w:line="200" w:lineRule="exact"/>
        <w:rPr>
          <w:sz w:val="20"/>
          <w:szCs w:val="20"/>
          <w:color w:val="auto"/>
        </w:rPr>
      </w:pPr>
    </w:p>
    <w:p>
      <w:pPr>
        <w:sectPr>
          <w:pgSz w:w="11880" w:h="15480" w:orient="portrait"/>
          <w:cols w:equalWidth="0" w:num="1">
            <w:col w:w="10260"/>
          </w:cols>
          <w:pgMar w:left="820" w:top="4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85</w:t>
      </w:r>
    </w:p>
    <w:p>
      <w:pPr>
        <w:sectPr>
          <w:pgSz w:w="11880" w:h="15480" w:orient="portrait"/>
          <w:cols w:equalWidth="0" w:num="1">
            <w:col w:w="10260"/>
          </w:cols>
          <w:pgMar w:left="820" w:top="446" w:right="800" w:bottom="0" w:gutter="0" w:footer="0" w:header="0"/>
          <w:type w:val="continuous"/>
        </w:sectPr>
      </w:pPr>
    </w:p>
    <w:bookmarkStart w:id="89" w:name="page90"/>
    <w:bookmarkEnd w:id="89"/>
    <w:p>
      <w:pPr>
        <w:ind w:right="420"/>
        <w:spacing w:after="0" w:line="260" w:lineRule="auto"/>
        <w:rPr>
          <w:sz w:val="20"/>
          <w:szCs w:val="20"/>
          <w:color w:val="auto"/>
        </w:rPr>
      </w:pPr>
      <w:r>
        <w:rPr>
          <w:rFonts w:ascii="Times New Roman" w:cs="Times New Roman" w:eastAsia="Times New Roman" w:hAnsi="Times New Roman"/>
          <w:sz w:val="20"/>
          <w:szCs w:val="20"/>
          <w:color w:val="1E1E1E"/>
        </w:rPr>
        <w:t>Shares of the Company's common stock repurchased under the March 2022 Share Repurchase Program were retired upon repurchase. As a result, the Company retired all the shares repurchased under the March 2022 Share Repurchase Program during 2022, which resulted in reductions of less than $1 million in the par value of Common Stock, $12 million in Paid-in Capital and $238 million in Retained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December 2021 ASR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December 2021, the Company entered into a December 2021 ASR Agreement with Goldman Sachs to repurchase</w:t>
      </w:r>
    </w:p>
    <w:p>
      <w:pPr>
        <w:spacing w:after="0" w:line="3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1E1E1E"/>
        </w:rPr>
        <w:t>$250 million of the Company's common stock. In December 2021, the Company made an initial payment of $250 million to Goldman Sachs and received an initial delivery of 4.1 million shares of the Company's common stock.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December 2021 ASR Agreement. During 2021, the Company retired the 4.1 million shares repurchased under the December 2021 ASR Agreement. The retirement resulted in a reduction of $200 million in Treasury Stock, less than $1 million in the par value of Common Stock, $8 million in Paid-in Capital and $192 million in Retained Earnings.</w:t>
      </w:r>
    </w:p>
    <w:p>
      <w:pPr>
        <w:spacing w:after="0" w:line="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1E1E1E"/>
        </w:rPr>
        <w:t>In February 2022, upon final settlement of the December 2021 ASR Agreement, the Company received an additional 0.3 million shares of the Company's common stock from Goldman Sachs. The final number of shares received under the December 2021 ASR Agreement was based on the daily average of the volume-weighted average share price of the Company's common stock over the term of the December 2021 ASR Agreement, less a discount and subject to other adjustments pursuant to the terms of the December 2021 ASR Agreement. In connection with the settlement of the December 2021 ASR Agreement,</w:t>
      </w:r>
    </w:p>
    <w:p>
      <w:pPr>
        <w:ind w:right="40"/>
        <w:spacing w:after="0" w:line="253" w:lineRule="auto"/>
        <w:rPr>
          <w:sz w:val="20"/>
          <w:szCs w:val="20"/>
          <w:color w:val="auto"/>
        </w:rPr>
      </w:pPr>
      <w:r>
        <w:rPr>
          <w:rFonts w:ascii="Times New Roman" w:cs="Times New Roman" w:eastAsia="Times New Roman" w:hAnsi="Times New Roman"/>
          <w:sz w:val="20"/>
          <w:szCs w:val="20"/>
          <w:color w:val="1E1E1E"/>
        </w:rPr>
        <w:t>$50 million previously recorded in Paid-in Capital as of January 29, 2022, was reclassified to Treasury Stock in the first quarter of 2022. In 2022, the Company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19. Share-based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Plan Summary</w:t>
      </w:r>
    </w:p>
    <w:p>
      <w:pPr>
        <w:spacing w:after="0" w:line="1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Prior to the Separation, certain Company employees participated in the stock option and performance incentive plan of the Former Parent (“Former Parent's Plan”). In connection with the Separation, the Company's Board of Directors approved the 2021 Stock Option and Performance Incentive Plan (“2021 Plan”). The 2021 Plan provides for the grant of incentive stock options, nonstatutory stock options, stock appreciation rights, restricted shares, restricted share units, performance share units, unrestricted shares, converted awards, replacement awards and substitute awards.</w:t>
      </w:r>
    </w:p>
    <w:p>
      <w:pPr>
        <w:spacing w:after="0" w:line="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1E1E1E"/>
        </w:rPr>
        <w:t>Under the Company’s 2021 Plan, 11 million options, restricted shares and unrestricted shares have been authorized to be granted to employees and directors, in addition to the converted awards from the Separation. There were 6 million options and shares available for grant as of February 3,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Conversion at Separation</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Under the terms of the Employee Matters Agreement between the Company and the Former Parent, in connection with the Separation, restricted stock and stock option equity awards granted to Company employees under the Former Parent's Plan were converted to awards representing approximately 6.0 million shares of the Company's common stock (the “Converted Awards”) under the Company's 2021 Plan. Adjustments to the underlying shares and terms of outstanding restricted stock and stock options were made to preserve the intrinsic value of the awards immediately before the Separation. The adjustment of the underlying shares and exercise prices, as applicable, was determined using a conversion ratio of 1.665 based on the relative values of the Former Parent's pre-Separation stock price and the Company's post-Separation stock price. The outstanding awards continue to vest over their original vesting periods. The Company did not recognize any incremental compensation cost related to the adjustment of outstanding awards.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Statement Impact</w:t>
      </w:r>
    </w:p>
    <w:p>
      <w:pPr>
        <w:spacing w:after="0" w:line="11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1E1E1E"/>
        </w:rPr>
        <w:t>For the period prior to the Separation, the following disclosures of share-based compensation expense recognized by the Company are based on grants related directly to Company employees, and exclude amounts related to the allocation of the Former Parent's corporate and shared employee share-based compensation expenses.</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86</w:t>
      </w:r>
    </w:p>
    <w:p>
      <w:pPr>
        <w:sectPr>
          <w:pgSz w:w="11880" w:h="15480" w:orient="portrait"/>
          <w:cols w:equalWidth="0" w:num="1">
            <w:col w:w="10240"/>
          </w:cols>
          <w:pgMar w:left="820" w:top="453" w:right="82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color w:val="1E1E1E"/>
        </w:rPr>
        <w:t>The following table provides share-based compensation expense included in the Consolidated and Combined Statements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Income for 2023, 2022 and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90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00" w:type="dxa"/>
            <w:vAlign w:val="bottom"/>
            <w:tcBorders>
              <w:bottom w:val="single" w:sz="8" w:color="1E1E1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2021</w:t>
            </w:r>
          </w:p>
        </w:tc>
      </w:tr>
      <w:tr>
        <w:trPr>
          <w:trHeight w:val="222"/>
        </w:trPr>
        <w:tc>
          <w:tcPr>
            <w:tcW w:w="6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1E1E1E"/>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3"/>
        </w:trPr>
        <w:tc>
          <w:tcPr>
            <w:tcW w:w="61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Costs of Goods Sold, Buying and Occupancy</w:t>
            </w:r>
          </w:p>
        </w:tc>
        <w:tc>
          <w:tcPr>
            <w:tcW w:w="900" w:type="dxa"/>
            <w:vAlign w:val="bottom"/>
            <w:shd w:val="clear" w:color="auto" w:fill="E2E2E2"/>
          </w:tcPr>
          <w:p>
            <w:pPr>
              <w:jc w:val="right"/>
              <w:ind w:right="667"/>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4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75"/>
        </w:trPr>
        <w:tc>
          <w:tcPr>
            <w:tcW w:w="61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General, Administrative and Store Operating Expenses</w:t>
            </w:r>
          </w:p>
        </w:tc>
        <w:tc>
          <w:tcPr>
            <w:tcW w:w="900" w:type="dxa"/>
            <w:vAlign w:val="bottom"/>
            <w:tcBorders>
              <w:bottom w:val="single" w:sz="8" w:color="1E1E1E"/>
            </w:tcBorders>
          </w:tcPr>
          <w:p>
            <w:pPr>
              <w:spacing w:after="0"/>
              <w:rPr>
                <w:sz w:val="23"/>
                <w:szCs w:val="23"/>
                <w:color w:val="auto"/>
              </w:rPr>
            </w:pPr>
          </w:p>
        </w:tc>
        <w:tc>
          <w:tcPr>
            <w:tcW w:w="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w:t>
            </w:r>
          </w:p>
        </w:tc>
        <w:tc>
          <w:tcPr>
            <w:tcW w:w="80" w:type="dxa"/>
            <w:vAlign w:val="bottom"/>
            <w:tcBorders>
              <w:bottom w:val="single" w:sz="8" w:color="E2E2E2"/>
            </w:tcBorders>
          </w:tcPr>
          <w:p>
            <w:pPr>
              <w:spacing w:after="0"/>
              <w:rPr>
                <w:sz w:val="23"/>
                <w:szCs w:val="23"/>
                <w:color w:val="auto"/>
              </w:rPr>
            </w:pPr>
          </w:p>
        </w:tc>
        <w:tc>
          <w:tcPr>
            <w:tcW w:w="18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80" w:type="dxa"/>
            <w:vAlign w:val="bottom"/>
            <w:tcBorders>
              <w:bottom w:val="single" w:sz="8" w:color="E2E2E2"/>
            </w:tcBorders>
          </w:tcPr>
          <w:p>
            <w:pPr>
              <w:spacing w:after="0"/>
              <w:rPr>
                <w:sz w:val="23"/>
                <w:szCs w:val="23"/>
                <w:color w:val="auto"/>
              </w:rPr>
            </w:pPr>
          </w:p>
        </w:tc>
        <w:tc>
          <w:tcPr>
            <w:tcW w:w="320" w:type="dxa"/>
            <w:vAlign w:val="bottom"/>
            <w:tcBorders>
              <w:bottom w:val="single" w:sz="8" w:color="1E1E1E"/>
            </w:tcBorders>
          </w:tcPr>
          <w:p>
            <w:pPr>
              <w:spacing w:after="0"/>
              <w:rPr>
                <w:sz w:val="23"/>
                <w:szCs w:val="23"/>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w:t>
            </w:r>
          </w:p>
        </w:tc>
      </w:tr>
      <w:tr>
        <w:trPr>
          <w:trHeight w:val="270"/>
        </w:trPr>
        <w:tc>
          <w:tcPr>
            <w:tcW w:w="61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Share-based Compensation Expense</w:t>
            </w:r>
          </w:p>
        </w:tc>
        <w:tc>
          <w:tcPr>
            <w:tcW w:w="900" w:type="dxa"/>
            <w:vAlign w:val="bottom"/>
            <w:tcBorders>
              <w:bottom w:val="single" w:sz="8" w:color="1E1E1E"/>
            </w:tcBorders>
            <w:shd w:val="clear" w:color="auto" w:fill="E2E2E2"/>
          </w:tcPr>
          <w:p>
            <w:pPr>
              <w:jc w:val="right"/>
              <w:ind w:right="667"/>
              <w:spacing w:after="0"/>
              <w:rPr>
                <w:sz w:val="20"/>
                <w:szCs w:val="20"/>
                <w:color w:val="auto"/>
              </w:rPr>
            </w:pPr>
            <w:r>
              <w:rPr>
                <w:rFonts w:ascii="Times New Roman" w:cs="Times New Roman" w:eastAsia="Times New Roman" w:hAnsi="Times New Roman"/>
                <w:sz w:val="20"/>
                <w:szCs w:val="20"/>
                <w:b w:val="1"/>
                <w:bCs w:val="1"/>
                <w:color w:val="1E1E1E"/>
              </w:rPr>
              <w:t>$</w:t>
            </w:r>
          </w:p>
        </w:tc>
        <w:tc>
          <w:tcPr>
            <w:tcW w:w="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56</w:t>
            </w: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48</w:t>
            </w:r>
          </w:p>
        </w:tc>
        <w:tc>
          <w:tcPr>
            <w:tcW w:w="80" w:type="dxa"/>
            <w:vAlign w:val="bottom"/>
            <w:tcBorders>
              <w:bottom w:val="single" w:sz="8" w:color="E2E2E2"/>
            </w:tcBorders>
            <w:shd w:val="clear" w:color="auto" w:fill="E2E2E2"/>
          </w:tcPr>
          <w:p>
            <w:pPr>
              <w:spacing w:after="0"/>
              <w:rPr>
                <w:sz w:val="23"/>
                <w:szCs w:val="23"/>
                <w:color w:val="auto"/>
              </w:rPr>
            </w:pPr>
          </w:p>
        </w:tc>
        <w:tc>
          <w:tcPr>
            <w:tcW w:w="320" w:type="dxa"/>
            <w:vAlign w:val="bottom"/>
            <w:tcBorders>
              <w:bottom w:val="single" w:sz="8" w:color="1E1E1E"/>
            </w:tcBorders>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r>
      <w:tr>
        <w:trPr>
          <w:trHeight w:val="20"/>
        </w:trPr>
        <w:tc>
          <w:tcPr>
            <w:tcW w:w="6180" w:type="dxa"/>
            <w:vAlign w:val="bottom"/>
            <w:tcBorders>
              <w:top w:val="single" w:sz="8" w:color="E2E2E2"/>
            </w:tcBorders>
          </w:tcPr>
          <w:p>
            <w:pPr>
              <w:spacing w:after="0" w:line="20" w:lineRule="exact"/>
              <w:rPr>
                <w:sz w:val="1"/>
                <w:szCs w:val="1"/>
                <w:color w:val="auto"/>
              </w:rPr>
            </w:pPr>
          </w:p>
        </w:tc>
        <w:tc>
          <w:tcPr>
            <w:tcW w:w="900" w:type="dxa"/>
            <w:vAlign w:val="bottom"/>
            <w:tcBorders>
              <w:top w:val="single" w:sz="8" w:color="E2E2E2"/>
              <w:bottom w:val="single" w:sz="8" w:color="1E1E1E"/>
            </w:tcBorders>
          </w:tcPr>
          <w:p>
            <w:pPr>
              <w:spacing w:after="0" w:line="20" w:lineRule="exact"/>
              <w:rPr>
                <w:sz w:val="1"/>
                <w:szCs w:val="1"/>
                <w:color w:val="auto"/>
              </w:rPr>
            </w:pPr>
          </w:p>
        </w:tc>
        <w:tc>
          <w:tcPr>
            <w:tcW w:w="400" w:type="dxa"/>
            <w:vAlign w:val="bottom"/>
            <w:tcBorders>
              <w:top w:val="single" w:sz="8" w:color="E2E2E2"/>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1120" w:type="dxa"/>
            <w:vAlign w:val="bottom"/>
            <w:tcBorders>
              <w:top w:val="single" w:sz="8" w:color="E2E2E2"/>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E2E2E2"/>
              <w:bottom w:val="single" w:sz="8" w:color="1E1E1E"/>
            </w:tcBorders>
          </w:tcPr>
          <w:p>
            <w:pPr>
              <w:spacing w:after="0" w:line="20" w:lineRule="exact"/>
              <w:rPr>
                <w:sz w:val="1"/>
                <w:szCs w:val="1"/>
                <w:color w:val="auto"/>
              </w:rPr>
            </w:pPr>
          </w:p>
        </w:tc>
        <w:tc>
          <w:tcPr>
            <w:tcW w:w="9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-224790</wp:posOffset>
            </wp:positionV>
            <wp:extent cx="177800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2">
                      <a:extLst>
                        <a:ext uri="{28A0092B-C50C-407E-A947-70E740481C1C}"/>
                      </a:extLst>
                    </a:blip>
                    <a:srcRect/>
                    <a:stretch>
                      <a:fillRect/>
                    </a:stretch>
                  </pic:blipFill>
                  <pic:spPr bwMode="auto">
                    <a:xfrm>
                      <a:off x="0" y="0"/>
                      <a:ext cx="17780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-56515</wp:posOffset>
            </wp:positionV>
            <wp:extent cx="2632075" cy="762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43">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88"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1E1E1E"/>
        </w:rPr>
        <w:t>The tax benefit associated with recognized share-based compensation expense was $9 million for 2023, $9 million for 2022 and $6 million for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Restricted Stock</w:t>
      </w:r>
    </w:p>
    <w:p>
      <w:pPr>
        <w:spacing w:after="0" w:line="11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1E1E1E"/>
        </w:rPr>
        <w:t>Restricted stock, including restricted stock units and performance share units, generally vests (the restrictions lapse) at the end of a three-year period or on a graded basis over a three-year period. The fair value of restricted stock awards is generally based on the market value of an unrestricted share on the grant date adjusted for anticipated dividend yields, if applicable.</w:t>
      </w:r>
    </w:p>
    <w:p>
      <w:pPr>
        <w:spacing w:after="0" w:line="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During 2023 and 2022, the Company granted performance share unit awards that include a specified market condition which can adjust the number of shares that vest under the award. The market condition compares the Company's total shareholder return to that of a designated peer group over the performance period. The performance share unit awards were valued using a Monte Carlo simulation model, which requires certain assumptions, including a risk-free interest rate of 4.0% and 2.1% for 2023 and 2022, respectively, and an expected volatility of 47.1% and 46.3% for 2023 and 2022, respectively. The risk-free interest rate assumption is based on U.S. treasury constant maturity yields on the grant date with a term corresponding to the length of the remaining performance period. Due to the Company's limited trading history, the expected volatility assumption is based on the average historical volatility of the designated peer group. There was no dividend yield utilized in the Monte Carlo simulation model as the Company has not paid any cash dividends since the Separation.</w:t>
      </w:r>
    </w:p>
    <w:p>
      <w:pPr>
        <w:spacing w:after="0" w:line="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As discussed above, restricted stock awards granted to Company employees under the Former Parent's Plan prior to the Separation were converted to shares of the Company's common stock in connection with the Separation. The Converted Awards have the same terms and conditions as the original awards, including the original vesting periods.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provides the Company’s restricted stock activity for the fiscal year ended February 3,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0" w:type="dxa"/>
            <w:vAlign w:val="bottom"/>
          </w:tcPr>
          <w:p>
            <w:pPr>
              <w:spacing w:after="0"/>
              <w:rPr>
                <w:sz w:val="1"/>
                <w:szCs w:val="1"/>
                <w:color w:val="auto"/>
              </w:rPr>
            </w:pPr>
          </w:p>
        </w:tc>
      </w:tr>
      <w:tr>
        <w:trPr>
          <w:trHeight w:val="160"/>
        </w:trPr>
        <w:tc>
          <w:tcPr>
            <w:tcW w:w="75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Number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9"/>
              <w:spacing w:after="0" w:line="160" w:lineRule="exact"/>
              <w:rPr>
                <w:sz w:val="20"/>
                <w:szCs w:val="20"/>
                <w:color w:val="auto"/>
              </w:rPr>
            </w:pPr>
            <w:r>
              <w:rPr>
                <w:rFonts w:ascii="Times New Roman" w:cs="Times New Roman" w:eastAsia="Times New Roman" w:hAnsi="Times New Roman"/>
                <w:sz w:val="16"/>
                <w:szCs w:val="16"/>
                <w:b w:val="1"/>
                <w:bCs w:val="1"/>
                <w:color w:val="1E1E1E"/>
                <w:w w:val="98"/>
              </w:rPr>
              <w:t>Average</w:t>
            </w:r>
          </w:p>
        </w:tc>
        <w:tc>
          <w:tcPr>
            <w:tcW w:w="0" w:type="dxa"/>
            <w:vAlign w:val="bottom"/>
          </w:tcPr>
          <w:p>
            <w:pPr>
              <w:spacing w:after="0"/>
              <w:rPr>
                <w:sz w:val="1"/>
                <w:szCs w:val="1"/>
                <w:color w:val="auto"/>
              </w:rPr>
            </w:pPr>
          </w:p>
        </w:tc>
      </w:tr>
      <w:tr>
        <w:trPr>
          <w:trHeight w:val="160"/>
        </w:trPr>
        <w:tc>
          <w:tcPr>
            <w:tcW w:w="75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6"/>
                <w:szCs w:val="16"/>
                <w:b w:val="1"/>
                <w:bCs w:val="1"/>
                <w:color w:val="1E1E1E"/>
              </w:rPr>
              <w:t>Grant Date</w:t>
            </w:r>
          </w:p>
        </w:tc>
        <w:tc>
          <w:tcPr>
            <w:tcW w:w="0" w:type="dxa"/>
            <w:vAlign w:val="bottom"/>
          </w:tcPr>
          <w:p>
            <w:pPr>
              <w:spacing w:after="0"/>
              <w:rPr>
                <w:sz w:val="1"/>
                <w:szCs w:val="1"/>
                <w:color w:val="auto"/>
              </w:rPr>
            </w:pPr>
          </w:p>
        </w:tc>
      </w:tr>
      <w:tr>
        <w:trPr>
          <w:trHeight w:val="214"/>
        </w:trPr>
        <w:tc>
          <w:tcPr>
            <w:tcW w:w="7560" w:type="dxa"/>
            <w:vAlign w:val="bottom"/>
          </w:tcPr>
          <w:p>
            <w:pPr>
              <w:spacing w:after="0"/>
              <w:rPr>
                <w:sz w:val="18"/>
                <w:szCs w:val="18"/>
                <w:color w:val="auto"/>
              </w:rPr>
            </w:pPr>
          </w:p>
        </w:tc>
        <w:tc>
          <w:tcPr>
            <w:tcW w:w="13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Shares</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100" w:type="dxa"/>
            <w:vAlign w:val="bottom"/>
            <w:tcBorders>
              <w:bottom w:val="single" w:sz="8" w:color="1E1E1E"/>
            </w:tcBorders>
          </w:tcPr>
          <w:p>
            <w:pPr>
              <w:jc w:val="center"/>
              <w:ind w:right="129"/>
              <w:spacing w:after="0"/>
              <w:rPr>
                <w:sz w:val="20"/>
                <w:szCs w:val="20"/>
                <w:color w:val="auto"/>
              </w:rPr>
            </w:pPr>
            <w:r>
              <w:rPr>
                <w:rFonts w:ascii="Times New Roman" w:cs="Times New Roman" w:eastAsia="Times New Roman" w:hAnsi="Times New Roman"/>
                <w:sz w:val="16"/>
                <w:szCs w:val="16"/>
                <w:b w:val="1"/>
                <w:bCs w:val="1"/>
                <w:color w:val="1E1E1E"/>
                <w:w w:val="98"/>
              </w:rPr>
              <w:t>Fair Value</w:t>
            </w:r>
          </w:p>
        </w:tc>
        <w:tc>
          <w:tcPr>
            <w:tcW w:w="0" w:type="dxa"/>
            <w:vAlign w:val="bottom"/>
          </w:tcPr>
          <w:p>
            <w:pPr>
              <w:spacing w:after="0"/>
              <w:rPr>
                <w:sz w:val="1"/>
                <w:szCs w:val="1"/>
                <w:color w:val="auto"/>
              </w:rPr>
            </w:pPr>
          </w:p>
        </w:tc>
      </w:tr>
      <w:tr>
        <w:trPr>
          <w:trHeight w:val="222"/>
        </w:trPr>
        <w:tc>
          <w:tcPr>
            <w:tcW w:w="75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Unvested as of January 28, 2023</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3,266</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39.98</w:t>
            </w:r>
          </w:p>
        </w:tc>
        <w:tc>
          <w:tcPr>
            <w:tcW w:w="0" w:type="dxa"/>
            <w:vAlign w:val="bottom"/>
          </w:tcPr>
          <w:p>
            <w:pPr>
              <w:spacing w:after="0"/>
              <w:rPr>
                <w:sz w:val="1"/>
                <w:szCs w:val="1"/>
                <w:color w:val="auto"/>
              </w:rPr>
            </w:pPr>
          </w:p>
        </w:tc>
      </w:tr>
      <w:tr>
        <w:trPr>
          <w:trHeight w:val="278"/>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28.60</w:t>
            </w:r>
          </w:p>
        </w:tc>
        <w:tc>
          <w:tcPr>
            <w:tcW w:w="0" w:type="dxa"/>
            <w:vAlign w:val="bottom"/>
          </w:tcPr>
          <w:p>
            <w:pPr>
              <w:spacing w:after="0"/>
              <w:rPr>
                <w:sz w:val="1"/>
                <w:szCs w:val="1"/>
                <w:color w:val="auto"/>
              </w:rPr>
            </w:pPr>
          </w:p>
        </w:tc>
      </w:tr>
      <w:tr>
        <w:trPr>
          <w:trHeight w:val="292"/>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Vested</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(1,261)</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35.22</w:t>
            </w:r>
          </w:p>
        </w:tc>
        <w:tc>
          <w:tcPr>
            <w:tcW w:w="0" w:type="dxa"/>
            <w:vAlign w:val="bottom"/>
          </w:tcPr>
          <w:p>
            <w:pPr>
              <w:spacing w:after="0"/>
              <w:rPr>
                <w:sz w:val="1"/>
                <w:szCs w:val="1"/>
                <w:color w:val="auto"/>
              </w:rPr>
            </w:pPr>
          </w:p>
        </w:tc>
      </w:tr>
      <w:tr>
        <w:trPr>
          <w:trHeight w:val="275"/>
        </w:trPr>
        <w:tc>
          <w:tcPr>
            <w:tcW w:w="75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Cancelled</w:t>
            </w: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(479)</w:t>
            </w:r>
          </w:p>
        </w:tc>
        <w:tc>
          <w:tcPr>
            <w:tcW w:w="80" w:type="dxa"/>
            <w:vAlign w:val="bottom"/>
            <w:tcBorders>
              <w:bottom w:val="single" w:sz="8" w:color="E2E2E2"/>
            </w:tcBorders>
          </w:tcPr>
          <w:p>
            <w:pPr>
              <w:spacing w:after="0"/>
              <w:rPr>
                <w:sz w:val="23"/>
                <w:szCs w:val="23"/>
                <w:color w:val="auto"/>
              </w:rPr>
            </w:pPr>
          </w:p>
        </w:tc>
        <w:tc>
          <w:tcPr>
            <w:tcW w:w="200" w:type="dxa"/>
            <w:vAlign w:val="bottom"/>
            <w:tcBorders>
              <w:bottom w:val="single" w:sz="8" w:color="1E1E1E"/>
            </w:tcBorders>
          </w:tcPr>
          <w:p>
            <w:pPr>
              <w:spacing w:after="0"/>
              <w:rPr>
                <w:sz w:val="23"/>
                <w:szCs w:val="23"/>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38.42</w:t>
            </w:r>
          </w:p>
        </w:tc>
        <w:tc>
          <w:tcPr>
            <w:tcW w:w="0" w:type="dxa"/>
            <w:vAlign w:val="bottom"/>
          </w:tcPr>
          <w:p>
            <w:pPr>
              <w:spacing w:after="0"/>
              <w:rPr>
                <w:sz w:val="1"/>
                <w:szCs w:val="1"/>
                <w:color w:val="auto"/>
              </w:rPr>
            </w:pPr>
          </w:p>
        </w:tc>
      </w:tr>
      <w:tr>
        <w:trPr>
          <w:trHeight w:val="265"/>
        </w:trPr>
        <w:tc>
          <w:tcPr>
            <w:tcW w:w="75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Unvested as of February 3, 2024</w:t>
            </w:r>
          </w:p>
        </w:tc>
        <w:tc>
          <w:tcPr>
            <w:tcW w:w="1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4,363</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34.25</w:t>
            </w:r>
          </w:p>
        </w:tc>
        <w:tc>
          <w:tcPr>
            <w:tcW w:w="0" w:type="dxa"/>
            <w:vAlign w:val="bottom"/>
          </w:tcPr>
          <w:p>
            <w:pPr>
              <w:spacing w:after="0"/>
              <w:rPr>
                <w:sz w:val="1"/>
                <w:szCs w:val="1"/>
                <w:color w:val="auto"/>
              </w:rPr>
            </w:pPr>
          </w:p>
        </w:tc>
      </w:tr>
      <w:tr>
        <w:trPr>
          <w:trHeight w:val="20"/>
        </w:trPr>
        <w:tc>
          <w:tcPr>
            <w:tcW w:w="7560" w:type="dxa"/>
            <w:vAlign w:val="bottom"/>
            <w:tcBorders>
              <w:top w:val="single" w:sz="8" w:color="E2E2E2"/>
            </w:tcBorders>
          </w:tcPr>
          <w:p>
            <w:pPr>
              <w:spacing w:after="0" w:line="20" w:lineRule="exact"/>
              <w:rPr>
                <w:sz w:val="1"/>
                <w:szCs w:val="1"/>
                <w:color w:val="auto"/>
              </w:rPr>
            </w:pPr>
          </w:p>
        </w:tc>
        <w:tc>
          <w:tcPr>
            <w:tcW w:w="13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-224790</wp:posOffset>
            </wp:positionV>
            <wp:extent cx="901700"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4">
                      <a:extLst>
                        <a:ext uri="{28A0092B-C50C-407E-A947-70E740481C1C}"/>
                      </a:extLst>
                    </a:blip>
                    <a:srcRect/>
                    <a:stretch>
                      <a:fillRect/>
                    </a:stretch>
                  </pic:blipFill>
                  <pic:spPr bwMode="auto">
                    <a:xfrm>
                      <a:off x="0" y="0"/>
                      <a:ext cx="901700"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-56515</wp:posOffset>
            </wp:positionV>
            <wp:extent cx="1755775" cy="762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5">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8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1E1E1E"/>
        </w:rPr>
        <w:t>The weighted-average estimated fair value of restricted stock awards granted was $28.60 per share for 2023, $47.63 per share for 2022 and $56.63 per share for 2021 after the Separation.</w:t>
      </w:r>
    </w:p>
    <w:p>
      <w:pPr>
        <w:spacing w:after="0" w:line="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The Company’s total intrinsic value of restricted stock awards that vested was $35 million for 2023, $118 million for 2022 and $11 million for 2021 after the Separation. The Company’s total fair value at grant date of restricted stock awards that vested was $44 million for 2023, $36 million for 2022 and $3 million for 2021 after the Separation. The tax benefit realized from tax deductions associated with restricted stock awards that vested was $7 million for 2023, $27 million for 2022 and $2 million for 2021 after the Separation.</w:t>
      </w:r>
    </w:p>
    <w:p>
      <w:pPr>
        <w:spacing w:after="0" w:line="6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1E1E1E"/>
        </w:rPr>
        <w:t>As of February 3, 2024, there was $49 million of total unrecognized compensation cost, net of estimated forfeitures, related to unvested restricted stock. That cost is expected to be recognized over a weighted-average period of 1.5 years.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Stock Options</w:t>
      </w:r>
    </w:p>
    <w:p>
      <w:pPr>
        <w:spacing w:after="0" w:line="1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In connection with the Separation, stock options granted to Company employees under the Former Parent's Plan were converted to awards representing approximately 1.7 million shares of the Company's common stock. No stock options have been granted by the Company subsequent to the Separation.</w:t>
      </w:r>
    </w:p>
    <w:p>
      <w:pPr>
        <w:sectPr>
          <w:pgSz w:w="11880" w:h="15480" w:orient="portrait"/>
          <w:cols w:equalWidth="0" w:num="1">
            <w:col w:w="10260"/>
          </w:cols>
          <w:pgMar w:left="820" w:top="45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87</w:t>
      </w:r>
    </w:p>
    <w:p>
      <w:pPr>
        <w:sectPr>
          <w:pgSz w:w="11880" w:h="15480" w:orient="portrait"/>
          <w:cols w:equalWidth="0" w:num="1">
            <w:col w:w="10260"/>
          </w:cols>
          <w:pgMar w:left="820" w:top="453" w:right="800" w:bottom="0" w:gutter="0" w:footer="0" w:header="0"/>
          <w:type w:val="continuous"/>
        </w:sectPr>
      </w:pPr>
    </w:p>
    <w:bookmarkStart w:id="91" w:name="page92"/>
    <w:bookmarkEnd w:id="91"/>
    <w:p>
      <w:pPr>
        <w:spacing w:after="0" w:line="254" w:lineRule="auto"/>
        <w:rPr>
          <w:sz w:val="20"/>
          <w:szCs w:val="20"/>
          <w:color w:val="auto"/>
        </w:rPr>
      </w:pPr>
      <w:r>
        <w:rPr>
          <w:rFonts w:ascii="Times New Roman" w:cs="Times New Roman" w:eastAsia="Times New Roman" w:hAnsi="Times New Roman"/>
          <w:sz w:val="20"/>
          <w:szCs w:val="20"/>
          <w:color w:val="1E1E1E"/>
        </w:rPr>
        <w:t>Stock options granted under the Former Parent's Plan have a maximum term of 10 years and generally vest ratably over three to five years. The fair value of stock options was determined using the Black-Scholes option-pricing model. Stock options were granted with an exercise price equal to the fair market value of the stock on the date of grant. The determination of the fair value of the options was affected by the Former Parent's stock price as well as assumptions regarding a number of highly complex and subjective variables. These variables include, but are not limited to, expected stock price volatility over the term of the awards and projected employee stock option exercise behaviors. Intrinsic value for stock options is the difference between the current market value of the Company’s stock and the option strike price. The Company's stock option activity, including stock options granted, exercised or cancelled, for Company employees for the fiscal year ended February 3, 2024 was not significant.</w:t>
      </w:r>
    </w:p>
    <w:p>
      <w:pPr>
        <w:spacing w:after="0" w:line="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As of February 3, 2024, the total unrecognized compensation cost, net of estimated forfeitures, related to unvested stock options was not significant. As of February 3, 2024, there were 1.0 million outstanding stock options, the majority of which were fully vested, with a total intrinsic value of $2 million.</w:t>
      </w:r>
    </w:p>
    <w:p>
      <w:pPr>
        <w:sectPr>
          <w:pgSz w:w="11880" w:h="15480" w:orient="portrait"/>
          <w:cols w:equalWidth="0" w:num="1">
            <w:col w:w="10240"/>
          </w:cols>
          <w:pgMar w:left="820" w:top="45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88</w:t>
      </w:r>
    </w:p>
    <w:p>
      <w:pPr>
        <w:sectPr>
          <w:pgSz w:w="11880" w:h="15480" w:orient="portrait"/>
          <w:cols w:equalWidth="0" w:num="1">
            <w:col w:w="10240"/>
          </w:cols>
          <w:pgMar w:left="820" w:top="453" w:right="820" w:bottom="0" w:gutter="0" w:footer="0" w:header="0"/>
          <w:type w:val="continuous"/>
        </w:sectPr>
      </w:pPr>
    </w:p>
    <w:bookmarkStart w:id="92" w:name="page93"/>
    <w:bookmarkEnd w:id="92"/>
    <w:p>
      <w:pPr>
        <w:ind w:right="240"/>
        <w:spacing w:after="0" w:line="286" w:lineRule="auto"/>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i w:val="1"/>
          <w:iCs w:val="1"/>
          <w:color w:val="1E1E1E"/>
        </w:rPr>
        <w:t xml:space="preserve">Evaluation of disclosure controls and procedures. </w:t>
      </w:r>
      <w:r>
        <w:rPr>
          <w:rFonts w:ascii="Times New Roman" w:cs="Times New Roman" w:eastAsia="Times New Roman" w:hAnsi="Times New Roman"/>
          <w:sz w:val="20"/>
          <w:szCs w:val="20"/>
          <w:color w:val="1E1E1E"/>
        </w:rPr>
        <w:t>As of the end of the period covered by this report, we carried out an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evaluation, under the supervision 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6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i w:val="1"/>
          <w:iCs w:val="1"/>
          <w:color w:val="1E1E1E"/>
        </w:rPr>
        <w:t>Management’s Report on Internal Control Over Financial Reporting</w:t>
      </w:r>
      <w:r>
        <w:rPr>
          <w:rFonts w:ascii="Times New Roman" w:cs="Times New Roman" w:eastAsia="Times New Roman" w:hAnsi="Times New Roman"/>
          <w:sz w:val="20"/>
          <w:szCs w:val="20"/>
          <w:color w:val="1E1E1E"/>
        </w:rPr>
        <w:t>. Management’s Report on Internal Control Over Financial</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Reporting as of February 3, 2024 is set forth in Item 8. Financial Statements and Supplementary Data.</w:t>
      </w:r>
    </w:p>
    <w:p>
      <w:pPr>
        <w:spacing w:after="0" w:line="3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i w:val="1"/>
          <w:iCs w:val="1"/>
          <w:color w:val="1E1E1E"/>
        </w:rPr>
        <w:t xml:space="preserve">Attestation Report of the Registered Public Accounting Firm. </w:t>
      </w:r>
      <w:r>
        <w:rPr>
          <w:rFonts w:ascii="Times New Roman" w:cs="Times New Roman" w:eastAsia="Times New Roman" w:hAnsi="Times New Roman"/>
          <w:sz w:val="20"/>
          <w:szCs w:val="20"/>
          <w:color w:val="1E1E1E"/>
        </w:rPr>
        <w:t>The Report of Independent Registered Public Accounting Firm on</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Internal Control Over Financial Reporting as of February 3, 2024 is set forth in Item 8. Financial Statements and Supplementary Data.</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i w:val="1"/>
          <w:iCs w:val="1"/>
          <w:color w:val="1E1E1E"/>
        </w:rPr>
        <w:t xml:space="preserve">Changes in internal control over financial reporting. </w:t>
      </w:r>
      <w:r>
        <w:rPr>
          <w:rFonts w:ascii="Times New Roman" w:cs="Times New Roman" w:eastAsia="Times New Roman" w:hAnsi="Times New Roman"/>
          <w:sz w:val="20"/>
          <w:szCs w:val="20"/>
          <w:color w:val="1E1E1E"/>
        </w:rPr>
        <w:t>We are continuing to integrate Adore Me into our internal control over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financial reporting. Other than the changes with regard to the integration of Adore Me, there were no changes in our internal control over financial reporting that occurred in the fourth quarter of 2023 that have materially affected, or are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9C. 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220"/>
          </w:cols>
          <w:pgMar w:left="820" w:top="4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89</w:t>
      </w:r>
    </w:p>
    <w:p>
      <w:pPr>
        <w:sectPr>
          <w:pgSz w:w="11880" w:h="15480" w:orient="portrait"/>
          <w:cols w:equalWidth="0" w:num="1">
            <w:col w:w="10220"/>
          </w:cols>
          <w:pgMar w:left="820" w:top="446" w:right="840" w:bottom="0"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Information regarding our directors and corporate governance is set forth under the captions “Proposal One: Election of Directors,” “Corporate Governance—Role of the Board,” “—Board Composition,” “—Board Policies and Practices,” “—Board Committees,” “—Corporate Governance Policies and Practices,” and “Beneficial Ownership of Shares” in the Proxy Statement for our 2024 annual meeting of stockholders (the “Proxy Statement”) and is incorporated herein by reference. Information regarding compliance with Section 16(a) of the Exchange Act is set forth under the caption “Beneficial Ownership of Shares— Delinquent Section 16(a) Reports” in the Proxy Statement and is incorporated herein by reference. Information regarding executive officers is set forth herein under the caption “Executive Officers of Registrant” in Part I of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spacing w:after="0" w:line="188"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STOCKHOLDER MATTERS.</w:t>
      </w:r>
    </w:p>
    <w:p>
      <w:pPr>
        <w:spacing w:after="0" w:line="3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20"/>
          <w:szCs w:val="20"/>
          <w:color w:val="1E1E1E"/>
        </w:rPr>
        <w:t>Information regarding the security ownership of certain beneficial owners and management is set forth under the captions “Beneficial Ownership of Shares” and “Proposal Four: Amendment to VS 2021 Stock Plan” in the Proxy Statement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1E1E1E"/>
        </w:rPr>
        <w:t>Information regarding certain relationships and related transactions is set forth under the captions “Related Party Transactions” and “Corporate Governance—Board Composition—Director Independence” in the Proxy Statement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ACCOUNTANT FEES AND SERVICES.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Information regarding principal accountant fees and services is set forth under the captions “Proposal Five: Ratification of Appointment of Independent Registered Public Accounting Firm—Fees of Independent Registered Public Accounting Firm” in the Proxy Statement and is incorporated herein by reference.</w:t>
      </w:r>
    </w:p>
    <w:p>
      <w:pPr>
        <w:sectPr>
          <w:pgSz w:w="11880" w:h="15480" w:orient="portrait"/>
          <w:cols w:equalWidth="0" w:num="1">
            <w:col w:w="10220"/>
          </w:cols>
          <w:pgMar w:left="820" w:top="4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90</w:t>
      </w:r>
    </w:p>
    <w:p>
      <w:pPr>
        <w:sectPr>
          <w:pgSz w:w="11880" w:h="15480" w:orient="portrait"/>
          <w:cols w:equalWidth="0" w:num="1">
            <w:col w:w="10220"/>
          </w:cols>
          <w:pgMar w:left="820" w:top="446" w:right="840" w:bottom="0" w:gutter="0" w:footer="0" w:header="0"/>
          <w:type w:val="continuous"/>
        </w:sectPr>
      </w:pPr>
    </w:p>
    <w:bookmarkStart w:id="94" w:name="page95"/>
    <w:bookmarkEnd w:id="94"/>
    <w:p>
      <w:pPr>
        <w:jc w:val="center"/>
        <w:ind w:right="-259"/>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AND FINANCIAL STATEMENT SCHEDULES</w:t>
      </w: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E1E1E"/>
        </w:rPr>
        <w:t>(a)  (1) Consolidated and Combined Financial Statements</w:t>
      </w:r>
    </w:p>
    <w:p>
      <w:pPr>
        <w:spacing w:after="0" w:line="145" w:lineRule="exact"/>
        <w:rPr>
          <w:sz w:val="20"/>
          <w:szCs w:val="20"/>
          <w:color w:val="auto"/>
        </w:rPr>
      </w:pPr>
    </w:p>
    <w:p>
      <w:pPr>
        <w:ind w:left="760" w:right="240"/>
        <w:spacing w:after="0"/>
        <w:rPr>
          <w:sz w:val="20"/>
          <w:szCs w:val="20"/>
          <w:color w:val="auto"/>
        </w:rPr>
      </w:pPr>
      <w:r>
        <w:rPr>
          <w:rFonts w:ascii="Times New Roman" w:cs="Times New Roman" w:eastAsia="Times New Roman" w:hAnsi="Times New Roman"/>
          <w:sz w:val="20"/>
          <w:szCs w:val="20"/>
          <w:color w:val="1E1E1E"/>
        </w:rPr>
        <w:t>The following consolidated and combined financial statements of Victoria's Secret &amp; Co. are filed as part of this report under Item 8. Financial Statements and Supplementary Data:</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1E1E1E"/>
        </w:rPr>
        <w:t>Management’s Report on Internal Control Over Financial Reporting</w:t>
      </w:r>
    </w:p>
    <w:p>
      <w:pPr>
        <w:spacing w:after="0" w:line="145" w:lineRule="exact"/>
        <w:rPr>
          <w:sz w:val="20"/>
          <w:szCs w:val="20"/>
          <w:color w:val="auto"/>
        </w:rPr>
      </w:pPr>
    </w:p>
    <w:p>
      <w:pPr>
        <w:ind w:left="1720" w:right="740"/>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on Internal Control Over Financial Reporting</w:t>
      </w:r>
    </w:p>
    <w:p>
      <w:pPr>
        <w:spacing w:after="0" w:line="110" w:lineRule="exact"/>
        <w:rPr>
          <w:sz w:val="20"/>
          <w:szCs w:val="20"/>
          <w:color w:val="auto"/>
        </w:rPr>
      </w:pPr>
    </w:p>
    <w:p>
      <w:pPr>
        <w:ind w:left="1720" w:right="200"/>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on Consolidated and Combined Financial Statements</w:t>
      </w:r>
    </w:p>
    <w:p>
      <w:pPr>
        <w:spacing w:after="0" w:line="80" w:lineRule="exact"/>
        <w:rPr>
          <w:sz w:val="20"/>
          <w:szCs w:val="20"/>
          <w:color w:val="auto"/>
        </w:rPr>
      </w:pPr>
    </w:p>
    <w:p>
      <w:pPr>
        <w:ind w:left="1720" w:right="100"/>
        <w:spacing w:after="0"/>
        <w:rPr>
          <w:sz w:val="20"/>
          <w:szCs w:val="20"/>
          <w:color w:val="auto"/>
        </w:rPr>
      </w:pPr>
      <w:r>
        <w:rPr>
          <w:rFonts w:ascii="Times New Roman" w:cs="Times New Roman" w:eastAsia="Times New Roman" w:hAnsi="Times New Roman"/>
          <w:sz w:val="20"/>
          <w:szCs w:val="20"/>
          <w:color w:val="1E1E1E"/>
        </w:rPr>
        <w:t>Consolidated and Combined Statements of Income for the Years Ended February 3, 2024, January 28, 2023 and January 29, 2022</w:t>
      </w:r>
    </w:p>
    <w:p>
      <w:pPr>
        <w:spacing w:after="0" w:line="110" w:lineRule="exact"/>
        <w:rPr>
          <w:sz w:val="20"/>
          <w:szCs w:val="20"/>
          <w:color w:val="auto"/>
        </w:rPr>
      </w:pPr>
    </w:p>
    <w:p>
      <w:pPr>
        <w:ind w:left="1720" w:right="260"/>
        <w:spacing w:after="0"/>
        <w:rPr>
          <w:sz w:val="20"/>
          <w:szCs w:val="20"/>
          <w:color w:val="auto"/>
        </w:rPr>
      </w:pPr>
      <w:r>
        <w:rPr>
          <w:rFonts w:ascii="Times New Roman" w:cs="Times New Roman" w:eastAsia="Times New Roman" w:hAnsi="Times New Roman"/>
          <w:sz w:val="20"/>
          <w:szCs w:val="20"/>
          <w:color w:val="1E1E1E"/>
        </w:rPr>
        <w:t>Consolidated and Combined Statements of Comprehensive Income for the Years Ended February 3, 2024, January 28, 2023 and January 29, 2022</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1E1E1E"/>
        </w:rPr>
        <w:t>Consolidated Balance Sheets as of February 3, 2024 and January 28, 2023</w:t>
      </w:r>
    </w:p>
    <w:p>
      <w:pPr>
        <w:spacing w:after="0" w:line="145" w:lineRule="exact"/>
        <w:rPr>
          <w:sz w:val="20"/>
          <w:szCs w:val="20"/>
          <w:color w:val="auto"/>
        </w:rPr>
      </w:pPr>
    </w:p>
    <w:p>
      <w:pPr>
        <w:ind w:left="1720" w:right="160"/>
        <w:spacing w:after="0"/>
        <w:rPr>
          <w:sz w:val="20"/>
          <w:szCs w:val="20"/>
          <w:color w:val="auto"/>
        </w:rPr>
      </w:pPr>
      <w:r>
        <w:rPr>
          <w:rFonts w:ascii="Times New Roman" w:cs="Times New Roman" w:eastAsia="Times New Roman" w:hAnsi="Times New Roman"/>
          <w:sz w:val="20"/>
          <w:szCs w:val="20"/>
          <w:color w:val="1E1E1E"/>
        </w:rPr>
        <w:t>Consolidated and Combined Statements of Equity for the Years Ended February 3, 2024, January 28, 2023 and January 29, 2022</w:t>
      </w:r>
    </w:p>
    <w:p>
      <w:pPr>
        <w:spacing w:after="0" w:line="110" w:lineRule="exact"/>
        <w:rPr>
          <w:sz w:val="20"/>
          <w:szCs w:val="20"/>
          <w:color w:val="auto"/>
        </w:rPr>
      </w:pPr>
    </w:p>
    <w:p>
      <w:pPr>
        <w:ind w:left="1720" w:right="60"/>
        <w:spacing w:after="0"/>
        <w:rPr>
          <w:sz w:val="20"/>
          <w:szCs w:val="20"/>
          <w:color w:val="auto"/>
        </w:rPr>
      </w:pPr>
      <w:r>
        <w:rPr>
          <w:rFonts w:ascii="Times New Roman" w:cs="Times New Roman" w:eastAsia="Times New Roman" w:hAnsi="Times New Roman"/>
          <w:sz w:val="20"/>
          <w:szCs w:val="20"/>
          <w:color w:val="1E1E1E"/>
        </w:rPr>
        <w:t>Consolidated and Combined Statements of Cash Flows for the Years Ended February 3, 2024, January 28, 2023 and January 29, 2022</w:t>
      </w:r>
    </w:p>
    <w:p>
      <w:pPr>
        <w:spacing w:after="0" w:line="1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1E1E1E"/>
        </w:rPr>
        <w:t>Notes to Consolidated and Combined Financial Statements</w:t>
      </w:r>
    </w:p>
    <w:p>
      <w:pPr>
        <w:spacing w:after="0" w:line="145" w:lineRule="exact"/>
        <w:rPr>
          <w:sz w:val="20"/>
          <w:szCs w:val="20"/>
          <w:color w:val="auto"/>
        </w:rPr>
      </w:pPr>
    </w:p>
    <w:p>
      <w:pPr>
        <w:ind w:left="760" w:hanging="357"/>
        <w:spacing w:after="0"/>
        <w:tabs>
          <w:tab w:leader="none" w:pos="760" w:val="left"/>
        </w:tabs>
        <w:numPr>
          <w:ilvl w:val="0"/>
          <w:numId w:val="4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Statement Schedules</w:t>
      </w:r>
    </w:p>
    <w:p>
      <w:pPr>
        <w:spacing w:after="0" w:line="145" w:lineRule="exact"/>
        <w:rPr>
          <w:rFonts w:ascii="Times New Roman" w:cs="Times New Roman" w:eastAsia="Times New Roman" w:hAnsi="Times New Roman"/>
          <w:sz w:val="20"/>
          <w:szCs w:val="20"/>
          <w:color w:val="1E1E1E"/>
        </w:rPr>
      </w:pPr>
    </w:p>
    <w:p>
      <w:pPr>
        <w:ind w:left="760" w:right="1620"/>
        <w:spacing w:after="0" w:line="229"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Schedules have been omitted because they are not required or are not applicable or because the information required to be set forth therein either is not material or is included in the financial statements or notes thereto.</w:t>
      </w:r>
    </w:p>
    <w:p>
      <w:pPr>
        <w:spacing w:after="0" w:line="121" w:lineRule="exact"/>
        <w:rPr>
          <w:rFonts w:ascii="Times New Roman" w:cs="Times New Roman" w:eastAsia="Times New Roman" w:hAnsi="Times New Roman"/>
          <w:sz w:val="20"/>
          <w:szCs w:val="20"/>
          <w:color w:val="1E1E1E"/>
        </w:rPr>
      </w:pPr>
    </w:p>
    <w:p>
      <w:pPr>
        <w:ind w:left="760" w:hanging="357"/>
        <w:spacing w:after="0"/>
        <w:tabs>
          <w:tab w:leader="none" w:pos="760" w:val="left"/>
        </w:tabs>
        <w:numPr>
          <w:ilvl w:val="0"/>
          <w:numId w:val="4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List of Exhibits</w:t>
      </w:r>
    </w:p>
    <w:p>
      <w:pPr>
        <w:spacing w:after="0" w:line="145" w:lineRule="exact"/>
        <w:rPr>
          <w:rFonts w:ascii="Times New Roman" w:cs="Times New Roman" w:eastAsia="Times New Roman" w:hAnsi="Times New Roman"/>
          <w:sz w:val="20"/>
          <w:szCs w:val="20"/>
          <w:color w:val="1E1E1E"/>
        </w:rPr>
      </w:pPr>
    </w:p>
    <w:p>
      <w:pPr>
        <w:ind w:left="76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2.</w:t>
      </w:r>
      <w:r>
        <w:rPr>
          <w:rFonts w:ascii="Times New Roman" w:cs="Times New Roman" w:eastAsia="Times New Roman" w:hAnsi="Times New Roman"/>
          <w:sz w:val="19"/>
          <w:szCs w:val="19"/>
          <w:color w:val="1E1E1E"/>
        </w:rPr>
        <w:t>Plan of Acquisition, Reorganization, Arrangement, Liquidation or Succession</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2.1</w:t>
            </w:r>
          </w:p>
        </w:tc>
        <w:tc>
          <w:tcPr>
            <w:tcW w:w="792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rPr>
              <w:t>Separation and Distribution Agreement between L Brands, Inc. and Victoria’s Secret &amp; Co., dated</w:t>
            </w:r>
          </w:p>
        </w:tc>
        <w:tc>
          <w:tcPr>
            <w:tcW w:w="340" w:type="dxa"/>
            <w:vAlign w:val="bottom"/>
            <w:gridSpan w:val="3"/>
          </w:tcPr>
          <w:p>
            <w:pPr>
              <w:spacing w:after="0"/>
              <w:rPr>
                <w:sz w:val="19"/>
                <w:szCs w:val="19"/>
                <w:color w:val="auto"/>
              </w:rPr>
            </w:pPr>
          </w:p>
        </w:tc>
      </w:tr>
      <w:tr>
        <w:trPr>
          <w:trHeight w:val="180"/>
        </w:trPr>
        <w:tc>
          <w:tcPr>
            <w:tcW w:w="960" w:type="dxa"/>
            <w:vAlign w:val="bottom"/>
          </w:tcPr>
          <w:p>
            <w:pPr>
              <w:spacing w:after="0"/>
              <w:rPr>
                <w:sz w:val="15"/>
                <w:szCs w:val="15"/>
                <w:color w:val="auto"/>
              </w:rPr>
            </w:pPr>
          </w:p>
        </w:tc>
        <w:tc>
          <w:tcPr>
            <w:tcW w:w="826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434343"/>
              </w:rPr>
              <w:t>August 2, 2021 (incorporated by reference to Exhibit 2.1 to the Company's Form 8-K filed on August</w:t>
            </w:r>
          </w:p>
        </w:tc>
      </w:tr>
      <w:tr>
        <w:trPr>
          <w:trHeight w:val="180"/>
        </w:trPr>
        <w:tc>
          <w:tcPr>
            <w:tcW w:w="960" w:type="dxa"/>
            <w:vAlign w:val="bottom"/>
          </w:tcPr>
          <w:p>
            <w:pPr>
              <w:spacing w:after="0"/>
              <w:rPr>
                <w:sz w:val="15"/>
                <w:szCs w:val="15"/>
                <w:color w:val="auto"/>
              </w:rPr>
            </w:pPr>
          </w:p>
        </w:tc>
        <w:tc>
          <w:tcPr>
            <w:tcW w:w="720" w:type="dxa"/>
            <w:vAlign w:val="bottom"/>
            <w:tcBorders>
              <w:top w:val="single" w:sz="8" w:color="434343"/>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7"/>
              </w:rPr>
              <w:t>3, 2021).</w:t>
            </w:r>
          </w:p>
        </w:tc>
        <w:tc>
          <w:tcPr>
            <w:tcW w:w="4780" w:type="dxa"/>
            <w:vAlign w:val="bottom"/>
            <w:tcBorders>
              <w:top w:val="single" w:sz="8" w:color="434343"/>
            </w:tcBorders>
          </w:tcPr>
          <w:p>
            <w:pPr>
              <w:spacing w:after="0"/>
              <w:rPr>
                <w:sz w:val="15"/>
                <w:szCs w:val="15"/>
                <w:color w:val="auto"/>
              </w:rPr>
            </w:pPr>
          </w:p>
        </w:tc>
        <w:tc>
          <w:tcPr>
            <w:tcW w:w="2420" w:type="dxa"/>
            <w:vAlign w:val="bottom"/>
            <w:tcBorders>
              <w:top w:val="single" w:sz="8" w:color="434343"/>
            </w:tcBorders>
          </w:tcPr>
          <w:p>
            <w:pPr>
              <w:spacing w:after="0"/>
              <w:rPr>
                <w:sz w:val="15"/>
                <w:szCs w:val="15"/>
                <w:color w:val="auto"/>
              </w:rPr>
            </w:pPr>
          </w:p>
        </w:tc>
        <w:tc>
          <w:tcPr>
            <w:tcW w:w="140" w:type="dxa"/>
            <w:vAlign w:val="bottom"/>
            <w:tcBorders>
              <w:top w:val="single" w:sz="8" w:color="434343"/>
            </w:tcBorders>
          </w:tcPr>
          <w:p>
            <w:pPr>
              <w:spacing w:after="0"/>
              <w:rPr>
                <w:sz w:val="15"/>
                <w:szCs w:val="15"/>
                <w:color w:val="auto"/>
              </w:rPr>
            </w:pPr>
          </w:p>
        </w:tc>
        <w:tc>
          <w:tcPr>
            <w:tcW w:w="120" w:type="dxa"/>
            <w:vAlign w:val="bottom"/>
            <w:tcBorders>
              <w:top w:val="single" w:sz="8" w:color="434343"/>
            </w:tcBorders>
          </w:tcPr>
          <w:p>
            <w:pPr>
              <w:spacing w:after="0"/>
              <w:rPr>
                <w:sz w:val="15"/>
                <w:szCs w:val="15"/>
                <w:color w:val="auto"/>
              </w:rPr>
            </w:pPr>
          </w:p>
        </w:tc>
        <w:tc>
          <w:tcPr>
            <w:tcW w:w="80" w:type="dxa"/>
            <w:vAlign w:val="bottom"/>
          </w:tcPr>
          <w:p>
            <w:pPr>
              <w:spacing w:after="0"/>
              <w:rPr>
                <w:sz w:val="15"/>
                <w:szCs w:val="15"/>
                <w:color w:val="auto"/>
              </w:rPr>
            </w:pPr>
          </w:p>
        </w:tc>
      </w:tr>
      <w:tr>
        <w:trPr>
          <w:trHeight w:val="33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2.2</w:t>
            </w:r>
          </w:p>
        </w:tc>
        <w:tc>
          <w:tcPr>
            <w:tcW w:w="8260" w:type="dxa"/>
            <w:vAlign w:val="bottom"/>
            <w:tcBorders>
              <w:bottom w:val="single" w:sz="8" w:color="434343"/>
            </w:tcBorders>
            <w:gridSpan w:val="6"/>
          </w:tcPr>
          <w:p>
            <w:pPr>
              <w:spacing w:after="0"/>
              <w:rPr>
                <w:sz w:val="20"/>
                <w:szCs w:val="20"/>
                <w:color w:val="auto"/>
              </w:rPr>
            </w:pPr>
            <w:r>
              <w:rPr>
                <w:rFonts w:ascii="Times New Roman" w:cs="Times New Roman" w:eastAsia="Times New Roman" w:hAnsi="Times New Roman"/>
                <w:sz w:val="20"/>
                <w:szCs w:val="20"/>
                <w:color w:val="434343"/>
              </w:rPr>
              <w:t>Agreement and Plan of Merger, dated as of November 1, 2022, by and among Victoria’s Secret &amp; Co.,</w:t>
            </w:r>
          </w:p>
        </w:tc>
      </w:tr>
      <w:tr>
        <w:trPr>
          <w:trHeight w:val="180"/>
        </w:trPr>
        <w:tc>
          <w:tcPr>
            <w:tcW w:w="960" w:type="dxa"/>
            <w:vAlign w:val="bottom"/>
          </w:tcPr>
          <w:p>
            <w:pPr>
              <w:spacing w:after="0"/>
              <w:rPr>
                <w:sz w:val="15"/>
                <w:szCs w:val="15"/>
                <w:color w:val="auto"/>
              </w:rPr>
            </w:pPr>
          </w:p>
        </w:tc>
        <w:tc>
          <w:tcPr>
            <w:tcW w:w="8260" w:type="dxa"/>
            <w:vAlign w:val="bottom"/>
            <w:gridSpan w:val="6"/>
          </w:tcPr>
          <w:p>
            <w:pPr>
              <w:spacing w:after="0" w:line="180" w:lineRule="exact"/>
              <w:rPr>
                <w:sz w:val="20"/>
                <w:szCs w:val="20"/>
                <w:color w:val="auto"/>
              </w:rPr>
            </w:pPr>
            <w:r>
              <w:rPr>
                <w:rFonts w:ascii="Times New Roman" w:cs="Times New Roman" w:eastAsia="Times New Roman" w:hAnsi="Times New Roman"/>
                <w:sz w:val="20"/>
                <w:szCs w:val="20"/>
                <w:color w:val="434343"/>
              </w:rPr>
              <w:t>Fashion Holding Group, Inc., AdoreMe, Inc. and Fortis Advisors LLC (incorporated by reference to</w:t>
            </w:r>
          </w:p>
        </w:tc>
      </w:tr>
      <w:tr>
        <w:trPr>
          <w:trHeight w:val="180"/>
        </w:trPr>
        <w:tc>
          <w:tcPr>
            <w:tcW w:w="960" w:type="dxa"/>
            <w:vAlign w:val="bottom"/>
          </w:tcPr>
          <w:p>
            <w:pPr>
              <w:spacing w:after="0"/>
              <w:rPr>
                <w:sz w:val="15"/>
                <w:szCs w:val="15"/>
                <w:color w:val="auto"/>
              </w:rPr>
            </w:pPr>
          </w:p>
        </w:tc>
        <w:tc>
          <w:tcPr>
            <w:tcW w:w="8060" w:type="dxa"/>
            <w:vAlign w:val="bottom"/>
            <w:tcBorders>
              <w:top w:val="single" w:sz="8" w:color="434343"/>
            </w:tcBorders>
            <w:gridSpan w:val="4"/>
          </w:tcPr>
          <w:p>
            <w:pPr>
              <w:spacing w:after="0" w:line="180" w:lineRule="exact"/>
              <w:rPr>
                <w:sz w:val="20"/>
                <w:szCs w:val="20"/>
                <w:color w:val="auto"/>
              </w:rPr>
            </w:pPr>
            <w:r>
              <w:rPr>
                <w:rFonts w:ascii="Times New Roman" w:cs="Times New Roman" w:eastAsia="Times New Roman" w:hAnsi="Times New Roman"/>
                <w:sz w:val="20"/>
                <w:szCs w:val="20"/>
                <w:color w:val="434343"/>
              </w:rPr>
              <w:t>Exhibit 2.1 to the Company's Form 8-K filed on November 1, 2022).</w:t>
            </w:r>
          </w:p>
        </w:tc>
        <w:tc>
          <w:tcPr>
            <w:tcW w:w="200" w:type="dxa"/>
            <w:vAlign w:val="bottom"/>
            <w:gridSpan w:val="2"/>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434343"/>
          </w:tcPr>
          <w:p>
            <w:pPr>
              <w:spacing w:after="0" w:line="20" w:lineRule="exact"/>
              <w:rPr>
                <w:sz w:val="1"/>
                <w:szCs w:val="1"/>
                <w:color w:val="auto"/>
              </w:rPr>
            </w:pPr>
          </w:p>
        </w:tc>
        <w:tc>
          <w:tcPr>
            <w:tcW w:w="4780" w:type="dxa"/>
            <w:vAlign w:val="bottom"/>
            <w:shd w:val="clear" w:color="auto" w:fill="43434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3" w:lineRule="exact"/>
        <w:rPr>
          <w:sz w:val="20"/>
          <w:szCs w:val="20"/>
          <w:color w:val="auto"/>
        </w:rPr>
      </w:pPr>
    </w:p>
    <w:p>
      <w:pPr>
        <w:ind w:left="1720" w:hanging="957"/>
        <w:spacing w:after="0"/>
        <w:tabs>
          <w:tab w:leader="none" w:pos="1720" w:val="left"/>
        </w:tabs>
        <w:numPr>
          <w:ilvl w:val="0"/>
          <w:numId w:val="4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Articles of Incorporation and Bylaws.</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3.1</w:t>
            </w:r>
          </w:p>
        </w:tc>
        <w:tc>
          <w:tcPr>
            <w:tcW w:w="768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rPr>
              <w:t>Amended and Restated Certificate of Incorporation of Victoria’s Secret &amp; Co. (incorporated by</w:t>
            </w:r>
          </w:p>
        </w:tc>
        <w:tc>
          <w:tcPr>
            <w:tcW w:w="40" w:type="dxa"/>
            <w:vAlign w:val="bottom"/>
          </w:tcPr>
          <w:p>
            <w:pPr>
              <w:spacing w:after="0"/>
              <w:rPr>
                <w:sz w:val="19"/>
                <w:szCs w:val="19"/>
                <w:color w:val="auto"/>
              </w:rPr>
            </w:pPr>
          </w:p>
        </w:tc>
      </w:tr>
      <w:tr>
        <w:trPr>
          <w:trHeight w:val="180"/>
        </w:trPr>
        <w:tc>
          <w:tcPr>
            <w:tcW w:w="960" w:type="dxa"/>
            <w:vAlign w:val="bottom"/>
          </w:tcPr>
          <w:p>
            <w:pPr>
              <w:spacing w:after="0"/>
              <w:rPr>
                <w:sz w:val="15"/>
                <w:szCs w:val="15"/>
                <w:color w:val="auto"/>
              </w:rPr>
            </w:pPr>
          </w:p>
        </w:tc>
        <w:tc>
          <w:tcPr>
            <w:tcW w:w="6240" w:type="dxa"/>
            <w:vAlign w:val="bottom"/>
            <w:tcBorders>
              <w:bottom w:val="single" w:sz="8" w:color="434343"/>
            </w:tcBorders>
            <w:gridSpan w:val="2"/>
          </w:tcPr>
          <w:p>
            <w:pPr>
              <w:spacing w:after="0" w:line="180" w:lineRule="exact"/>
              <w:rPr>
                <w:sz w:val="20"/>
                <w:szCs w:val="20"/>
                <w:color w:val="auto"/>
              </w:rPr>
            </w:pPr>
            <w:r>
              <w:rPr>
                <w:rFonts w:ascii="Times New Roman" w:cs="Times New Roman" w:eastAsia="Times New Roman" w:hAnsi="Times New Roman"/>
                <w:sz w:val="20"/>
                <w:szCs w:val="20"/>
                <w:color w:val="434343"/>
                <w:w w:val="99"/>
              </w:rPr>
              <w:t>reference to Exhibit 3.1 to the Company's Form 8-K filed on August 3, 2021).</w:t>
            </w: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5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3.2</w:t>
            </w:r>
          </w:p>
        </w:tc>
        <w:tc>
          <w:tcPr>
            <w:tcW w:w="768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9"/>
              </w:rPr>
              <w:t>Second Amended and Restated Bylaws of Victoria’s Secret &amp; Co. (incorporated by reference to</w:t>
            </w:r>
          </w:p>
        </w:tc>
        <w:tc>
          <w:tcPr>
            <w:tcW w:w="40" w:type="dxa"/>
            <w:vAlign w:val="bottom"/>
            <w:tcBorders>
              <w:bottom w:val="single" w:sz="8" w:color="434343"/>
            </w:tcBorders>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7680" w:type="dxa"/>
            <w:vAlign w:val="bottom"/>
            <w:gridSpan w:val="3"/>
          </w:tcPr>
          <w:p>
            <w:pPr>
              <w:spacing w:after="0" w:line="180" w:lineRule="exact"/>
              <w:rPr>
                <w:sz w:val="20"/>
                <w:szCs w:val="20"/>
                <w:color w:val="auto"/>
              </w:rPr>
            </w:pPr>
            <w:r>
              <w:rPr>
                <w:rFonts w:ascii="Times New Roman" w:cs="Times New Roman" w:eastAsia="Times New Roman" w:hAnsi="Times New Roman"/>
                <w:sz w:val="20"/>
                <w:szCs w:val="20"/>
                <w:color w:val="434343"/>
              </w:rPr>
              <w:t>Exhibit 3.2 to the Company's Form 10-K filed on March 17, 2023).</w:t>
            </w:r>
          </w:p>
        </w:tc>
        <w:tc>
          <w:tcPr>
            <w:tcW w:w="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5380" w:type="dxa"/>
            <w:vAlign w:val="bottom"/>
            <w:shd w:val="clear" w:color="auto" w:fill="43434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3" w:lineRule="exact"/>
        <w:rPr>
          <w:sz w:val="20"/>
          <w:szCs w:val="20"/>
          <w:color w:val="auto"/>
        </w:rPr>
      </w:pPr>
    </w:p>
    <w:p>
      <w:pPr>
        <w:ind w:left="1720" w:hanging="957"/>
        <w:spacing w:after="0"/>
        <w:tabs>
          <w:tab w:leader="none" w:pos="1720" w:val="left"/>
        </w:tabs>
        <w:numPr>
          <w:ilvl w:val="0"/>
          <w:numId w:val="4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Instruments Defining the Rights of Security Holders.</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4.1</w:t>
            </w:r>
          </w:p>
        </w:tc>
        <w:tc>
          <w:tcPr>
            <w:tcW w:w="332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9"/>
              </w:rPr>
              <w:t>Description of the Registrant's Securities.</w:t>
            </w:r>
          </w:p>
        </w:tc>
        <w:tc>
          <w:tcPr>
            <w:tcW w:w="4920" w:type="dxa"/>
            <w:vAlign w:val="bottom"/>
            <w:gridSpan w:val="5"/>
          </w:tcPr>
          <w:p>
            <w:pPr>
              <w:spacing w:after="0"/>
              <w:rPr>
                <w:sz w:val="19"/>
                <w:szCs w:val="19"/>
                <w:color w:val="auto"/>
              </w:rPr>
            </w:pPr>
          </w:p>
        </w:tc>
      </w:tr>
      <w:tr>
        <w:trPr>
          <w:trHeight w:val="34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4.2</w:t>
            </w:r>
          </w:p>
        </w:tc>
        <w:tc>
          <w:tcPr>
            <w:tcW w:w="8240" w:type="dxa"/>
            <w:vAlign w:val="bottom"/>
            <w:gridSpan w:val="7"/>
          </w:tcPr>
          <w:p>
            <w:pPr>
              <w:spacing w:after="0"/>
              <w:rPr>
                <w:sz w:val="20"/>
                <w:szCs w:val="20"/>
                <w:color w:val="auto"/>
              </w:rPr>
            </w:pPr>
            <w:r>
              <w:rPr>
                <w:rFonts w:ascii="Times New Roman" w:cs="Times New Roman" w:eastAsia="Times New Roman" w:hAnsi="Times New Roman"/>
                <w:sz w:val="20"/>
                <w:szCs w:val="20"/>
                <w:color w:val="434343"/>
              </w:rPr>
              <w:t>Indenture, dated July 15, 2021, among Victoria’s Secret, the guarantors named therein and U.S. Bank</w:t>
            </w:r>
          </w:p>
        </w:tc>
      </w:tr>
      <w:tr>
        <w:trPr>
          <w:trHeight w:val="180"/>
        </w:trPr>
        <w:tc>
          <w:tcPr>
            <w:tcW w:w="960" w:type="dxa"/>
            <w:vAlign w:val="bottom"/>
          </w:tcPr>
          <w:p>
            <w:pPr>
              <w:spacing w:after="0"/>
              <w:rPr>
                <w:sz w:val="15"/>
                <w:szCs w:val="15"/>
                <w:color w:val="auto"/>
              </w:rPr>
            </w:pPr>
          </w:p>
        </w:tc>
        <w:tc>
          <w:tcPr>
            <w:tcW w:w="8160" w:type="dxa"/>
            <w:vAlign w:val="bottom"/>
            <w:tcBorders>
              <w:top w:val="single" w:sz="8" w:color="434343"/>
              <w:bottom w:val="single" w:sz="8" w:color="434343"/>
            </w:tcBorders>
            <w:gridSpan w:val="5"/>
          </w:tcPr>
          <w:p>
            <w:pPr>
              <w:spacing w:after="0" w:line="180" w:lineRule="exact"/>
              <w:rPr>
                <w:sz w:val="20"/>
                <w:szCs w:val="20"/>
                <w:color w:val="auto"/>
              </w:rPr>
            </w:pPr>
            <w:r>
              <w:rPr>
                <w:rFonts w:ascii="Times New Roman" w:cs="Times New Roman" w:eastAsia="Times New Roman" w:hAnsi="Times New Roman"/>
                <w:sz w:val="20"/>
                <w:szCs w:val="20"/>
                <w:color w:val="434343"/>
              </w:rPr>
              <w:t>National Association, as trustee (incorporated by reference to Exhibit 4.1 to the Company's Form 8-K</w:t>
            </w:r>
          </w:p>
        </w:tc>
        <w:tc>
          <w:tcPr>
            <w:tcW w:w="20" w:type="dxa"/>
            <w:vAlign w:val="bottom"/>
            <w:tcBorders>
              <w:bottom w:val="single" w:sz="8" w:color="434343"/>
            </w:tcBorders>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2020" w:type="dxa"/>
            <w:vAlign w:val="bottom"/>
            <w:tcBorders>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9"/>
              </w:rPr>
              <w:t>filed on August 3, 2021).</w:t>
            </w:r>
          </w:p>
        </w:tc>
        <w:tc>
          <w:tcPr>
            <w:tcW w:w="616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r>
      <w:tr>
        <w:trPr>
          <w:trHeight w:val="360"/>
        </w:trPr>
        <w:tc>
          <w:tcPr>
            <w:tcW w:w="9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w w:val="95"/>
              </w:rPr>
              <w:t>4.3</w:t>
            </w:r>
          </w:p>
        </w:tc>
        <w:tc>
          <w:tcPr>
            <w:tcW w:w="8240" w:type="dxa"/>
            <w:vAlign w:val="bottom"/>
            <w:tcBorders>
              <w:bottom w:val="single" w:sz="8" w:color="434343"/>
            </w:tcBorders>
            <w:gridSpan w:val="7"/>
          </w:tcPr>
          <w:p>
            <w:pPr>
              <w:spacing w:after="0"/>
              <w:rPr>
                <w:sz w:val="20"/>
                <w:szCs w:val="20"/>
                <w:color w:val="auto"/>
              </w:rPr>
            </w:pPr>
            <w:r>
              <w:rPr>
                <w:rFonts w:ascii="Times New Roman" w:cs="Times New Roman" w:eastAsia="Times New Roman" w:hAnsi="Times New Roman"/>
                <w:sz w:val="20"/>
                <w:szCs w:val="20"/>
                <w:color w:val="434343"/>
              </w:rPr>
              <w:t>Supplemental Indenture, dated August 2, 2021, among Victoria’s Secret, the guarantors named therein</w:t>
            </w:r>
          </w:p>
        </w:tc>
      </w:tr>
      <w:tr>
        <w:trPr>
          <w:trHeight w:val="180"/>
        </w:trPr>
        <w:tc>
          <w:tcPr>
            <w:tcW w:w="960" w:type="dxa"/>
            <w:vAlign w:val="bottom"/>
          </w:tcPr>
          <w:p>
            <w:pPr>
              <w:spacing w:after="0"/>
              <w:rPr>
                <w:sz w:val="15"/>
                <w:szCs w:val="15"/>
                <w:color w:val="auto"/>
              </w:rPr>
            </w:pPr>
          </w:p>
        </w:tc>
        <w:tc>
          <w:tcPr>
            <w:tcW w:w="8240" w:type="dxa"/>
            <w:vAlign w:val="bottom"/>
            <w:gridSpan w:val="7"/>
          </w:tcPr>
          <w:p>
            <w:pPr>
              <w:spacing w:after="0" w:line="180" w:lineRule="exact"/>
              <w:rPr>
                <w:sz w:val="20"/>
                <w:szCs w:val="20"/>
                <w:color w:val="auto"/>
              </w:rPr>
            </w:pPr>
            <w:r>
              <w:rPr>
                <w:rFonts w:ascii="Times New Roman" w:cs="Times New Roman" w:eastAsia="Times New Roman" w:hAnsi="Times New Roman"/>
                <w:sz w:val="20"/>
                <w:szCs w:val="20"/>
                <w:color w:val="434343"/>
              </w:rPr>
              <w:t>and U.S. Bank National Association, as trustee (incorporated by reference to Exhibit 4.2 to the</w:t>
            </w:r>
          </w:p>
        </w:tc>
      </w:tr>
      <w:tr>
        <w:trPr>
          <w:trHeight w:val="180"/>
        </w:trPr>
        <w:tc>
          <w:tcPr>
            <w:tcW w:w="960" w:type="dxa"/>
            <w:vAlign w:val="bottom"/>
          </w:tcPr>
          <w:p>
            <w:pPr>
              <w:spacing w:after="0"/>
              <w:rPr>
                <w:sz w:val="15"/>
                <w:szCs w:val="15"/>
                <w:color w:val="auto"/>
              </w:rPr>
            </w:pPr>
          </w:p>
        </w:tc>
        <w:tc>
          <w:tcPr>
            <w:tcW w:w="3840" w:type="dxa"/>
            <w:vAlign w:val="bottom"/>
            <w:tcBorders>
              <w:top w:val="single" w:sz="8" w:color="434343"/>
              <w:bottom w:val="single" w:sz="8" w:color="434343"/>
            </w:tcBorders>
            <w:gridSpan w:val="3"/>
          </w:tcPr>
          <w:p>
            <w:pPr>
              <w:spacing w:after="0" w:line="180" w:lineRule="exact"/>
              <w:rPr>
                <w:sz w:val="20"/>
                <w:szCs w:val="20"/>
                <w:color w:val="auto"/>
              </w:rPr>
            </w:pPr>
            <w:r>
              <w:rPr>
                <w:rFonts w:ascii="Times New Roman" w:cs="Times New Roman" w:eastAsia="Times New Roman" w:hAnsi="Times New Roman"/>
                <w:sz w:val="20"/>
                <w:szCs w:val="20"/>
                <w:color w:val="434343"/>
              </w:rPr>
              <w:t>Company's Form 8-K filed on August 3, 2021).</w:t>
            </w:r>
          </w:p>
        </w:tc>
        <w:tc>
          <w:tcPr>
            <w:tcW w:w="3780" w:type="dxa"/>
            <w:vAlign w:val="bottom"/>
            <w:tcBorders>
              <w:top w:val="single" w:sz="8" w:color="434343"/>
            </w:tcBorders>
          </w:tcPr>
          <w:p>
            <w:pPr>
              <w:spacing w:after="0"/>
              <w:rPr>
                <w:sz w:val="15"/>
                <w:szCs w:val="15"/>
                <w:color w:val="auto"/>
              </w:rPr>
            </w:pPr>
          </w:p>
        </w:tc>
        <w:tc>
          <w:tcPr>
            <w:tcW w:w="620" w:type="dxa"/>
            <w:vAlign w:val="bottom"/>
            <w:gridSpan w:val="3"/>
          </w:tcPr>
          <w:p>
            <w:pPr>
              <w:spacing w:after="0"/>
              <w:rPr>
                <w:sz w:val="15"/>
                <w:szCs w:val="15"/>
                <w:color w:val="auto"/>
              </w:rPr>
            </w:pPr>
          </w:p>
        </w:tc>
      </w:tr>
    </w:tbl>
    <w:p>
      <w:pPr>
        <w:spacing w:after="0" w:line="123" w:lineRule="exact"/>
        <w:rPr>
          <w:sz w:val="20"/>
          <w:szCs w:val="20"/>
          <w:color w:val="auto"/>
        </w:rPr>
      </w:pPr>
    </w:p>
    <w:p>
      <w:pPr>
        <w:ind w:left="1720" w:hanging="957"/>
        <w:spacing w:after="0"/>
        <w:tabs>
          <w:tab w:leader="none" w:pos="1720" w:val="left"/>
        </w:tabs>
        <w:numPr>
          <w:ilvl w:val="0"/>
          <w:numId w:val="5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Material Contracts.</w:t>
      </w:r>
    </w:p>
    <w:p>
      <w:pPr>
        <w:sectPr>
          <w:pgSz w:w="11880" w:h="15480" w:orient="portrait"/>
          <w:cols w:equalWidth="0" w:num="1">
            <w:col w:w="9980"/>
          </w:cols>
          <w:pgMar w:left="820" w:top="446" w:right="108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1E1E1E"/>
        </w:rPr>
        <w:t>91</w:t>
      </w:r>
    </w:p>
    <w:p>
      <w:pPr>
        <w:sectPr>
          <w:pgSz w:w="11880" w:h="15480" w:orient="portrait"/>
          <w:cols w:equalWidth="0" w:num="1">
            <w:col w:w="9980"/>
          </w:cols>
          <w:pgMar w:left="820" w:top="446" w:right="1080" w:bottom="0" w:gutter="0" w:footer="0" w:header="0"/>
          <w:type w:val="continuous"/>
        </w:sectPr>
      </w:pPr>
    </w:p>
    <w:bookmarkStart w:id="95" w:name="page96"/>
    <w:bookmarkEnd w:id="95"/>
    <w:tbl>
      <w:tblPr>
        <w:tblLayout w:type="fixed"/>
        <w:tblInd w:w="1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Retention Agreement by and between L Brands, Inc. and Greg Unis, dated as of September 15, 2020</w:t>
            </w:r>
          </w:p>
        </w:tc>
        <w:tc>
          <w:tcPr>
            <w:tcW w:w="20" w:type="dxa"/>
            <w:vAlign w:val="bottom"/>
          </w:tcPr>
          <w:p>
            <w:pPr>
              <w:spacing w:after="0"/>
              <w:rPr>
                <w:sz w:val="19"/>
                <w:szCs w:val="19"/>
                <w:color w:val="auto"/>
              </w:rPr>
            </w:pPr>
          </w:p>
        </w:tc>
      </w:tr>
      <w:tr>
        <w:trPr>
          <w:trHeight w:val="180"/>
        </w:trPr>
        <w:tc>
          <w:tcPr>
            <w:tcW w:w="960" w:type="dxa"/>
            <w:vAlign w:val="bottom"/>
          </w:tcPr>
          <w:p>
            <w:pPr>
              <w:spacing w:after="0"/>
              <w:rPr>
                <w:sz w:val="15"/>
                <w:szCs w:val="15"/>
                <w:color w:val="auto"/>
              </w:rPr>
            </w:pPr>
          </w:p>
        </w:tc>
        <w:tc>
          <w:tcPr>
            <w:tcW w:w="7660" w:type="dxa"/>
            <w:vAlign w:val="bottom"/>
            <w:tcBorders>
              <w:top w:val="single" w:sz="8" w:color="434343"/>
              <w:bottom w:val="single" w:sz="8" w:color="434343"/>
            </w:tcBorders>
            <w:gridSpan w:val="13"/>
          </w:tcPr>
          <w:p>
            <w:pPr>
              <w:spacing w:after="0" w:line="180" w:lineRule="exact"/>
              <w:rPr>
                <w:sz w:val="20"/>
                <w:szCs w:val="20"/>
                <w:color w:val="auto"/>
              </w:rPr>
            </w:pPr>
            <w:r>
              <w:rPr>
                <w:rFonts w:ascii="Times New Roman" w:cs="Times New Roman" w:eastAsia="Times New Roman" w:hAnsi="Times New Roman"/>
                <w:sz w:val="20"/>
                <w:szCs w:val="20"/>
                <w:color w:val="434343"/>
                <w:w w:val="99"/>
              </w:rPr>
              <w:t>(incorporated by reference to Exhibit 10.19 to the Company's Form 10/A filed on July 1, 2021).</w:t>
            </w:r>
          </w:p>
        </w:tc>
        <w:tc>
          <w:tcPr>
            <w:tcW w:w="500" w:type="dxa"/>
            <w:vAlign w:val="bottom"/>
            <w:tcBorders>
              <w:top w:val="single" w:sz="8" w:color="434343"/>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10.2**</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Executive Employment Agreement by and between VS Service Company, LLC and Martin Waters,</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040" w:type="dxa"/>
            <w:vAlign w:val="bottom"/>
            <w:tcBorders>
              <w:top w:val="single" w:sz="8" w:color="434343"/>
            </w:tcBorders>
            <w:gridSpan w:val="22"/>
          </w:tcPr>
          <w:p>
            <w:pPr>
              <w:spacing w:after="0" w:line="180" w:lineRule="exact"/>
              <w:rPr>
                <w:sz w:val="20"/>
                <w:szCs w:val="20"/>
                <w:color w:val="auto"/>
              </w:rPr>
            </w:pPr>
            <w:r>
              <w:rPr>
                <w:rFonts w:ascii="Times New Roman" w:cs="Times New Roman" w:eastAsia="Times New Roman" w:hAnsi="Times New Roman"/>
                <w:sz w:val="20"/>
                <w:szCs w:val="20"/>
                <w:color w:val="434343"/>
              </w:rPr>
              <w:t>dated as of May 22, 2021 (incorporated by reference to Exhibit 10.16 to the Company's Form 10/A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7980" w:type="dxa"/>
            <w:vAlign w:val="bottom"/>
            <w:tcBorders>
              <w:top w:val="single" w:sz="8" w:color="434343"/>
            </w:tcBorders>
            <w:gridSpan w:val="19"/>
          </w:tcPr>
          <w:p>
            <w:pPr>
              <w:spacing w:after="0" w:line="180" w:lineRule="exact"/>
              <w:rPr>
                <w:sz w:val="20"/>
                <w:szCs w:val="20"/>
                <w:color w:val="auto"/>
              </w:rPr>
            </w:pPr>
            <w:r>
              <w:rPr>
                <w:rFonts w:ascii="Times New Roman" w:cs="Times New Roman" w:eastAsia="Times New Roman" w:hAnsi="Times New Roman"/>
                <w:sz w:val="20"/>
                <w:szCs w:val="20"/>
                <w:color w:val="434343"/>
              </w:rPr>
              <w:t>filed on July 1,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434343"/>
          </w:tcPr>
          <w:p>
            <w:pPr>
              <w:spacing w:after="0" w:line="20" w:lineRule="exact"/>
              <w:rPr>
                <w:sz w:val="1"/>
                <w:szCs w:val="1"/>
                <w:color w:val="auto"/>
              </w:rPr>
            </w:pPr>
          </w:p>
        </w:tc>
        <w:tc>
          <w:tcPr>
            <w:tcW w:w="380" w:type="dxa"/>
            <w:vAlign w:val="bottom"/>
            <w:shd w:val="clear" w:color="auto" w:fill="434343"/>
          </w:tcPr>
          <w:p>
            <w:pPr>
              <w:spacing w:after="0" w:line="20" w:lineRule="exact"/>
              <w:rPr>
                <w:sz w:val="1"/>
                <w:szCs w:val="1"/>
                <w:color w:val="auto"/>
              </w:rPr>
            </w:pPr>
          </w:p>
        </w:tc>
        <w:tc>
          <w:tcPr>
            <w:tcW w:w="240" w:type="dxa"/>
            <w:vAlign w:val="bottom"/>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400" w:type="dxa"/>
            <w:vAlign w:val="bottom"/>
            <w:shd w:val="clear" w:color="auto" w:fill="43434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10.3**</w:t>
            </w:r>
          </w:p>
        </w:tc>
        <w:tc>
          <w:tcPr>
            <w:tcW w:w="8220" w:type="dxa"/>
            <w:vAlign w:val="bottom"/>
            <w:tcBorders>
              <w:bottom w:val="single" w:sz="8" w:color="434343"/>
            </w:tcBorders>
            <w:gridSpan w:val="34"/>
          </w:tcPr>
          <w:p>
            <w:pPr>
              <w:spacing w:after="0"/>
              <w:rPr>
                <w:sz w:val="20"/>
                <w:szCs w:val="20"/>
                <w:color w:val="auto"/>
              </w:rPr>
            </w:pPr>
            <w:r>
              <w:rPr>
                <w:rFonts w:ascii="Times New Roman" w:cs="Times New Roman" w:eastAsia="Times New Roman" w:hAnsi="Times New Roman"/>
                <w:sz w:val="20"/>
                <w:szCs w:val="20"/>
                <w:color w:val="434343"/>
              </w:rPr>
              <w:t>Executive Severance Agreement by and between VS Service Company, LLC and Greg Unis, dated as</w:t>
            </w:r>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320" w:type="dxa"/>
            <w:vAlign w:val="bottom"/>
            <w:tcBorders>
              <w:bottom w:val="single" w:sz="8" w:color="434343"/>
            </w:tcBorders>
            <w:gridSpan w:val="38"/>
          </w:tcPr>
          <w:p>
            <w:pPr>
              <w:spacing w:after="0" w:line="180" w:lineRule="exact"/>
              <w:rPr>
                <w:sz w:val="20"/>
                <w:szCs w:val="20"/>
                <w:color w:val="auto"/>
              </w:rPr>
            </w:pPr>
            <w:r>
              <w:rPr>
                <w:rFonts w:ascii="Times New Roman" w:cs="Times New Roman" w:eastAsia="Times New Roman" w:hAnsi="Times New Roman"/>
                <w:sz w:val="20"/>
                <w:szCs w:val="20"/>
                <w:color w:val="434343"/>
              </w:rPr>
              <w:t>of June 28, 2021 (incorporated by reference to Exhibit 10.20 to the Company's Form 10/A filed on July</w:t>
            </w: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720" w:type="dxa"/>
            <w:vAlign w:val="bottom"/>
            <w:tcBorders>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7"/>
              </w:rPr>
              <w:t>1, 2021).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Executive Severance Agreement by and between VS Service Company, LLC and Timothy Johnson,</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080" w:type="dxa"/>
            <w:vAlign w:val="bottom"/>
            <w:tcBorders>
              <w:top w:val="single" w:sz="8" w:color="434343"/>
            </w:tcBorders>
            <w:gridSpan w:val="24"/>
          </w:tcPr>
          <w:p>
            <w:pPr>
              <w:spacing w:after="0" w:line="180" w:lineRule="exact"/>
              <w:rPr>
                <w:sz w:val="20"/>
                <w:szCs w:val="20"/>
                <w:color w:val="auto"/>
              </w:rPr>
            </w:pPr>
            <w:r>
              <w:rPr>
                <w:rFonts w:ascii="Times New Roman" w:cs="Times New Roman" w:eastAsia="Times New Roman" w:hAnsi="Times New Roman"/>
                <w:sz w:val="20"/>
                <w:szCs w:val="20"/>
                <w:color w:val="434343"/>
              </w:rPr>
              <w:t>dated as of June 28, 2021 (incorporated by reference to Exhibit 10.21 to the Company's Form 10/A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7980" w:type="dxa"/>
            <w:vAlign w:val="bottom"/>
            <w:tcBorders>
              <w:top w:val="single" w:sz="8" w:color="434343"/>
            </w:tcBorders>
            <w:gridSpan w:val="19"/>
          </w:tcPr>
          <w:p>
            <w:pPr>
              <w:spacing w:after="0" w:line="180" w:lineRule="exact"/>
              <w:rPr>
                <w:sz w:val="20"/>
                <w:szCs w:val="20"/>
                <w:color w:val="auto"/>
              </w:rPr>
            </w:pPr>
            <w:r>
              <w:rPr>
                <w:rFonts w:ascii="Times New Roman" w:cs="Times New Roman" w:eastAsia="Times New Roman" w:hAnsi="Times New Roman"/>
                <w:sz w:val="20"/>
                <w:szCs w:val="20"/>
                <w:color w:val="434343"/>
              </w:rPr>
              <w:t>filed on July 1,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100" w:type="dxa"/>
            <w:vAlign w:val="bottom"/>
            <w:gridSpan w:val="2"/>
            <w:shd w:val="clear" w:color="auto" w:fill="434343"/>
          </w:tcPr>
          <w:p>
            <w:pPr>
              <w:spacing w:after="0" w:line="20" w:lineRule="exact"/>
              <w:rPr>
                <w:sz w:val="1"/>
                <w:szCs w:val="1"/>
                <w:color w:val="auto"/>
              </w:rPr>
            </w:pPr>
          </w:p>
        </w:tc>
        <w:tc>
          <w:tcPr>
            <w:tcW w:w="240" w:type="dxa"/>
            <w:vAlign w:val="bottom"/>
            <w:shd w:val="clear" w:color="auto" w:fill="434343"/>
          </w:tcPr>
          <w:p>
            <w:pPr>
              <w:spacing w:after="0" w:line="20" w:lineRule="exact"/>
              <w:rPr>
                <w:sz w:val="1"/>
                <w:szCs w:val="1"/>
                <w:color w:val="auto"/>
              </w:rPr>
            </w:pPr>
          </w:p>
        </w:tc>
        <w:tc>
          <w:tcPr>
            <w:tcW w:w="20" w:type="dxa"/>
            <w:vAlign w:val="bottom"/>
            <w:shd w:val="clear" w:color="auto" w:fill="434343"/>
          </w:tcPr>
          <w:p>
            <w:pPr>
              <w:spacing w:after="0" w:line="20" w:lineRule="exact"/>
              <w:rPr>
                <w:sz w:val="1"/>
                <w:szCs w:val="1"/>
                <w:color w:val="auto"/>
              </w:rPr>
            </w:pPr>
          </w:p>
        </w:tc>
        <w:tc>
          <w:tcPr>
            <w:tcW w:w="400" w:type="dxa"/>
            <w:vAlign w:val="bottom"/>
            <w:shd w:val="clear" w:color="auto" w:fill="43434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10.5**</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Form of Victoria’s Secret &amp; Co. 2021 Stock Option and Performance Incentive Plan Restricted Share</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240" w:type="dxa"/>
            <w:vAlign w:val="bottom"/>
            <w:tcBorders>
              <w:top w:val="single" w:sz="8" w:color="434343"/>
            </w:tcBorders>
            <w:gridSpan w:val="32"/>
          </w:tcPr>
          <w:p>
            <w:pPr>
              <w:spacing w:after="0" w:line="180" w:lineRule="exact"/>
              <w:rPr>
                <w:sz w:val="20"/>
                <w:szCs w:val="20"/>
                <w:color w:val="auto"/>
              </w:rPr>
            </w:pPr>
            <w:r>
              <w:rPr>
                <w:rFonts w:ascii="Times New Roman" w:cs="Times New Roman" w:eastAsia="Times New Roman" w:hAnsi="Times New Roman"/>
                <w:sz w:val="20"/>
                <w:szCs w:val="20"/>
                <w:color w:val="434343"/>
              </w:rPr>
              <w:t>Unit Award Agreement (incorporated by reference to Exhibit 10.7 to the Company's Form 10/A filed</w:t>
            </w: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1360" w:type="dxa"/>
            <w:vAlign w:val="bottom"/>
            <w:tcBorders>
              <w:top w:val="single" w:sz="8" w:color="434343"/>
              <w:bottom w:val="single" w:sz="8" w:color="434343"/>
            </w:tcBorders>
            <w:gridSpan w:val="4"/>
          </w:tcPr>
          <w:p>
            <w:pPr>
              <w:spacing w:after="0" w:line="180" w:lineRule="exact"/>
              <w:rPr>
                <w:sz w:val="20"/>
                <w:szCs w:val="20"/>
                <w:color w:val="auto"/>
              </w:rPr>
            </w:pPr>
            <w:r>
              <w:rPr>
                <w:rFonts w:ascii="Times New Roman" w:cs="Times New Roman" w:eastAsia="Times New Roman" w:hAnsi="Times New Roman"/>
                <w:sz w:val="20"/>
                <w:szCs w:val="20"/>
                <w:color w:val="434343"/>
                <w:w w:val="99"/>
              </w:rPr>
              <w:t>on July 1, 2021).</w:t>
            </w:r>
          </w:p>
        </w:tc>
        <w:tc>
          <w:tcPr>
            <w:tcW w:w="6840" w:type="dxa"/>
            <w:vAlign w:val="bottom"/>
            <w:tcBorders>
              <w:top w:val="single" w:sz="8" w:color="434343"/>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10.6**</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Form of Victoria’s Secret &amp; Co. 2021 Stock Option and Performance Incentive Plan Stock Option</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7920" w:type="dxa"/>
            <w:vAlign w:val="bottom"/>
            <w:tcBorders>
              <w:top w:val="single" w:sz="8" w:color="434343"/>
              <w:bottom w:val="single" w:sz="8" w:color="434343"/>
            </w:tcBorders>
            <w:gridSpan w:val="17"/>
          </w:tcPr>
          <w:p>
            <w:pPr>
              <w:spacing w:after="0" w:line="180" w:lineRule="exact"/>
              <w:rPr>
                <w:sz w:val="20"/>
                <w:szCs w:val="20"/>
                <w:color w:val="auto"/>
              </w:rPr>
            </w:pPr>
            <w:r>
              <w:rPr>
                <w:rFonts w:ascii="Times New Roman" w:cs="Times New Roman" w:eastAsia="Times New Roman" w:hAnsi="Times New Roman"/>
                <w:sz w:val="20"/>
                <w:szCs w:val="20"/>
                <w:color w:val="434343"/>
                <w:w w:val="99"/>
              </w:rPr>
              <w:t>Award Agreement (incorporated by reference to Exhibit 10.8 to the Company's Form 10/A filed on</w:t>
            </w:r>
          </w:p>
        </w:tc>
        <w:tc>
          <w:tcPr>
            <w:tcW w:w="40" w:type="dxa"/>
            <w:vAlign w:val="bottom"/>
            <w:tcBorders>
              <w:bottom w:val="single" w:sz="8" w:color="434343"/>
            </w:tcBorders>
          </w:tcPr>
          <w:p>
            <w:pPr>
              <w:spacing w:after="0"/>
              <w:rPr>
                <w:sz w:val="15"/>
                <w:szCs w:val="15"/>
                <w:color w:val="auto"/>
              </w:rPr>
            </w:pPr>
          </w:p>
        </w:tc>
        <w:tc>
          <w:tcPr>
            <w:tcW w:w="40" w:type="dxa"/>
            <w:vAlign w:val="bottom"/>
            <w:tcBorders>
              <w:bottom w:val="single" w:sz="8" w:color="434343"/>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8000" w:type="dxa"/>
            <w:vAlign w:val="bottom"/>
            <w:gridSpan w:val="20"/>
          </w:tcPr>
          <w:p>
            <w:pPr>
              <w:spacing w:after="0" w:line="180" w:lineRule="exact"/>
              <w:rPr>
                <w:sz w:val="20"/>
                <w:szCs w:val="20"/>
                <w:color w:val="auto"/>
              </w:rPr>
            </w:pPr>
            <w:r>
              <w:rPr>
                <w:rFonts w:ascii="Times New Roman" w:cs="Times New Roman" w:eastAsia="Times New Roman" w:hAnsi="Times New Roman"/>
                <w:sz w:val="20"/>
                <w:szCs w:val="20"/>
                <w:color w:val="434343"/>
              </w:rPr>
              <w:t>July 1, 2021).</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100" w:type="dxa"/>
            <w:vAlign w:val="bottom"/>
            <w:gridSpan w:val="2"/>
            <w:shd w:val="clear" w:color="auto" w:fill="43434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10.7**</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Form of Victoria’s Secret &amp; Co. 2021 Stock Option and Performance Incentive Plan Performance</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7880" w:type="dxa"/>
            <w:vAlign w:val="bottom"/>
            <w:tcBorders>
              <w:top w:val="single" w:sz="8" w:color="434343"/>
              <w:bottom w:val="single" w:sz="8" w:color="434343"/>
            </w:tcBorders>
            <w:gridSpan w:val="16"/>
          </w:tcPr>
          <w:p>
            <w:pPr>
              <w:spacing w:after="0" w:line="180" w:lineRule="exact"/>
              <w:rPr>
                <w:sz w:val="20"/>
                <w:szCs w:val="20"/>
                <w:color w:val="auto"/>
              </w:rPr>
            </w:pPr>
            <w:r>
              <w:rPr>
                <w:rFonts w:ascii="Times New Roman" w:cs="Times New Roman" w:eastAsia="Times New Roman" w:hAnsi="Times New Roman"/>
                <w:sz w:val="20"/>
                <w:szCs w:val="20"/>
                <w:color w:val="434343"/>
              </w:rPr>
              <w:t>Share Unit Award Agreement (incorporated by reference to Exhibit 10.12 to the Company's Form</w:t>
            </w:r>
          </w:p>
        </w:tc>
        <w:tc>
          <w:tcPr>
            <w:tcW w:w="440" w:type="dxa"/>
            <w:vAlign w:val="bottom"/>
            <w:tcBorders>
              <w:bottom w:val="single" w:sz="8" w:color="434343"/>
            </w:tcBorders>
            <w:gridSpan w:val="22"/>
          </w:tcPr>
          <w:p>
            <w:pPr>
              <w:spacing w:after="0" w:line="180" w:lineRule="exact"/>
              <w:rPr>
                <w:sz w:val="20"/>
                <w:szCs w:val="20"/>
                <w:color w:val="auto"/>
              </w:rPr>
            </w:pPr>
            <w:r>
              <w:rPr>
                <w:rFonts w:ascii="Times New Roman" w:cs="Times New Roman" w:eastAsia="Times New Roman" w:hAnsi="Times New Roman"/>
                <w:sz w:val="20"/>
                <w:szCs w:val="20"/>
                <w:color w:val="434343"/>
              </w:rPr>
              <w:t>10/A</w:t>
            </w:r>
          </w:p>
        </w:tc>
        <w:tc>
          <w:tcPr>
            <w:tcW w:w="20" w:type="dxa"/>
            <w:vAlign w:val="bottom"/>
            <w:tcBorders>
              <w:bottom w:val="single" w:sz="8" w:color="434343"/>
            </w:tcBorders>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832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434343"/>
              </w:rPr>
              <w:t>filed on July 1, 2021).</w:t>
            </w: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434343"/>
          </w:tcPr>
          <w:p>
            <w:pPr>
              <w:spacing w:after="0" w:line="20" w:lineRule="exact"/>
              <w:rPr>
                <w:sz w:val="1"/>
                <w:szCs w:val="1"/>
                <w:color w:val="auto"/>
              </w:rPr>
            </w:pPr>
          </w:p>
        </w:tc>
        <w:tc>
          <w:tcPr>
            <w:tcW w:w="420" w:type="dxa"/>
            <w:vAlign w:val="bottom"/>
            <w:gridSpan w:val="2"/>
            <w:shd w:val="clear" w:color="auto" w:fill="43434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10.8**</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Victoria’s Secret &amp; Co. 2021 Stock Option and Performance Incentive Plan (incorporated by reference</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280" w:type="dxa"/>
            <w:vAlign w:val="bottom"/>
            <w:tcBorders>
              <w:top w:val="single" w:sz="8" w:color="434343"/>
            </w:tcBorders>
            <w:gridSpan w:val="36"/>
          </w:tcPr>
          <w:p>
            <w:pPr>
              <w:spacing w:after="0" w:line="180" w:lineRule="exact"/>
              <w:rPr>
                <w:sz w:val="20"/>
                <w:szCs w:val="20"/>
                <w:color w:val="auto"/>
              </w:rPr>
            </w:pPr>
            <w:r>
              <w:rPr>
                <w:rFonts w:ascii="Times New Roman" w:cs="Times New Roman" w:eastAsia="Times New Roman" w:hAnsi="Times New Roman"/>
                <w:sz w:val="20"/>
                <w:szCs w:val="20"/>
                <w:color w:val="434343"/>
              </w:rPr>
              <w:t>to Exhibit 99.1 to the Company's Form S-8 filed on July 19,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434343"/>
          </w:tcPr>
          <w:p>
            <w:pPr>
              <w:spacing w:after="0" w:line="20" w:lineRule="exact"/>
              <w:rPr>
                <w:sz w:val="1"/>
                <w:szCs w:val="1"/>
                <w:color w:val="auto"/>
              </w:rPr>
            </w:pPr>
          </w:p>
        </w:tc>
        <w:tc>
          <w:tcPr>
            <w:tcW w:w="1040" w:type="dxa"/>
            <w:vAlign w:val="bottom"/>
            <w:gridSpan w:val="3"/>
            <w:shd w:val="clear" w:color="auto" w:fill="434343"/>
          </w:tcPr>
          <w:p>
            <w:pPr>
              <w:spacing w:after="0" w:line="20" w:lineRule="exact"/>
              <w:rPr>
                <w:sz w:val="1"/>
                <w:szCs w:val="1"/>
                <w:color w:val="auto"/>
              </w:rPr>
            </w:pPr>
          </w:p>
        </w:tc>
        <w:tc>
          <w:tcPr>
            <w:tcW w:w="1420" w:type="dxa"/>
            <w:vAlign w:val="bottom"/>
            <w:shd w:val="clear" w:color="auto" w:fill="434343"/>
          </w:tcPr>
          <w:p>
            <w:pPr>
              <w:spacing w:after="0" w:line="20" w:lineRule="exact"/>
              <w:rPr>
                <w:sz w:val="1"/>
                <w:szCs w:val="1"/>
                <w:color w:val="auto"/>
              </w:rPr>
            </w:pPr>
          </w:p>
        </w:tc>
        <w:tc>
          <w:tcPr>
            <w:tcW w:w="120" w:type="dxa"/>
            <w:vAlign w:val="bottom"/>
            <w:shd w:val="clear" w:color="auto" w:fill="434343"/>
          </w:tcPr>
          <w:p>
            <w:pPr>
              <w:spacing w:after="0" w:line="20" w:lineRule="exact"/>
              <w:rPr>
                <w:sz w:val="1"/>
                <w:szCs w:val="1"/>
                <w:color w:val="auto"/>
              </w:rPr>
            </w:pPr>
          </w:p>
        </w:tc>
        <w:tc>
          <w:tcPr>
            <w:tcW w:w="260" w:type="dxa"/>
            <w:vAlign w:val="bottom"/>
            <w:shd w:val="clear" w:color="auto" w:fill="434343"/>
          </w:tcPr>
          <w:p>
            <w:pPr>
              <w:spacing w:after="0" w:line="20" w:lineRule="exact"/>
              <w:rPr>
                <w:sz w:val="1"/>
                <w:szCs w:val="1"/>
                <w:color w:val="auto"/>
              </w:rPr>
            </w:pPr>
          </w:p>
        </w:tc>
        <w:tc>
          <w:tcPr>
            <w:tcW w:w="620" w:type="dxa"/>
            <w:vAlign w:val="bottom"/>
            <w:shd w:val="clear" w:color="auto" w:fill="434343"/>
          </w:tcPr>
          <w:p>
            <w:pPr>
              <w:spacing w:after="0" w:line="20" w:lineRule="exact"/>
              <w:rPr>
                <w:sz w:val="1"/>
                <w:szCs w:val="1"/>
                <w:color w:val="auto"/>
              </w:rPr>
            </w:pPr>
          </w:p>
        </w:tc>
        <w:tc>
          <w:tcPr>
            <w:tcW w:w="560" w:type="dxa"/>
            <w:vAlign w:val="bottom"/>
            <w:shd w:val="clear" w:color="auto" w:fill="43434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10.9**</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Victoria’s Secret &amp; Co. Associate Stock Purchase Plan (incorporated by reference to Exhibit 99.2 to</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920" w:type="dxa"/>
            <w:vAlign w:val="bottom"/>
            <w:tcBorders>
              <w:top w:val="single" w:sz="8" w:color="434343"/>
              <w:bottom w:val="single" w:sz="8" w:color="434343"/>
            </w:tcBorders>
            <w:gridSpan w:val="8"/>
          </w:tcPr>
          <w:p>
            <w:pPr>
              <w:spacing w:after="0" w:line="180" w:lineRule="exact"/>
              <w:rPr>
                <w:sz w:val="20"/>
                <w:szCs w:val="20"/>
                <w:color w:val="auto"/>
              </w:rPr>
            </w:pPr>
            <w:r>
              <w:rPr>
                <w:rFonts w:ascii="Times New Roman" w:cs="Times New Roman" w:eastAsia="Times New Roman" w:hAnsi="Times New Roman"/>
                <w:sz w:val="20"/>
                <w:szCs w:val="20"/>
                <w:color w:val="434343"/>
                <w:w w:val="99"/>
              </w:rPr>
              <w:t>the Company's Form S-8 filed on July 19, 2021).</w:t>
            </w:r>
          </w:p>
        </w:tc>
        <w:tc>
          <w:tcPr>
            <w:tcW w:w="4180" w:type="dxa"/>
            <w:vAlign w:val="bottom"/>
            <w:tcBorders>
              <w:top w:val="single" w:sz="8" w:color="434343"/>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10.10</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L Brands to VS Transition Services Agreement between L Brands, Inc. and Victoria’s Secret &amp; Co.,</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120" w:type="dxa"/>
            <w:vAlign w:val="bottom"/>
            <w:tcBorders>
              <w:top w:val="single" w:sz="8" w:color="434343"/>
              <w:bottom w:val="single" w:sz="8" w:color="434343"/>
            </w:tcBorders>
            <w:gridSpan w:val="26"/>
          </w:tcPr>
          <w:p>
            <w:pPr>
              <w:spacing w:after="0" w:line="180" w:lineRule="exact"/>
              <w:rPr>
                <w:sz w:val="20"/>
                <w:szCs w:val="20"/>
                <w:color w:val="auto"/>
              </w:rPr>
            </w:pPr>
            <w:r>
              <w:rPr>
                <w:rFonts w:ascii="Times New Roman" w:cs="Times New Roman" w:eastAsia="Times New Roman" w:hAnsi="Times New Roman"/>
                <w:sz w:val="20"/>
                <w:szCs w:val="20"/>
                <w:color w:val="434343"/>
              </w:rPr>
              <w:t>dated August 2, 2021 (incorporated by reference to Exhibit 10.1 to the Company's Form 8-K filed on</w:t>
            </w:r>
          </w:p>
        </w:tc>
        <w:tc>
          <w:tcPr>
            <w:tcW w:w="20" w:type="dxa"/>
            <w:vAlign w:val="bottom"/>
            <w:tcBorders>
              <w:bottom w:val="single" w:sz="8" w:color="434343"/>
            </w:tcBorders>
          </w:tcPr>
          <w:p>
            <w:pPr>
              <w:spacing w:after="0"/>
              <w:rPr>
                <w:sz w:val="15"/>
                <w:szCs w:val="15"/>
                <w:color w:val="auto"/>
              </w:rPr>
            </w:pPr>
          </w:p>
        </w:tc>
        <w:tc>
          <w:tcPr>
            <w:tcW w:w="40" w:type="dxa"/>
            <w:vAlign w:val="bottom"/>
            <w:tcBorders>
              <w:bottom w:val="single" w:sz="8" w:color="434343"/>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8180" w:type="dxa"/>
            <w:vAlign w:val="bottom"/>
            <w:gridSpan w:val="29"/>
          </w:tcPr>
          <w:p>
            <w:pPr>
              <w:spacing w:after="0" w:line="180" w:lineRule="exact"/>
              <w:rPr>
                <w:sz w:val="20"/>
                <w:szCs w:val="20"/>
                <w:color w:val="auto"/>
              </w:rPr>
            </w:pPr>
            <w:r>
              <w:rPr>
                <w:rFonts w:ascii="Times New Roman" w:cs="Times New Roman" w:eastAsia="Times New Roman" w:hAnsi="Times New Roman"/>
                <w:sz w:val="20"/>
                <w:szCs w:val="20"/>
                <w:color w:val="434343"/>
              </w:rPr>
              <w:t>August 3, 2021).</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43434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10.11</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VS to L Brands Transition Services Agreement between L Brands, Inc. and Victoria’s Secret &amp; Co.,</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120" w:type="dxa"/>
            <w:vAlign w:val="bottom"/>
            <w:tcBorders>
              <w:top w:val="single" w:sz="8" w:color="434343"/>
            </w:tcBorders>
            <w:gridSpan w:val="26"/>
          </w:tcPr>
          <w:p>
            <w:pPr>
              <w:spacing w:after="0" w:line="180" w:lineRule="exact"/>
              <w:rPr>
                <w:sz w:val="20"/>
                <w:szCs w:val="20"/>
                <w:color w:val="auto"/>
              </w:rPr>
            </w:pPr>
            <w:r>
              <w:rPr>
                <w:rFonts w:ascii="Times New Roman" w:cs="Times New Roman" w:eastAsia="Times New Roman" w:hAnsi="Times New Roman"/>
                <w:sz w:val="20"/>
                <w:szCs w:val="20"/>
                <w:color w:val="434343"/>
              </w:rPr>
              <w:t>dated August 2, 2021 (incorporated by reference to Exhibit 10.2 to the Company's Form 8-K filed on</w:t>
            </w: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8180" w:type="dxa"/>
            <w:vAlign w:val="bottom"/>
            <w:tcBorders>
              <w:top w:val="single" w:sz="8" w:color="434343"/>
            </w:tcBorders>
            <w:gridSpan w:val="29"/>
          </w:tcPr>
          <w:p>
            <w:pPr>
              <w:spacing w:after="0" w:line="180" w:lineRule="exact"/>
              <w:rPr>
                <w:sz w:val="20"/>
                <w:szCs w:val="20"/>
                <w:color w:val="auto"/>
              </w:rPr>
            </w:pPr>
            <w:r>
              <w:rPr>
                <w:rFonts w:ascii="Times New Roman" w:cs="Times New Roman" w:eastAsia="Times New Roman" w:hAnsi="Times New Roman"/>
                <w:sz w:val="20"/>
                <w:szCs w:val="20"/>
                <w:color w:val="434343"/>
              </w:rPr>
              <w:t>August 3, 2021).</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gridSpan w:val="3"/>
            <w:shd w:val="clear" w:color="auto" w:fill="43434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10.12</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Tax Matters Agreement between L Brands, Inc. and Victoria’s Secret &amp; Co., dated August 2, 2021</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7720" w:type="dxa"/>
            <w:vAlign w:val="bottom"/>
            <w:tcBorders>
              <w:top w:val="single" w:sz="8" w:color="434343"/>
              <w:bottom w:val="single" w:sz="8" w:color="434343"/>
            </w:tcBorders>
            <w:gridSpan w:val="15"/>
          </w:tcPr>
          <w:p>
            <w:pPr>
              <w:spacing w:after="0" w:line="180" w:lineRule="exact"/>
              <w:rPr>
                <w:sz w:val="20"/>
                <w:szCs w:val="20"/>
                <w:color w:val="auto"/>
              </w:rPr>
            </w:pPr>
            <w:r>
              <w:rPr>
                <w:rFonts w:ascii="Times New Roman" w:cs="Times New Roman" w:eastAsia="Times New Roman" w:hAnsi="Times New Roman"/>
                <w:sz w:val="20"/>
                <w:szCs w:val="20"/>
                <w:color w:val="434343"/>
                <w:w w:val="99"/>
              </w:rPr>
              <w:t>(incorporated by reference to Exhibit 10.3 to the Company's Form 8-K filed on August 3, 2021).</w:t>
            </w:r>
          </w:p>
        </w:tc>
        <w:tc>
          <w:tcPr>
            <w:tcW w:w="240" w:type="dxa"/>
            <w:vAlign w:val="bottom"/>
            <w:tcBorders>
              <w:top w:val="single" w:sz="8" w:color="434343"/>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10.13</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Employee Matters Agreement between L Brands, Inc. and Victoria’s Secret &amp; Co., dated August 2,</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020" w:type="dxa"/>
            <w:vAlign w:val="bottom"/>
            <w:tcBorders>
              <w:top w:val="single" w:sz="8" w:color="434343"/>
              <w:bottom w:val="single" w:sz="8" w:color="434343"/>
            </w:tcBorders>
            <w:gridSpan w:val="21"/>
          </w:tcPr>
          <w:p>
            <w:pPr>
              <w:spacing w:after="0" w:line="180" w:lineRule="exact"/>
              <w:rPr>
                <w:sz w:val="20"/>
                <w:szCs w:val="20"/>
                <w:color w:val="auto"/>
              </w:rPr>
            </w:pPr>
            <w:r>
              <w:rPr>
                <w:rFonts w:ascii="Times New Roman" w:cs="Times New Roman" w:eastAsia="Times New Roman" w:hAnsi="Times New Roman"/>
                <w:sz w:val="20"/>
                <w:szCs w:val="20"/>
                <w:color w:val="434343"/>
                <w:w w:val="98"/>
              </w:rPr>
              <w:t>2021 (incorporated by reference to Exhibit 10.4 to the Company's Form 8-K filed on August 3, 2021)</w:t>
            </w:r>
          </w:p>
        </w:tc>
        <w:tc>
          <w:tcPr>
            <w:tcW w:w="240" w:type="dxa"/>
            <w:vAlign w:val="bottom"/>
            <w:tcBorders>
              <w:bottom w:val="single" w:sz="8" w:color="434343"/>
            </w:tcBorders>
            <w:gridSpan w:val="12"/>
          </w:tcPr>
          <w:p>
            <w:pPr>
              <w:jc w:val="right"/>
              <w:ind w:right="100"/>
              <w:spacing w:after="0" w:line="180" w:lineRule="exact"/>
              <w:rPr>
                <w:sz w:val="20"/>
                <w:szCs w:val="20"/>
                <w:color w:val="auto"/>
              </w:rPr>
            </w:pPr>
            <w:r>
              <w:rPr>
                <w:rFonts w:ascii="Times New Roman" w:cs="Times New Roman" w:eastAsia="Times New Roman" w:hAnsi="Times New Roman"/>
                <w:sz w:val="20"/>
                <w:szCs w:val="20"/>
                <w:color w:val="434343"/>
              </w:rPr>
              <w:t>.</w:t>
            </w: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10.14</w:t>
            </w:r>
          </w:p>
        </w:tc>
        <w:tc>
          <w:tcPr>
            <w:tcW w:w="8060" w:type="dxa"/>
            <w:vAlign w:val="bottom"/>
            <w:tcBorders>
              <w:bottom w:val="single" w:sz="8" w:color="434343"/>
            </w:tcBorders>
            <w:gridSpan w:val="23"/>
          </w:tcPr>
          <w:p>
            <w:pPr>
              <w:spacing w:after="0"/>
              <w:rPr>
                <w:sz w:val="20"/>
                <w:szCs w:val="20"/>
                <w:color w:val="auto"/>
              </w:rPr>
            </w:pPr>
            <w:r>
              <w:rPr>
                <w:rFonts w:ascii="Times New Roman" w:cs="Times New Roman" w:eastAsia="Times New Roman" w:hAnsi="Times New Roman"/>
                <w:sz w:val="20"/>
                <w:szCs w:val="20"/>
                <w:color w:val="434343"/>
              </w:rPr>
              <w:t>Domestic Transportation Services Agreement between Mast Logistics Services, LLC and Victoria’s</w:t>
            </w:r>
          </w:p>
        </w:tc>
        <w:tc>
          <w:tcPr>
            <w:tcW w:w="2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32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434343"/>
              </w:rPr>
              <w:t>Secret &amp; Co., dated August 2, 2021 (incorporated by reference to Exhibit 10.5 to the Company's Form</w:t>
            </w: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2380" w:type="dxa"/>
            <w:vAlign w:val="bottom"/>
            <w:tcBorders>
              <w:top w:val="single" w:sz="8" w:color="434343"/>
              <w:bottom w:val="single" w:sz="8" w:color="434343"/>
            </w:tcBorders>
            <w:gridSpan w:val="6"/>
          </w:tcPr>
          <w:p>
            <w:pPr>
              <w:spacing w:after="0" w:line="180" w:lineRule="exact"/>
              <w:rPr>
                <w:sz w:val="20"/>
                <w:szCs w:val="20"/>
                <w:color w:val="auto"/>
              </w:rPr>
            </w:pPr>
            <w:r>
              <w:rPr>
                <w:rFonts w:ascii="Times New Roman" w:cs="Times New Roman" w:eastAsia="Times New Roman" w:hAnsi="Times New Roman"/>
                <w:sz w:val="20"/>
                <w:szCs w:val="20"/>
                <w:color w:val="434343"/>
                <w:w w:val="99"/>
              </w:rPr>
              <w:t>8-K filed on August 3, 2021).</w:t>
            </w:r>
          </w:p>
        </w:tc>
        <w:tc>
          <w:tcPr>
            <w:tcW w:w="5860" w:type="dxa"/>
            <w:vAlign w:val="bottom"/>
            <w:tcBorders>
              <w:top w:val="single" w:sz="8" w:color="434343"/>
            </w:tcBorders>
            <w:gridSpan w:val="29"/>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10.15</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First Lien Credit Agreement by and among Victoria’s Secret &amp; Co. and the Lenders named therein and</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300" w:type="dxa"/>
            <w:vAlign w:val="bottom"/>
            <w:tcBorders>
              <w:top w:val="single" w:sz="8" w:color="434343"/>
            </w:tcBorders>
            <w:gridSpan w:val="37"/>
          </w:tcPr>
          <w:p>
            <w:pPr>
              <w:spacing w:after="0" w:line="180" w:lineRule="exact"/>
              <w:rPr>
                <w:sz w:val="20"/>
                <w:szCs w:val="20"/>
                <w:color w:val="auto"/>
              </w:rPr>
            </w:pPr>
            <w:r>
              <w:rPr>
                <w:rFonts w:ascii="Times New Roman" w:cs="Times New Roman" w:eastAsia="Times New Roman" w:hAnsi="Times New Roman"/>
                <w:sz w:val="20"/>
                <w:szCs w:val="20"/>
                <w:color w:val="434343"/>
              </w:rPr>
              <w:t>JP Morgan Chase Bank, N.A., dated August 2, 2021 (incorporated by reference to Exhibit 10.6 to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3800" w:type="dxa"/>
            <w:vAlign w:val="bottom"/>
            <w:tcBorders>
              <w:top w:val="single" w:sz="8" w:color="434343"/>
              <w:bottom w:val="single" w:sz="8" w:color="434343"/>
            </w:tcBorders>
            <w:gridSpan w:val="7"/>
          </w:tcPr>
          <w:p>
            <w:pPr>
              <w:spacing w:after="0" w:line="180" w:lineRule="exact"/>
              <w:rPr>
                <w:sz w:val="20"/>
                <w:szCs w:val="20"/>
                <w:color w:val="auto"/>
              </w:rPr>
            </w:pPr>
            <w:r>
              <w:rPr>
                <w:rFonts w:ascii="Times New Roman" w:cs="Times New Roman" w:eastAsia="Times New Roman" w:hAnsi="Times New Roman"/>
                <w:sz w:val="20"/>
                <w:szCs w:val="20"/>
                <w:color w:val="434343"/>
                <w:w w:val="99"/>
              </w:rPr>
              <w:t>Company's Form 8-K filed on August 3, 2021).</w:t>
            </w:r>
          </w:p>
        </w:tc>
        <w:tc>
          <w:tcPr>
            <w:tcW w:w="4420" w:type="dxa"/>
            <w:vAlign w:val="bottom"/>
            <w:tcBorders>
              <w:top w:val="single" w:sz="8" w:color="434343"/>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c>
          <w:tcPr>
            <w:tcW w:w="4294967257"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10.16</w:t>
            </w:r>
          </w:p>
        </w:tc>
        <w:tc>
          <w:tcPr>
            <w:tcW w:w="8320" w:type="dxa"/>
            <w:vAlign w:val="bottom"/>
            <w:tcBorders>
              <w:bottom w:val="single" w:sz="8" w:color="434343"/>
            </w:tcBorders>
            <w:gridSpan w:val="38"/>
          </w:tcPr>
          <w:p>
            <w:pPr>
              <w:spacing w:after="0"/>
              <w:rPr>
                <w:sz w:val="20"/>
                <w:szCs w:val="20"/>
                <w:color w:val="auto"/>
              </w:rPr>
            </w:pPr>
            <w:r>
              <w:rPr>
                <w:rFonts w:ascii="Times New Roman" w:cs="Times New Roman" w:eastAsia="Times New Roman" w:hAnsi="Times New Roman"/>
                <w:sz w:val="20"/>
                <w:szCs w:val="20"/>
                <w:color w:val="434343"/>
              </w:rPr>
              <w:t>Revolving Credit Agreement by and among Victoria’s Secret &amp; Co. and the Lenders named therein and</w:t>
            </w:r>
          </w:p>
        </w:tc>
        <w:tc>
          <w:tcPr>
            <w:tcW w:w="20" w:type="dxa"/>
            <w:vAlign w:val="bottom"/>
            <w:tcBorders>
              <w:bottom w:val="single" w:sz="8" w:color="434343"/>
            </w:tcBorders>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320" w:type="dxa"/>
            <w:vAlign w:val="bottom"/>
            <w:gridSpan w:val="38"/>
          </w:tcPr>
          <w:p>
            <w:pPr>
              <w:spacing w:after="0" w:line="180" w:lineRule="exact"/>
              <w:rPr>
                <w:sz w:val="20"/>
                <w:szCs w:val="20"/>
                <w:color w:val="auto"/>
              </w:rPr>
            </w:pPr>
            <w:r>
              <w:rPr>
                <w:rFonts w:ascii="Times New Roman" w:cs="Times New Roman" w:eastAsia="Times New Roman" w:hAnsi="Times New Roman"/>
                <w:sz w:val="20"/>
                <w:szCs w:val="20"/>
                <w:color w:val="434343"/>
              </w:rPr>
              <w:t>JPMorgan Chase Bank, N.A., dated August 2, 2021 (incorporated by reference to Exhibit 10.7 to the</w:t>
            </w: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3800" w:type="dxa"/>
            <w:vAlign w:val="bottom"/>
            <w:tcBorders>
              <w:top w:val="single" w:sz="8" w:color="434343"/>
              <w:bottom w:val="single" w:sz="8" w:color="434343"/>
            </w:tcBorders>
            <w:gridSpan w:val="7"/>
          </w:tcPr>
          <w:p>
            <w:pPr>
              <w:spacing w:after="0" w:line="180" w:lineRule="exact"/>
              <w:rPr>
                <w:sz w:val="20"/>
                <w:szCs w:val="20"/>
                <w:color w:val="auto"/>
              </w:rPr>
            </w:pPr>
            <w:r>
              <w:rPr>
                <w:rFonts w:ascii="Times New Roman" w:cs="Times New Roman" w:eastAsia="Times New Roman" w:hAnsi="Times New Roman"/>
                <w:sz w:val="20"/>
                <w:szCs w:val="20"/>
                <w:color w:val="434343"/>
                <w:w w:val="99"/>
              </w:rPr>
              <w:t>Company's Form 8-K filed on August 3, 2021).</w:t>
            </w:r>
          </w:p>
        </w:tc>
        <w:tc>
          <w:tcPr>
            <w:tcW w:w="4340" w:type="dxa"/>
            <w:vAlign w:val="bottom"/>
            <w:tcBorders>
              <w:top w:val="single" w:sz="8" w:color="434343"/>
            </w:tcBorders>
            <w:gridSpan w:val="20"/>
          </w:tcPr>
          <w:p>
            <w:pPr>
              <w:spacing w:after="0"/>
              <w:rPr>
                <w:sz w:val="15"/>
                <w:szCs w:val="15"/>
                <w:color w:val="auto"/>
              </w:rPr>
            </w:pPr>
          </w:p>
        </w:tc>
        <w:tc>
          <w:tcPr>
            <w:tcW w:w="120" w:type="dxa"/>
            <w:vAlign w:val="bottom"/>
            <w:gridSpan w:val="6"/>
          </w:tcPr>
          <w:p>
            <w:pPr>
              <w:spacing w:after="0"/>
              <w:rPr>
                <w:sz w:val="15"/>
                <w:szCs w:val="15"/>
                <w:color w:val="auto"/>
              </w:rPr>
            </w:pPr>
          </w:p>
        </w:tc>
        <w:tc>
          <w:tcPr>
            <w:tcW w:w="4294967257"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10.17**</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Victoria’s Secret &amp; Co. 2021 Cash Incentive Compensation Performance Plan (incorporated by</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6340" w:type="dxa"/>
            <w:vAlign w:val="bottom"/>
            <w:tcBorders>
              <w:top w:val="single" w:sz="8" w:color="434343"/>
              <w:bottom w:val="single" w:sz="8" w:color="434343"/>
            </w:tcBorders>
            <w:gridSpan w:val="12"/>
          </w:tcPr>
          <w:p>
            <w:pPr>
              <w:spacing w:after="0" w:line="180" w:lineRule="exact"/>
              <w:rPr>
                <w:sz w:val="20"/>
                <w:szCs w:val="20"/>
                <w:color w:val="auto"/>
              </w:rPr>
            </w:pPr>
            <w:r>
              <w:rPr>
                <w:rFonts w:ascii="Times New Roman" w:cs="Times New Roman" w:eastAsia="Times New Roman" w:hAnsi="Times New Roman"/>
                <w:sz w:val="20"/>
                <w:szCs w:val="20"/>
                <w:color w:val="434343"/>
                <w:w w:val="99"/>
              </w:rPr>
              <w:t>reference to Exhibit 10.8 to the Company's Form 8-K filed on August 3, 2021).</w:t>
            </w:r>
          </w:p>
        </w:tc>
        <w:tc>
          <w:tcPr>
            <w:tcW w:w="1340" w:type="dxa"/>
            <w:vAlign w:val="bottom"/>
            <w:tcBorders>
              <w:top w:val="single" w:sz="8" w:color="434343"/>
            </w:tcBorders>
            <w:gridSpan w:val="2"/>
          </w:tcPr>
          <w:p>
            <w:pPr>
              <w:spacing w:after="0"/>
              <w:rPr>
                <w:sz w:val="15"/>
                <w:szCs w:val="15"/>
                <w:color w:val="auto"/>
              </w:rPr>
            </w:pPr>
          </w:p>
        </w:tc>
        <w:tc>
          <w:tcPr>
            <w:tcW w:w="580" w:type="dxa"/>
            <w:vAlign w:val="bottom"/>
            <w:gridSpan w:val="19"/>
          </w:tcPr>
          <w:p>
            <w:pPr>
              <w:spacing w:after="0"/>
              <w:rPr>
                <w:sz w:val="15"/>
                <w:szCs w:val="15"/>
                <w:color w:val="auto"/>
              </w:rPr>
            </w:pPr>
          </w:p>
        </w:tc>
        <w:tc>
          <w:tcPr>
            <w:tcW w:w="4294967257"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10.18</w:t>
            </w:r>
          </w:p>
        </w:tc>
        <w:tc>
          <w:tcPr>
            <w:tcW w:w="8320" w:type="dxa"/>
            <w:vAlign w:val="bottom"/>
            <w:tcBorders>
              <w:bottom w:val="single" w:sz="8" w:color="434343"/>
            </w:tcBorders>
            <w:gridSpan w:val="38"/>
          </w:tcPr>
          <w:p>
            <w:pPr>
              <w:spacing w:after="0"/>
              <w:rPr>
                <w:sz w:val="20"/>
                <w:szCs w:val="20"/>
                <w:color w:val="auto"/>
              </w:rPr>
            </w:pPr>
            <w:r>
              <w:rPr>
                <w:rFonts w:ascii="Times New Roman" w:cs="Times New Roman" w:eastAsia="Times New Roman" w:hAnsi="Times New Roman"/>
                <w:sz w:val="20"/>
                <w:szCs w:val="20"/>
                <w:color w:val="434343"/>
              </w:rPr>
              <w:t>Form of Indemnification Agreement for Non-Employee Directors (incorporated by reference to Exhibit</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4800" w:type="dxa"/>
            <w:vAlign w:val="bottom"/>
            <w:tcBorders>
              <w:bottom w:val="single" w:sz="8" w:color="434343"/>
            </w:tcBorders>
            <w:gridSpan w:val="10"/>
          </w:tcPr>
          <w:p>
            <w:pPr>
              <w:spacing w:after="0" w:line="180" w:lineRule="exact"/>
              <w:rPr>
                <w:sz w:val="20"/>
                <w:szCs w:val="20"/>
                <w:color w:val="auto"/>
              </w:rPr>
            </w:pPr>
            <w:r>
              <w:rPr>
                <w:rFonts w:ascii="Times New Roman" w:cs="Times New Roman" w:eastAsia="Times New Roman" w:hAnsi="Times New Roman"/>
                <w:sz w:val="20"/>
                <w:szCs w:val="20"/>
                <w:color w:val="434343"/>
                <w:w w:val="99"/>
              </w:rPr>
              <w:t>10.</w:t>
            </w:r>
            <w:r>
              <w:rPr>
                <w:rFonts w:ascii="Times New Roman" w:cs="Times New Roman" w:eastAsia="Times New Roman" w:hAnsi="Times New Roman"/>
                <w:sz w:val="20"/>
                <w:szCs w:val="20"/>
                <w:u w:val="single" w:color="auto"/>
                <w:color w:val="434343"/>
                <w:w w:val="99"/>
              </w:rPr>
              <w:t>1</w:t>
            </w:r>
            <w:r>
              <w:rPr>
                <w:rFonts w:ascii="Times New Roman" w:cs="Times New Roman" w:eastAsia="Times New Roman" w:hAnsi="Times New Roman"/>
                <w:sz w:val="20"/>
                <w:szCs w:val="20"/>
                <w:color w:val="434343"/>
                <w:w w:val="99"/>
              </w:rPr>
              <w:t xml:space="preserve"> to the Company's Form 8-K filed on August 10, 2021).</w:t>
            </w:r>
          </w:p>
        </w:tc>
        <w:tc>
          <w:tcPr>
            <w:tcW w:w="352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10.19</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Amendment No. 1 to L Brands to VS Transition Services Agreement between Bath and Body Works,</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260" w:type="dxa"/>
            <w:vAlign w:val="bottom"/>
            <w:tcBorders>
              <w:top w:val="single" w:sz="8" w:color="434343"/>
              <w:bottom w:val="single" w:sz="8" w:color="434343"/>
            </w:tcBorders>
            <w:gridSpan w:val="33"/>
          </w:tcPr>
          <w:p>
            <w:pPr>
              <w:spacing w:after="0" w:line="180" w:lineRule="exact"/>
              <w:rPr>
                <w:sz w:val="20"/>
                <w:szCs w:val="20"/>
                <w:color w:val="auto"/>
              </w:rPr>
            </w:pPr>
            <w:r>
              <w:rPr>
                <w:rFonts w:ascii="Times New Roman" w:cs="Times New Roman" w:eastAsia="Times New Roman" w:hAnsi="Times New Roman"/>
                <w:sz w:val="20"/>
                <w:szCs w:val="20"/>
                <w:color w:val="434343"/>
              </w:rPr>
              <w:t>Inc. and Victoria’s Secret &amp; Co., dated July 20, 2022 (incorporated by reference to Exhibit 10.1 to the</w:t>
            </w:r>
          </w:p>
        </w:tc>
        <w:tc>
          <w:tcPr>
            <w:tcW w:w="4294967257" w:type="dxa"/>
            <w:vAlign w:val="bottom"/>
            <w:tcBorders>
              <w:bottom w:val="single" w:sz="8" w:color="434343"/>
            </w:tcBorders>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4180" w:type="dxa"/>
            <w:vAlign w:val="bottom"/>
            <w:tcBorders>
              <w:bottom w:val="single" w:sz="8" w:color="434343"/>
            </w:tcBorders>
            <w:gridSpan w:val="9"/>
          </w:tcPr>
          <w:p>
            <w:pPr>
              <w:spacing w:after="0" w:line="180" w:lineRule="exact"/>
              <w:rPr>
                <w:sz w:val="20"/>
                <w:szCs w:val="20"/>
                <w:color w:val="auto"/>
              </w:rPr>
            </w:pPr>
            <w:r>
              <w:rPr>
                <w:rFonts w:ascii="Times New Roman" w:cs="Times New Roman" w:eastAsia="Times New Roman" w:hAnsi="Times New Roman"/>
                <w:sz w:val="20"/>
                <w:szCs w:val="20"/>
                <w:color w:val="434343"/>
                <w:w w:val="99"/>
              </w:rPr>
              <w:t>Company's Form 10-Q filed on September 8, 2022).</w:t>
            </w:r>
          </w:p>
        </w:tc>
        <w:tc>
          <w:tcPr>
            <w:tcW w:w="4040" w:type="dxa"/>
            <w:vAlign w:val="bottom"/>
            <w:gridSpan w:val="25"/>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1E1E1E"/>
              </w:rPr>
              <w:t>10.20</w:t>
            </w:r>
          </w:p>
        </w:tc>
        <w:tc>
          <w:tcPr>
            <w:tcW w:w="8320" w:type="dxa"/>
            <w:vAlign w:val="bottom"/>
            <w:gridSpan w:val="38"/>
          </w:tcPr>
          <w:p>
            <w:pPr>
              <w:spacing w:after="0"/>
              <w:rPr>
                <w:sz w:val="20"/>
                <w:szCs w:val="20"/>
                <w:color w:val="auto"/>
              </w:rPr>
            </w:pPr>
            <w:r>
              <w:rPr>
                <w:rFonts w:ascii="Times New Roman" w:cs="Times New Roman" w:eastAsia="Times New Roman" w:hAnsi="Times New Roman"/>
                <w:sz w:val="20"/>
                <w:szCs w:val="20"/>
                <w:color w:val="434343"/>
              </w:rPr>
              <w:t>Amendment No. 1 to VS to L Brands Transition Services Agreement between Bath and Body Works,</w:t>
            </w:r>
          </w:p>
        </w:tc>
        <w:tc>
          <w:tcPr>
            <w:tcW w:w="2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8260" w:type="dxa"/>
            <w:vAlign w:val="bottom"/>
            <w:tcBorders>
              <w:top w:val="single" w:sz="8" w:color="434343"/>
            </w:tcBorders>
            <w:gridSpan w:val="33"/>
          </w:tcPr>
          <w:p>
            <w:pPr>
              <w:spacing w:after="0" w:line="180" w:lineRule="exact"/>
              <w:rPr>
                <w:sz w:val="20"/>
                <w:szCs w:val="20"/>
                <w:color w:val="auto"/>
              </w:rPr>
            </w:pPr>
            <w:r>
              <w:rPr>
                <w:rFonts w:ascii="Times New Roman" w:cs="Times New Roman" w:eastAsia="Times New Roman" w:hAnsi="Times New Roman"/>
                <w:sz w:val="20"/>
                <w:szCs w:val="20"/>
                <w:color w:val="434343"/>
              </w:rPr>
              <w:t>Inc. and Victoria’s Secret &amp; Co., dated July 20, 2022 (incorporated by reference to Exhibit 10.2 to the</w:t>
            </w:r>
          </w:p>
        </w:tc>
        <w:tc>
          <w:tcPr>
            <w:tcW w:w="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4180" w:type="dxa"/>
            <w:vAlign w:val="bottom"/>
            <w:tcBorders>
              <w:top w:val="single" w:sz="8" w:color="434343"/>
              <w:bottom w:val="single" w:sz="8" w:color="434343"/>
            </w:tcBorders>
            <w:gridSpan w:val="9"/>
          </w:tcPr>
          <w:p>
            <w:pPr>
              <w:spacing w:after="0" w:line="180" w:lineRule="exact"/>
              <w:rPr>
                <w:sz w:val="20"/>
                <w:szCs w:val="20"/>
                <w:color w:val="auto"/>
              </w:rPr>
            </w:pPr>
            <w:r>
              <w:rPr>
                <w:rFonts w:ascii="Times New Roman" w:cs="Times New Roman" w:eastAsia="Times New Roman" w:hAnsi="Times New Roman"/>
                <w:sz w:val="20"/>
                <w:szCs w:val="20"/>
                <w:color w:val="434343"/>
                <w:w w:val="99"/>
              </w:rPr>
              <w:t>Company's Form 10-Q filed on September 8, 2022).</w:t>
            </w:r>
          </w:p>
        </w:tc>
        <w:tc>
          <w:tcPr>
            <w:tcW w:w="4040" w:type="dxa"/>
            <w:vAlign w:val="bottom"/>
            <w:tcBorders>
              <w:top w:val="single" w:sz="8" w:color="434343"/>
            </w:tcBorders>
            <w:gridSpan w:val="25"/>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880" w:h="15480" w:orient="portrait"/>
          <w:cols w:equalWidth="0" w:num="1">
            <w:col w:w="9440"/>
          </w:cols>
          <w:pgMar w:left="1440" w:top="4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1E1E1E"/>
        </w:rPr>
        <w:t>92</w:t>
      </w:r>
    </w:p>
    <w:p>
      <w:pPr>
        <w:sectPr>
          <w:pgSz w:w="11880" w:h="15480" w:orient="portrait"/>
          <w:cols w:equalWidth="0" w:num="1">
            <w:col w:w="9440"/>
          </w:cols>
          <w:pgMar w:left="1440" w:top="492" w:right="1000" w:bottom="0" w:gutter="0" w:footer="0" w:header="0"/>
          <w:type w:val="continuous"/>
        </w:sectPr>
      </w:pPr>
    </w:p>
    <w:bookmarkStart w:id="96" w:name="page97"/>
    <w:bookmarkEnd w:id="96"/>
    <w:tbl>
      <w:tblPr>
        <w:tblLayout w:type="fixed"/>
        <w:tblInd w:w="77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10.21^</w:t>
            </w:r>
          </w:p>
        </w:tc>
        <w:tc>
          <w:tcPr>
            <w:tcW w:w="100" w:type="dxa"/>
            <w:vAlign w:val="bottom"/>
          </w:tcPr>
          <w:p>
            <w:pPr>
              <w:spacing w:after="0"/>
              <w:rPr>
                <w:sz w:val="19"/>
                <w:szCs w:val="19"/>
                <w:color w:val="auto"/>
              </w:rPr>
            </w:pPr>
          </w:p>
        </w:tc>
        <w:tc>
          <w:tcPr>
            <w:tcW w:w="8180" w:type="dxa"/>
            <w:vAlign w:val="bottom"/>
            <w:tcBorders>
              <w:bottom w:val="single" w:sz="8" w:color="434343"/>
            </w:tcBorders>
            <w:gridSpan w:val="20"/>
          </w:tcPr>
          <w:p>
            <w:pPr>
              <w:spacing w:after="0"/>
              <w:rPr>
                <w:sz w:val="20"/>
                <w:szCs w:val="20"/>
                <w:color w:val="auto"/>
              </w:rPr>
            </w:pPr>
            <w:r>
              <w:rPr>
                <w:rFonts w:ascii="Times New Roman" w:cs="Times New Roman" w:eastAsia="Times New Roman" w:hAnsi="Times New Roman"/>
                <w:sz w:val="20"/>
                <w:szCs w:val="20"/>
                <w:color w:val="434343"/>
              </w:rPr>
              <w:t>Amendment No. 2 to L Brands to VS Transition Services Agreement between Bath and Body Works,</w:t>
            </w:r>
          </w:p>
        </w:tc>
        <w:tc>
          <w:tcPr>
            <w:tcW w:w="140" w:type="dxa"/>
            <w:vAlign w:val="bottom"/>
            <w:gridSpan w:val="2"/>
          </w:tcPr>
          <w:p>
            <w:pPr>
              <w:spacing w:after="0"/>
              <w:rPr>
                <w:sz w:val="19"/>
                <w:szCs w:val="19"/>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tcBorders>
              <w:bottom w:val="single" w:sz="8" w:color="434343"/>
            </w:tcBorders>
            <w:gridSpan w:val="22"/>
          </w:tcPr>
          <w:p>
            <w:pPr>
              <w:spacing w:after="0" w:line="180" w:lineRule="exact"/>
              <w:rPr>
                <w:sz w:val="20"/>
                <w:szCs w:val="20"/>
                <w:color w:val="auto"/>
              </w:rPr>
            </w:pPr>
            <w:r>
              <w:rPr>
                <w:rFonts w:ascii="Times New Roman" w:cs="Times New Roman" w:eastAsia="Times New Roman" w:hAnsi="Times New Roman"/>
                <w:sz w:val="20"/>
                <w:szCs w:val="20"/>
                <w:color w:val="434343"/>
              </w:rPr>
              <w:t>Inc. and Victoria’s Secret &amp; Co., dated January 23, 2023 (incorporated by reference to Exhibit 10.23 to</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tcBorders>
              <w:bottom w:val="single" w:sz="8" w:color="434343"/>
            </w:tcBorders>
            <w:gridSpan w:val="6"/>
          </w:tcPr>
          <w:p>
            <w:pPr>
              <w:spacing w:after="0" w:line="180" w:lineRule="exact"/>
              <w:rPr>
                <w:sz w:val="20"/>
                <w:szCs w:val="20"/>
                <w:color w:val="auto"/>
              </w:rPr>
            </w:pPr>
            <w:r>
              <w:rPr>
                <w:rFonts w:ascii="Times New Roman" w:cs="Times New Roman" w:eastAsia="Times New Roman" w:hAnsi="Times New Roman"/>
                <w:sz w:val="20"/>
                <w:szCs w:val="20"/>
                <w:color w:val="434343"/>
              </w:rPr>
              <w:t>the Company's Form 10-K filed on March 17, 2023).</w:t>
            </w:r>
          </w:p>
        </w:tc>
        <w:tc>
          <w:tcPr>
            <w:tcW w:w="4060" w:type="dxa"/>
            <w:vAlign w:val="bottom"/>
            <w:gridSpan w:val="16"/>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10.22^</w:t>
            </w:r>
          </w:p>
        </w:tc>
        <w:tc>
          <w:tcPr>
            <w:tcW w:w="100" w:type="dxa"/>
            <w:vAlign w:val="bottom"/>
          </w:tcPr>
          <w:p>
            <w:pPr>
              <w:spacing w:after="0"/>
              <w:rPr>
                <w:sz w:val="24"/>
                <w:szCs w:val="24"/>
                <w:color w:val="auto"/>
              </w:rPr>
            </w:pPr>
          </w:p>
        </w:tc>
        <w:tc>
          <w:tcPr>
            <w:tcW w:w="8180" w:type="dxa"/>
            <w:vAlign w:val="bottom"/>
            <w:tcBorders>
              <w:bottom w:val="single" w:sz="8" w:color="434343"/>
            </w:tcBorders>
            <w:gridSpan w:val="20"/>
          </w:tcPr>
          <w:p>
            <w:pPr>
              <w:spacing w:after="0"/>
              <w:rPr>
                <w:sz w:val="20"/>
                <w:szCs w:val="20"/>
                <w:color w:val="auto"/>
              </w:rPr>
            </w:pPr>
            <w:r>
              <w:rPr>
                <w:rFonts w:ascii="Times New Roman" w:cs="Times New Roman" w:eastAsia="Times New Roman" w:hAnsi="Times New Roman"/>
                <w:sz w:val="20"/>
                <w:szCs w:val="20"/>
                <w:color w:val="434343"/>
              </w:rPr>
              <w:t>Amendment No. 2 to VS to L Brands Transition Services Agreement between Bath and Body Works,</w:t>
            </w:r>
          </w:p>
        </w:tc>
        <w:tc>
          <w:tcPr>
            <w:tcW w:w="140" w:type="dxa"/>
            <w:vAlign w:val="bottom"/>
            <w:gridSpan w:val="2"/>
          </w:tcPr>
          <w:p>
            <w:pPr>
              <w:spacing w:after="0"/>
              <w:rPr>
                <w:sz w:val="24"/>
                <w:szCs w:val="24"/>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20" w:type="dxa"/>
            <w:vAlign w:val="bottom"/>
            <w:tcBorders>
              <w:bottom w:val="single" w:sz="8" w:color="434343"/>
            </w:tcBorders>
            <w:gridSpan w:val="22"/>
          </w:tcPr>
          <w:p>
            <w:pPr>
              <w:spacing w:after="0" w:line="180" w:lineRule="exact"/>
              <w:rPr>
                <w:sz w:val="20"/>
                <w:szCs w:val="20"/>
                <w:color w:val="auto"/>
              </w:rPr>
            </w:pPr>
            <w:r>
              <w:rPr>
                <w:rFonts w:ascii="Times New Roman" w:cs="Times New Roman" w:eastAsia="Times New Roman" w:hAnsi="Times New Roman"/>
                <w:sz w:val="20"/>
                <w:szCs w:val="20"/>
                <w:color w:val="434343"/>
              </w:rPr>
              <w:t>Inc. and Victoria’s Secret &amp; Co., dated January 23, 2023 (incorporated by reference to Exhibit 10.24 to</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Borders>
              <w:bottom w:val="single" w:sz="8" w:color="434343"/>
            </w:tcBorders>
            <w:gridSpan w:val="5"/>
          </w:tcPr>
          <w:p>
            <w:pPr>
              <w:spacing w:after="0" w:line="180" w:lineRule="exact"/>
              <w:rPr>
                <w:sz w:val="20"/>
                <w:szCs w:val="20"/>
                <w:color w:val="auto"/>
              </w:rPr>
            </w:pPr>
            <w:r>
              <w:rPr>
                <w:rFonts w:ascii="Times New Roman" w:cs="Times New Roman" w:eastAsia="Times New Roman" w:hAnsi="Times New Roman"/>
                <w:sz w:val="20"/>
                <w:szCs w:val="20"/>
                <w:color w:val="434343"/>
                <w:w w:val="99"/>
              </w:rPr>
              <w:t>the Company's Form 10-K filed on March 17, 2023).</w:t>
            </w:r>
          </w:p>
        </w:tc>
        <w:tc>
          <w:tcPr>
            <w:tcW w:w="4080" w:type="dxa"/>
            <w:vAlign w:val="bottom"/>
            <w:gridSpan w:val="17"/>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10.23**</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Executive Severance Agreement by and between VS Service Company, LLC and Christine Rupp,</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80" w:type="dxa"/>
            <w:vAlign w:val="bottom"/>
            <w:tcBorders>
              <w:top w:val="single" w:sz="8" w:color="434343"/>
            </w:tcBorders>
            <w:gridSpan w:val="18"/>
          </w:tcPr>
          <w:p>
            <w:pPr>
              <w:spacing w:after="0" w:line="180" w:lineRule="exact"/>
              <w:rPr>
                <w:sz w:val="20"/>
                <w:szCs w:val="20"/>
                <w:color w:val="auto"/>
              </w:rPr>
            </w:pPr>
            <w:r>
              <w:rPr>
                <w:rFonts w:ascii="Times New Roman" w:cs="Times New Roman" w:eastAsia="Times New Roman" w:hAnsi="Times New Roman"/>
                <w:sz w:val="20"/>
                <w:szCs w:val="20"/>
                <w:color w:val="434343"/>
              </w:rPr>
              <w:t>dated as of June 20, 2022 (incorporated by reference to Exhibit 10.1 to the Company's Form 10-Q</w:t>
            </w:r>
          </w:p>
        </w:tc>
        <w:tc>
          <w:tcPr>
            <w:tcW w:w="440" w:type="dxa"/>
            <w:vAlign w:val="bottom"/>
            <w:gridSpan w:val="4"/>
          </w:tcPr>
          <w:p>
            <w:pPr>
              <w:spacing w:after="0" w:line="180" w:lineRule="exact"/>
              <w:rPr>
                <w:sz w:val="20"/>
                <w:szCs w:val="20"/>
                <w:color w:val="auto"/>
              </w:rPr>
            </w:pPr>
            <w:r>
              <w:rPr>
                <w:rFonts w:ascii="Times New Roman" w:cs="Times New Roman" w:eastAsia="Times New Roman" w:hAnsi="Times New Roman"/>
                <w:sz w:val="20"/>
                <w:szCs w:val="20"/>
                <w:color w:val="434343"/>
              </w:rPr>
              <w:t>filed</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300" w:type="dxa"/>
            <w:vAlign w:val="bottom"/>
            <w:tcBorders>
              <w:top w:val="single" w:sz="8" w:color="434343"/>
            </w:tcBorders>
            <w:gridSpan w:val="21"/>
          </w:tcPr>
          <w:p>
            <w:pPr>
              <w:spacing w:after="0" w:line="180" w:lineRule="exact"/>
              <w:rPr>
                <w:sz w:val="20"/>
                <w:szCs w:val="20"/>
                <w:color w:val="auto"/>
              </w:rPr>
            </w:pPr>
            <w:r>
              <w:rPr>
                <w:rFonts w:ascii="Times New Roman" w:cs="Times New Roman" w:eastAsia="Times New Roman" w:hAnsi="Times New Roman"/>
                <w:sz w:val="20"/>
                <w:szCs w:val="20"/>
                <w:color w:val="434343"/>
              </w:rPr>
              <w:t>on June 2, 2023).</w:t>
            </w:r>
          </w:p>
        </w:tc>
        <w:tc>
          <w:tcPr>
            <w:tcW w:w="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434343"/>
          </w:tcPr>
          <w:p>
            <w:pPr>
              <w:spacing w:after="0" w:line="20" w:lineRule="exact"/>
              <w:rPr>
                <w:sz w:val="1"/>
                <w:szCs w:val="1"/>
                <w:color w:val="auto"/>
              </w:rPr>
            </w:pPr>
          </w:p>
        </w:tc>
        <w:tc>
          <w:tcPr>
            <w:tcW w:w="920" w:type="dxa"/>
            <w:vAlign w:val="bottom"/>
            <w:shd w:val="clear" w:color="auto" w:fill="43434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10.24^</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Amendment No. 1 to First Lien Credit Agreement by and among Victoria’s Secret &amp; Co. and the</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20" w:type="dxa"/>
            <w:vAlign w:val="bottom"/>
            <w:tcBorders>
              <w:top w:val="single" w:sz="8" w:color="434343"/>
            </w:tcBorders>
            <w:gridSpan w:val="15"/>
          </w:tcPr>
          <w:p>
            <w:pPr>
              <w:spacing w:after="0" w:line="180" w:lineRule="exact"/>
              <w:rPr>
                <w:sz w:val="20"/>
                <w:szCs w:val="20"/>
                <w:color w:val="auto"/>
              </w:rPr>
            </w:pPr>
            <w:r>
              <w:rPr>
                <w:rFonts w:ascii="Times New Roman" w:cs="Times New Roman" w:eastAsia="Times New Roman" w:hAnsi="Times New Roman"/>
                <w:sz w:val="20"/>
                <w:szCs w:val="20"/>
                <w:color w:val="434343"/>
              </w:rPr>
              <w:t>Lenders named therein and JP Morgan Chase Bank, N.A., dated May 8, 2023 (incorporated by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Borders>
              <w:top w:val="single" w:sz="8" w:color="434343"/>
              <w:bottom w:val="single" w:sz="8" w:color="434343"/>
            </w:tcBorders>
            <w:gridSpan w:val="9"/>
          </w:tcPr>
          <w:p>
            <w:pPr>
              <w:spacing w:after="0" w:line="180" w:lineRule="exact"/>
              <w:rPr>
                <w:sz w:val="20"/>
                <w:szCs w:val="20"/>
                <w:color w:val="auto"/>
              </w:rPr>
            </w:pPr>
            <w:r>
              <w:rPr>
                <w:rFonts w:ascii="Times New Roman" w:cs="Times New Roman" w:eastAsia="Times New Roman" w:hAnsi="Times New Roman"/>
                <w:sz w:val="20"/>
                <w:szCs w:val="20"/>
                <w:color w:val="434343"/>
                <w:w w:val="99"/>
              </w:rPr>
              <w:t>reference to Exhibit 10.1 to the Company's Form 10-Q filed on September 1, 2023).</w:t>
            </w:r>
          </w:p>
        </w:tc>
        <w:tc>
          <w:tcPr>
            <w:tcW w:w="900" w:type="dxa"/>
            <w:vAlign w:val="bottom"/>
            <w:tcBorders>
              <w:top w:val="single" w:sz="8" w:color="434343"/>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10.25</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Amendment No. 1 to Revolving Credit Agreement by and among Victoria’s Secret &amp; Co. and the</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60" w:type="dxa"/>
            <w:vAlign w:val="bottom"/>
            <w:tcBorders>
              <w:top w:val="single" w:sz="8" w:color="434343"/>
            </w:tcBorders>
            <w:gridSpan w:val="17"/>
          </w:tcPr>
          <w:p>
            <w:pPr>
              <w:spacing w:after="0" w:line="180" w:lineRule="exact"/>
              <w:rPr>
                <w:sz w:val="20"/>
                <w:szCs w:val="20"/>
                <w:color w:val="auto"/>
              </w:rPr>
            </w:pPr>
            <w:r>
              <w:rPr>
                <w:rFonts w:ascii="Times New Roman" w:cs="Times New Roman" w:eastAsia="Times New Roman" w:hAnsi="Times New Roman"/>
                <w:sz w:val="20"/>
                <w:szCs w:val="20"/>
                <w:color w:val="434343"/>
              </w:rPr>
              <w:t>Lenders named therein and JPMorgan Chase Bank, N.A., dated May 8, 2023 (incorporated by</w:t>
            </w:r>
          </w:p>
        </w:tc>
        <w:tc>
          <w:tcPr>
            <w:tcW w:w="18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Borders>
              <w:top w:val="single" w:sz="8" w:color="434343"/>
              <w:bottom w:val="single" w:sz="8" w:color="434343"/>
            </w:tcBorders>
            <w:gridSpan w:val="9"/>
          </w:tcPr>
          <w:p>
            <w:pPr>
              <w:spacing w:after="0" w:line="180" w:lineRule="exact"/>
              <w:rPr>
                <w:sz w:val="20"/>
                <w:szCs w:val="20"/>
                <w:color w:val="auto"/>
              </w:rPr>
            </w:pPr>
            <w:r>
              <w:rPr>
                <w:rFonts w:ascii="Times New Roman" w:cs="Times New Roman" w:eastAsia="Times New Roman" w:hAnsi="Times New Roman"/>
                <w:sz w:val="20"/>
                <w:szCs w:val="20"/>
                <w:color w:val="434343"/>
                <w:w w:val="99"/>
              </w:rPr>
              <w:t>reference to Exhibit 10.2 to the Company's Form 10-Q filed on September 1, 2023).</w:t>
            </w:r>
          </w:p>
        </w:tc>
        <w:tc>
          <w:tcPr>
            <w:tcW w:w="840" w:type="dxa"/>
            <w:vAlign w:val="bottom"/>
            <w:tcBorders>
              <w:top w:val="single" w:sz="8" w:color="434343"/>
            </w:tcBorders>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280" w:type="dxa"/>
            <w:vAlign w:val="bottom"/>
            <w:gridSpan w:val="3"/>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21.1</w:t>
            </w:r>
          </w:p>
        </w:tc>
        <w:tc>
          <w:tcPr>
            <w:tcW w:w="100" w:type="dxa"/>
            <w:vAlign w:val="bottom"/>
          </w:tcPr>
          <w:p>
            <w:pPr>
              <w:spacing w:after="0"/>
              <w:rPr>
                <w:sz w:val="24"/>
                <w:szCs w:val="24"/>
                <w:color w:val="auto"/>
              </w:rPr>
            </w:pPr>
          </w:p>
        </w:tc>
        <w:tc>
          <w:tcPr>
            <w:tcW w:w="242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9"/>
              </w:rPr>
              <w:t>Subsidiaries of the Registrant.</w:t>
            </w:r>
          </w:p>
        </w:tc>
        <w:tc>
          <w:tcPr>
            <w:tcW w:w="5900" w:type="dxa"/>
            <w:vAlign w:val="bottom"/>
            <w:gridSpan w:val="18"/>
          </w:tcPr>
          <w:p>
            <w:pPr>
              <w:spacing w:after="0"/>
              <w:rPr>
                <w:sz w:val="24"/>
                <w:szCs w:val="24"/>
                <w:color w:val="auto"/>
              </w:rPr>
            </w:pPr>
          </w:p>
        </w:tc>
      </w:tr>
      <w:tr>
        <w:trPr>
          <w:trHeight w:val="35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23.1</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Consent of Ernst &amp; Young LLP, independent registered public accounting firm.</w:t>
            </w:r>
          </w:p>
        </w:tc>
      </w:tr>
      <w:tr>
        <w:trPr>
          <w:trHeight w:val="35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24.1</w:t>
            </w:r>
          </w:p>
        </w:tc>
        <w:tc>
          <w:tcPr>
            <w:tcW w:w="100" w:type="dxa"/>
            <w:vAlign w:val="bottom"/>
          </w:tcPr>
          <w:p>
            <w:pPr>
              <w:spacing w:after="0"/>
              <w:rPr>
                <w:sz w:val="24"/>
                <w:szCs w:val="24"/>
                <w:color w:val="auto"/>
              </w:rPr>
            </w:pPr>
          </w:p>
        </w:tc>
        <w:tc>
          <w:tcPr>
            <w:tcW w:w="1620" w:type="dxa"/>
            <w:vAlign w:val="bottom"/>
            <w:tcBorders>
              <w:top w:val="single" w:sz="8" w:color="434343"/>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8"/>
              </w:rPr>
              <w:t>Powers of Attorney.</w:t>
            </w:r>
          </w:p>
        </w:tc>
        <w:tc>
          <w:tcPr>
            <w:tcW w:w="4760" w:type="dxa"/>
            <w:vAlign w:val="bottom"/>
            <w:tcBorders>
              <w:top w:val="single" w:sz="8" w:color="434343"/>
            </w:tcBorders>
            <w:gridSpan w:val="5"/>
          </w:tcPr>
          <w:p>
            <w:pPr>
              <w:spacing w:after="0"/>
              <w:rPr>
                <w:sz w:val="24"/>
                <w:szCs w:val="24"/>
                <w:color w:val="auto"/>
              </w:rPr>
            </w:pPr>
          </w:p>
        </w:tc>
        <w:tc>
          <w:tcPr>
            <w:tcW w:w="1940" w:type="dxa"/>
            <w:vAlign w:val="bottom"/>
            <w:gridSpan w:val="14"/>
          </w:tcPr>
          <w:p>
            <w:pPr>
              <w:spacing w:after="0"/>
              <w:rPr>
                <w:sz w:val="24"/>
                <w:szCs w:val="24"/>
                <w:color w:val="auto"/>
              </w:rPr>
            </w:pPr>
          </w:p>
        </w:tc>
      </w:tr>
      <w:tr>
        <w:trPr>
          <w:trHeight w:val="35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31.1</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Certification of Principal Executive Officer Pursuant to Rules 13a-14(a) and 15d-14(a) under the</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80" w:type="dxa"/>
            <w:vAlign w:val="bottom"/>
            <w:tcBorders>
              <w:top w:val="single" w:sz="8" w:color="434343"/>
            </w:tcBorders>
            <w:gridSpan w:val="14"/>
          </w:tcPr>
          <w:p>
            <w:pPr>
              <w:spacing w:after="0" w:line="180" w:lineRule="exact"/>
              <w:rPr>
                <w:sz w:val="20"/>
                <w:szCs w:val="20"/>
                <w:color w:val="auto"/>
              </w:rPr>
            </w:pPr>
            <w:r>
              <w:rPr>
                <w:rFonts w:ascii="Times New Roman" w:cs="Times New Roman" w:eastAsia="Times New Roman" w:hAnsi="Times New Roman"/>
                <w:sz w:val="20"/>
                <w:szCs w:val="20"/>
                <w:color w:val="434343"/>
                <w:w w:val="99"/>
              </w:rPr>
              <w:t>Securities Exchange Act of 1934, as Adopted Pursuant to Section 302 of the Sarbanes-Oxley Act</w:t>
            </w:r>
          </w:p>
        </w:tc>
        <w:tc>
          <w:tcPr>
            <w:tcW w:w="540" w:type="dxa"/>
            <w:vAlign w:val="bottom"/>
            <w:gridSpan w:val="8"/>
          </w:tcPr>
          <w:p>
            <w:pPr>
              <w:ind w:left="40"/>
              <w:spacing w:after="0" w:line="180" w:lineRule="exact"/>
              <w:rPr>
                <w:sz w:val="20"/>
                <w:szCs w:val="20"/>
                <w:color w:val="auto"/>
              </w:rPr>
            </w:pPr>
            <w:r>
              <w:rPr>
                <w:rFonts w:ascii="Times New Roman" w:cs="Times New Roman" w:eastAsia="Times New Roman" w:hAnsi="Times New Roman"/>
                <w:sz w:val="20"/>
                <w:szCs w:val="20"/>
                <w:color w:val="434343"/>
              </w:rPr>
              <w:t>of</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434343"/>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7"/>
              </w:rPr>
              <w:t>2002.</w:t>
            </w:r>
          </w:p>
        </w:tc>
        <w:tc>
          <w:tcPr>
            <w:tcW w:w="920" w:type="dxa"/>
            <w:vAlign w:val="bottom"/>
            <w:tcBorders>
              <w:top w:val="single" w:sz="8" w:color="434343"/>
            </w:tcBorders>
          </w:tcPr>
          <w:p>
            <w:pPr>
              <w:spacing w:after="0"/>
              <w:rPr>
                <w:sz w:val="15"/>
                <w:szCs w:val="15"/>
                <w:color w:val="auto"/>
              </w:rPr>
            </w:pPr>
          </w:p>
        </w:tc>
        <w:tc>
          <w:tcPr>
            <w:tcW w:w="240" w:type="dxa"/>
            <w:vAlign w:val="bottom"/>
            <w:tcBorders>
              <w:top w:val="single" w:sz="8" w:color="434343"/>
            </w:tcBorders>
          </w:tcPr>
          <w:p>
            <w:pPr>
              <w:spacing w:after="0"/>
              <w:rPr>
                <w:sz w:val="15"/>
                <w:szCs w:val="15"/>
                <w:color w:val="auto"/>
              </w:rPr>
            </w:pPr>
          </w:p>
        </w:tc>
        <w:tc>
          <w:tcPr>
            <w:tcW w:w="800" w:type="dxa"/>
            <w:vAlign w:val="bottom"/>
            <w:tcBorders>
              <w:top w:val="single" w:sz="8" w:color="434343"/>
            </w:tcBorders>
          </w:tcPr>
          <w:p>
            <w:pPr>
              <w:spacing w:after="0"/>
              <w:rPr>
                <w:sz w:val="15"/>
                <w:szCs w:val="15"/>
                <w:color w:val="auto"/>
              </w:rPr>
            </w:pPr>
          </w:p>
        </w:tc>
        <w:tc>
          <w:tcPr>
            <w:tcW w:w="18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1280" w:type="dxa"/>
            <w:vAlign w:val="bottom"/>
            <w:tcBorders>
              <w:top w:val="single" w:sz="8" w:color="434343"/>
            </w:tcBorders>
          </w:tcPr>
          <w:p>
            <w:pPr>
              <w:spacing w:after="0"/>
              <w:rPr>
                <w:sz w:val="15"/>
                <w:szCs w:val="15"/>
                <w:color w:val="auto"/>
              </w:rPr>
            </w:pPr>
          </w:p>
        </w:tc>
        <w:tc>
          <w:tcPr>
            <w:tcW w:w="840" w:type="dxa"/>
            <w:vAlign w:val="bottom"/>
            <w:tcBorders>
              <w:top w:val="single" w:sz="8" w:color="434343"/>
            </w:tcBorders>
          </w:tcPr>
          <w:p>
            <w:pPr>
              <w:spacing w:after="0"/>
              <w:rPr>
                <w:sz w:val="15"/>
                <w:szCs w:val="15"/>
                <w:color w:val="auto"/>
              </w:rPr>
            </w:pPr>
          </w:p>
        </w:tc>
        <w:tc>
          <w:tcPr>
            <w:tcW w:w="340" w:type="dxa"/>
            <w:vAlign w:val="bottom"/>
            <w:tcBorders>
              <w:top w:val="single" w:sz="8" w:color="434343"/>
            </w:tcBorders>
          </w:tcPr>
          <w:p>
            <w:pPr>
              <w:spacing w:after="0"/>
              <w:rPr>
                <w:sz w:val="15"/>
                <w:szCs w:val="15"/>
                <w:color w:val="auto"/>
              </w:rPr>
            </w:pPr>
          </w:p>
        </w:tc>
        <w:tc>
          <w:tcPr>
            <w:tcW w:w="180" w:type="dxa"/>
            <w:vAlign w:val="bottom"/>
            <w:tcBorders>
              <w:top w:val="single" w:sz="8" w:color="434343"/>
            </w:tcBorders>
          </w:tcPr>
          <w:p>
            <w:pPr>
              <w:spacing w:after="0"/>
              <w:rPr>
                <w:sz w:val="15"/>
                <w:szCs w:val="15"/>
                <w:color w:val="auto"/>
              </w:rPr>
            </w:pPr>
          </w:p>
        </w:tc>
        <w:tc>
          <w:tcPr>
            <w:tcW w:w="660" w:type="dxa"/>
            <w:vAlign w:val="bottom"/>
            <w:tcBorders>
              <w:top w:val="single" w:sz="8" w:color="434343"/>
            </w:tcBorders>
          </w:tcPr>
          <w:p>
            <w:pPr>
              <w:spacing w:after="0"/>
              <w:rPr>
                <w:sz w:val="15"/>
                <w:szCs w:val="15"/>
                <w:color w:val="auto"/>
              </w:rPr>
            </w:pPr>
          </w:p>
        </w:tc>
        <w:tc>
          <w:tcPr>
            <w:tcW w:w="60" w:type="dxa"/>
            <w:vAlign w:val="bottom"/>
            <w:tcBorders>
              <w:top w:val="single" w:sz="8" w:color="434343"/>
            </w:tcBorders>
          </w:tcPr>
          <w:p>
            <w:pPr>
              <w:spacing w:after="0"/>
              <w:rPr>
                <w:sz w:val="15"/>
                <w:szCs w:val="15"/>
                <w:color w:val="auto"/>
              </w:rPr>
            </w:pPr>
          </w:p>
        </w:tc>
        <w:tc>
          <w:tcPr>
            <w:tcW w:w="120" w:type="dxa"/>
            <w:vAlign w:val="bottom"/>
            <w:tcBorders>
              <w:top w:val="single" w:sz="8" w:color="434343"/>
            </w:tcBorders>
          </w:tcPr>
          <w:p>
            <w:pPr>
              <w:spacing w:after="0"/>
              <w:rPr>
                <w:sz w:val="15"/>
                <w:szCs w:val="15"/>
                <w:color w:val="auto"/>
              </w:rPr>
            </w:pPr>
          </w:p>
        </w:tc>
        <w:tc>
          <w:tcPr>
            <w:tcW w:w="40" w:type="dxa"/>
            <w:vAlign w:val="bottom"/>
            <w:tcBorders>
              <w:top w:val="single" w:sz="8" w:color="434343"/>
            </w:tcBorders>
          </w:tcPr>
          <w:p>
            <w:pPr>
              <w:spacing w:after="0"/>
              <w:rPr>
                <w:sz w:val="15"/>
                <w:szCs w:val="15"/>
                <w:color w:val="auto"/>
              </w:rPr>
            </w:pPr>
          </w:p>
        </w:tc>
        <w:tc>
          <w:tcPr>
            <w:tcW w:w="4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160" w:type="dxa"/>
            <w:vAlign w:val="bottom"/>
            <w:tcBorders>
              <w:top w:val="single" w:sz="8" w:color="434343"/>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31.2</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Certification of Principal Financial Officer Pursuant to Rules 13a-14(a) and 15d-14(a) under the</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40" w:type="dxa"/>
            <w:vAlign w:val="bottom"/>
            <w:tcBorders>
              <w:top w:val="single" w:sz="8" w:color="434343"/>
            </w:tcBorders>
            <w:gridSpan w:val="13"/>
          </w:tcPr>
          <w:p>
            <w:pPr>
              <w:spacing w:after="0" w:line="180" w:lineRule="exact"/>
              <w:rPr>
                <w:sz w:val="20"/>
                <w:szCs w:val="20"/>
                <w:color w:val="auto"/>
              </w:rPr>
            </w:pPr>
            <w:r>
              <w:rPr>
                <w:rFonts w:ascii="Times New Roman" w:cs="Times New Roman" w:eastAsia="Times New Roman" w:hAnsi="Times New Roman"/>
                <w:sz w:val="20"/>
                <w:szCs w:val="20"/>
                <w:color w:val="434343"/>
                <w:w w:val="99"/>
              </w:rPr>
              <w:t>Securities Exchange Act of 1934, as Adopted Pursuant to Section 302 of the Sarbanes-Oxley Act</w:t>
            </w:r>
          </w:p>
        </w:tc>
        <w:tc>
          <w:tcPr>
            <w:tcW w:w="580" w:type="dxa"/>
            <w:vAlign w:val="bottom"/>
            <w:gridSpan w:val="9"/>
          </w:tcPr>
          <w:p>
            <w:pPr>
              <w:ind w:left="80"/>
              <w:spacing w:after="0" w:line="180" w:lineRule="exact"/>
              <w:rPr>
                <w:sz w:val="20"/>
                <w:szCs w:val="20"/>
                <w:color w:val="auto"/>
              </w:rPr>
            </w:pPr>
            <w:r>
              <w:rPr>
                <w:rFonts w:ascii="Times New Roman" w:cs="Times New Roman" w:eastAsia="Times New Roman" w:hAnsi="Times New Roman"/>
                <w:sz w:val="20"/>
                <w:szCs w:val="20"/>
                <w:color w:val="434343"/>
              </w:rPr>
              <w:t>of</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434343"/>
              <w:bottom w:val="single" w:sz="8" w:color="434343"/>
            </w:tcBorders>
          </w:tcPr>
          <w:p>
            <w:pPr>
              <w:spacing w:after="0" w:line="180" w:lineRule="exact"/>
              <w:rPr>
                <w:sz w:val="20"/>
                <w:szCs w:val="20"/>
                <w:color w:val="auto"/>
              </w:rPr>
            </w:pPr>
            <w:r>
              <w:rPr>
                <w:rFonts w:ascii="Times New Roman" w:cs="Times New Roman" w:eastAsia="Times New Roman" w:hAnsi="Times New Roman"/>
                <w:sz w:val="20"/>
                <w:szCs w:val="20"/>
                <w:color w:val="434343"/>
                <w:w w:val="97"/>
              </w:rPr>
              <w:t>2002.</w:t>
            </w:r>
          </w:p>
        </w:tc>
        <w:tc>
          <w:tcPr>
            <w:tcW w:w="920" w:type="dxa"/>
            <w:vAlign w:val="bottom"/>
            <w:tcBorders>
              <w:top w:val="single" w:sz="8" w:color="434343"/>
            </w:tcBorders>
          </w:tcPr>
          <w:p>
            <w:pPr>
              <w:spacing w:after="0"/>
              <w:rPr>
                <w:sz w:val="15"/>
                <w:szCs w:val="15"/>
                <w:color w:val="auto"/>
              </w:rPr>
            </w:pPr>
          </w:p>
        </w:tc>
        <w:tc>
          <w:tcPr>
            <w:tcW w:w="240" w:type="dxa"/>
            <w:vAlign w:val="bottom"/>
            <w:tcBorders>
              <w:top w:val="single" w:sz="8" w:color="434343"/>
            </w:tcBorders>
          </w:tcPr>
          <w:p>
            <w:pPr>
              <w:spacing w:after="0"/>
              <w:rPr>
                <w:sz w:val="15"/>
                <w:szCs w:val="15"/>
                <w:color w:val="auto"/>
              </w:rPr>
            </w:pPr>
          </w:p>
        </w:tc>
        <w:tc>
          <w:tcPr>
            <w:tcW w:w="800" w:type="dxa"/>
            <w:vAlign w:val="bottom"/>
            <w:tcBorders>
              <w:top w:val="single" w:sz="8" w:color="434343"/>
            </w:tcBorders>
          </w:tcPr>
          <w:p>
            <w:pPr>
              <w:spacing w:after="0"/>
              <w:rPr>
                <w:sz w:val="15"/>
                <w:szCs w:val="15"/>
                <w:color w:val="auto"/>
              </w:rPr>
            </w:pPr>
          </w:p>
        </w:tc>
        <w:tc>
          <w:tcPr>
            <w:tcW w:w="18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1280" w:type="dxa"/>
            <w:vAlign w:val="bottom"/>
            <w:tcBorders>
              <w:top w:val="single" w:sz="8" w:color="434343"/>
            </w:tcBorders>
          </w:tcPr>
          <w:p>
            <w:pPr>
              <w:spacing w:after="0"/>
              <w:rPr>
                <w:sz w:val="15"/>
                <w:szCs w:val="15"/>
                <w:color w:val="auto"/>
              </w:rPr>
            </w:pPr>
          </w:p>
        </w:tc>
        <w:tc>
          <w:tcPr>
            <w:tcW w:w="840" w:type="dxa"/>
            <w:vAlign w:val="bottom"/>
            <w:tcBorders>
              <w:top w:val="single" w:sz="8" w:color="434343"/>
            </w:tcBorders>
          </w:tcPr>
          <w:p>
            <w:pPr>
              <w:spacing w:after="0"/>
              <w:rPr>
                <w:sz w:val="15"/>
                <w:szCs w:val="15"/>
                <w:color w:val="auto"/>
              </w:rPr>
            </w:pPr>
          </w:p>
        </w:tc>
        <w:tc>
          <w:tcPr>
            <w:tcW w:w="340" w:type="dxa"/>
            <w:vAlign w:val="bottom"/>
            <w:tcBorders>
              <w:top w:val="single" w:sz="8" w:color="434343"/>
            </w:tcBorders>
          </w:tcPr>
          <w:p>
            <w:pPr>
              <w:spacing w:after="0"/>
              <w:rPr>
                <w:sz w:val="15"/>
                <w:szCs w:val="15"/>
                <w:color w:val="auto"/>
              </w:rPr>
            </w:pPr>
          </w:p>
        </w:tc>
        <w:tc>
          <w:tcPr>
            <w:tcW w:w="180" w:type="dxa"/>
            <w:vAlign w:val="bottom"/>
            <w:tcBorders>
              <w:top w:val="single" w:sz="8" w:color="434343"/>
            </w:tcBorders>
          </w:tcPr>
          <w:p>
            <w:pPr>
              <w:spacing w:after="0"/>
              <w:rPr>
                <w:sz w:val="15"/>
                <w:szCs w:val="15"/>
                <w:color w:val="auto"/>
              </w:rPr>
            </w:pPr>
          </w:p>
        </w:tc>
        <w:tc>
          <w:tcPr>
            <w:tcW w:w="660" w:type="dxa"/>
            <w:vAlign w:val="bottom"/>
            <w:tcBorders>
              <w:top w:val="single" w:sz="8" w:color="434343"/>
            </w:tcBorders>
          </w:tcPr>
          <w:p>
            <w:pPr>
              <w:spacing w:after="0"/>
              <w:rPr>
                <w:sz w:val="15"/>
                <w:szCs w:val="15"/>
                <w:color w:val="auto"/>
              </w:rPr>
            </w:pPr>
          </w:p>
        </w:tc>
        <w:tc>
          <w:tcPr>
            <w:tcW w:w="60" w:type="dxa"/>
            <w:vAlign w:val="bottom"/>
            <w:tcBorders>
              <w:top w:val="single" w:sz="8" w:color="434343"/>
            </w:tcBorders>
          </w:tcPr>
          <w:p>
            <w:pPr>
              <w:spacing w:after="0"/>
              <w:rPr>
                <w:sz w:val="15"/>
                <w:szCs w:val="15"/>
                <w:color w:val="auto"/>
              </w:rPr>
            </w:pPr>
          </w:p>
        </w:tc>
        <w:tc>
          <w:tcPr>
            <w:tcW w:w="120" w:type="dxa"/>
            <w:vAlign w:val="bottom"/>
            <w:tcBorders>
              <w:top w:val="single" w:sz="8" w:color="434343"/>
            </w:tcBorders>
          </w:tcPr>
          <w:p>
            <w:pPr>
              <w:spacing w:after="0"/>
              <w:rPr>
                <w:sz w:val="15"/>
                <w:szCs w:val="15"/>
                <w:color w:val="auto"/>
              </w:rPr>
            </w:pPr>
          </w:p>
        </w:tc>
        <w:tc>
          <w:tcPr>
            <w:tcW w:w="40" w:type="dxa"/>
            <w:vAlign w:val="bottom"/>
            <w:tcBorders>
              <w:top w:val="single" w:sz="8" w:color="434343"/>
            </w:tcBorders>
          </w:tcPr>
          <w:p>
            <w:pPr>
              <w:spacing w:after="0"/>
              <w:rPr>
                <w:sz w:val="15"/>
                <w:szCs w:val="15"/>
                <w:color w:val="auto"/>
              </w:rPr>
            </w:pPr>
          </w:p>
        </w:tc>
        <w:tc>
          <w:tcPr>
            <w:tcW w:w="4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20" w:type="dxa"/>
            <w:vAlign w:val="bottom"/>
            <w:tcBorders>
              <w:top w:val="single" w:sz="8" w:color="434343"/>
            </w:tcBorders>
          </w:tcPr>
          <w:p>
            <w:pPr>
              <w:spacing w:after="0"/>
              <w:rPr>
                <w:sz w:val="15"/>
                <w:szCs w:val="15"/>
                <w:color w:val="auto"/>
              </w:rPr>
            </w:pPr>
          </w:p>
        </w:tc>
        <w:tc>
          <w:tcPr>
            <w:tcW w:w="160" w:type="dxa"/>
            <w:vAlign w:val="bottom"/>
            <w:tcBorders>
              <w:top w:val="single" w:sz="8" w:color="434343"/>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32.1</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434343"/>
              </w:rPr>
              <w:t>Certification of Principal Executive Officer and Principal Financial Officer Pursuant to 18 U.S.C.</w:t>
            </w: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40" w:type="dxa"/>
            <w:vAlign w:val="bottom"/>
            <w:tcBorders>
              <w:top w:val="single" w:sz="8" w:color="434343"/>
            </w:tcBorders>
            <w:gridSpan w:val="16"/>
          </w:tcPr>
          <w:p>
            <w:pPr>
              <w:spacing w:after="0" w:line="180" w:lineRule="exact"/>
              <w:rPr>
                <w:sz w:val="20"/>
                <w:szCs w:val="20"/>
                <w:color w:val="auto"/>
              </w:rPr>
            </w:pPr>
            <w:r>
              <w:rPr>
                <w:rFonts w:ascii="Times New Roman" w:cs="Times New Roman" w:eastAsia="Times New Roman" w:hAnsi="Times New Roman"/>
                <w:sz w:val="20"/>
                <w:szCs w:val="20"/>
                <w:color w:val="434343"/>
              </w:rPr>
              <w:t>Section 1350, as Adopted Pursuant to Section 906 of the Sarbanes-Oxley Act of 2002.</w:t>
            </w:r>
          </w:p>
        </w:tc>
        <w:tc>
          <w:tcPr>
            <w:tcW w:w="480" w:type="dxa"/>
            <w:vAlign w:val="bottom"/>
            <w:gridSpan w:val="6"/>
          </w:tcPr>
          <w:p>
            <w:pPr>
              <w:spacing w:after="0"/>
              <w:rPr>
                <w:sz w:val="15"/>
                <w:szCs w:val="15"/>
                <w:color w:val="auto"/>
              </w:rPr>
            </w:pPr>
          </w:p>
        </w:tc>
      </w:tr>
      <w:tr>
        <w:trPr>
          <w:trHeight w:val="35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100" w:type="dxa"/>
            <w:vAlign w:val="bottom"/>
          </w:tcPr>
          <w:p>
            <w:pPr>
              <w:spacing w:after="0"/>
              <w:rPr>
                <w:sz w:val="24"/>
                <w:szCs w:val="24"/>
                <w:color w:val="auto"/>
              </w:rPr>
            </w:pPr>
          </w:p>
        </w:tc>
        <w:tc>
          <w:tcPr>
            <w:tcW w:w="6900" w:type="dxa"/>
            <w:vAlign w:val="bottom"/>
            <w:tcBorders>
              <w:top w:val="single" w:sz="8" w:color="434343"/>
            </w:tcBorders>
            <w:gridSpan w:val="10"/>
          </w:tcPr>
          <w:p>
            <w:pPr>
              <w:spacing w:after="0"/>
              <w:rPr>
                <w:sz w:val="20"/>
                <w:szCs w:val="20"/>
                <w:color w:val="auto"/>
              </w:rPr>
            </w:pPr>
            <w:r>
              <w:rPr>
                <w:rFonts w:ascii="Times New Roman" w:cs="Times New Roman" w:eastAsia="Times New Roman" w:hAnsi="Times New Roman"/>
                <w:sz w:val="20"/>
                <w:szCs w:val="20"/>
                <w:color w:val="434343"/>
              </w:rPr>
              <w:t>Policy Relating to Recovery of Erroneously Awarded Compensation.</w:t>
            </w:r>
          </w:p>
        </w:tc>
        <w:tc>
          <w:tcPr>
            <w:tcW w:w="1420" w:type="dxa"/>
            <w:vAlign w:val="bottom"/>
            <w:gridSpan w:val="12"/>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gridSpan w:val="7"/>
            <w:shd w:val="clear" w:color="auto" w:fill="434343"/>
          </w:tcPr>
          <w:p>
            <w:pPr>
              <w:spacing w:after="0" w:line="20" w:lineRule="exact"/>
              <w:rPr>
                <w:sz w:val="1"/>
                <w:szCs w:val="1"/>
                <w:color w:val="auto"/>
              </w:rPr>
            </w:pPr>
          </w:p>
        </w:tc>
        <w:tc>
          <w:tcPr>
            <w:tcW w:w="2780" w:type="dxa"/>
            <w:vAlign w:val="bottom"/>
            <w:gridSpan w:val="15"/>
          </w:tcPr>
          <w:p>
            <w:pPr>
              <w:spacing w:after="0" w:line="20" w:lineRule="exact"/>
              <w:rPr>
                <w:sz w:val="1"/>
                <w:szCs w:val="1"/>
                <w:color w:val="auto"/>
              </w:rPr>
            </w:pPr>
          </w:p>
        </w:tc>
      </w:tr>
      <w:tr>
        <w:trPr>
          <w:trHeight w:val="30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100" w:type="dxa"/>
            <w:vAlign w:val="bottom"/>
          </w:tcPr>
          <w:p>
            <w:pPr>
              <w:spacing w:after="0"/>
              <w:rPr>
                <w:sz w:val="24"/>
                <w:szCs w:val="24"/>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1E1E1E"/>
              </w:rPr>
              <w:t>XBRL Instance Document - the instance document does not appear in the Interactive Data File because</w:t>
            </w:r>
          </w:p>
        </w:tc>
      </w:tr>
      <w:tr>
        <w:trPr>
          <w:trHeight w:val="260"/>
        </w:trPr>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320" w:type="dxa"/>
            <w:vAlign w:val="bottom"/>
            <w:gridSpan w:val="22"/>
          </w:tcPr>
          <w:p>
            <w:pPr>
              <w:spacing w:after="0"/>
              <w:rPr>
                <w:sz w:val="20"/>
                <w:szCs w:val="20"/>
                <w:color w:val="auto"/>
              </w:rPr>
            </w:pPr>
            <w:r>
              <w:rPr>
                <w:rFonts w:ascii="Times New Roman" w:cs="Times New Roman" w:eastAsia="Times New Roman" w:hAnsi="Times New Roman"/>
                <w:sz w:val="20"/>
                <w:szCs w:val="20"/>
                <w:color w:val="1E1E1E"/>
              </w:rPr>
              <w:t>its XBRL tags are embedded within the Inline XBRL document.</w:t>
            </w:r>
          </w:p>
        </w:tc>
      </w:tr>
      <w:tr>
        <w:trPr>
          <w:trHeight w:val="34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Schema Document</w:t>
            </w:r>
          </w:p>
        </w:tc>
      </w:tr>
      <w:tr>
        <w:trPr>
          <w:trHeight w:val="3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101.CAL</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Calculation Linkbase Document</w:t>
            </w:r>
          </w:p>
        </w:tc>
      </w:tr>
      <w:tr>
        <w:trPr>
          <w:trHeight w:val="3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101.DEF</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Inline XBRL Taxonomy Definition Linkbase Document</w:t>
            </w:r>
          </w:p>
        </w:tc>
      </w:tr>
      <w:tr>
        <w:trPr>
          <w:trHeight w:val="3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101.LAB</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Label Linkbase Document</w:t>
            </w:r>
          </w:p>
        </w:tc>
      </w:tr>
      <w:tr>
        <w:trPr>
          <w:trHeight w:val="3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101.PRE</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Inline XBRL Taxonomy Extension Presentation Linkbase Document</w:t>
            </w:r>
          </w:p>
        </w:tc>
      </w:tr>
      <w:tr>
        <w:trPr>
          <w:trHeight w:val="36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8420" w:type="dxa"/>
            <w:vAlign w:val="bottom"/>
            <w:gridSpan w:val="23"/>
          </w:tcPr>
          <w:p>
            <w:pPr>
              <w:ind w:left="100"/>
              <w:spacing w:after="0"/>
              <w:rPr>
                <w:sz w:val="20"/>
                <w:szCs w:val="20"/>
                <w:color w:val="auto"/>
              </w:rPr>
            </w:pPr>
            <w:r>
              <w:rPr>
                <w:rFonts w:ascii="Times New Roman" w:cs="Times New Roman" w:eastAsia="Times New Roman" w:hAnsi="Times New Roman"/>
                <w:sz w:val="20"/>
                <w:szCs w:val="20"/>
                <w:color w:val="1E1E1E"/>
              </w:rPr>
              <w:t>Cover Page Interactive Data File (formatted as inline XBRL and contained in Exhibit 101)</w:t>
            </w:r>
          </w:p>
        </w:tc>
      </w:tr>
    </w:tbl>
    <w:p>
      <w:pPr>
        <w:spacing w:after="0" w:line="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________________</w:t>
      </w:r>
    </w:p>
    <w:p>
      <w:pPr>
        <w:spacing w:after="0" w:line="63" w:lineRule="exact"/>
        <w:rPr>
          <w:sz w:val="20"/>
          <w:szCs w:val="20"/>
          <w:color w:val="auto"/>
        </w:rPr>
      </w:pPr>
    </w:p>
    <w:p>
      <w:pPr>
        <w:ind w:left="650" w:hanging="597"/>
        <w:spacing w:after="0"/>
        <w:tabs>
          <w:tab w:leader="none" w:pos="650" w:val="left"/>
        </w:tabs>
        <w:numPr>
          <w:ilvl w:val="0"/>
          <w:numId w:val="5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Identifies management contracts or compensatory plans or arrangements.</w:t>
      </w:r>
    </w:p>
    <w:p>
      <w:pPr>
        <w:spacing w:after="0" w:line="70" w:lineRule="exact"/>
        <w:rPr>
          <w:sz w:val="20"/>
          <w:szCs w:val="20"/>
          <w:color w:val="auto"/>
        </w:rPr>
      </w:pPr>
    </w:p>
    <w:p>
      <w:pPr>
        <w:ind w:left="650" w:hanging="597"/>
        <w:spacing w:after="0" w:line="229" w:lineRule="auto"/>
        <w:tabs>
          <w:tab w:leader="none" w:pos="650" w:val="left"/>
        </w:tabs>
        <w:numPr>
          <w:ilvl w:val="0"/>
          <w:numId w:val="5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64" w:lineRule="exact"/>
        <w:rPr>
          <w:sz w:val="20"/>
          <w:szCs w:val="20"/>
          <w:color w:val="auto"/>
        </w:rPr>
      </w:pPr>
    </w:p>
    <w:p>
      <w:pPr>
        <w:ind w:left="710" w:hanging="710"/>
        <w:spacing w:after="0"/>
        <w:tabs>
          <w:tab w:leader="none" w:pos="710" w:val="left"/>
        </w:tabs>
        <w:numPr>
          <w:ilvl w:val="0"/>
          <w:numId w:val="5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Exhibits.</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exhibits to this report are listed in section (a)(3) of Item 15 above.</w:t>
      </w:r>
    </w:p>
    <w:p>
      <w:pPr>
        <w:spacing w:after="0" w:line="110"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Not applicable.</w:t>
      </w:r>
    </w:p>
    <w:p>
      <w:pPr>
        <w:spacing w:after="0" w:line="3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ITEM 16. FORM 10-K SUMMARY.</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None.</w:t>
      </w:r>
    </w:p>
    <w:p>
      <w:pPr>
        <w:sectPr>
          <w:pgSz w:w="11880" w:h="15480" w:orient="portrait"/>
          <w:cols w:equalWidth="0" w:num="1">
            <w:col w:w="10090"/>
          </w:cols>
          <w:pgMar w:left="810" w:top="4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1E1E1E"/>
        </w:rPr>
        <w:t>93</w:t>
      </w:r>
    </w:p>
    <w:p>
      <w:pPr>
        <w:sectPr>
          <w:pgSz w:w="11880" w:h="15480" w:orient="portrait"/>
          <w:cols w:equalWidth="0" w:num="1">
            <w:col w:w="10090"/>
          </w:cols>
          <w:pgMar w:left="810" w:top="492" w:right="980" w:bottom="0" w:gutter="0" w:footer="0" w:header="0"/>
          <w:type w:val="continuous"/>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1E1E1E"/>
        </w:rPr>
        <w:t>Pursuant to the requirements of Section 13 or l5(d) of the Securities Exchange Act of 1934, the registrant has duly caused this report to be signed on its behalf by the undersigned, thereunto duly authorized.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Date: March 22, 2024</w:t>
      </w:r>
    </w:p>
    <w:p>
      <w:pPr>
        <w:spacing w:after="0" w:line="1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1E1E1E"/>
        </w:rPr>
        <w:t>VICTORIA'S SECRET &amp; CO. (Registrant)</w:t>
      </w:r>
    </w:p>
    <w:p>
      <w:pPr>
        <w:spacing w:after="0" w:line="151" w:lineRule="exact"/>
        <w:rPr>
          <w:sz w:val="20"/>
          <w:szCs w:val="20"/>
          <w:color w:val="auto"/>
        </w:rPr>
      </w:pPr>
    </w:p>
    <w:p>
      <w:pPr>
        <w:ind w:left="4920"/>
        <w:spacing w:after="0"/>
        <w:tabs>
          <w:tab w:leader="none" w:pos="5700" w:val="left"/>
        </w:tabs>
        <w:rPr>
          <w:sz w:val="20"/>
          <w:szCs w:val="20"/>
          <w:color w:val="auto"/>
        </w:rPr>
      </w:pP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color w:val="1E1E1E"/>
        </w:rPr>
        <w:t>/s/ Timothy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3594100</wp:posOffset>
                </wp:positionH>
                <wp:positionV relativeFrom="paragraph">
                  <wp:posOffset>27305</wp:posOffset>
                </wp:positionV>
                <wp:extent cx="28956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2.15pt" to="511pt,2.15pt" o:allowincell="f" strokecolor="#1E1E1E" strokeweight="1pt"/>
            </w:pict>
          </mc:Fallback>
        </mc:AlternateConten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1E1E1E"/>
        </w:rPr>
        <w:t>Timothy Johnson</w:t>
      </w:r>
    </w:p>
    <w:p>
      <w:pPr>
        <w:ind w:left="5720"/>
        <w:spacing w:after="0"/>
        <w:rPr>
          <w:sz w:val="20"/>
          <w:szCs w:val="20"/>
          <w:color w:val="auto"/>
        </w:rPr>
      </w:pPr>
      <w:r>
        <w:rPr>
          <w:rFonts w:ascii="Times New Roman" w:cs="Times New Roman" w:eastAsia="Times New Roman" w:hAnsi="Times New Roman"/>
          <w:sz w:val="20"/>
          <w:szCs w:val="20"/>
          <w:color w:val="1E1E1E"/>
        </w:rPr>
        <w:t>Chief Financial and Administrative Officer</w:t>
      </w:r>
    </w:p>
    <w:p>
      <w:pPr>
        <w:spacing w:after="0" w:line="120"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this report has been signed below by the following persons on behalf of the registrant and in the capacities indicated on March 22,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8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w w:val="95"/>
              </w:rPr>
              <w:t>Signature</w:t>
            </w:r>
          </w:p>
        </w:tc>
        <w:tc>
          <w:tcPr>
            <w:tcW w:w="21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w w:val="94"/>
              </w:rPr>
              <w:t>Title</w:t>
            </w:r>
          </w:p>
        </w:tc>
        <w:tc>
          <w:tcPr>
            <w:tcW w:w="2300" w:type="dxa"/>
            <w:vAlign w:val="bottom"/>
          </w:tcPr>
          <w:p>
            <w:pPr>
              <w:spacing w:after="0"/>
              <w:rPr>
                <w:sz w:val="19"/>
                <w:szCs w:val="19"/>
                <w:color w:val="auto"/>
              </w:rPr>
            </w:pPr>
          </w:p>
        </w:tc>
      </w:tr>
      <w:tr>
        <w:trPr>
          <w:trHeight w:val="356"/>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Martin Waters</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 and Chief Executive Officer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Martin Waters</w:t>
            </w:r>
          </w:p>
        </w:tc>
        <w:tc>
          <w:tcPr>
            <w:tcW w:w="2140" w:type="dxa"/>
            <w:vAlign w:val="bottom"/>
          </w:tcPr>
          <w:p>
            <w:pPr>
              <w:spacing w:after="0"/>
              <w:rPr>
                <w:sz w:val="22"/>
                <w:szCs w:val="22"/>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(Principal Executive Officer)</w:t>
            </w: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Timothy Johnson</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Chief Financial and Administrative Officer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Timothy Johnson</w:t>
            </w:r>
          </w:p>
        </w:tc>
        <w:tc>
          <w:tcPr>
            <w:tcW w:w="2140" w:type="dxa"/>
            <w:vAlign w:val="bottom"/>
          </w:tcPr>
          <w:p>
            <w:pPr>
              <w:spacing w:after="0"/>
              <w:rPr>
                <w:sz w:val="22"/>
                <w:szCs w:val="22"/>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w w:val="99"/>
              </w:rPr>
              <w:t>(Principal Financial Officer and Principal Accounting Officer)</w:t>
            </w: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Donna James*</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Chair of the Board of Directors</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Donna James</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Irene Chang Britt*</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Irene Chang Britt</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Jacqueline Hernández*</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Jacqueline Hernández</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Lauren Peters*</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Lauren Peters</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Sarah Davis*</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Sarah Davis</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Anne Sheehan*</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Anne Sheehan</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Mariam Naficy*</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Mariam Naficy</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350"/>
        </w:trPr>
        <w:tc>
          <w:tcPr>
            <w:tcW w:w="2940" w:type="dxa"/>
            <w:vAlign w:val="bottom"/>
            <w:tcBorders>
              <w:bottom w:val="single" w:sz="8" w:color="1E1E1E"/>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/s/ Rod Little*</w:t>
            </w:r>
          </w:p>
        </w:tc>
        <w:tc>
          <w:tcPr>
            <w:tcW w:w="2140" w:type="dxa"/>
            <w:vAlign w:val="bottom"/>
            <w:tcBorders>
              <w:bottom w:val="single" w:sz="8" w:color="1E1E1E"/>
            </w:tcBorders>
          </w:tcPr>
          <w:p>
            <w:pPr>
              <w:spacing w:after="0"/>
              <w:rPr>
                <w:sz w:val="24"/>
                <w:szCs w:val="24"/>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1E1E1E"/>
              </w:rPr>
              <w:t>Director</w:t>
            </w:r>
          </w:p>
        </w:tc>
      </w:tr>
      <w:tr>
        <w:trPr>
          <w:trHeight w:val="26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Rod Little</w:t>
            </w:r>
          </w:p>
        </w:tc>
        <w:tc>
          <w:tcPr>
            <w:tcW w:w="21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00" w:type="dxa"/>
            <w:vAlign w:val="bottom"/>
          </w:tcPr>
          <w:p>
            <w:pPr>
              <w:spacing w:after="0"/>
              <w:rPr>
                <w:sz w:val="22"/>
                <w:szCs w:val="22"/>
                <w:color w:val="auto"/>
              </w:rPr>
            </w:pPr>
          </w:p>
        </w:tc>
      </w:tr>
    </w:tbl>
    <w:p>
      <w:pPr>
        <w:spacing w:after="0" w:line="121" w:lineRule="exact"/>
        <w:rPr>
          <w:sz w:val="20"/>
          <w:szCs w:val="20"/>
          <w:color w:val="auto"/>
        </w:rPr>
      </w:pPr>
    </w:p>
    <w:p>
      <w:pPr>
        <w:sectPr>
          <w:pgSz w:w="11880" w:h="15480" w:orient="portrait"/>
          <w:cols w:equalWidth="0" w:num="1">
            <w:col w:w="10200"/>
          </w:cols>
          <w:pgMar w:left="640" w:top="686" w:right="1040" w:bottom="0" w:gutter="0" w:footer="0" w:header="0"/>
        </w:sectPr>
      </w:pPr>
    </w:p>
    <w:p>
      <w:pPr>
        <w:ind w:left="40"/>
        <w:spacing w:after="0"/>
        <w:rPr>
          <w:sz w:val="20"/>
          <w:szCs w:val="20"/>
          <w:color w:val="auto"/>
        </w:rPr>
      </w:pPr>
      <w:r>
        <w:rPr>
          <w:rFonts w:ascii="Times New Roman" w:cs="Times New Roman" w:eastAsia="Times New Roman" w:hAnsi="Times New Roman"/>
          <w:sz w:val="20"/>
          <w:szCs w:val="20"/>
          <w:color w:val="1E1E1E"/>
        </w:rPr>
        <w:t>*</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E1E1E"/>
        </w:rPr>
        <w:t>By:</w:t>
      </w:r>
    </w:p>
    <w:p>
      <w:pPr>
        <w:spacing w:after="0" w:line="20" w:lineRule="exact"/>
        <w:rPr>
          <w:sz w:val="20"/>
          <w:szCs w:val="20"/>
          <w:color w:val="auto"/>
        </w:rPr>
      </w:pPr>
      <w:r>
        <w:rPr>
          <w:sz w:val="20"/>
          <w:szCs w:val="20"/>
          <w:color w:val="auto"/>
        </w:rPr>
        <w:br w:type="column"/>
      </w:r>
    </w:p>
    <w:p>
      <w:pPr>
        <w:ind w:right="500"/>
        <w:spacing w:after="0"/>
        <w:rPr>
          <w:sz w:val="20"/>
          <w:szCs w:val="20"/>
          <w:color w:val="auto"/>
        </w:rPr>
      </w:pPr>
      <w:r>
        <w:rPr>
          <w:rFonts w:ascii="Times New Roman" w:cs="Times New Roman" w:eastAsia="Times New Roman" w:hAnsi="Times New Roman"/>
          <w:sz w:val="20"/>
          <w:szCs w:val="20"/>
          <w:color w:val="1E1E1E"/>
        </w:rPr>
        <w:t>The undersigned, by signing his name hereto, does hereby sign this report on behalf of each of the above-indicated directors of the registrant pursuant to powers of attorney executed by such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Timothy Johnson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27305</wp:posOffset>
                </wp:positionV>
                <wp:extent cx="610552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12700">
                          <a:solidFill>
                            <a:srgbClr val="1E1E1E"/>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2.15pt" to="478pt,2.15pt" o:allowincell="f" strokecolor="#1E1E1E" strokeweight="1pt"/>
            </w:pict>
          </mc:Fallback>
        </mc:AlternateConten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Timothy Johnson</w:t>
      </w:r>
    </w:p>
    <w:p>
      <w:pPr>
        <w:spacing w:after="0"/>
        <w:rPr>
          <w:sz w:val="20"/>
          <w:szCs w:val="20"/>
          <w:color w:val="auto"/>
        </w:rPr>
      </w:pPr>
      <w:r>
        <w:rPr>
          <w:rFonts w:ascii="Times New Roman" w:cs="Times New Roman" w:eastAsia="Times New Roman" w:hAnsi="Times New Roman"/>
          <w:sz w:val="20"/>
          <w:szCs w:val="20"/>
          <w:color w:val="1E1E1E"/>
        </w:rPr>
        <w:t>Attorney-in-fact</w:t>
      </w:r>
    </w:p>
    <w:p>
      <w:pPr>
        <w:spacing w:after="0" w:line="200" w:lineRule="exact"/>
        <w:rPr>
          <w:sz w:val="20"/>
          <w:szCs w:val="20"/>
          <w:color w:val="auto"/>
        </w:rPr>
      </w:pPr>
    </w:p>
    <w:p>
      <w:pPr>
        <w:sectPr>
          <w:pgSz w:w="11880" w:h="15480" w:orient="portrait"/>
          <w:cols w:equalWidth="0" w:num="2">
            <w:col w:w="340" w:space="200"/>
            <w:col w:w="9660"/>
          </w:cols>
          <w:pgMar w:left="640" w:top="686"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94</w:t>
      </w:r>
    </w:p>
    <w:p>
      <w:pPr>
        <w:sectPr>
          <w:pgSz w:w="11880" w:h="15480" w:orient="portrait"/>
          <w:cols w:equalWidth="0" w:num="1">
            <w:col w:w="10200"/>
          </w:cols>
          <w:pgMar w:left="640" w:top="686" w:right="1040" w:bottom="0" w:gutter="0" w:footer="0" w:header="0"/>
          <w:type w:val="continuous"/>
        </w:sectPr>
      </w:pPr>
    </w:p>
    <w:bookmarkStart w:id="98" w:name="page99"/>
    <w:bookmarkEnd w:id="98"/>
    <w:p>
      <w:pPr>
        <w:jc w:val="cente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338455</wp:posOffset>
                </wp:positionH>
                <wp:positionV relativeFrom="page">
                  <wp:posOffset>251460</wp:posOffset>
                </wp:positionV>
                <wp:extent cx="7033260" cy="931418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3260" cy="9314180"/>
                        </a:xfrm>
                        <a:prstGeom prst="rect">
                          <a:avLst/>
                        </a:prstGeom>
                        <a:solidFill>
                          <a:srgbClr val="F799BA"/>
                        </a:solidFill>
                      </wps:spPr>
                      <wps:bodyPr/>
                    </wps:wsp>
                  </a:graphicData>
                </a:graphic>
              </wp:anchor>
            </w:drawing>
          </mc:Choice>
          <mc:Fallback>
            <w:pict>
              <v:rect id="Shape 198" o:spid="_x0000_s1223" style="position:absolute;margin-left:26.65pt;margin-top:19.8pt;width:553.8pt;height:73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799BA" stroked="f">
                <w10:wrap anchorx="page" anchory="page"/>
              </v:rect>
            </w:pict>
          </mc:Fallback>
        </mc:AlternateContent>
      </w:r>
    </w:p>
    <w:p>
      <w:pPr>
        <w:sectPr>
          <w:pgSz w:w="11880" w:h="15480"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2794000</wp:posOffset>
            </wp:positionH>
            <wp:positionV relativeFrom="page">
              <wp:posOffset>4592320</wp:posOffset>
            </wp:positionV>
            <wp:extent cx="1955800" cy="645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6">
                      <a:extLst>
                        <a:ext uri="{28A0092B-C50C-407E-A947-70E740481C1C}"/>
                      </a:extLst>
                    </a:blip>
                    <a:srcRect/>
                    <a:stretch>
                      <a:fillRect/>
                    </a:stretch>
                  </pic:blipFill>
                  <pic:spPr bwMode="auto">
                    <a:xfrm>
                      <a:off x="0" y="0"/>
                      <a:ext cx="1955800" cy="64516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156"/>
    </w:lvl>
  </w:abstractNum>
  <w:abstractNum w:abstractNumId="6">
    <w:nsid w:val="1E7FF521"/>
    <w:multiLevelType w:val="hybridMultilevel"/>
    <w:lvl w:ilvl="0">
      <w:lvlJc w:val="left"/>
      <w:lvlText w:val="%1"/>
      <w:numFmt w:val="decimal"/>
      <w:start w:val="463"/>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lvl w:ilvl="1">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2"/>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1."/>
      <w:numFmt w:val="decimal"/>
      <w:start w:val="3"/>
    </w:lvl>
  </w:abstractNum>
  <w:abstractNum w:abstractNumId="48">
    <w:nsid w:val="79A1DEAA"/>
    <w:multiLevelType w:val="hybridMultilevel"/>
    <w:lvl w:ilvl="0">
      <w:lvlJc w:val="left"/>
      <w:lvlText w:val="%1."/>
      <w:numFmt w:val="decimal"/>
      <w:start w:val="4"/>
    </w:lvl>
  </w:abstractNum>
  <w:abstractNum w:abstractNumId="49">
    <w:nsid w:val="75C6C33A"/>
    <w:multiLevelType w:val="hybridMultilevel"/>
    <w:lvl w:ilvl="0">
      <w:lvlJc w:val="left"/>
      <w:lvlText w:val="%1."/>
      <w:numFmt w:val="decimal"/>
      <w:start w:val="10"/>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lowerLetter"/>
      <w:start w:val="2"/>
    </w:lvl>
  </w:abstractNum>
  <w:abstractNum w:abstractNumId="53">
    <w:nsid w:val="374A3FE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2024-05-03T15:45:12Z</dcterms:created>
  <dcterms:modified xsi:type="dcterms:W3CDTF">2024-05-03T15:45:12Z</dcterms:modified>
</cp:coreProperties>
</file>