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November 30, 2022</w:t>
      </w:r>
    </w:p>
    <w:p>
      <w:pPr>
        <w:spacing w:after="0" w:line="126"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69"/>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24"/>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52"/>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84"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r>
        <w:trPr>
          <w:trHeight w:val="20"/>
        </w:trPr>
        <w:tc>
          <w:tcPr>
            <w:tcW w:w="3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740" w:type="dxa"/>
            <w:vAlign w:val="bottom"/>
            <w:tcBorders>
              <w:bottom w:val="single" w:sz="8" w:color="auto"/>
              <w:right w:val="single" w:sz="8" w:color="auto"/>
            </w:tcBorders>
          </w:tcPr>
          <w:p>
            <w:pPr>
              <w:spacing w:after="0" w:line="20" w:lineRule="exact"/>
              <w:rPr>
                <w:sz w:val="1"/>
                <w:szCs w:val="1"/>
                <w:color w:val="auto"/>
              </w:rPr>
            </w:pPr>
          </w:p>
        </w:tc>
        <w:tc>
          <w:tcPr>
            <w:tcW w:w="3760" w:type="dxa"/>
            <w:vAlign w:val="bottom"/>
            <w:tcBorders>
              <w:bottom w:val="single" w:sz="8" w:color="auto"/>
              <w:right w:val="single" w:sz="8" w:color="auto"/>
            </w:tcBorders>
          </w:tcPr>
          <w:p>
            <w:pPr>
              <w:spacing w:after="0" w:line="20" w:lineRule="exact"/>
              <w:rPr>
                <w:sz w:val="1"/>
                <w:szCs w:val="1"/>
                <w:color w:val="auto"/>
              </w:rPr>
            </w:pP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On November 30, 2022, Victoria's Secret &amp; Co. issued a press release setting forth its third quarter 2022 results and its fourth quarter 2022 and full year 2022 earnings guidance. A copy of the press release is attached hereto as Exhibit 99.1 and is hereby incorporated by reference.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0000FF"/>
        </w:rPr>
        <w:t>Exhibit 99.1</w:t>
      </w:r>
      <w:r>
        <w:rPr>
          <w:sz w:val="20"/>
          <w:szCs w:val="20"/>
          <w:color w:val="auto"/>
        </w:rPr>
        <w:tab/>
      </w:r>
      <w:r>
        <w:rPr>
          <w:rFonts w:ascii="Arial" w:cs="Arial" w:eastAsia="Arial" w:hAnsi="Arial"/>
          <w:sz w:val="16"/>
          <w:szCs w:val="16"/>
          <w:color w:val="auto"/>
        </w:rPr>
        <w:t>Press Release of Victoria's Secret &amp; Co., dated November 30, 2022.</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November 30,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and Administrative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Victoria’s Secret &amp; Co. Reports Third Quarter 2022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Third quarter operating income and diluted EPS above guidance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Provides fourth quarter and reaffirms full year 2022 guidance</w:t>
      </w:r>
    </w:p>
    <w:p>
      <w:pPr>
        <w:spacing w:after="0" w:line="200" w:lineRule="exact"/>
        <w:rPr>
          <w:sz w:val="20"/>
          <w:szCs w:val="20"/>
          <w:color w:val="auto"/>
        </w:rPr>
      </w:pPr>
    </w:p>
    <w:p>
      <w:pPr>
        <w:spacing w:after="0" w:line="215" w:lineRule="exact"/>
        <w:rPr>
          <w:sz w:val="20"/>
          <w:szCs w:val="20"/>
          <w:color w:val="auto"/>
        </w:rPr>
      </w:pPr>
    </w:p>
    <w:p>
      <w:pPr>
        <w:ind w:right="420"/>
        <w:spacing w:after="0" w:line="256" w:lineRule="auto"/>
        <w:rPr>
          <w:sz w:val="20"/>
          <w:szCs w:val="20"/>
          <w:color w:val="auto"/>
        </w:rPr>
      </w:pPr>
      <w:r>
        <w:rPr>
          <w:rFonts w:ascii="Arial" w:cs="Arial" w:eastAsia="Arial" w:hAnsi="Arial"/>
          <w:sz w:val="22"/>
          <w:szCs w:val="22"/>
          <w:color w:val="auto"/>
        </w:rPr>
        <w:t>Reynoldsburg, Ohio (November 30, 2022)</w:t>
      </w:r>
      <w:r>
        <w:rPr>
          <w:rFonts w:ascii="Arial" w:cs="Arial" w:eastAsia="Arial" w:hAnsi="Arial"/>
          <w:sz w:val="22"/>
          <w:szCs w:val="22"/>
          <w:b w:val="1"/>
          <w:bCs w:val="1"/>
          <w:color w:val="auto"/>
        </w:rPr>
        <w:t>—</w:t>
      </w:r>
      <w:r>
        <w:rPr>
          <w:rFonts w:ascii="Arial" w:cs="Arial" w:eastAsia="Arial" w:hAnsi="Arial"/>
          <w:sz w:val="22"/>
          <w:szCs w:val="22"/>
          <w:color w:val="auto"/>
        </w:rPr>
        <w:t>Victoria’s Secret &amp; Co. (“Victoria’s Secret” or the “Company”) (NYSE: VSCO) today reported 2022 financial results for the third quarter ended October 29, 2022.</w:t>
      </w:r>
    </w:p>
    <w:p>
      <w:pPr>
        <w:spacing w:after="0" w:line="195" w:lineRule="exact"/>
        <w:rPr>
          <w:sz w:val="20"/>
          <w:szCs w:val="20"/>
          <w:color w:val="auto"/>
        </w:rPr>
      </w:pPr>
    </w:p>
    <w:p>
      <w:pPr>
        <w:ind w:right="140"/>
        <w:spacing w:after="0" w:line="245" w:lineRule="auto"/>
        <w:rPr>
          <w:sz w:val="20"/>
          <w:szCs w:val="20"/>
          <w:color w:val="auto"/>
        </w:rPr>
      </w:pPr>
      <w:r>
        <w:rPr>
          <w:rFonts w:ascii="Arial" w:cs="Arial" w:eastAsia="Arial" w:hAnsi="Arial"/>
          <w:sz w:val="21"/>
          <w:szCs w:val="21"/>
          <w:color w:val="auto"/>
        </w:rPr>
        <w:t>Chief Executive Officer Martin Waters commented, “After nearly a year and a half as an independent, publicly-traded company, we continue to make significant progress in our transformation and mission to celebrate and champion all women. We have created a solid financial platform with our new, more agile operating structure, and even in a very challenging macroeconomic environment, we were able to deliver third quarter operating income and earnings per diluted share results above our previous guidance. With our aligned focus on our customer and our strategic priorities, we are well positioned to continue to navigate and execute in a shifting consumer landscape.”</w:t>
      </w:r>
    </w:p>
    <w:p>
      <w:pPr>
        <w:spacing w:after="0" w:line="208" w:lineRule="exact"/>
        <w:rPr>
          <w:sz w:val="20"/>
          <w:szCs w:val="20"/>
          <w:color w:val="auto"/>
        </w:rPr>
      </w:pPr>
    </w:p>
    <w:p>
      <w:pPr>
        <w:ind w:right="220"/>
        <w:spacing w:after="0" w:line="243" w:lineRule="auto"/>
        <w:rPr>
          <w:sz w:val="20"/>
          <w:szCs w:val="20"/>
          <w:color w:val="auto"/>
        </w:rPr>
      </w:pPr>
      <w:r>
        <w:rPr>
          <w:rFonts w:ascii="Arial" w:cs="Arial" w:eastAsia="Arial" w:hAnsi="Arial"/>
          <w:sz w:val="21"/>
          <w:szCs w:val="21"/>
          <w:color w:val="auto"/>
        </w:rPr>
        <w:t>Martin continued, “At our Investor Day in October, we discussed our strategic growth plan which outlines significant runway ahead guided by our three key principles: strengthen our core, ignite growth, and transform the foundation. Led by our two category-defining brands and merchandise leadership positions in intimates and beauty, we remain confident in our ability to deliver our long-term financial targets, reinvest in our business, and return value to our shareholders. Further evidence of our commitment to drive long-term value, we recently announced our agreement to acquire AdoreMe, Inc. (“Adore Me”), a technology-led, digitally-native intimates brand … a move that strategically positions us for accelerated growth. We are excited for the opportunity to leverage Adore Me’s expertise and technology to improve our customer shopping experience and accelerate the modernization of our digital platform. This is just one example of how we are committed to executing on our strategic growth plan.”</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Results</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22"/>
          <w:szCs w:val="22"/>
          <w:color w:val="auto"/>
        </w:rPr>
        <w:t>The Company reported net income of $24 million, or $0.29 per diluted share for the third quarter of 2022, which was above the high-end of our previously communicated guidance range of $0.00 to $0.25 per diluted share. This result compares to net income of $75 million, or $0.81 per diluted share for the third quarter of 2021.</w:t>
      </w:r>
    </w:p>
    <w:p>
      <w:pPr>
        <w:spacing w:after="0" w:line="213"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Third quarter 2022 reported operating income was $43 million, which was above the high-end of our previously communicated guidance range of $10 million to $40 million. This result compares to operating income of $108 million in the third quarter of 2021.</w:t>
      </w:r>
    </w:p>
    <w:p>
      <w:pPr>
        <w:sectPr>
          <w:pgSz w:w="11900" w:h="16838" w:orient="portrait"/>
          <w:cols w:equalWidth="0" w:num="1">
            <w:col w:w="11240"/>
          </w:cols>
          <w:pgMar w:left="320" w:top="771" w:right="339" w:bottom="1440" w:gutter="0" w:footer="0" w:header="0"/>
        </w:sectPr>
      </w:pPr>
    </w:p>
    <w:bookmarkStart w:id="4" w:name="page5"/>
    <w:bookmarkEnd w:id="4"/>
    <w:p>
      <w:pPr>
        <w:ind w:right="60"/>
        <w:spacing w:after="0" w:line="234" w:lineRule="auto"/>
        <w:rPr>
          <w:sz w:val="20"/>
          <w:szCs w:val="20"/>
          <w:color w:val="auto"/>
        </w:rPr>
      </w:pPr>
      <w:r>
        <w:rPr>
          <w:rFonts w:ascii="Arial" w:cs="Arial" w:eastAsia="Arial" w:hAnsi="Arial"/>
          <w:sz w:val="22"/>
          <w:szCs w:val="22"/>
          <w:color w:val="auto"/>
        </w:rPr>
        <w:t>The Company reported net sales of $1.318 billion for the third quarter of 2022, a decrease of 9% compared to net sales of $1.441 billion in the prior year third quarter. This result was in-line with our previously communicated guidance of down high-single digits compared to the third quarter last year. Total comparable sales for the third quarter of 2022 decreased 11% compared to the third quarter of 2021.</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 Allocation</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On March 2, 2022, the Company announced a share repurchase program providing for the repurchase of up to $250 million of the Company’s common stock during the year. During the third quarter, the Company invested $43 million to repurchase 1.2 million shares under this program. Year to date, the Company has invested $214 million to repurchase 5.1 million shares at an average price of $41.91 per share. The Company continues to expect to complete this share repurchase program by the end of fiscal year 2022.</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and Full Year 2022 Outlook</w:t>
      </w:r>
    </w:p>
    <w:p>
      <w:pPr>
        <w:spacing w:after="0" w:line="14"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The Company is forecasting fourth quarter 2022 net sales to decrease in the high-single digit range compared to last year’s fourth quarter net sales of $2.175 billion. At this forecasted level of sales, operating income is expected to be in the range of $240 million to $290 million. Net income for the fourth quarter 2022 is estimated to be in the range of $2.00 to $2.45 per diluted share.</w:t>
      </w:r>
    </w:p>
    <w:p>
      <w:pPr>
        <w:spacing w:after="0" w:line="176" w:lineRule="exact"/>
        <w:rPr>
          <w:sz w:val="20"/>
          <w:szCs w:val="20"/>
          <w:color w:val="auto"/>
        </w:rPr>
      </w:pPr>
    </w:p>
    <w:p>
      <w:pPr>
        <w:ind w:right="60"/>
        <w:spacing w:after="0" w:line="231" w:lineRule="auto"/>
        <w:rPr>
          <w:sz w:val="20"/>
          <w:szCs w:val="20"/>
          <w:color w:val="auto"/>
        </w:rPr>
      </w:pPr>
      <w:r>
        <w:rPr>
          <w:rFonts w:ascii="Arial" w:cs="Arial" w:eastAsia="Arial" w:hAnsi="Arial"/>
          <w:sz w:val="22"/>
          <w:szCs w:val="22"/>
          <w:color w:val="auto"/>
        </w:rPr>
        <w:t>The Company is forecasting full year 2022 net sales to decrease 6% to 7% compared to last year’s full year net sales of $6.785 billion. At this forecasted level of sales, adjusted operating income is expected to be in the range of $525 million to $575 million, or approximately 8% to 9% of sales. Adjusted net income for the full year 2022 is estimated to be in the range of $4.50 to $4.95 per diluted share.</w:t>
      </w:r>
    </w:p>
    <w:p>
      <w:pPr>
        <w:spacing w:after="0" w:line="214"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color w:val="auto"/>
        </w:rPr>
        <w:t>As previously announced, we expect the acquisition of Adore Me to close by the end of January 2023, subject to customary closing conditions and regulatory clearances. Because the Adore Me transaction has not yet closed, our fourth quarter and full year 2022 outlook excludes any financial impact related to this transaction.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At the conclusion of this press release, we have included a reconciliation of reported to adjusted results and forecasted results.</w:t>
      </w:r>
    </w:p>
    <w:p>
      <w:pPr>
        <w:spacing w:after="0" w:line="254"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Victoria’s Secret &amp; Co. will conduct its third quarter earnings call at 8:00 a.m. Eastern on Thursday, December 1, 2022. To listen, call 1-800-619-9066 (international dial-in number: 1-212-519-0836); conference ID 5358727. For an audio replay, call 1-866-363-1809 (international replay number: 1-203-369-0197); conference ID 55163 or log onto </w:t>
      </w:r>
      <w:r>
        <w:rPr>
          <w:rFonts w:ascii="Arial" w:cs="Arial" w:eastAsia="Arial" w:hAnsi="Arial"/>
          <w:sz w:val="19"/>
          <w:szCs w:val="19"/>
          <w:color w:val="0563C1"/>
        </w:rPr>
        <w:t>www.victoriassecretandco.com</w:t>
      </w:r>
      <w:r>
        <w:rPr>
          <w:rFonts w:ascii="Arial" w:cs="Arial" w:eastAsia="Arial" w:hAnsi="Arial"/>
          <w:sz w:val="19"/>
          <w:szCs w:val="19"/>
          <w:color w:val="auto"/>
        </w:rPr>
        <w:t>. The materials accompanying the earnings call have been posted on the Investors section of the Company’s website. The audio replay will be available approximately two hours after the conclusion of the call.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 &amp; Co.</w:t>
      </w:r>
    </w:p>
    <w:p>
      <w:pPr>
        <w:spacing w:after="0" w:line="14" w:lineRule="exact"/>
        <w:rPr>
          <w:sz w:val="20"/>
          <w:szCs w:val="20"/>
          <w:color w:val="auto"/>
        </w:rPr>
      </w:pPr>
    </w:p>
    <w:p>
      <w:pPr>
        <w:ind w:right="80"/>
        <w:spacing w:after="0" w:line="241" w:lineRule="auto"/>
        <w:rPr>
          <w:sz w:val="20"/>
          <w:szCs w:val="20"/>
          <w:color w:val="auto"/>
        </w:rPr>
      </w:pPr>
      <w:r>
        <w:rPr>
          <w:rFonts w:ascii="Arial" w:cs="Arial" w:eastAsia="Arial" w:hAnsi="Arial"/>
          <w:sz w:val="21"/>
          <w:szCs w:val="21"/>
          <w:color w:val="auto"/>
        </w:rPr>
        <w:t>Victoria’s Secret &amp; Co. (NYSE: VSCO) is a Fortune 500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7" w:lineRule="exact"/>
        <w:rPr>
          <w:sz w:val="20"/>
          <w:szCs w:val="20"/>
          <w:color w:val="auto"/>
        </w:rPr>
      </w:pPr>
    </w:p>
    <w:p>
      <w:pPr>
        <w:ind w:left="660" w:right="20" w:hanging="328"/>
        <w:spacing w:after="0" w:line="23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spacing w:after="0" w:line="2"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we may not realize all of the expected benefits of the spin-off;</w:t>
      </w:r>
    </w:p>
    <w:p>
      <w:pPr>
        <w:jc w:val="both"/>
        <w:ind w:left="660" w:hanging="328"/>
        <w:spacing w:after="0" w:line="22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may continue to have an adverse effect on our business and results of operations;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dependence on mall traffic and the availability of suitable store locations on appropriate terms;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independent franchise, license, wholesale, and joint venture partners;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direct channel business;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protect our reputation and the image of our brands;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660" w:hanging="328"/>
        <w:spacing w:after="0" w:line="23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color w:val="auto"/>
        </w:rPr>
        <w:t>our ability to realize the potential benefits and synergies sought with the pending acquisition of AdoreMe, Inc.;</w:t>
      </w:r>
    </w:p>
    <w:p>
      <w:pPr>
        <w:spacing w:after="0" w:line="1" w:lineRule="exact"/>
        <w:rPr>
          <w:rFonts w:ascii="Arial" w:cs="Arial" w:eastAsia="Arial" w:hAnsi="Arial"/>
          <w:sz w:val="21"/>
          <w:szCs w:val="21"/>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significant health hazards or pandemics;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 and</w:t>
      </w:r>
    </w:p>
    <w:p>
      <w:pPr>
        <w:ind w:left="1300" w:hanging="320"/>
        <w:spacing w:after="0" w:line="230" w:lineRule="auto"/>
        <w:tabs>
          <w:tab w:leader="none" w:pos="1300" w:val="left"/>
        </w:tabs>
        <w:numPr>
          <w:ilvl w:val="1"/>
          <w:numId w:val="2"/>
        </w:numPr>
        <w:rPr>
          <w:rFonts w:ascii="Arial" w:cs="Arial" w:eastAsia="Arial" w:hAnsi="Arial"/>
          <w:sz w:val="22"/>
          <w:szCs w:val="22"/>
          <w:color w:val="auto"/>
        </w:rPr>
      </w:pPr>
      <w:r>
        <w:rPr>
          <w:rFonts w:ascii="Arial" w:cs="Arial" w:eastAsia="Arial" w:hAnsi="Arial"/>
          <w:sz w:val="22"/>
          <w:szCs w:val="22"/>
          <w:color w:val="auto"/>
        </w:rPr>
        <w:t>disruption due to labor disputes;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 and Southeast Asia;</w:t>
      </w:r>
    </w:p>
    <w:p>
      <w:pPr>
        <w:ind w:left="660" w:hanging="328"/>
        <w:spacing w:after="0" w:line="236"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ectPr>
          <w:pgSz w:w="11900" w:h="16838" w:orient="portrait"/>
          <w:cols w:equalWidth="0" w:num="1">
            <w:col w:w="11240"/>
          </w:cols>
          <w:pgMar w:left="320" w:top="760" w:right="339" w:bottom="1440" w:gutter="0" w:footer="0" w:header="0"/>
        </w:sectPr>
      </w:pPr>
    </w:p>
    <w:bookmarkStart w:id="6" w:name="page7"/>
    <w:bookmarkEnd w:id="6"/>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freight, product input and energy costs, including those caused by inflation;</w:t>
      </w:r>
    </w:p>
    <w:p>
      <w:pPr>
        <w:spacing w:after="0" w:line="8" w:lineRule="exact"/>
        <w:rPr>
          <w:rFonts w:ascii="Arial" w:cs="Arial" w:eastAsia="Arial" w:hAnsi="Arial"/>
          <w:sz w:val="22"/>
          <w:szCs w:val="22"/>
          <w:color w:val="auto"/>
        </w:rPr>
      </w:pP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 and system availability;</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 and</w:t>
      </w: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tax, trade and other regulatory matters.</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18, 2022.</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7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Kevin Wynk</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Total Sales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Third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20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Inc/</w:t>
            </w:r>
          </w:p>
        </w:tc>
        <w:tc>
          <w:tcPr>
            <w:tcW w:w="1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Year-to-Date</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Year-to-Date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34"/>
        </w:trPr>
        <w:tc>
          <w:tcPr>
            <w:tcW w:w="2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(Dec)</w:t>
            </w: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(Dec)</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Direct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1,396.0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(15.8 %)</w:t>
            </w: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23"/>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1,441.1</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21"/>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160" w:hanging="112"/>
        <w:spacing w:after="0"/>
        <w:tabs>
          <w:tab w:leader="none" w:pos="16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 Results include consolidated joint venture sales in China, royalties associated with franchised stores and wholesale sales.</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Third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Third</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8"/>
        </w:trPr>
        <w:tc>
          <w:tcPr>
            <w:tcW w:w="536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Quarter</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Quarter</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Year-to-Date</w:t>
            </w:r>
          </w:p>
        </w:tc>
        <w:tc>
          <w:tcPr>
            <w:tcW w:w="1320" w:type="dxa"/>
            <w:vAlign w:val="bottom"/>
          </w:tcPr>
          <w:p>
            <w:pPr>
              <w:ind w:left="160"/>
              <w:spacing w:after="0"/>
              <w:rPr>
                <w:sz w:val="20"/>
                <w:szCs w:val="20"/>
                <w:color w:val="auto"/>
              </w:rPr>
            </w:pPr>
            <w:r>
              <w:rPr>
                <w:rFonts w:ascii="Arial" w:cs="Arial" w:eastAsia="Arial" w:hAnsi="Arial"/>
                <w:sz w:val="18"/>
                <w:szCs w:val="18"/>
                <w:b w:val="1"/>
                <w:bCs w:val="1"/>
                <w:color w:val="auto"/>
              </w:rPr>
              <w:t>Year-to-Date</w:t>
            </w:r>
          </w:p>
        </w:tc>
      </w:tr>
      <w:tr>
        <w:trPr>
          <w:trHeight w:val="234"/>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r>
      <w:tr>
        <w:trPr>
          <w:trHeight w:val="304"/>
        </w:trPr>
        <w:tc>
          <w:tcPr>
            <w:tcW w:w="536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8%</w:t>
            </w:r>
          </w:p>
        </w:tc>
      </w:tr>
    </w:tbl>
    <w:p>
      <w:pPr>
        <w:spacing w:after="0" w:line="231" w:lineRule="exact"/>
        <w:rPr>
          <w:sz w:val="20"/>
          <w:szCs w:val="20"/>
          <w:color w:val="auto"/>
        </w:rPr>
      </w:pPr>
    </w:p>
    <w:p>
      <w:pPr>
        <w:jc w:val="both"/>
        <w:ind w:right="160"/>
        <w:spacing w:after="0" w:line="26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212529"/>
        </w:rPr>
        <w:t>Stores are excluded from the comparable sales calculation when they have been closed for four consecutive days or more. Therefore, comparable</w:t>
      </w:r>
      <w:r>
        <w:rPr>
          <w:rFonts w:ascii="Arial" w:cs="Arial" w:eastAsia="Arial" w:hAnsi="Arial"/>
          <w:sz w:val="17"/>
          <w:szCs w:val="17"/>
          <w:b w:val="1"/>
          <w:bCs w:val="1"/>
          <w:color w:val="auto"/>
        </w:rPr>
        <w:t xml:space="preserve"> </w:t>
      </w:r>
      <w:r>
        <w:rPr>
          <w:rFonts w:ascii="Arial" w:cs="Arial" w:eastAsia="Arial" w:hAnsi="Arial"/>
          <w:sz w:val="17"/>
          <w:szCs w:val="17"/>
          <w:color w:val="212529"/>
        </w:rPr>
        <w:t>sales results exclude periods of time that stores were closed for four consecutive days or more as a result of the COVID-19 pandemic. Please refer to our filings with the Securities and Exchange Commission for further discussion regarding our comparable sales calculation.</w:t>
      </w:r>
    </w:p>
    <w:p>
      <w:pPr>
        <w:ind w:left="120" w:hanging="112"/>
        <w:spacing w:after="0" w:line="195" w:lineRule="auto"/>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and Canada, consolidated joint venture stores in China and direct sales.</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and Canada and consolidated joint venture stores in China.</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Stores at</w:t>
            </w:r>
          </w:p>
        </w:tc>
        <w:tc>
          <w:tcPr>
            <w:tcW w:w="1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rPr>
              <w:t>Reclassed to</w:t>
            </w: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2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1/29/22</w:t>
            </w: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Opened</w:t>
            </w: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Closed</w:t>
            </w:r>
          </w:p>
        </w:tc>
        <w:tc>
          <w:tcPr>
            <w:tcW w:w="17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Joint Venture</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10/29/22</w:t>
            </w:r>
          </w:p>
        </w:tc>
      </w:tr>
      <w:tr>
        <w:trPr>
          <w:trHeight w:val="190"/>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Company-Operated: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U.S.</w:t>
            </w:r>
          </w:p>
        </w:tc>
        <w:tc>
          <w:tcPr>
            <w:tcW w:w="2440" w:type="dxa"/>
            <w:vAlign w:val="bottom"/>
            <w:tcBorders>
              <w:top w:val="single" w:sz="8" w:color="CCEEFF"/>
            </w:tcBorders>
            <w:gridSpan w:val="2"/>
          </w:tcPr>
          <w:p>
            <w:pPr>
              <w:spacing w:after="0"/>
              <w:rPr>
                <w:sz w:val="19"/>
                <w:szCs w:val="19"/>
                <w:color w:val="auto"/>
              </w:rPr>
            </w:pPr>
          </w:p>
        </w:tc>
        <w:tc>
          <w:tcPr>
            <w:tcW w:w="158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rPr>
              <w:t>808</w:t>
            </w:r>
          </w:p>
        </w:tc>
        <w:tc>
          <w:tcPr>
            <w:tcW w:w="136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rPr>
              <w:t>11</w:t>
            </w:r>
          </w:p>
        </w:tc>
        <w:tc>
          <w:tcPr>
            <w:tcW w:w="1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(7)</w:t>
            </w:r>
          </w:p>
        </w:tc>
        <w:tc>
          <w:tcPr>
            <w:tcW w:w="170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Canada</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Subtotal Company-Operated</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834</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404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China Joint Venture:</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line="230" w:lineRule="exact"/>
              <w:rPr>
                <w:sz w:val="20"/>
                <w:szCs w:val="20"/>
                <w:color w:val="auto"/>
              </w:rPr>
            </w:pPr>
            <w:r>
              <w:rPr>
                <w:rFonts w:ascii="Arial" w:cs="Arial" w:eastAsia="Arial" w:hAnsi="Arial"/>
                <w:sz w:val="18"/>
                <w:szCs w:val="18"/>
                <w:color w:val="auto"/>
              </w:rPr>
              <w:t>Beauty &amp; Accessories</w:t>
            </w:r>
            <w:r>
              <w:rPr>
                <w:rFonts w:ascii="Arial" w:cs="Arial" w:eastAsia="Arial" w:hAnsi="Arial"/>
                <w:sz w:val="23"/>
                <w:szCs w:val="23"/>
                <w:color w:val="auto"/>
                <w:vertAlign w:val="superscript"/>
              </w:rPr>
              <w:t>1</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Full Assortment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Subtotal China Joint Venture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40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Partner-Operated:</w:t>
            </w:r>
          </w:p>
        </w:tc>
        <w:tc>
          <w:tcPr>
            <w:tcW w:w="1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4"/>
          </w:tcPr>
          <w:p>
            <w:pPr>
              <w:spacing w:after="0"/>
              <w:rPr>
                <w:sz w:val="20"/>
                <w:szCs w:val="20"/>
                <w:color w:val="auto"/>
              </w:rPr>
            </w:pPr>
            <w:r>
              <w:rPr>
                <w:rFonts w:ascii="Arial" w:cs="Arial" w:eastAsia="Arial" w:hAnsi="Arial"/>
                <w:sz w:val="18"/>
                <w:szCs w:val="18"/>
                <w:color w:val="auto"/>
              </w:rPr>
              <w:t>Beauty &amp; Accessories</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335</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126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Full Assortment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128</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Subtotal Partner-Operated</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463</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1,362</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(52)</w:t>
            </w:r>
          </w:p>
        </w:tc>
        <w:tc>
          <w:tcPr>
            <w:tcW w:w="17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 Includes nine partner-operated stores.</w:t>
      </w:r>
    </w:p>
    <w:p>
      <w:pPr>
        <w:sectPr>
          <w:pgSz w:w="11900" w:h="16838" w:orient="portrait"/>
          <w:cols w:equalWidth="0" w:num="1">
            <w:col w:w="11240"/>
          </w:cols>
          <w:pgMar w:left="320" w:top="77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9"/>
        </w:trPr>
        <w:tc>
          <w:tcPr>
            <w:tcW w:w="7800" w:type="dxa"/>
            <w:vAlign w:val="bottom"/>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rPr>
              <w:t>CONSOLIDATED STATEMENTS OF INCOME</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7"/>
              </w:rPr>
              <w:t>THIRTEEN WEEKS ENDED OCTOBER 29, 2022 AND OCTOBER 30, 2021</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1,441,134</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(860,705)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(876,067)</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565,067</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(457,153)</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107,914</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96,629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22,217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75,213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75,213</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82,628</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92,449</w:t>
            </w:r>
          </w:p>
        </w:tc>
        <w:tc>
          <w:tcPr>
            <w:tcW w:w="0" w:type="dxa"/>
            <w:vAlign w:val="bottom"/>
          </w:tcPr>
          <w:p>
            <w:pPr>
              <w:spacing w:after="0"/>
              <w:rPr>
                <w:sz w:val="1"/>
                <w:szCs w:val="1"/>
                <w:color w:val="auto"/>
              </w:rPr>
            </w:pPr>
          </w:p>
        </w:tc>
      </w:tr>
      <w:tr>
        <w:trPr>
          <w:trHeight w:val="21"/>
        </w:trPr>
        <w:tc>
          <w:tcPr>
            <w:tcW w:w="7800" w:type="dxa"/>
            <w:vAlign w:val="bottom"/>
            <w:vMerge w:val="restart"/>
          </w:tcPr>
          <w:p>
            <w:pPr>
              <w:jc w:val="center"/>
              <w:ind w:left="3370"/>
              <w:spacing w:after="0"/>
              <w:rPr>
                <w:sz w:val="20"/>
                <w:szCs w:val="20"/>
                <w:color w:val="auto"/>
              </w:rPr>
            </w:pPr>
            <w:r>
              <w:rPr>
                <w:rFonts w:ascii="Arial" w:cs="Arial" w:eastAsia="Arial" w:hAnsi="Arial"/>
                <w:sz w:val="18"/>
                <w:szCs w:val="18"/>
                <w:b w:val="1"/>
                <w:bCs w:val="1"/>
                <w:color w:val="auto"/>
              </w:rPr>
              <w:t>VICTORIA'S SECRET &amp; CO.</w:t>
            </w: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7"/>
        </w:trPr>
        <w:tc>
          <w:tcPr>
            <w:tcW w:w="7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790"/>
              <w:spacing w:after="0"/>
              <w:rPr>
                <w:sz w:val="20"/>
                <w:szCs w:val="20"/>
                <w:color w:val="auto"/>
              </w:rPr>
            </w:pPr>
            <w:r>
              <w:rPr>
                <w:rFonts w:ascii="Arial" w:cs="Arial" w:eastAsia="Arial" w:hAnsi="Arial"/>
                <w:sz w:val="18"/>
                <w:szCs w:val="18"/>
                <w:b w:val="1"/>
                <w:bCs w:val="1"/>
                <w:color w:val="auto"/>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4"/>
          </w:tcPr>
          <w:p>
            <w:pPr>
              <w:jc w:val="center"/>
              <w:ind w:left="1570"/>
              <w:spacing w:after="0"/>
              <w:rPr>
                <w:sz w:val="20"/>
                <w:szCs w:val="20"/>
                <w:color w:val="auto"/>
              </w:rPr>
            </w:pPr>
            <w:r>
              <w:rPr>
                <w:rFonts w:ascii="Arial" w:cs="Arial" w:eastAsia="Arial" w:hAnsi="Arial"/>
                <w:sz w:val="18"/>
                <w:szCs w:val="18"/>
                <w:b w:val="1"/>
                <w:bCs w:val="1"/>
                <w:color w:val="auto"/>
                <w:w w:val="97"/>
              </w:rPr>
              <w:t>THIRTY-NINE WEEKS ENDED OCTOBER 29, 2022 AND OCTOBER 30, 2021</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91"/>
              </w:rPr>
              <w:t>(Unaudited)</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0" w:type="dxa"/>
            <w:vAlign w:val="bottom"/>
          </w:tcPr>
          <w:p>
            <w:pPr>
              <w:jc w:val="center"/>
              <w:ind w:left="33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560" w:type="dxa"/>
            <w:vAlign w:val="bottom"/>
          </w:tcPr>
          <w:p>
            <w:pPr>
              <w:spacing w:after="0"/>
              <w:rPr>
                <w:sz w:val="20"/>
                <w:szCs w:val="20"/>
                <w:color w:val="auto"/>
              </w:rPr>
            </w:pP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4,323,091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4,609,201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(2,808,963)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(2,702,408)</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1,906,793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(1,370,462)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536,331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190,857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520,207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165,572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400,329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400,329</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Diluted Share Attributable to Victoria's Secret &amp; Co.</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89,685</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8"/>
        <w:spacing w:after="0" w:line="267" w:lineRule="auto"/>
        <w:tabs>
          <w:tab w:leader="none" w:pos="1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 Reported Weighted Average Shares Outstanding reflects diluted shares in the first, second and third quarters of 2022. For periods prior to the separation in the third quarter of 2021, basic shares at the separation date are being utilized for the calculation of basic and diluted net income per share.</w:t>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INFORMATION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0" w:lineRule="exact"/>
        <w:rPr>
          <w:sz w:val="20"/>
          <w:szCs w:val="20"/>
          <w:color w:val="auto"/>
        </w:rPr>
      </w:pPr>
    </w:p>
    <w:p>
      <w:pPr>
        <w:ind w:left="20" w:right="20"/>
        <w:spacing w:after="0" w:line="239" w:lineRule="auto"/>
        <w:rPr>
          <w:sz w:val="20"/>
          <w:szCs w:val="20"/>
          <w:color w:val="auto"/>
        </w:rPr>
      </w:pPr>
      <w:r>
        <w:rPr>
          <w:rFonts w:ascii="Arial" w:cs="Arial" w:eastAsia="Arial" w:hAnsi="Arial"/>
          <w:sz w:val="16"/>
          <w:szCs w:val="16"/>
          <w:i w:val="1"/>
          <w:iCs w:val="1"/>
          <w:color w:val="auto"/>
        </w:rPr>
        <w:t>The non-GAAP financial information presented in this press release should not be construed as an alternative to the reported results determined in accordance with generally accepted accounting principles. Further, the Company's definition of such non-GAAP financial measures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financial information is useful for the assessment of the ongoing operations of the Company because the adjusted items are not indicative of our ongoing operations due to their size and nature. Management uses adjusted financial information as key performance measures of results of operations for the purpose of evaluating performance internally. The non-GAAP financial information should be read in conjunction with the Company's historical financial statements and notes thereto contained in our Annual Report on Form 10-K and our Quarterly Reports on Form 10-Q filed with the Securities and Exchange Commission. The table below reconciles the non-GAAP financial measures to their most directly comparable GAAP financial measures.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340"/>
              <w:spacing w:after="0"/>
              <w:rPr>
                <w:sz w:val="20"/>
                <w:szCs w:val="20"/>
                <w:color w:val="auto"/>
              </w:rPr>
            </w:pPr>
            <w:r>
              <w:rPr>
                <w:rFonts w:ascii="Arial" w:cs="Arial" w:eastAsia="Arial" w:hAnsi="Arial"/>
                <w:sz w:val="16"/>
                <w:szCs w:val="16"/>
                <w:b w:val="1"/>
                <w:bCs w:val="1"/>
                <w:color w:val="auto"/>
              </w:rPr>
              <w:t>Third Quarter</w:t>
            </w:r>
          </w:p>
        </w:tc>
        <w:tc>
          <w:tcPr>
            <w:tcW w:w="220" w:type="dxa"/>
            <w:vAlign w:val="bottom"/>
          </w:tcPr>
          <w:p>
            <w:pPr>
              <w:spacing w:after="0"/>
              <w:rPr>
                <w:sz w:val="18"/>
                <w:szCs w:val="18"/>
                <w:color w:val="auto"/>
              </w:rPr>
            </w:pPr>
          </w:p>
        </w:tc>
        <w:tc>
          <w:tcPr>
            <w:tcW w:w="20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Year-to-Date</w:t>
            </w:r>
          </w:p>
        </w:tc>
      </w:tr>
      <w:tr>
        <w:trPr>
          <w:trHeight w:val="210"/>
        </w:trPr>
        <w:tc>
          <w:tcPr>
            <w:tcW w:w="20" w:type="dxa"/>
            <w:vAlign w:val="bottom"/>
            <w:tcBorders>
              <w:bottom w:val="single" w:sz="8" w:color="CCEEFF"/>
            </w:tcBorders>
          </w:tcPr>
          <w:p>
            <w:pPr>
              <w:spacing w:after="0"/>
              <w:rPr>
                <w:sz w:val="18"/>
                <w:szCs w:val="18"/>
                <w:color w:val="auto"/>
              </w:rPr>
            </w:pPr>
          </w:p>
        </w:tc>
        <w:tc>
          <w:tcPr>
            <w:tcW w:w="4020" w:type="dxa"/>
            <w:vAlign w:val="bottom"/>
            <w:tcBorders>
              <w:bottom w:val="single" w:sz="8" w:color="CCEEFF"/>
            </w:tcBorders>
          </w:tcPr>
          <w:p>
            <w:pPr>
              <w:spacing w:after="0"/>
              <w:rPr>
                <w:sz w:val="18"/>
                <w:szCs w:val="18"/>
                <w:color w:val="auto"/>
              </w:rPr>
            </w:pPr>
          </w:p>
        </w:tc>
        <w:tc>
          <w:tcPr>
            <w:tcW w:w="224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auto"/>
            </w:tcBorders>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1"/>
              </w:rPr>
              <w:t>Reconciliation of Reported to Adjusted Operating Income</w:t>
            </w:r>
          </w:p>
        </w:tc>
        <w:tc>
          <w:tcPr>
            <w:tcW w:w="268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Reported Operating Income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42,588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107,914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234,222</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536,331</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 (b)</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Operating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536,331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2"/>
              </w:rPr>
              <w:t>Reconciliation of Reported to Adjusted Net Income Attributable to Victoria's Secret &amp; Co.</w:t>
            </w:r>
          </w:p>
        </w:tc>
        <w:tc>
          <w:tcPr>
            <w:tcW w:w="4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Reported Net Income Attributable to Victoria's Secret &amp; Co.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24,368</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75,213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175,117</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400,329</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 (b)</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Adjusted Net Income Attributable to Victoria's Secret &amp; Co.</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24,368</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75,213</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213,389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400,329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6"/>
          <w:szCs w:val="16"/>
          <w:b w:val="1"/>
          <w:bCs w:val="1"/>
          <w:u w:val="single" w:color="auto"/>
          <w:color w:val="auto"/>
        </w:rPr>
        <w:t>Reconciliation of Reported to Adjusted Net Income Per Diluted Share Attributable to Victoria's Secret &amp; Co.</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Net Income Per Diluted Share Attributable to Victoria's Secret &amp; Co. - GAAP</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Occupancy-related Legal Matter (a)</w:t>
            </w:r>
          </w:p>
        </w:tc>
        <w:tc>
          <w:tcPr>
            <w:tcW w:w="3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 (b)</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Adjusted Net Income Per Diluted Share Attributable to Victoria's Secret &amp; Co.</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0"/>
        </w:trPr>
        <w:tc>
          <w:tcPr>
            <w:tcW w:w="6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80" w:firstLine="8"/>
        <w:spacing w:after="0" w:line="275"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spacing w:after="0" w:line="77" w:lineRule="exact"/>
        <w:rPr>
          <w:rFonts w:ascii="Arial" w:cs="Arial" w:eastAsia="Arial" w:hAnsi="Arial"/>
          <w:sz w:val="16"/>
          <w:szCs w:val="16"/>
          <w:color w:val="auto"/>
        </w:rPr>
      </w:pPr>
    </w:p>
    <w:p>
      <w:pPr>
        <w:ind w:right="20" w:firstLine="8"/>
        <w:spacing w:after="0" w:line="310" w:lineRule="auto"/>
        <w:tabs>
          <w:tab w:leader="none" w:pos="229"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p>
      <w:pPr>
        <w:sectPr>
          <w:pgSz w:w="11900" w:h="16838" w:orient="portrait"/>
          <w:cols w:equalWidth="0" w:num="1">
            <w:col w:w="11240"/>
          </w:cols>
          <w:pgMar w:left="320" w:top="90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640" w:type="dxa"/>
            <w:vAlign w:val="bottom"/>
            <w:gridSpan w:val="3"/>
          </w:tcPr>
          <w:p>
            <w:pPr>
              <w:jc w:val="center"/>
              <w:ind w:right="2080"/>
              <w:spacing w:after="0"/>
              <w:rPr>
                <w:sz w:val="20"/>
                <w:szCs w:val="20"/>
                <w:color w:val="auto"/>
              </w:rPr>
            </w:pPr>
            <w:r>
              <w:rPr>
                <w:rFonts w:ascii="Arial" w:cs="Arial" w:eastAsia="Arial" w:hAnsi="Arial"/>
                <w:sz w:val="16"/>
                <w:szCs w:val="16"/>
                <w:b w:val="1"/>
                <w:bCs w:val="1"/>
                <w:color w:val="auto"/>
              </w:rPr>
              <w:t>VICTORIA'S SECRET &amp; CO.</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640" w:type="dxa"/>
            <w:vAlign w:val="bottom"/>
            <w:gridSpan w:val="3"/>
          </w:tcPr>
          <w:p>
            <w:pPr>
              <w:jc w:val="center"/>
              <w:ind w:right="2060"/>
              <w:spacing w:after="0"/>
              <w:rPr>
                <w:sz w:val="20"/>
                <w:szCs w:val="20"/>
                <w:color w:val="auto"/>
              </w:rPr>
            </w:pPr>
            <w:r>
              <w:rPr>
                <w:rFonts w:ascii="Arial" w:cs="Arial" w:eastAsia="Arial" w:hAnsi="Arial"/>
                <w:sz w:val="16"/>
                <w:szCs w:val="16"/>
                <w:b w:val="1"/>
                <w:bCs w:val="1"/>
                <w:color w:val="auto"/>
              </w:rPr>
              <w:t>NON-GAAP FINANCIAL INFORMATION</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60" w:type="dxa"/>
            <w:vAlign w:val="bottom"/>
            <w:gridSpan w:val="4"/>
          </w:tcPr>
          <w:p>
            <w:pPr>
              <w:jc w:val="center"/>
              <w:ind w:left="1659"/>
              <w:spacing w:after="0"/>
              <w:rPr>
                <w:sz w:val="20"/>
                <w:szCs w:val="20"/>
                <w:color w:val="auto"/>
              </w:rPr>
            </w:pPr>
            <w:r>
              <w:rPr>
                <w:rFonts w:ascii="Arial" w:cs="Arial" w:eastAsia="Arial" w:hAnsi="Arial"/>
                <w:sz w:val="16"/>
                <w:szCs w:val="16"/>
                <w:b w:val="1"/>
                <w:bCs w:val="1"/>
                <w:color w:val="auto"/>
              </w:rPr>
              <w:t>FORECASTED FULL YEAR ENDING JANUARY 28, 2023</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5640" w:type="dxa"/>
            <w:vAlign w:val="bottom"/>
            <w:gridSpan w:val="3"/>
          </w:tcPr>
          <w:p>
            <w:pPr>
              <w:jc w:val="center"/>
              <w:ind w:right="2080"/>
              <w:spacing w:after="0"/>
              <w:rPr>
                <w:sz w:val="20"/>
                <w:szCs w:val="20"/>
                <w:color w:val="auto"/>
              </w:rPr>
            </w:pPr>
            <w:r>
              <w:rPr>
                <w:rFonts w:ascii="Arial" w:cs="Arial" w:eastAsia="Arial" w:hAnsi="Arial"/>
                <w:sz w:val="16"/>
                <w:szCs w:val="16"/>
                <w:b w:val="1"/>
                <w:bCs w:val="1"/>
                <w:color w:val="auto"/>
                <w:w w:val="92"/>
              </w:rPr>
              <w:t>(Unaudited, in millions)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59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Forecasted</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Full Year Ending</w:t>
            </w:r>
          </w:p>
        </w:tc>
      </w:tr>
      <w:tr>
        <w:trPr>
          <w:trHeight w:val="219"/>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8"/>
              </w:rPr>
              <w:t>January 28, 2023</w:t>
            </w:r>
          </w:p>
        </w:tc>
      </w:tr>
      <w:tr>
        <w:trPr>
          <w:trHeight w:val="179"/>
        </w:trPr>
        <w:tc>
          <w:tcPr>
            <w:tcW w:w="20" w:type="dxa"/>
            <w:vAlign w:val="bottom"/>
            <w:shd w:val="clear" w:color="auto" w:fill="CCEEFF"/>
          </w:tcPr>
          <w:p>
            <w:pPr>
              <w:spacing w:after="0"/>
              <w:rPr>
                <w:sz w:val="15"/>
                <w:szCs w:val="15"/>
                <w:color w:val="auto"/>
              </w:rPr>
            </w:pPr>
          </w:p>
        </w:tc>
        <w:tc>
          <w:tcPr>
            <w:tcW w:w="9460" w:type="dxa"/>
            <w:vAlign w:val="bottom"/>
            <w:gridSpan w:val="4"/>
            <w:shd w:val="clear" w:color="auto" w:fill="CCEEFF"/>
          </w:tcPr>
          <w:p>
            <w:pPr>
              <w:spacing w:after="0" w:line="158" w:lineRule="exact"/>
              <w:rPr>
                <w:sz w:val="20"/>
                <w:szCs w:val="20"/>
                <w:color w:val="auto"/>
              </w:rPr>
            </w:pPr>
            <w:r>
              <w:rPr>
                <w:rFonts w:ascii="Arial" w:cs="Arial" w:eastAsia="Arial" w:hAnsi="Arial"/>
                <w:sz w:val="16"/>
                <w:szCs w:val="16"/>
                <w:b w:val="1"/>
                <w:bCs w:val="1"/>
                <w:color w:val="auto"/>
              </w:rPr>
              <w:t>Reconciliation of GAAP to Adjusted Operating Income</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Operating Income - GAAP</w:t>
            </w:r>
          </w:p>
        </w:tc>
        <w:tc>
          <w:tcPr>
            <w:tcW w:w="564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474 to 524</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0" w:type="dxa"/>
            <w:vAlign w:val="bottom"/>
            <w:tcBorders>
              <w:bottom w:val="single" w:sz="8" w:color="CCEEFF"/>
            </w:tcBorders>
          </w:tcPr>
          <w:p>
            <w:pPr>
              <w:spacing w:after="0"/>
              <w:rPr>
                <w:sz w:val="18"/>
                <w:szCs w:val="18"/>
                <w:color w:val="auto"/>
              </w:rPr>
            </w:pPr>
          </w:p>
        </w:tc>
        <w:tc>
          <w:tcPr>
            <w:tcW w:w="9460" w:type="dxa"/>
            <w:vAlign w:val="bottom"/>
            <w:tcBorders>
              <w:bottom w:val="single" w:sz="8" w:color="CCEEFF"/>
            </w:tcBorders>
            <w:gridSpan w:val="4"/>
          </w:tcPr>
          <w:p>
            <w:pPr>
              <w:spacing w:after="0"/>
              <w:rPr>
                <w:sz w:val="20"/>
                <w:szCs w:val="20"/>
                <w:color w:val="auto"/>
              </w:rPr>
            </w:pPr>
            <w:r>
              <w:rPr>
                <w:rFonts w:ascii="Arial" w:cs="Arial" w:eastAsia="Arial" w:hAnsi="Arial"/>
                <w:sz w:val="16"/>
                <w:szCs w:val="16"/>
                <w:color w:val="auto"/>
              </w:rPr>
              <w:t>Restructuring Charge (b)</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Adjusted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 to 575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946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Reconciliation of GAAP to Adjusted Net Income Attributable to Victoria's Secret &amp; Co.</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60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Net Income Attributable to Victoria's Secret &amp; Co. - GAAP</w:t>
            </w:r>
          </w:p>
        </w:tc>
        <w:tc>
          <w:tcPr>
            <w:tcW w:w="34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341 to 379</w:t>
            </w:r>
          </w:p>
        </w:tc>
      </w:tr>
      <w:tr>
        <w:trPr>
          <w:trHeight w:val="219"/>
        </w:trPr>
        <w:tc>
          <w:tcPr>
            <w:tcW w:w="20" w:type="dxa"/>
            <w:vAlign w:val="bottom"/>
            <w:shd w:val="clear" w:color="auto" w:fill="CCEEFF"/>
          </w:tcPr>
          <w:p>
            <w:pPr>
              <w:spacing w:after="0"/>
              <w:rPr>
                <w:sz w:val="19"/>
                <w:szCs w:val="19"/>
                <w:color w:val="auto"/>
              </w:rPr>
            </w:pPr>
          </w:p>
        </w:tc>
        <w:tc>
          <w:tcPr>
            <w:tcW w:w="9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Occupancy-related Legal Matter (a)</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20" w:type="dxa"/>
            <w:vAlign w:val="bottom"/>
          </w:tcPr>
          <w:p>
            <w:pPr>
              <w:spacing w:after="0"/>
              <w:rPr>
                <w:sz w:val="18"/>
                <w:szCs w:val="18"/>
                <w:color w:val="auto"/>
              </w:rPr>
            </w:pPr>
          </w:p>
        </w:tc>
        <w:tc>
          <w:tcPr>
            <w:tcW w:w="9460" w:type="dxa"/>
            <w:vAlign w:val="bottom"/>
            <w:gridSpan w:val="4"/>
          </w:tcPr>
          <w:p>
            <w:pPr>
              <w:spacing w:after="0"/>
              <w:rPr>
                <w:sz w:val="20"/>
                <w:szCs w:val="20"/>
                <w:color w:val="auto"/>
              </w:rPr>
            </w:pPr>
            <w:r>
              <w:rPr>
                <w:rFonts w:ascii="Arial" w:cs="Arial" w:eastAsia="Arial" w:hAnsi="Arial"/>
                <w:sz w:val="16"/>
                <w:szCs w:val="16"/>
                <w:color w:val="auto"/>
              </w:rPr>
              <w:t>Restructuring Charge (b)</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2"/>
        </w:trPr>
        <w:tc>
          <w:tcPr>
            <w:tcW w:w="20" w:type="dxa"/>
            <w:vAlign w:val="bottom"/>
          </w:tcPr>
          <w:p>
            <w:pPr>
              <w:spacing w:after="0"/>
              <w:rPr>
                <w:sz w:val="18"/>
                <w:szCs w:val="18"/>
                <w:color w:val="auto"/>
              </w:rPr>
            </w:pPr>
          </w:p>
        </w:tc>
        <w:tc>
          <w:tcPr>
            <w:tcW w:w="9460" w:type="dxa"/>
            <w:vAlign w:val="bottom"/>
            <w:gridSpan w:val="4"/>
          </w:tcPr>
          <w:p>
            <w:pPr>
              <w:spacing w:after="0"/>
              <w:rPr>
                <w:sz w:val="20"/>
                <w:szCs w:val="20"/>
                <w:color w:val="auto"/>
              </w:rPr>
            </w:pPr>
            <w:r>
              <w:rPr>
                <w:rFonts w:ascii="Arial" w:cs="Arial" w:eastAsia="Arial" w:hAnsi="Arial"/>
                <w:sz w:val="16"/>
                <w:szCs w:val="16"/>
                <w:color w:val="auto"/>
              </w:rPr>
              <w:t>Adjusted Net Income Attributable to Victoria's Secret &amp; Co.</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 to 417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9460" w:type="dxa"/>
            <w:vAlign w:val="bottom"/>
            <w:gridSpan w:val="4"/>
          </w:tcPr>
          <w:p>
            <w:pPr>
              <w:spacing w:after="0" w:line="175" w:lineRule="exact"/>
              <w:rPr>
                <w:sz w:val="20"/>
                <w:szCs w:val="20"/>
                <w:color w:val="auto"/>
              </w:rPr>
            </w:pPr>
            <w:r>
              <w:rPr>
                <w:rFonts w:ascii="Arial" w:cs="Arial" w:eastAsia="Arial" w:hAnsi="Arial"/>
                <w:sz w:val="16"/>
                <w:szCs w:val="16"/>
                <w:b w:val="1"/>
                <w:bCs w:val="1"/>
                <w:color w:val="auto"/>
              </w:rPr>
              <w:t>Reconciliation of GAAP to Adjusted Net Income Per Diluted Share Attributable to Victoria's Secret &amp; Co.</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Income Per Diluted Share Attributable to Victoria's Secret &amp; Co. - GAAP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 to 4.50</w:t>
            </w:r>
          </w:p>
        </w:tc>
      </w:tr>
      <w:tr>
        <w:trPr>
          <w:trHeight w:val="213"/>
        </w:trPr>
        <w:tc>
          <w:tcPr>
            <w:tcW w:w="20" w:type="dxa"/>
            <w:vAlign w:val="bottom"/>
          </w:tcPr>
          <w:p>
            <w:pPr>
              <w:spacing w:after="0"/>
              <w:rPr>
                <w:sz w:val="18"/>
                <w:szCs w:val="18"/>
                <w:color w:val="auto"/>
              </w:rPr>
            </w:pPr>
          </w:p>
        </w:tc>
        <w:tc>
          <w:tcPr>
            <w:tcW w:w="9460" w:type="dxa"/>
            <w:vAlign w:val="bottom"/>
            <w:gridSpan w:val="4"/>
          </w:tcPr>
          <w:p>
            <w:pPr>
              <w:spacing w:after="0"/>
              <w:rPr>
                <w:sz w:val="20"/>
                <w:szCs w:val="20"/>
                <w:color w:val="auto"/>
              </w:rPr>
            </w:pPr>
            <w:r>
              <w:rPr>
                <w:rFonts w:ascii="Arial" w:cs="Arial" w:eastAsia="Arial" w:hAnsi="Arial"/>
                <w:sz w:val="16"/>
                <w:szCs w:val="16"/>
                <w:color w:val="auto"/>
              </w:rPr>
              <w:t>Occupancy-related Legal Matter (a)</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216"/>
        </w:trPr>
        <w:tc>
          <w:tcPr>
            <w:tcW w:w="20" w:type="dxa"/>
            <w:vAlign w:val="bottom"/>
            <w:shd w:val="clear" w:color="auto" w:fill="CCEEFF"/>
          </w:tcPr>
          <w:p>
            <w:pPr>
              <w:spacing w:after="0"/>
              <w:rPr>
                <w:sz w:val="18"/>
                <w:szCs w:val="18"/>
                <w:color w:val="auto"/>
              </w:rPr>
            </w:pPr>
          </w:p>
        </w:tc>
        <w:tc>
          <w:tcPr>
            <w:tcW w:w="94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Restructuring Charge (b)</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0.26</w:t>
            </w:r>
          </w:p>
        </w:tc>
      </w:tr>
      <w:tr>
        <w:trPr>
          <w:trHeight w:val="213"/>
        </w:trPr>
        <w:tc>
          <w:tcPr>
            <w:tcW w:w="20" w:type="dxa"/>
            <w:vAlign w:val="bottom"/>
          </w:tcPr>
          <w:p>
            <w:pPr>
              <w:spacing w:after="0"/>
              <w:rPr>
                <w:sz w:val="18"/>
                <w:szCs w:val="18"/>
                <w:color w:val="auto"/>
              </w:rPr>
            </w:pPr>
          </w:p>
        </w:tc>
        <w:tc>
          <w:tcPr>
            <w:tcW w:w="9460" w:type="dxa"/>
            <w:vAlign w:val="bottom"/>
            <w:gridSpan w:val="4"/>
          </w:tcPr>
          <w:p>
            <w:pPr>
              <w:spacing w:after="0"/>
              <w:rPr>
                <w:sz w:val="20"/>
                <w:szCs w:val="20"/>
                <w:color w:val="auto"/>
              </w:rPr>
            </w:pPr>
            <w:r>
              <w:rPr>
                <w:rFonts w:ascii="Arial" w:cs="Arial" w:eastAsia="Arial" w:hAnsi="Arial"/>
                <w:sz w:val="16"/>
                <w:szCs w:val="16"/>
                <w:color w:val="auto"/>
              </w:rPr>
              <w:t>Adjusted Net Income Per Diluted Share Attributable to Victoria's Secret &amp; Co.</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 to 4.95</w:t>
            </w: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80" w:firstLine="8"/>
        <w:spacing w:after="0" w:line="293"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first quarter of 2022, we recognized a $21.7 million charge ($16.2 million net of tax of $5.5 million), included in buying and occupancy expense, related to a legal matter with a landlord regarding a high-profile store that we surrendered to the landlord prior to separation.</w:t>
      </w:r>
    </w:p>
    <w:p>
      <w:pPr>
        <w:spacing w:after="0" w:line="50" w:lineRule="exact"/>
        <w:rPr>
          <w:rFonts w:ascii="Arial" w:cs="Arial" w:eastAsia="Arial" w:hAnsi="Arial"/>
          <w:sz w:val="16"/>
          <w:szCs w:val="16"/>
          <w:color w:val="auto"/>
        </w:rPr>
      </w:pPr>
    </w:p>
    <w:p>
      <w:pPr>
        <w:ind w:right="20" w:firstLine="8"/>
        <w:spacing w:after="0" w:line="310" w:lineRule="auto"/>
        <w:tabs>
          <w:tab w:leader="none" w:pos="229"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the second quarter of 2022, we recognized a $29.3 million charge ($22.1 million net of tax of $7.2 million), $16.2 million included in general, administrative and store operating expense and $13.1 million included in buying and occupancy expense, related to restructuring activities to reorganize our leadership structure.</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2022-11-30T15:19:32Z</dcterms:created>
  <dcterms:modified xsi:type="dcterms:W3CDTF">2022-11-30T15:19:32Z</dcterms:modified>
</cp:coreProperties>
</file>