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Preis Elizabeth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 LIMITED PARKWAY EAST</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20"/>
          <w:szCs w:val="20"/>
          <w:color w:val="0000FF"/>
        </w:rPr>
        <w:t>REYNOLDSBURG OH</w:t>
      </w:r>
      <w:r>
        <w:rPr>
          <w:sz w:val="20"/>
          <w:szCs w:val="20"/>
          <w:color w:val="auto"/>
        </w:rPr>
        <w:tab/>
      </w:r>
      <w:r>
        <w:rPr>
          <w:rFonts w:ascii="Times New Roman" w:cs="Times New Roman" w:eastAsia="Times New Roman" w:hAnsi="Times New Roman"/>
          <w:sz w:val="20"/>
          <w:szCs w:val="20"/>
          <w:color w:val="0000FF"/>
        </w:rPr>
        <w:t>43068</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Robert J. Tannous by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Power of Attorney from</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06/03/2025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Elizabeth Preis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hereby makes, constitutes and appoints each of Stephanie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Zwerner, Robert J. Tannous and Patricia S. Callahan, or any of them acting</w:t>
      </w:r>
    </w:p>
    <w:p>
      <w:pPr>
        <w:spacing w:after="0" w:line="238" w:lineRule="auto"/>
        <w:rPr>
          <w:sz w:val="20"/>
          <w:szCs w:val="20"/>
          <w:color w:val="auto"/>
        </w:rPr>
      </w:pPr>
      <w:r>
        <w:rPr>
          <w:rFonts w:ascii="Courier New" w:cs="Courier New" w:eastAsia="Courier New" w:hAnsi="Courier New"/>
          <w:sz w:val="20"/>
          <w:szCs w:val="20"/>
          <w:color w:val="auto"/>
        </w:rPr>
        <w:t>singly, and with full power of substitution, re-substitution and delegation,</w:t>
      </w:r>
    </w:p>
    <w:p>
      <w:pPr>
        <w:spacing w:after="0" w:line="238" w:lineRule="auto"/>
        <w:rPr>
          <w:sz w:val="20"/>
          <w:szCs w:val="20"/>
          <w:color w:val="auto"/>
        </w:rPr>
      </w:pPr>
      <w:r>
        <w:rPr>
          <w:rFonts w:ascii="Courier New" w:cs="Courier New" w:eastAsia="Courier New" w:hAnsi="Courier New"/>
          <w:sz w:val="20"/>
          <w:szCs w:val="20"/>
          <w:color w:val="auto"/>
        </w:rPr>
        <w:t>the undersigned's true and lawful attorney in fact (each of such persons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their substitutes and delegees being referred to herein as the "Attorney-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in-Fact"), with full power to act for the undersigned and in the undersigned's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place and stead, in the undersigned's capacity as an officer, director</w:t>
      </w:r>
    </w:p>
    <w:p>
      <w:pPr>
        <w:spacing w:after="0"/>
        <w:rPr>
          <w:sz w:val="20"/>
          <w:szCs w:val="20"/>
          <w:color w:val="auto"/>
        </w:rPr>
      </w:pPr>
      <w:r>
        <w:rPr>
          <w:rFonts w:ascii="Courier New" w:cs="Courier New" w:eastAsia="Courier New" w:hAnsi="Courier New"/>
          <w:sz w:val="20"/>
          <w:szCs w:val="20"/>
          <w:color w:val="auto"/>
        </w:rPr>
        <w:t>or stockholder of Public Company Co. (the "Company"), to:</w:t>
      </w:r>
    </w:p>
    <w:p>
      <w:pPr>
        <w:spacing w:after="0" w:line="188" w:lineRule="exact"/>
        <w:rPr>
          <w:sz w:val="20"/>
          <w:szCs w:val="20"/>
          <w:color w:val="auto"/>
        </w:rPr>
      </w:pPr>
    </w:p>
    <w:p>
      <w:pPr>
        <w:ind w:right="839"/>
        <w:spacing w:after="0" w:line="252"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319"/>
        <w:spacing w:after="0" w:line="286"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jc w:val="both"/>
        <w:ind w:right="2139"/>
        <w:spacing w:after="0" w:line="397"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submit or otherwise deliver SEC Filings to any securities exchange on which the Company's securities may be listed or traded;</w:t>
      </w:r>
    </w:p>
    <w:p>
      <w:pPr>
        <w:ind w:right="1439"/>
        <w:spacing w:after="0" w:line="252"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dashboard;(iv) act as the EDGAR point of contact with respect to the undersigned's EDGAR account; and (v) any other actions contemplated by Rule 10 of Regulation S-T with respect to account administrators;</w:t>
      </w:r>
    </w:p>
    <w:p>
      <w:pPr>
        <w:spacing w:after="0" w:line="110" w:lineRule="exact"/>
        <w:rPr>
          <w:rFonts w:ascii="Courier New" w:cs="Courier New" w:eastAsia="Courier New" w:hAnsi="Courier New"/>
          <w:sz w:val="20"/>
          <w:szCs w:val="20"/>
          <w:color w:val="auto"/>
        </w:rPr>
      </w:pPr>
    </w:p>
    <w:p>
      <w:pPr>
        <w:ind w:right="1079"/>
        <w:spacing w:after="0" w:line="275"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155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439"/>
        <w:spacing w:after="0" w:line="339" w:lineRule="auto"/>
        <w:tabs>
          <w:tab w:leader="none" w:pos="3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36"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w:t>
      </w:r>
    </w:p>
    <w:p>
      <w:pPr>
        <w:spacing w:after="0" w:line="34" w:lineRule="exact"/>
        <w:rPr>
          <w:rFonts w:ascii="Courier New" w:cs="Courier New" w:eastAsia="Courier New" w:hAnsi="Courier New"/>
          <w:sz w:val="20"/>
          <w:szCs w:val="20"/>
          <w:color w:val="auto"/>
        </w:rPr>
      </w:pPr>
    </w:p>
    <w:p>
      <w:pPr>
        <w:ind w:right="131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will be in such form and will contain such information as the Attorney-in-Fact, in his or her discretion, deems necessary or desirable;</w:t>
      </w:r>
    </w:p>
    <w:p>
      <w:pPr>
        <w:spacing w:after="0" w:line="88"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65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839"/>
        <w:spacing w:after="0" w:line="286"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839"/>
        <w:spacing w:after="0" w:line="256" w:lineRule="auto"/>
        <w:rPr>
          <w:sz w:val="20"/>
          <w:szCs w:val="20"/>
          <w:color w:val="auto"/>
        </w:rPr>
      </w:pPr>
      <w:r>
        <w:rPr>
          <w:rFonts w:ascii="Courier New" w:cs="Courier New" w:eastAsia="Courier New" w:hAnsi="Courier New"/>
          <w:sz w:val="20"/>
          <w:szCs w:val="20"/>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6" w:lineRule="exact"/>
        <w:rPr>
          <w:sz w:val="20"/>
          <w:szCs w:val="20"/>
          <w:color w:val="auto"/>
        </w:rPr>
      </w:pPr>
    </w:p>
    <w:p>
      <w:pPr>
        <w:ind w:right="83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959"/>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May 19, 2025.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Elizabeth Preis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Printed Name: Elizabeth Preis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Maryland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Baltimore</w:t>
      </w:r>
    </w:p>
    <w:p>
      <w:pPr>
        <w:spacing w:after="0" w:line="188" w:lineRule="exact"/>
        <w:rPr>
          <w:sz w:val="20"/>
          <w:szCs w:val="20"/>
          <w:color w:val="auto"/>
        </w:rPr>
      </w:pPr>
    </w:p>
    <w:p>
      <w:pPr>
        <w:ind w:right="201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May 19, 2025 by Elizabeth Preis.</w:t>
      </w:r>
    </w:p>
    <w:p>
      <w:pPr>
        <w:spacing w:after="0" w:line="1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Saskaya Beckford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p>
      <w:pPr>
        <w:sectPr>
          <w:pgSz w:w="11900" w:h="16838" w:orient="portrait"/>
          <w:cols w:equalWidth="0" w:num="1">
            <w:col w:w="9979"/>
          </w:cols>
          <w:pgMar w:left="480" w:top="106" w:right="1440" w:bottom="1440" w:gutter="0" w:footer="0" w:header="0"/>
        </w:sectPr>
      </w:pPr>
    </w:p>
    <w:bookmarkStart w:id="3" w:name="page4"/>
    <w:bookmarkEnd w:id="3"/>
    <w:p>
      <w:pPr>
        <w:spacing w:after="0" w:line="200" w:lineRule="exact"/>
        <w:rPr>
          <w:sz w:val="20"/>
          <w:szCs w:val="20"/>
          <w:color w:val="auto"/>
        </w:rPr>
      </w:pPr>
    </w:p>
    <w:p>
      <w:pPr>
        <w:spacing w:after="0" w:line="267"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John B. Pisaris, Wallace D. Ruiz and Patricia S. Callahan, signing singly, as the undersigned's true and lawful attorney-in-fact to:</w:t>
      </w:r>
    </w:p>
    <w:p>
      <w:pPr>
        <w:spacing w:after="0" w:line="87" w:lineRule="exact"/>
        <w:rPr>
          <w:sz w:val="20"/>
          <w:szCs w:val="20"/>
          <w:color w:val="auto"/>
        </w:rPr>
      </w:pPr>
    </w:p>
    <w:p>
      <w:pPr>
        <w:jc w:val="both"/>
        <w:ind w:right="1779"/>
        <w:spacing w:after="0" w:line="314" w:lineRule="auto"/>
        <w:tabs>
          <w:tab w:leader="none" w:pos="4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Inuvo, Inc. (the "Company"), a Form ID, Forms 3, 4, and 5 in accordance with Section 16(a) of the Securities Exchange Act of 1934 and the rules thereunder;</w:t>
      </w:r>
    </w:p>
    <w:p>
      <w:pPr>
        <w:spacing w:after="0" w:line="58" w:lineRule="exact"/>
        <w:rPr>
          <w:rFonts w:ascii="Courier New" w:cs="Courier New" w:eastAsia="Courier New" w:hAnsi="Courier New"/>
          <w:sz w:val="18"/>
          <w:szCs w:val="18"/>
          <w:color w:val="auto"/>
        </w:rPr>
      </w:pPr>
    </w:p>
    <w:p>
      <w:pPr>
        <w:ind w:right="1559"/>
        <w:spacing w:after="0" w:line="302" w:lineRule="auto"/>
        <w:tabs>
          <w:tab w:leader="none" w:pos="4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3, 4, or 5, complete and execute any amendment or amendments thereto, and timely file such form with the United States Securities and Exchange Commission and any stock exchange or similar authority; and</w:t>
      </w:r>
    </w:p>
    <w:p>
      <w:pPr>
        <w:spacing w:after="0" w:line="67" w:lineRule="exact"/>
        <w:rPr>
          <w:rFonts w:ascii="Courier New" w:cs="Courier New" w:eastAsia="Courier New" w:hAnsi="Courier New"/>
          <w:sz w:val="18"/>
          <w:szCs w:val="18"/>
          <w:color w:val="auto"/>
        </w:rPr>
      </w:pPr>
    </w:p>
    <w:p>
      <w:pPr>
        <w:ind w:right="1659"/>
        <w:spacing w:after="0" w:line="254" w:lineRule="auto"/>
        <w:tabs>
          <w:tab w:leader="none" w:pos="468"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5"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February, 2025.</w:t>
      </w:r>
    </w:p>
    <w:p>
      <w:pPr>
        <w:spacing w:after="0" w:line="1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Robert C. Buchner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Robert C. Buchner</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70186"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2025-06-03T15:31:23Z</dcterms:created>
  <dcterms:modified xsi:type="dcterms:W3CDTF">2025-06-03T15:31:23Z</dcterms:modified>
</cp:coreProperties>
</file>