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 2023 (December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544" w:type="dxa"/>
        <w:tblCellMar>
          <w:top w:w="0" w:type="dxa"/>
          <w:left w:w="0" w:type="dxa"/>
          <w:bottom w:w="0" w:type="dxa"/>
          <w:right w:w="0" w:type="dxa"/>
        </w:tblCellMar>
      </w:tblPr>
      <w:tr>
        <w:trPr>
          <w:trHeight w:val="214"/>
        </w:trPr>
        <w:tc>
          <w:tcPr>
            <w:tcW w:w="2520" w:type="dxa"/>
            <w:vAlign w:val="bottom"/>
          </w:tcPr>
          <w:p>
            <w:pPr>
              <w:spacing w:after="0"/>
              <w:rPr>
                <w:sz w:val="18"/>
                <w:szCs w:val="18"/>
                <w:color w:val="auto"/>
              </w:rPr>
            </w:pPr>
          </w:p>
        </w:tc>
        <w:tc>
          <w:tcPr>
            <w:tcW w:w="4820" w:type="dxa"/>
            <w:vAlign w:val="bottom"/>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90"/>
        </w:trPr>
        <w:tc>
          <w:tcPr>
            <w:tcW w:w="2520" w:type="dxa"/>
            <w:vAlign w:val="bottom"/>
          </w:tcPr>
          <w:p>
            <w:pPr>
              <w:spacing w:after="0"/>
              <w:rPr>
                <w:sz w:val="16"/>
                <w:szCs w:val="16"/>
                <w:color w:val="auto"/>
              </w:rPr>
            </w:pPr>
          </w:p>
        </w:tc>
        <w:tc>
          <w:tcPr>
            <w:tcW w:w="482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25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820" w:type="dxa"/>
            <w:vAlign w:val="bottom"/>
          </w:tcPr>
          <w:p>
            <w:pPr>
              <w:jc w:val="center"/>
              <w:ind w:left="36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4820" w:type="dxa"/>
            <w:vAlign w:val="bottom"/>
          </w:tcPr>
          <w:p>
            <w:pPr>
              <w:spacing w:after="0"/>
              <w:rPr>
                <w:sz w:val="24"/>
                <w:szCs w:val="24"/>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Reynoldsburg, OH</w:t>
            </w:r>
          </w:p>
        </w:tc>
        <w:tc>
          <w:tcPr>
            <w:tcW w:w="4820" w:type="dxa"/>
            <w:vAlign w:val="bottom"/>
          </w:tcPr>
          <w:p>
            <w:pPr>
              <w:jc w:val="center"/>
              <w:ind w:left="3660"/>
              <w:spacing w:after="0"/>
              <w:rPr>
                <w:sz w:val="20"/>
                <w:szCs w:val="20"/>
                <w:color w:val="auto"/>
              </w:rPr>
            </w:pPr>
            <w:r>
              <w:rPr>
                <w:rFonts w:ascii="Times New Roman" w:cs="Times New Roman" w:eastAsia="Times New Roman" w:hAnsi="Times New Roman"/>
                <w:sz w:val="18"/>
                <w:szCs w:val="18"/>
                <w:b w:val="1"/>
                <w:bCs w:val="1"/>
                <w:color w:val="auto"/>
                <w:w w:val="97"/>
              </w:rPr>
              <w:t>43068</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20" w:type="dxa"/>
            <w:vAlign w:val="bottom"/>
          </w:tcPr>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(614) 577-7000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On December 30, 2022,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the previously announced acquisition of AdoreMe, Inc., a Delaware corporation (“</w:t>
      </w:r>
      <w:r>
        <w:rPr>
          <w:rFonts w:ascii="Times New Roman" w:cs="Times New Roman" w:eastAsia="Times New Roman" w:hAnsi="Times New Roman"/>
          <w:sz w:val="18"/>
          <w:szCs w:val="18"/>
          <w:u w:val="single" w:color="auto"/>
          <w:color w:val="auto"/>
        </w:rPr>
        <w:t>Adore Me</w:t>
      </w:r>
      <w:r>
        <w:rPr>
          <w:rFonts w:ascii="Times New Roman" w:cs="Times New Roman" w:eastAsia="Times New Roman" w:hAnsi="Times New Roman"/>
          <w:sz w:val="18"/>
          <w:szCs w:val="18"/>
          <w:color w:val="auto"/>
        </w:rPr>
        <w:t>”), pursuant to the terms and conditions of the Agreement and Plan of Merger, dated as of November 1, 2022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Fashion Holding Group, Inc., a Delaware corporation and wholly owned subsidiary of the Company, Adore Me and Fortis Advisors LLC, a Delaware limited liability company, solely in its capacity as representative for the Adore Me equityholders.</w:t>
      </w:r>
    </w:p>
    <w:p>
      <w:pPr>
        <w:spacing w:after="0" w:line="180"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Company acquired all of the equity interests of Adore Me for an aggregate purchase price of approximately $400.0 million in cash, on a cash-free, debt-free basis, subject to customary post-closing adjustments contemplated by the Merger Agreement. The Merger Agreement also provides for post-closing consideration to be paid in an aggregate amount of at least $80.0 million and up to $300.0 million in accordance with the terms set forth therein.</w:t>
      </w:r>
    </w:p>
    <w:p>
      <w:pPr>
        <w:spacing w:after="0" w:line="18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is only a summary, does not purport to be complete and is qualified in its entirety by reference to the full text of the Merger Agreement, a copy of which was filed as Exhibit 2.1 to the Company’s Form 8-K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 2022 and is incorporated into this Item 2.01 by reference.</w:t>
      </w:r>
    </w:p>
    <w:p>
      <w:pPr>
        <w:spacing w:after="0" w:line="280" w:lineRule="exact"/>
        <w:rPr>
          <w:sz w:val="20"/>
          <w:szCs w:val="20"/>
          <w:color w:val="auto"/>
        </w:rPr>
      </w:pPr>
    </w:p>
    <w:p>
      <w:pPr>
        <w:ind w:left="4" w:right="10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On December 27, 2022, Amy Hauk notified the Company of her decision to resign as Brand CEO, effective March 31, 2023. Following Ms. Hauk’s departure, Martin Waters will continue to serve as CEO of the Company and will also assume the responsibilities of Brand CEO.</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7.01, “Regulation FD Disclosure”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On January 3, 2023, the Company issued a press release announcing the completion of the acquisition described in Item 2.01 above. A copy of the press release is attached hereto as Exhibit 99.1 and is hereby incorporated by reference.</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Agreement and Plan of Merger, dated as of November 1, 2022, by and among Victoria’s Secret &amp; Co., Fashion Holding Group, Inc.,</w:t>
              </w:r>
            </w:hyperlink>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AdoreMe, Inc. and Fortis Advisors LLC (incorporated by reference to Exhibit 2.1 of the Company’s Current Report on Form 8-K</w:t>
              </w:r>
            </w:hyperlink>
          </w:p>
        </w:tc>
        <w:tc>
          <w:tcPr>
            <w:tcW w:w="2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5"/>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filed with the SEC on November 1, 2022).</w:t>
              </w:r>
            </w:hyperlink>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of Victoria’s Secret &amp; Co., dated January 3, 2023.</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the Merger Agreement have been omitted in accordance with Item 601(a)(5) of Regulation S-K.</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173990</wp:posOffset>
            </wp:positionV>
            <wp:extent cx="5074920"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0749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 Completes Acquisition of Adore Me,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Supports Goal to Become The World’s Leading Retailer of Intimate Apparel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Accelerates Commitment to Digital Focus and Enhanced Customer Engagement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Expected to Be Earnings and Cash Flow Accretive in 2023</w:t>
      </w:r>
    </w:p>
    <w:p>
      <w:pPr>
        <w:spacing w:after="0" w:line="22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Reynoldsburg, Ohio (January 3, 2023) </w:t>
      </w:r>
      <w:r>
        <w:rPr>
          <w:rFonts w:ascii="Times New Roman" w:cs="Times New Roman" w:eastAsia="Times New Roman" w:hAnsi="Times New Roman"/>
          <w:sz w:val="18"/>
          <w:szCs w:val="18"/>
          <w:color w:val="auto"/>
        </w:rPr>
        <w:t>– Victoria’s Secret &amp; Co. (“Victoria’s Secret” or “VS&amp;Co”) (NYSE: VSCO)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acquisition of 100 percent of Adore Me, Inc. (“Adore Me”), a digitally-native intimates brand. The acquisition creates meaningful sales and profit upside opportunities for VS&amp;Co, including the opportunity to leverage Adore Me’s expertise and technology to continue to improve the Victoria’s Secret and PINK customer shopping experience and accelerate the modernization of VS&amp;Co’s digital platform. Adore Me will serve as an important long-term growth vehicle for VS&amp;Co, generating an estimated $250 million of profitable sales in their most recently completed fiscal year 2022. Better together, VS&amp;Co and Adore Me will continue leading the global intimates category forward in a more inclusive, tech-forward, and sustainable way.</w:t>
      </w:r>
    </w:p>
    <w:p>
      <w:pPr>
        <w:spacing w:after="0" w:line="18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Martin Waters, CEO, Victoria’s Secret &amp; Co. stated, “From the beginning, we evaluated Adore Me as a two for one opportunity – a technology-led, digital-first innovator in the intimates category and a highly efficient, growing and profitable standalone business model. I am thrilled with the swift completion of the acquisition and excited to welcome the entire Adore Me team into the VS&amp;Co family.”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Martin continued, “In Adore Me, we have acquired a business and a team that will help us deliver improved, elevated and differentiated experiences for Victoria’s Secret and PINK customers. This acquisition will be a significant accelerant as we pivot toward growth and modernize the foundation of our company with technology at the forefront of everything we do. From a financial point of view, we firmly believe the standalone Adore Me business can continue their industry-leading sales growth at operating margin rates that are similar or accretive to the VS&amp;Co operating model. We view this acquisition as a win-win opportunity to drive long-term, sustainable shareholder value.”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Goldman Sachs acted as financial advisor to VS&amp;Co and Kirkland &amp; Ellis provided legal counsel. Credit Suisse acted as financial advisor to Adore Me and WilmerHale provided legal counsel.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Victoria’s Secret &amp; Co.</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nearly 1,350 retail stores in approximately 70 countries. We provide our customers with products and experiences that make them feel good inside and out while driving positive change through the power of our products, platform and advocacy.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Adore Me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Founded in 2011 as an online lingerie startup, Adore Me has evolved into a DTC lingerie and apparel brand serving women of all sizes and budgets at all phases of life. The firm is transforming the way we shop with a pioneering Home Try-On commerce service, a series of innovation-driven products, and a mission of making sustainable shopping accessible to all, becoming the first Certified B Corporation intimate apparel brand in the U.S. Adore Me’s strong brand authenticity genuinely connects with Gen Z and Millennials, providing VS&amp;Co a highly inclusive product assortment at incredible value, across both online and offline platforms.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such term is defined in the U.S. Private Securities Litigation Reform Act of 1995). These forward-looking statements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“commit,” “target,” “goal,” “project,” “plan,” “believe,” “seek,” “strive,” “expect,” “anticipate,” “intend,” “potential” and any similar expressions may identify forward-looking statements. With respect to the contemplated transaction, forward-looking statements include, without limitation, financial estimates, statements as to the completion and benefits or effects of the transaction, including financial and operating results, the combined company’s plans, objectives, expectations and intentions, and other statements that are not historical facts. The following risks, uncertainties and other factors could affect the company’s financial performance and cause actual results to differ materially from those expressed or implied in any forward-looking statements: the failure to realize the benefits of the transaction; the ability of Adore Me to retain customers and key personnel and to maintain relationships with suppliers and distributors; and potential difficulties integrating Adore Me, or the costs of integrating Adore Me exceeding original estimates.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as may be required by law, the company assumes no obligation and does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the company’s Annual Report on Form 10-K and Quarterly Report on Form 10-Q filed with the Securities and Exchange Commission on March 18, 2022 and December 2, 2022, respectively.</w:t>
      </w:r>
    </w:p>
    <w:p>
      <w:pPr>
        <w:sectPr>
          <w:pgSz w:w="11900" w:h="16838" w:orient="portrait"/>
          <w:cols w:equalWidth="0" w:num="1">
            <w:col w:w="11000"/>
          </w:cols>
          <w:pgMar w:left="440" w:top="266"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tc>
        <w:tc>
          <w:tcPr>
            <w:tcW w:w="2260" w:type="dxa"/>
            <w:vAlign w:val="bottom"/>
          </w:tcPr>
          <w:p>
            <w:pPr>
              <w:spacing w:after="0"/>
              <w:rPr>
                <w:sz w:val="20"/>
                <w:szCs w:val="20"/>
                <w:color w:val="auto"/>
              </w:rPr>
            </w:pPr>
          </w:p>
        </w:tc>
      </w:tr>
      <w:tr>
        <w:trPr>
          <w:trHeight w:val="32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tc>
        <w:tc>
          <w:tcPr>
            <w:tcW w:w="2260" w:type="dxa"/>
            <w:vAlign w:val="bottom"/>
          </w:tcPr>
          <w:p>
            <w:pPr>
              <w:spacing w:after="0"/>
              <w:rPr>
                <w:sz w:val="24"/>
                <w:szCs w:val="24"/>
                <w:color w:val="auto"/>
              </w:rPr>
            </w:pPr>
          </w:p>
        </w:tc>
      </w:tr>
      <w:tr>
        <w:trPr>
          <w:trHeight w:val="31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Media Relations:</w:t>
            </w: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Wynk</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Brooke Wilson</w:t>
            </w:r>
          </w:p>
        </w:tc>
      </w:tr>
      <w:tr>
        <w:trPr>
          <w:trHeight w:val="194"/>
        </w:trPr>
        <w:tc>
          <w:tcPr>
            <w:tcW w:w="7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investorrelations@victoria.com</w:t>
            </w:r>
          </w:p>
        </w:tc>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communications@victoria.com</w:t>
            </w:r>
          </w:p>
        </w:tc>
      </w:tr>
      <w:tr>
        <w:trPr>
          <w:trHeight w:val="20"/>
        </w:trPr>
        <w:tc>
          <w:tcPr>
            <w:tcW w:w="22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18" Type="http://schemas.openxmlformats.org/officeDocument/2006/relationships/hyperlink" Target="http://www.sec.gov/Archives/edgar/data/1856437/000119312522274458/d41549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2023-01-03T06:04:13Z</dcterms:created>
  <dcterms:modified xsi:type="dcterms:W3CDTF">2023-01-03T06:04:13Z</dcterms:modified>
</cp:coreProperties>
</file>