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2770ddefa14a.htm"/>
      <w:bookmarkStart w:id="1" w:name="ksd122770ddefa14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36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Victoria’s Secret &amp; Co.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May 11, 2026, Victoria’s Secret &amp; Co. (“VS&amp;Co” or the “Company”) filed with the Securities and Exchange Commission (“SEC”) and began the process of printing a supplement (the “Proxy Supplement”) to its Proxy Statement (the “Proxy Statement”) for the Company’s 2026 Annual Meeting of Stockholders (including any adjournment or postponement thereof,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filing these definitive additional materials solely to correct certain inadvertent errors contained within the table filed with the SEC in the section entitled “Information Regarding Transactions in the Company’s Securities by Participants” included in the Appendix to the Proxy Supplement. The correct table, which is included in the printed version of the Proxy Supplement that will be distributed to certain stockholders of the Company, is set forth below: </w:t>
      </w:r>
    </w:p>
    <w:p>
      <w:pPr>
        <w:pStyle w:val="TextBody"/>
        <w:bidi w:val="0"/>
        <w:spacing w:before="480" w:after="0"/>
        <w:jc w:val="center"/>
        <w:rPr>
          <w:rFonts w:ascii="Times New Roman" w:hAnsi="Times New Roman"/>
          <w:b/>
          <w:sz w:val="20"/>
        </w:rPr>
      </w:pPr>
      <w:r>
        <w:rPr>
          <w:rFonts w:ascii="Times New Roman" w:hAnsi="Times New Roman"/>
          <w:b/>
          <w:sz w:val="20"/>
        </w:rPr>
        <w:t xml:space="preserve">Company Securities Purchased or Sold </w:t>
      </w:r>
    </w:p>
    <w:p>
      <w:pPr>
        <w:pStyle w:val="TextBody"/>
        <w:bidi w:val="0"/>
        <w:spacing w:before="0" w:after="0"/>
        <w:jc w:val="center"/>
        <w:rPr>
          <w:rFonts w:ascii="Times New Roman" w:hAnsi="Times New Roman"/>
          <w:sz w:val="20"/>
        </w:rPr>
      </w:pPr>
      <w:r>
        <w:rPr>
          <w:rFonts w:ascii="Times New Roman" w:hAnsi="Times New Roman"/>
          <w:sz w:val="20"/>
        </w:rPr>
        <w:t xml:space="preserve">(May 1, 2024 through May 11,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88"/>
        <w:gridCol w:w="406"/>
        <w:gridCol w:w="60"/>
        <w:gridCol w:w="1105"/>
        <w:gridCol w:w="60"/>
        <w:gridCol w:w="406"/>
        <w:gridCol w:w="60"/>
        <w:gridCol w:w="823"/>
        <w:gridCol w:w="155"/>
        <w:gridCol w:w="354"/>
        <w:gridCol w:w="445"/>
        <w:gridCol w:w="445"/>
        <w:gridCol w:w="65"/>
      </w:tblGrid>
      <w:tr>
        <w:trPr/>
        <w:tc>
          <w:tcPr>
            <w:tcW w:w="4188"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88" w:type="dxa"/>
            <w:tcBorders/>
            <w:vAlign w:val="bottom"/>
          </w:tcPr>
          <w:p>
            <w:pPr>
              <w:pStyle w:val="TableContents"/>
              <w:bidi w:val="0"/>
              <w:spacing w:before="0" w:after="283"/>
              <w:jc w:val="left"/>
              <w:rPr>
                <w:b/>
              </w:rPr>
            </w:pPr>
            <w:r>
              <w:rPr>
                <w:b/>
              </w:rPr>
              <w:t>Name</w:t>
            </w:r>
          </w:p>
        </w:tc>
        <w:tc>
          <w:tcPr>
            <w:tcW w:w="406" w:type="dxa"/>
            <w:tcBorders/>
            <w:vAlign w:val="bottom"/>
          </w:tcPr>
          <w:p>
            <w:pPr>
              <w:pStyle w:val="TableContents"/>
              <w:bidi w:val="0"/>
              <w:spacing w:before="0" w:after="283"/>
              <w:jc w:val="left"/>
              <w:rPr/>
            </w:pPr>
            <w:r>
              <w:rPr/>
              <w:t>  </w:t>
            </w:r>
          </w:p>
        </w:tc>
        <w:tc>
          <w:tcPr>
            <w:tcW w:w="116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Transaction</w:t>
            </w:r>
          </w:p>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883"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w:t>
            </w:r>
          </w:p>
          <w:p>
            <w:pPr>
              <w:pStyle w:val="TableContents"/>
              <w:bidi w:val="0"/>
              <w:spacing w:before="0" w:after="20"/>
              <w:jc w:val="center"/>
              <w:rPr>
                <w:rFonts w:ascii="Times New Roman" w:hAnsi="Times New Roman"/>
                <w:b/>
                <w:sz w:val="16"/>
              </w:rPr>
            </w:pPr>
            <w:r>
              <w:rPr>
                <w:rFonts w:ascii="Times New Roman" w:hAnsi="Times New Roman"/>
                <w:b/>
                <w:sz w:val="16"/>
              </w:rPr>
              <w:t>Securities</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Transaction</w:t>
            </w:r>
          </w:p>
          <w:p>
            <w:pPr>
              <w:pStyle w:val="TableContents"/>
              <w:bidi w:val="0"/>
              <w:spacing w:before="0" w:after="20"/>
              <w:jc w:val="center"/>
              <w:rPr>
                <w:rFonts w:ascii="Times New Roman" w:hAnsi="Times New Roman"/>
                <w:b/>
                <w:sz w:val="16"/>
              </w:rPr>
            </w:pPr>
            <w:r>
              <w:rPr>
                <w:rFonts w:ascii="Times New Roman" w:hAnsi="Times New Roman"/>
                <w:b/>
                <w:sz w:val="16"/>
              </w:rPr>
              <w:t>Notes</w:t>
            </w:r>
          </w:p>
        </w:tc>
        <w:tc>
          <w:tcPr>
            <w:tcW w:w="65" w:type="dxa"/>
            <w:tcBorders/>
            <w:vAlign w:val="bottom"/>
          </w:tcPr>
          <w:p>
            <w:pPr>
              <w:pStyle w:val="TableContents"/>
              <w:bidi w:val="0"/>
              <w:spacing w:before="0" w:after="283"/>
              <w:jc w:val="left"/>
              <w:rPr/>
            </w:pPr>
            <w:r>
              <w:rPr/>
              <w:t> </w:t>
            </w:r>
          </w:p>
        </w:tc>
      </w:tr>
      <w:tr>
        <w:trPr/>
        <w:tc>
          <w:tcPr>
            <w:tcW w:w="41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Irene Chang Britt</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06/18/2025</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7,440</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88"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06/13/2024</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7,796</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1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Sarah Davis</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06/18/2025</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7,304</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88"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06/13/2024</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7,654</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1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Donna James</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04/02/2026</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2,175</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88"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06/18/2025</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12,739</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188" w:type="dxa"/>
            <w:tcBorders/>
            <w:shd w:fill="CCEEFF" w:val="clear"/>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09/12/2024</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88"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06/13/2024</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12,210</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1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Jacqueline Hernández</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06/18/2025</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7,304</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88"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06/13/2024</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7,654</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1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Rod Little</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06/18/2025</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6,761</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88"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06/13/2024</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7,084</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1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David McCreight</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06/18/2025</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7,304</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88"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04/03/2025</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3,246</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1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Lauren Peters</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06/18/2025</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7,440</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88"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06/13/2024</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7,796</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1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Anne Sheehan</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04/02/2026</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633</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88"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06/18/2025</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7,304</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188" w:type="dxa"/>
            <w:tcBorders/>
            <w:shd w:fill="CCEEFF" w:val="clear"/>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06/13/2024</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7,654</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88" w:type="dxa"/>
            <w:tcBorders/>
          </w:tcPr>
          <w:p>
            <w:pPr>
              <w:pStyle w:val="TableContents"/>
              <w:bidi w:val="0"/>
              <w:spacing w:before="0" w:after="0"/>
              <w:jc w:val="left"/>
              <w:rPr>
                <w:rFonts w:ascii="Times New Roman" w:hAnsi="Times New Roman"/>
                <w:b/>
                <w:sz w:val="20"/>
              </w:rPr>
            </w:pPr>
            <w:r>
              <w:rPr>
                <w:rFonts w:ascii="Times New Roman" w:hAnsi="Times New Roman"/>
                <w:b/>
                <w:sz w:val="20"/>
              </w:rPr>
              <w:t>Hillary Super</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03/19/2026</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80,662</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188" w:type="dxa"/>
            <w:tcBorders/>
            <w:shd w:fill="CCEEFF" w:val="clear"/>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03/19/2026</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(23,294</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88"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10/07/2025</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(39,045</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188" w:type="dxa"/>
            <w:tcBorders/>
            <w:shd w:fill="CCEEFF" w:val="clear"/>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03/19/2025</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142,066</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88"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10/07/2024</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237,800</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1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Scott Sekella</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03/19/2026</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30,765</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88"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02/03/2026</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(2,061</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188" w:type="dxa"/>
            <w:tcBorders/>
            <w:shd w:fill="CCEEFF" w:val="clear"/>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09/02/2025</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11,161</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88"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02/03/2025</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21,484</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4200" w:type="pct"/>
        <w:jc w:val="center"/>
        <w:tblInd w:w="0" w:type="dxa"/>
        <w:tblLayout w:type="fixed"/>
        <w:tblCellMar>
          <w:top w:w="0" w:type="dxa"/>
          <w:left w:w="0" w:type="dxa"/>
          <w:bottom w:w="0" w:type="dxa"/>
          <w:right w:w="0" w:type="dxa"/>
        </w:tblCellMar>
      </w:tblPr>
      <w:tblGrid>
        <w:gridCol w:w="5475"/>
        <w:gridCol w:w="201"/>
        <w:gridCol w:w="60"/>
        <w:gridCol w:w="1175"/>
        <w:gridCol w:w="60"/>
        <w:gridCol w:w="201"/>
        <w:gridCol w:w="60"/>
        <w:gridCol w:w="774"/>
        <w:gridCol w:w="157"/>
        <w:gridCol w:w="136"/>
        <w:gridCol w:w="60"/>
        <w:gridCol w:w="148"/>
        <w:gridCol w:w="65"/>
      </w:tblGrid>
      <w:tr>
        <w:trPr/>
        <w:tc>
          <w:tcPr>
            <w:tcW w:w="5475"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4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Melinda McAfee</w:t>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03/19/2026</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16,546</w:t>
            </w:r>
          </w:p>
        </w:tc>
        <w:tc>
          <w:tcPr>
            <w:tcW w:w="157"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475"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03/19/2026</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(13,445</w:t>
            </w:r>
          </w:p>
        </w:tc>
        <w:tc>
          <w:tcPr>
            <w:tcW w:w="15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475" w:type="dxa"/>
            <w:tcBorders/>
            <w:shd w:fill="CCEEFF" w:val="clear"/>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03/16/2026</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(11,679</w:t>
            </w:r>
          </w:p>
        </w:tc>
        <w:tc>
          <w:tcPr>
            <w:tcW w:w="157"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475"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02/19/2026</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20,256</w:t>
            </w:r>
          </w:p>
        </w:tc>
        <w:tc>
          <w:tcPr>
            <w:tcW w:w="15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c>
          <w:tcPr>
            <w:tcW w:w="5475" w:type="dxa"/>
            <w:tcBorders/>
            <w:shd w:fill="CCEEFF" w:val="clear"/>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10/31/2025</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(2,221</w:t>
            </w:r>
          </w:p>
        </w:tc>
        <w:tc>
          <w:tcPr>
            <w:tcW w:w="157"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475"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03/19/2025</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53,621</w:t>
            </w:r>
          </w:p>
        </w:tc>
        <w:tc>
          <w:tcPr>
            <w:tcW w:w="15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475" w:type="dxa"/>
            <w:tcBorders/>
            <w:shd w:fill="CCEEFF" w:val="clear"/>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03/19/2025</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(7,764</w:t>
            </w:r>
          </w:p>
        </w:tc>
        <w:tc>
          <w:tcPr>
            <w:tcW w:w="157"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475"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03/16/2025</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(7,351</w:t>
            </w:r>
          </w:p>
        </w:tc>
        <w:tc>
          <w:tcPr>
            <w:tcW w:w="15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475" w:type="dxa"/>
            <w:tcBorders/>
            <w:shd w:fill="CCEEFF" w:val="clear"/>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02/20/2025</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9,400</w:t>
            </w:r>
          </w:p>
        </w:tc>
        <w:tc>
          <w:tcPr>
            <w:tcW w:w="157"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475"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10/31/2024</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(1,020</w:t>
            </w:r>
          </w:p>
        </w:tc>
        <w:tc>
          <w:tcPr>
            <w:tcW w:w="15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475" w:type="dxa"/>
            <w:tcBorders/>
            <w:shd w:fill="CCEEFF" w:val="clear"/>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08/18/2024</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(214</w:t>
            </w:r>
          </w:p>
        </w:tc>
        <w:tc>
          <w:tcPr>
            <w:tcW w:w="157"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475"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05/19/2024</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(1,328</w:t>
            </w:r>
          </w:p>
        </w:tc>
        <w:tc>
          <w:tcPr>
            <w:tcW w:w="15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4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Mariam Naficy</w:t>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06/18/2025</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6,625</w:t>
            </w:r>
          </w:p>
        </w:tc>
        <w:tc>
          <w:tcPr>
            <w:tcW w:w="157"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475"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06/13/2024</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6,942</w:t>
            </w:r>
          </w:p>
        </w:tc>
        <w:tc>
          <w:tcPr>
            <w:tcW w:w="15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Transaction Descriptions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reported acquired securities represent shares issued in settlement of performance share units granted on March 16, 2023 for which the Human Capital and Compensation Committee has certified achievement of performance.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described in this Explanatory Note, the information contained in the Proxy Statement, as supplemented and amended by the Proxy Supplement, remains unchanged.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464</Words>
  <Characters>2751</Characters>
  <CharactersWithSpaces>3542</CharactersWithSpaces>
  <Paragraphs>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