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-6350</wp:posOffset>
            </wp:positionV>
            <wp:extent cx="144145" cy="1949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120" w:hanging="273"/>
        <w:spacing w:after="0" w:line="191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5"/>
          <w:szCs w:val="25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8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BBRC INTERNATIONAL PTE LTD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PHILLIP STREET #11-01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ROYAL GROUP BUILDING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52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Former 10% Owner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048693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116,750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46.093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8,002,054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238,645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46.2088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7,763,409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Brett Blundy, Managing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jc w:val="right"/>
              <w:ind w:righ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Director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0869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2023-02-03T08:14:10Z</dcterms:created>
  <dcterms:modified xsi:type="dcterms:W3CDTF">2023-02-03T08:14:10Z</dcterms:modified>
</cp:coreProperties>
</file>