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VICTORIA’S SECRET &amp; CO.</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Stock, $0.01 par value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926400102</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2022</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jc w:val="both"/>
        <w:ind w:left="660" w:right="9080" w:hanging="4"/>
        <w:spacing w:after="0" w:line="265" w:lineRule="exact"/>
        <w:tabs>
          <w:tab w:leader="none" w:pos="903" w:val="left"/>
        </w:tabs>
        <w:numPr>
          <w:ilvl w:val="1"/>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900" w:hanging="244"/>
        <w:spacing w:after="0"/>
        <w:tabs>
          <w:tab w:leader="none" w:pos="90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22" w:lineRule="exact"/>
        <w:rPr>
          <w:rFonts w:ascii="MS PGothic" w:cs="MS PGothic" w:eastAsia="MS PGothic" w:hAnsi="MS PGothic"/>
          <w:sz w:val="22"/>
          <w:szCs w:val="22"/>
          <w:color w:val="auto"/>
        </w:rPr>
      </w:pPr>
    </w:p>
    <w:p>
      <w:pPr>
        <w:ind w:left="340" w:right="60" w:hanging="324"/>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26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926400102</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700"/>
              <w:spacing w:after="0"/>
              <w:rPr>
                <w:sz w:val="20"/>
                <w:szCs w:val="20"/>
                <w:color w:val="auto"/>
              </w:rPr>
            </w:pPr>
            <w:r>
              <w:rPr>
                <w:rFonts w:ascii="Arial" w:cs="Arial" w:eastAsia="Arial" w:hAnsi="Arial"/>
                <w:sz w:val="18"/>
                <w:szCs w:val="18"/>
                <w:color w:val="auto"/>
                <w:w w:val="84"/>
              </w:rPr>
              <w:t>Page 2 of 5</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BBRC International Pte Ltd</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Singapore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7,603,019</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7,603,019</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7,603,019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8"/>
              </w:rPr>
              <w:t>9.4%(1)</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160" w:firstLine="8"/>
        <w:spacing w:after="0"/>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Percentage calculated based on 80,827,062 shares of common stock outstanding as of November 25, 2022, as reported in the Issuer’s Form 10-Q for the period ended October 29, 2022, filed by the Issuer with the Securities and Exchange Commission on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926400102</w:t>
      </w:r>
      <w:r>
        <w:rPr>
          <w:sz w:val="20"/>
          <w:szCs w:val="20"/>
          <w:color w:val="auto"/>
        </w:rPr>
        <w:tab/>
      </w:r>
      <w:r>
        <w:rPr>
          <w:rFonts w:ascii="Arial" w:cs="Arial" w:eastAsia="Arial" w:hAnsi="Arial"/>
          <w:sz w:val="16"/>
          <w:szCs w:val="16"/>
          <w:color w:val="auto"/>
        </w:rPr>
        <w:t>Page 3 of 5</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4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Victoria’s Secret &amp; Co.</w:t>
      </w:r>
    </w:p>
    <w:p>
      <w:pPr>
        <w:spacing w:after="0" w:line="23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 Limited Parkway East, Reynoldsburg, OH 43068.</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BBRC International Pte Ltd</w:t>
      </w:r>
    </w:p>
    <w:p>
      <w:pPr>
        <w:spacing w:after="0" w:line="23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Phillip Street #11-01, Royal Group Building, Singapore 048693</w:t>
      </w:r>
    </w:p>
    <w:p>
      <w:pPr>
        <w:spacing w:after="0" w:line="23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Singapore</w:t>
      </w:r>
    </w:p>
    <w:p>
      <w:pPr>
        <w:spacing w:after="0" w:line="23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$0.01 par value</w:t>
      </w:r>
    </w:p>
    <w:p>
      <w:pPr>
        <w:spacing w:after="0" w:line="23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926400102</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color w:val="auto"/>
        </w:rPr>
        <w:t>SCHEDULE 13G</w:t>
      </w:r>
    </w:p>
    <w:p>
      <w:pPr>
        <w:sectPr>
          <w:pgSz w:w="11900" w:h="16838" w:orient="portrait"/>
          <w:cols w:equalWidth="0" w:num="1">
            <w:col w:w="11240"/>
          </w:cols>
          <w:pgMar w:left="320" w:top="125" w:right="339" w:bottom="1007"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CUSIP No. 926400102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Page 4 of 5</w:t>
      </w:r>
    </w:p>
    <w:p>
      <w:pPr>
        <w:spacing w:after="0" w:line="200" w:lineRule="exact"/>
        <w:rPr>
          <w:sz w:val="20"/>
          <w:szCs w:val="20"/>
          <w:color w:val="auto"/>
        </w:rPr>
      </w:pPr>
    </w:p>
    <w:p>
      <w:pPr>
        <w:sectPr>
          <w:pgSz w:w="11900" w:h="16838" w:orient="portrait"/>
          <w:cols w:equalWidth="0" w:num="2">
            <w:col w:w="9700" w:space="720"/>
            <w:col w:w="820"/>
          </w:cols>
          <w:pgMar w:left="320" w:top="125" w:right="339" w:bottom="1007"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80" w:space="720"/>
            <w:col w:w="9940"/>
          </w:cols>
          <w:pgMar w:left="320" w:top="125" w:right="339" w:bottom="1007"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(a)</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Amount beneficially owned:</w:t>
            </w:r>
          </w:p>
        </w:tc>
      </w:tr>
      <w:tr>
        <w:trPr>
          <w:trHeight w:val="496"/>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See Row 9 of the cover page</w:t>
            </w:r>
          </w:p>
        </w:tc>
      </w:tr>
      <w:tr>
        <w:trPr>
          <w:trHeight w:val="449"/>
        </w:trPr>
        <w:tc>
          <w:tcPr>
            <w:tcW w:w="96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(b)</w:t>
            </w:r>
          </w:p>
        </w:tc>
        <w:tc>
          <w:tcPr>
            <w:tcW w:w="9660" w:type="dxa"/>
            <w:vAlign w:val="bottom"/>
            <w:gridSpan w:val="2"/>
          </w:tcPr>
          <w:p>
            <w:pPr>
              <w:ind w:left="40"/>
              <w:spacing w:after="0"/>
              <w:rPr>
                <w:sz w:val="20"/>
                <w:szCs w:val="20"/>
                <w:color w:val="auto"/>
              </w:rPr>
            </w:pPr>
            <w:r>
              <w:rPr>
                <w:rFonts w:ascii="Arial" w:cs="Arial" w:eastAsia="Arial" w:hAnsi="Arial"/>
                <w:sz w:val="18"/>
                <w:szCs w:val="18"/>
                <w:color w:val="auto"/>
              </w:rPr>
              <w:t>Percent of class:</w:t>
            </w:r>
          </w:p>
        </w:tc>
      </w:tr>
      <w:tr>
        <w:trPr>
          <w:trHeight w:val="496"/>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See Row 11 of the cover page</w:t>
            </w:r>
          </w:p>
        </w:tc>
      </w:tr>
      <w:tr>
        <w:trPr>
          <w:trHeight w:val="449"/>
        </w:trPr>
        <w:tc>
          <w:tcPr>
            <w:tcW w:w="960" w:type="dxa"/>
            <w:vAlign w:val="bottom"/>
          </w:tcPr>
          <w:p>
            <w:pPr>
              <w:spacing w:after="0"/>
              <w:rPr>
                <w:sz w:val="24"/>
                <w:szCs w:val="24"/>
                <w:color w:val="auto"/>
              </w:rPr>
            </w:pPr>
          </w:p>
        </w:tc>
        <w:tc>
          <w:tcPr>
            <w:tcW w:w="10280" w:type="dxa"/>
            <w:vAlign w:val="bottom"/>
            <w:gridSpan w:val="3"/>
          </w:tcPr>
          <w:p>
            <w:pPr>
              <w:ind w:left="340"/>
              <w:spacing w:after="0"/>
              <w:rPr>
                <w:sz w:val="20"/>
                <w:szCs w:val="20"/>
                <w:color w:val="auto"/>
              </w:rPr>
            </w:pPr>
            <w:r>
              <w:rPr>
                <w:rFonts w:ascii="Arial" w:cs="Arial" w:eastAsia="Arial" w:hAnsi="Arial"/>
                <w:sz w:val="18"/>
                <w:szCs w:val="18"/>
                <w:color w:val="auto"/>
              </w:rPr>
              <w:t>(c)  Number of shares as to which the person has:</w:t>
            </w:r>
          </w:p>
        </w:tc>
      </w:tr>
      <w:tr>
        <w:trPr>
          <w:trHeight w:val="459"/>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w:t>
            </w:r>
          </w:p>
        </w:tc>
        <w:tc>
          <w:tcPr>
            <w:tcW w:w="916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r>
      <w:tr>
        <w:trPr>
          <w:trHeight w:val="496"/>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Arial" w:cs="Arial" w:eastAsia="Arial" w:hAnsi="Arial"/>
                <w:sz w:val="22"/>
                <w:szCs w:val="22"/>
                <w:color w:val="auto"/>
              </w:rPr>
              <w:t>See Row 5 of the cover page</w:t>
            </w:r>
          </w:p>
        </w:tc>
      </w:tr>
      <w:tr>
        <w:trPr>
          <w:trHeight w:val="449"/>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w:t>
            </w:r>
          </w:p>
        </w:tc>
        <w:tc>
          <w:tcPr>
            <w:tcW w:w="916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r>
      <w:tr>
        <w:trPr>
          <w:trHeight w:val="496"/>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Arial" w:cs="Arial" w:eastAsia="Arial" w:hAnsi="Arial"/>
                <w:sz w:val="22"/>
                <w:szCs w:val="22"/>
                <w:color w:val="auto"/>
              </w:rPr>
              <w:t>See Row 6 of the cover page</w:t>
            </w:r>
          </w:p>
        </w:tc>
      </w:tr>
      <w:tr>
        <w:trPr>
          <w:trHeight w:val="449"/>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(iii)</w:t>
            </w:r>
          </w:p>
        </w:tc>
        <w:tc>
          <w:tcPr>
            <w:tcW w:w="916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r>
      <w:tr>
        <w:trPr>
          <w:trHeight w:val="496"/>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Arial" w:cs="Arial" w:eastAsia="Arial" w:hAnsi="Arial"/>
                <w:sz w:val="22"/>
                <w:szCs w:val="22"/>
                <w:color w:val="auto"/>
              </w:rPr>
              <w:t>See Row 7 of the cover page</w:t>
            </w:r>
          </w:p>
        </w:tc>
      </w:tr>
      <w:tr>
        <w:trPr>
          <w:trHeight w:val="449"/>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(iv)</w:t>
            </w:r>
          </w:p>
        </w:tc>
        <w:tc>
          <w:tcPr>
            <w:tcW w:w="916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496"/>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Arial" w:cs="Arial" w:eastAsia="Arial" w:hAnsi="Arial"/>
                <w:sz w:val="22"/>
                <w:szCs w:val="22"/>
                <w:color w:val="auto"/>
              </w:rPr>
              <w:t>See Row 8 of the cover page</w:t>
            </w:r>
          </w:p>
        </w:tc>
      </w:tr>
      <w:tr>
        <w:trPr>
          <w:trHeight w:val="455"/>
        </w:trPr>
        <w:tc>
          <w:tcPr>
            <w:tcW w:w="960" w:type="dxa"/>
            <w:vAlign w:val="bottom"/>
          </w:tcPr>
          <w:p>
            <w:pPr>
              <w:spacing w:after="0"/>
              <w:rPr>
                <w:sz w:val="24"/>
                <w:szCs w:val="24"/>
                <w:color w:val="auto"/>
              </w:rPr>
            </w:pPr>
          </w:p>
        </w:tc>
        <w:tc>
          <w:tcPr>
            <w:tcW w:w="10280" w:type="dxa"/>
            <w:vAlign w:val="bottom"/>
            <w:gridSpan w:val="3"/>
          </w:tcPr>
          <w:p>
            <w:pPr>
              <w:ind w:left="340"/>
              <w:spacing w:after="0"/>
              <w:rPr>
                <w:sz w:val="20"/>
                <w:szCs w:val="20"/>
                <w:color w:val="auto"/>
              </w:rPr>
            </w:pPr>
            <w:r>
              <w:rPr>
                <w:rFonts w:ascii="Arial" w:cs="Arial" w:eastAsia="Arial" w:hAnsi="Arial"/>
                <w:sz w:val="22"/>
                <w:szCs w:val="22"/>
                <w:color w:val="auto"/>
                <w:w w:val="93"/>
              </w:rPr>
              <w:t>BBRC International Pte Ltd (“BBRC”) serves as the trustee for The BB Family International Trust (the “Trust”),</w:t>
            </w:r>
          </w:p>
        </w:tc>
      </w:tr>
      <w:tr>
        <w:trPr>
          <w:trHeight w:val="243"/>
        </w:trPr>
        <w:tc>
          <w:tcPr>
            <w:tcW w:w="960" w:type="dxa"/>
            <w:vAlign w:val="bottom"/>
          </w:tcPr>
          <w:p>
            <w:pPr>
              <w:spacing w:after="0"/>
              <w:rPr>
                <w:sz w:val="21"/>
                <w:szCs w:val="21"/>
                <w:color w:val="auto"/>
              </w:rPr>
            </w:pPr>
          </w:p>
        </w:tc>
        <w:tc>
          <w:tcPr>
            <w:tcW w:w="10280" w:type="dxa"/>
            <w:vAlign w:val="bottom"/>
            <w:gridSpan w:val="3"/>
          </w:tcPr>
          <w:p>
            <w:pPr>
              <w:ind w:left="340"/>
              <w:spacing w:after="0" w:line="243" w:lineRule="exact"/>
              <w:rPr>
                <w:sz w:val="20"/>
                <w:szCs w:val="20"/>
                <w:color w:val="auto"/>
              </w:rPr>
            </w:pPr>
            <w:r>
              <w:rPr>
                <w:rFonts w:ascii="Arial" w:cs="Arial" w:eastAsia="Arial" w:hAnsi="Arial"/>
                <w:sz w:val="22"/>
                <w:szCs w:val="22"/>
                <w:color w:val="auto"/>
                <w:w w:val="89"/>
              </w:rPr>
              <w:t>which holds the shares reported herein. Brett Blundy, as Managing Director of BBRC and beneficiary of the Trust,</w:t>
            </w:r>
          </w:p>
        </w:tc>
      </w:tr>
      <w:tr>
        <w:trPr>
          <w:trHeight w:val="243"/>
        </w:trPr>
        <w:tc>
          <w:tcPr>
            <w:tcW w:w="960" w:type="dxa"/>
            <w:vAlign w:val="bottom"/>
          </w:tcPr>
          <w:p>
            <w:pPr>
              <w:spacing w:after="0"/>
              <w:rPr>
                <w:sz w:val="21"/>
                <w:szCs w:val="21"/>
                <w:color w:val="auto"/>
              </w:rPr>
            </w:pPr>
          </w:p>
        </w:tc>
        <w:tc>
          <w:tcPr>
            <w:tcW w:w="10280" w:type="dxa"/>
            <w:vAlign w:val="bottom"/>
            <w:gridSpan w:val="3"/>
          </w:tcPr>
          <w:p>
            <w:pPr>
              <w:ind w:left="340"/>
              <w:spacing w:after="0" w:line="243" w:lineRule="exact"/>
              <w:rPr>
                <w:sz w:val="20"/>
                <w:szCs w:val="20"/>
                <w:color w:val="auto"/>
              </w:rPr>
            </w:pPr>
            <w:r>
              <w:rPr>
                <w:rFonts w:ascii="Arial" w:cs="Arial" w:eastAsia="Arial" w:hAnsi="Arial"/>
                <w:sz w:val="22"/>
                <w:szCs w:val="22"/>
                <w:color w:val="auto"/>
                <w:w w:val="87"/>
              </w:rPr>
              <w:t>may be deemed to have beneficial ownership of the shares. The Trust is organized under the laws of Singapore and</w:t>
            </w:r>
          </w:p>
        </w:tc>
      </w:tr>
      <w:tr>
        <w:trPr>
          <w:trHeight w:val="274"/>
        </w:trPr>
        <w:tc>
          <w:tcPr>
            <w:tcW w:w="960" w:type="dxa"/>
            <w:vAlign w:val="bottom"/>
          </w:tcPr>
          <w:p>
            <w:pPr>
              <w:spacing w:after="0"/>
              <w:rPr>
                <w:sz w:val="23"/>
                <w:szCs w:val="23"/>
                <w:color w:val="auto"/>
              </w:rPr>
            </w:pPr>
          </w:p>
        </w:tc>
        <w:tc>
          <w:tcPr>
            <w:tcW w:w="10280" w:type="dxa"/>
            <w:vAlign w:val="bottom"/>
            <w:gridSpan w:val="3"/>
          </w:tcPr>
          <w:p>
            <w:pPr>
              <w:ind w:left="340"/>
              <w:spacing w:after="0"/>
              <w:rPr>
                <w:sz w:val="20"/>
                <w:szCs w:val="20"/>
                <w:color w:val="auto"/>
              </w:rPr>
            </w:pPr>
            <w:r>
              <w:rPr>
                <w:rFonts w:ascii="Arial" w:cs="Arial" w:eastAsia="Arial" w:hAnsi="Arial"/>
                <w:sz w:val="22"/>
                <w:szCs w:val="22"/>
                <w:color w:val="auto"/>
                <w:w w:val="95"/>
              </w:rPr>
              <w:t>Mr. Blundy is a citizen of Australia. The address for the Trust and Mr. Blundy is set forth in Item 2(b) above.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80" w:type="dxa"/>
            <w:vAlign w:val="bottom"/>
            <w:gridSpan w:val="3"/>
          </w:tcPr>
          <w:p>
            <w:pPr>
              <w:ind w:left="3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38"/>
        </w:trPr>
        <w:tc>
          <w:tcPr>
            <w:tcW w:w="960" w:type="dxa"/>
            <w:vAlign w:val="bottom"/>
          </w:tcPr>
          <w:p>
            <w:pPr>
              <w:spacing w:after="0"/>
              <w:rPr>
                <w:sz w:val="24"/>
                <w:szCs w:val="24"/>
                <w:color w:val="auto"/>
              </w:rPr>
            </w:pPr>
          </w:p>
        </w:tc>
        <w:tc>
          <w:tcPr>
            <w:tcW w:w="10280" w:type="dxa"/>
            <w:vAlign w:val="bottom"/>
            <w:gridSpan w:val="3"/>
          </w:tcPr>
          <w:p>
            <w:pPr>
              <w:ind w:left="340"/>
              <w:spacing w:after="0"/>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 the</w:t>
            </w:r>
          </w:p>
        </w:tc>
      </w:tr>
      <w:tr>
        <w:trPr>
          <w:trHeight w:val="338"/>
        </w:trPr>
        <w:tc>
          <w:tcPr>
            <w:tcW w:w="960" w:type="dxa"/>
            <w:vAlign w:val="bottom"/>
          </w:tcPr>
          <w:p>
            <w:pPr>
              <w:spacing w:after="0"/>
              <w:rPr>
                <w:sz w:val="24"/>
                <w:szCs w:val="24"/>
                <w:color w:val="auto"/>
              </w:rPr>
            </w:pPr>
          </w:p>
        </w:tc>
        <w:tc>
          <w:tcPr>
            <w:tcW w:w="10280" w:type="dxa"/>
            <w:vAlign w:val="bottom"/>
            <w:gridSpan w:val="3"/>
          </w:tcPr>
          <w:p>
            <w:pPr>
              <w:ind w:left="340"/>
              <w:spacing w:after="0" w:line="253" w:lineRule="exact"/>
              <w:rPr>
                <w:sz w:val="20"/>
                <w:szCs w:val="20"/>
                <w:color w:val="auto"/>
              </w:rPr>
            </w:pPr>
            <w:r>
              <w:rPr>
                <w:rFonts w:ascii="Arial" w:cs="Arial" w:eastAsia="Arial" w:hAnsi="Arial"/>
                <w:sz w:val="22"/>
                <w:szCs w:val="22"/>
                <w:color w:val="auto"/>
              </w:rPr>
              <w:t xml:space="preserve">beneficial owner of more than 5 percent of the class of securities, check the following </w:t>
            </w:r>
            <w:r>
              <w:rPr>
                <w:rFonts w:ascii="MS PGothic" w:cs="MS PGothic" w:eastAsia="MS PGothic" w:hAnsi="MS PGothic"/>
                <w:sz w:val="22"/>
                <w:szCs w:val="22"/>
                <w:color w:val="auto"/>
              </w:rPr>
              <w:t>☐</w:t>
            </w:r>
          </w:p>
        </w:tc>
      </w:tr>
      <w:tr>
        <w:trPr>
          <w:trHeight w:val="425"/>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3"/>
          </w:tcPr>
          <w:p>
            <w:pPr>
              <w:ind w:left="3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96"/>
        </w:trPr>
        <w:tc>
          <w:tcPr>
            <w:tcW w:w="960" w:type="dxa"/>
            <w:vAlign w:val="bottom"/>
          </w:tcPr>
          <w:p>
            <w:pPr>
              <w:spacing w:after="0"/>
              <w:rPr>
                <w:sz w:val="24"/>
                <w:szCs w:val="24"/>
                <w:color w:val="auto"/>
              </w:rPr>
            </w:pPr>
          </w:p>
        </w:tc>
        <w:tc>
          <w:tcPr>
            <w:tcW w:w="10280" w:type="dxa"/>
            <w:vAlign w:val="bottom"/>
            <w:gridSpan w:val="3"/>
          </w:tcPr>
          <w:p>
            <w:pPr>
              <w:ind w:left="340"/>
              <w:spacing w:after="0"/>
              <w:rPr>
                <w:sz w:val="20"/>
                <w:szCs w:val="20"/>
                <w:color w:val="auto"/>
              </w:rPr>
            </w:pPr>
            <w:r>
              <w:rPr>
                <w:rFonts w:ascii="Arial" w:cs="Arial" w:eastAsia="Arial" w:hAnsi="Arial"/>
                <w:sz w:val="22"/>
                <w:szCs w:val="22"/>
                <w:color w:val="auto"/>
              </w:rPr>
              <w:t>Not applicable</w:t>
            </w:r>
          </w:p>
        </w:tc>
      </w:tr>
      <w:tr>
        <w:trPr>
          <w:trHeight w:val="431"/>
        </w:trPr>
        <w:tc>
          <w:tcPr>
            <w:tcW w:w="9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80" w:type="dxa"/>
            <w:vAlign w:val="bottom"/>
            <w:gridSpan w:val="3"/>
          </w:tcPr>
          <w:p>
            <w:pPr>
              <w:ind w:left="34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60" w:type="dxa"/>
            <w:vAlign w:val="bottom"/>
          </w:tcPr>
          <w:p>
            <w:pPr>
              <w:spacing w:after="0"/>
              <w:rPr>
                <w:sz w:val="20"/>
                <w:szCs w:val="20"/>
                <w:color w:val="auto"/>
              </w:rPr>
            </w:pPr>
          </w:p>
        </w:tc>
        <w:tc>
          <w:tcPr>
            <w:tcW w:w="10280" w:type="dxa"/>
            <w:vAlign w:val="bottom"/>
            <w:gridSpan w:val="3"/>
          </w:tcPr>
          <w:p>
            <w:pPr>
              <w:ind w:left="340"/>
              <w:spacing w:after="0"/>
              <w:rPr>
                <w:sz w:val="20"/>
                <w:szCs w:val="20"/>
                <w:color w:val="auto"/>
              </w:rPr>
            </w:pPr>
            <w:r>
              <w:rPr>
                <w:rFonts w:ascii="Arial" w:cs="Arial" w:eastAsia="Arial" w:hAnsi="Arial"/>
                <w:sz w:val="18"/>
                <w:szCs w:val="18"/>
                <w:b w:val="1"/>
                <w:bCs w:val="1"/>
                <w:color w:val="auto"/>
              </w:rPr>
              <w:t>Company or Control Person.</w:t>
            </w:r>
          </w:p>
        </w:tc>
      </w:tr>
      <w:tr>
        <w:trPr>
          <w:trHeight w:val="496"/>
        </w:trPr>
        <w:tc>
          <w:tcPr>
            <w:tcW w:w="960" w:type="dxa"/>
            <w:vAlign w:val="bottom"/>
          </w:tcPr>
          <w:p>
            <w:pPr>
              <w:spacing w:after="0"/>
              <w:rPr>
                <w:sz w:val="24"/>
                <w:szCs w:val="24"/>
                <w:color w:val="auto"/>
              </w:rPr>
            </w:pPr>
          </w:p>
        </w:tc>
        <w:tc>
          <w:tcPr>
            <w:tcW w:w="10280" w:type="dxa"/>
            <w:vAlign w:val="bottom"/>
            <w:gridSpan w:val="3"/>
          </w:tcPr>
          <w:p>
            <w:pPr>
              <w:ind w:left="340"/>
              <w:spacing w:after="0"/>
              <w:rPr>
                <w:sz w:val="20"/>
                <w:szCs w:val="20"/>
                <w:color w:val="auto"/>
              </w:rPr>
            </w:pPr>
            <w:r>
              <w:rPr>
                <w:rFonts w:ascii="Arial" w:cs="Arial" w:eastAsia="Arial" w:hAnsi="Arial"/>
                <w:sz w:val="22"/>
                <w:szCs w:val="22"/>
                <w:color w:val="auto"/>
              </w:rPr>
              <w:t>Not applicable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80" w:type="dxa"/>
            <w:vAlign w:val="bottom"/>
            <w:gridSpan w:val="3"/>
          </w:tcPr>
          <w:p>
            <w:pPr>
              <w:ind w:left="3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96"/>
        </w:trPr>
        <w:tc>
          <w:tcPr>
            <w:tcW w:w="960" w:type="dxa"/>
            <w:vAlign w:val="bottom"/>
          </w:tcPr>
          <w:p>
            <w:pPr>
              <w:spacing w:after="0"/>
              <w:rPr>
                <w:sz w:val="24"/>
                <w:szCs w:val="24"/>
                <w:color w:val="auto"/>
              </w:rPr>
            </w:pPr>
          </w:p>
        </w:tc>
        <w:tc>
          <w:tcPr>
            <w:tcW w:w="10280" w:type="dxa"/>
            <w:vAlign w:val="bottom"/>
            <w:gridSpan w:val="3"/>
          </w:tcPr>
          <w:p>
            <w:pPr>
              <w:ind w:left="340"/>
              <w:spacing w:after="0"/>
              <w:rPr>
                <w:sz w:val="20"/>
                <w:szCs w:val="20"/>
                <w:color w:val="auto"/>
              </w:rPr>
            </w:pPr>
            <w:r>
              <w:rPr>
                <w:rFonts w:ascii="Arial" w:cs="Arial" w:eastAsia="Arial" w:hAnsi="Arial"/>
                <w:sz w:val="22"/>
                <w:szCs w:val="22"/>
                <w:color w:val="auto"/>
              </w:rPr>
              <w:t>Not applicable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80" w:type="dxa"/>
            <w:vAlign w:val="bottom"/>
            <w:gridSpan w:val="3"/>
          </w:tcPr>
          <w:p>
            <w:pPr>
              <w:ind w:left="340"/>
              <w:spacing w:after="0"/>
              <w:rPr>
                <w:sz w:val="20"/>
                <w:szCs w:val="20"/>
                <w:color w:val="auto"/>
              </w:rPr>
            </w:pPr>
            <w:r>
              <w:rPr>
                <w:rFonts w:ascii="Arial" w:cs="Arial" w:eastAsia="Arial" w:hAnsi="Arial"/>
                <w:sz w:val="18"/>
                <w:szCs w:val="18"/>
                <w:b w:val="1"/>
                <w:bCs w:val="1"/>
                <w:color w:val="auto"/>
              </w:rPr>
              <w:t>Notice of Dissolution of Group.</w:t>
            </w:r>
          </w:p>
        </w:tc>
      </w:tr>
      <w:tr>
        <w:trPr>
          <w:trHeight w:val="496"/>
        </w:trPr>
        <w:tc>
          <w:tcPr>
            <w:tcW w:w="960" w:type="dxa"/>
            <w:vAlign w:val="bottom"/>
          </w:tcPr>
          <w:p>
            <w:pPr>
              <w:spacing w:after="0"/>
              <w:rPr>
                <w:sz w:val="24"/>
                <w:szCs w:val="24"/>
                <w:color w:val="auto"/>
              </w:rPr>
            </w:pPr>
          </w:p>
        </w:tc>
        <w:tc>
          <w:tcPr>
            <w:tcW w:w="10280" w:type="dxa"/>
            <w:vAlign w:val="bottom"/>
            <w:gridSpan w:val="3"/>
          </w:tcPr>
          <w:p>
            <w:pPr>
              <w:ind w:left="340"/>
              <w:spacing w:after="0"/>
              <w:rPr>
                <w:sz w:val="20"/>
                <w:szCs w:val="20"/>
                <w:color w:val="auto"/>
              </w:rPr>
            </w:pPr>
            <w:r>
              <w:rPr>
                <w:rFonts w:ascii="Arial" w:cs="Arial" w:eastAsia="Arial" w:hAnsi="Arial"/>
                <w:sz w:val="22"/>
                <w:szCs w:val="22"/>
                <w:color w:val="auto"/>
              </w:rPr>
              <w:t>Not applicable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80" w:type="dxa"/>
            <w:vAlign w:val="bottom"/>
            <w:gridSpan w:val="3"/>
          </w:tcPr>
          <w:p>
            <w:pPr>
              <w:ind w:left="340"/>
              <w:spacing w:after="0"/>
              <w:rPr>
                <w:sz w:val="20"/>
                <w:szCs w:val="20"/>
                <w:color w:val="auto"/>
              </w:rPr>
            </w:pPr>
            <w:r>
              <w:rPr>
                <w:rFonts w:ascii="Arial" w:cs="Arial" w:eastAsia="Arial" w:hAnsi="Arial"/>
                <w:sz w:val="18"/>
                <w:szCs w:val="18"/>
                <w:b w:val="1"/>
                <w:bCs w:val="1"/>
                <w:color w:val="auto"/>
              </w:rPr>
              <w:t>Certifications.</w:t>
            </w: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07"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926400102</w:t>
      </w:r>
      <w:r>
        <w:rPr>
          <w:sz w:val="20"/>
          <w:szCs w:val="20"/>
          <w:color w:val="auto"/>
        </w:rPr>
        <w:tab/>
      </w:r>
      <w:r>
        <w:rPr>
          <w:rFonts w:ascii="Arial" w:cs="Arial" w:eastAsia="Arial" w:hAnsi="Arial"/>
          <w:sz w:val="16"/>
          <w:szCs w:val="16"/>
          <w:color w:val="auto"/>
        </w:rPr>
        <w:t>Page 5 of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13, 2023</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BBRC International Pte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Brett Blundy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Brett Blundy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2023-02-13T15:09:20Z</dcterms:created>
  <dcterms:modified xsi:type="dcterms:W3CDTF">2023-02-13T15:09:20Z</dcterms:modified>
</cp:coreProperties>
</file>