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Bath &amp; Body Works,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LIMITED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Victoria's Secret &amp;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VSCO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COLUMBUS</w:t>
            </w:r>
          </w:p>
        </w:tc>
        <w:tc>
          <w:tcPr>
            <w:tcW w:w="940" w:type="dxa"/>
            <w:vAlign w:val="bottom"/>
          </w:tcPr>
          <w:p>
            <w:pPr>
              <w:ind w:left="120"/>
              <w:spacing w:after="0"/>
              <w:rPr>
                <w:sz w:val="20"/>
                <w:szCs w:val="20"/>
                <w:color w:val="auto"/>
              </w:rPr>
            </w:pPr>
            <w:r>
              <w:rPr>
                <w:rFonts w:ascii="Arial" w:cs="Arial" w:eastAsia="Arial" w:hAnsi="Arial"/>
                <w:sz w:val="17"/>
                <w:szCs w:val="17"/>
                <w:color w:val="0000FF"/>
              </w:rPr>
              <w:t>OH</w:t>
            </w:r>
          </w:p>
        </w:tc>
        <w:tc>
          <w:tcPr>
            <w:tcW w:w="1600" w:type="dxa"/>
            <w:vAlign w:val="bottom"/>
          </w:tcPr>
          <w:p>
            <w:pPr>
              <w:ind w:left="400"/>
              <w:spacing w:after="0"/>
              <w:rPr>
                <w:sz w:val="20"/>
                <w:szCs w:val="20"/>
                <w:color w:val="auto"/>
              </w:rPr>
            </w:pPr>
            <w:r>
              <w:rPr>
                <w:rFonts w:ascii="Arial" w:cs="Arial" w:eastAsia="Arial" w:hAnsi="Arial"/>
                <w:sz w:val="17"/>
                <w:szCs w:val="17"/>
                <w:color w:val="0000FF"/>
              </w:rPr>
              <w:t>43230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08/02/2021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11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88,303,261</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88,303,361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Victoria's Secret &amp; Co. ("Issuer") authorized a stock dividend payable to the Reporting Person, the sole shareholder of Issuer, with a distribution date of August 2, 2021, of 883,032.61 shares of Issuer's common stock ("Common Stock") for each share of Common Stock outstanding as of such date. Accordingly, on August 2, 2021, the Reporting Person received a dividend of 88,303,261 shares of Common Stock. This transaction is exempt from liability under Rule 16b-3(d), Rule 16a-10 (based on the applicability of Rule 16a-9) and Rule 16b-7.</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C. Wu</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08/03/2021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701985" TargetMode="External"/><Relationship Id="rId13"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2021-08-03T18:42:45Z</dcterms:created>
  <dcterms:modified xsi:type="dcterms:W3CDTF">2021-08-03T18:42:45Z</dcterms:modified>
</cp:coreProperties>
</file>