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VICTORIA’S SECRET &amp; CO.</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Common Stock, $0.01par value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926400102</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May 20, 2022</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jc w:val="both"/>
        <w:ind w:left="500" w:right="9360" w:hanging="6"/>
        <w:spacing w:after="0" w:line="224" w:lineRule="exact"/>
        <w:tabs>
          <w:tab w:leader="none" w:pos="824"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820" w:hanging="326"/>
        <w:spacing w:after="0"/>
        <w:tabs>
          <w:tab w:leader="none" w:pos="8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36" w:lineRule="exact"/>
        <w:rPr>
          <w:rFonts w:ascii="MS PGothic" w:cs="MS PGothic" w:eastAsia="MS PGothic" w:hAnsi="MS PGothic"/>
          <w:sz w:val="18"/>
          <w:szCs w:val="18"/>
          <w:color w:val="auto"/>
        </w:rPr>
      </w:pPr>
    </w:p>
    <w:p>
      <w:pPr>
        <w:ind w:left="340" w:right="40" w:hanging="324"/>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ind w:left="226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CUSIP No. 926400102</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20" w:type="dxa"/>
            <w:vAlign w:val="bottom"/>
            <w:gridSpan w:val="2"/>
          </w:tcPr>
          <w:p>
            <w:pPr>
              <w:ind w:left="7700"/>
              <w:spacing w:after="0"/>
              <w:rPr>
                <w:sz w:val="20"/>
                <w:szCs w:val="20"/>
                <w:color w:val="auto"/>
              </w:rPr>
            </w:pPr>
            <w:r>
              <w:rPr>
                <w:rFonts w:ascii="Arial" w:cs="Arial" w:eastAsia="Arial" w:hAnsi="Arial"/>
                <w:sz w:val="18"/>
                <w:szCs w:val="18"/>
                <w:color w:val="auto"/>
                <w:w w:val="84"/>
              </w:rPr>
              <w:t>Page 2 of 5</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gridSpan w:val="6"/>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8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auto"/>
              </w:rPr>
              <w:t>BBRC International Pte Ltd</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40" w:type="dxa"/>
            <w:vAlign w:val="bottom"/>
            <w:tcBorders>
              <w:bottom w:val="single" w:sz="8" w:color="auto"/>
              <w:right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320" w:type="dxa"/>
            <w:vAlign w:val="bottom"/>
            <w:tcBorders>
              <w:bottom w:val="single" w:sz="8" w:color="auto"/>
            </w:tcBorders>
            <w:gridSpan w:val="2"/>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2"/>
              </w:rPr>
              <w:t>Singapore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6,922,374</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5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18"/>
                <w:szCs w:val="18"/>
                <w:color w:val="auto"/>
              </w:rPr>
              <w:t>6,922,374</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52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4"/>
              </w:rPr>
              <w:t>6,922,374</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5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720" w:firstLine="8"/>
        <w:spacing w:after="0" w:line="328" w:lineRule="auto"/>
        <w:tabs>
          <w:tab w:leader="none" w:pos="306" w:val="left"/>
        </w:tabs>
        <w:numPr>
          <w:ilvl w:val="0"/>
          <w:numId w:val="2"/>
        </w:numPr>
        <w:rPr>
          <w:rFonts w:ascii="Arial" w:cs="Arial" w:eastAsia="Arial" w:hAnsi="Arial"/>
          <w:sz w:val="19"/>
          <w:szCs w:val="19"/>
          <w:color w:val="auto"/>
        </w:rPr>
      </w:pPr>
      <w:r>
        <w:rPr>
          <w:rFonts w:ascii="Arial" w:cs="Arial" w:eastAsia="Arial" w:hAnsi="Arial"/>
          <w:sz w:val="19"/>
          <w:szCs w:val="19"/>
          <w:color w:val="auto"/>
        </w:rPr>
        <w:t>Percentage calculated based on 83,554,806 shares of common stock outstanding as of April 1, 2022, as reported in the definitive proxy statement filed by the Issuer with the Securities and Exchange Commission on April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CUSIP No. 926400102</w:t>
      </w:r>
      <w:r>
        <w:rPr>
          <w:sz w:val="20"/>
          <w:szCs w:val="20"/>
          <w:color w:val="auto"/>
        </w:rPr>
        <w:tab/>
      </w:r>
      <w:r>
        <w:rPr>
          <w:rFonts w:ascii="Arial" w:cs="Arial" w:eastAsia="Arial" w:hAnsi="Arial"/>
          <w:sz w:val="16"/>
          <w:szCs w:val="16"/>
          <w:color w:val="auto"/>
        </w:rPr>
        <w:t>Page 3 of 5</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42"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Victoria’s Secret &amp; Co.</w:t>
      </w:r>
    </w:p>
    <w:p>
      <w:pPr>
        <w:spacing w:after="0" w:line="23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 Limited Parkway East, Reynoldsburg, OH 43068.</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42"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BBRC International Pte Ltd</w:t>
      </w:r>
    </w:p>
    <w:p>
      <w:pPr>
        <w:spacing w:after="0" w:line="23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Phillip Street #11-01, Royal Group Building, Singapore 048693</w:t>
      </w:r>
    </w:p>
    <w:p>
      <w:pPr>
        <w:spacing w:after="0" w:line="23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Singapore</w:t>
      </w:r>
    </w:p>
    <w:p>
      <w:pPr>
        <w:spacing w:after="0" w:line="23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Common stock, $0.01 par value</w:t>
      </w:r>
    </w:p>
    <w:p>
      <w:pPr>
        <w:spacing w:after="0" w:line="23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926400102</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Amount beneficially owned:</w:t>
      </w:r>
    </w:p>
    <w:p>
      <w:pPr>
        <w:spacing w:after="0" w:line="24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See Row 9 of the cover page</w:t>
      </w:r>
    </w:p>
    <w:p>
      <w:pPr>
        <w:spacing w:after="0" w:line="2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Percent of class:</w:t>
      </w:r>
    </w:p>
    <w:p>
      <w:pPr>
        <w:spacing w:after="0" w:line="24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See Row 11 of the cover page</w:t>
      </w:r>
    </w:p>
    <w:p>
      <w:pPr>
        <w:spacing w:after="0" w:line="240" w:lineRule="exact"/>
        <w:rPr>
          <w:sz w:val="20"/>
          <w:szCs w:val="20"/>
          <w:color w:val="auto"/>
        </w:rPr>
      </w:pPr>
    </w:p>
    <w:p>
      <w:pPr>
        <w:ind w:left="1620" w:hanging="3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2280" w:hanging="652"/>
        <w:spacing w:after="0"/>
        <w:tabs>
          <w:tab w:leader="none" w:pos="2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45"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See Row 5 of the cover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160" w:type="dxa"/>
            <w:vAlign w:val="bottom"/>
          </w:tcPr>
          <w:p>
            <w:pPr>
              <w:ind w:left="2900"/>
              <w:spacing w:after="0"/>
              <w:rPr>
                <w:sz w:val="20"/>
                <w:szCs w:val="20"/>
                <w:color w:val="auto"/>
              </w:rPr>
            </w:pPr>
            <w:r>
              <w:rPr>
                <w:rFonts w:ascii="Arial" w:cs="Arial" w:eastAsia="Arial" w:hAnsi="Arial"/>
                <w:sz w:val="18"/>
                <w:szCs w:val="18"/>
                <w:color w:val="auto"/>
              </w:rPr>
              <w:t>SCHEDULE 13G</w:t>
            </w: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CUSIP No. 926400102</w:t>
            </w:r>
          </w:p>
        </w:tc>
        <w:tc>
          <w:tcPr>
            <w:tcW w:w="9160" w:type="dxa"/>
            <w:vAlign w:val="bottom"/>
          </w:tcPr>
          <w:p>
            <w:pPr>
              <w:ind w:left="8340"/>
              <w:spacing w:after="0"/>
              <w:rPr>
                <w:sz w:val="20"/>
                <w:szCs w:val="20"/>
                <w:color w:val="auto"/>
              </w:rPr>
            </w:pPr>
            <w:r>
              <w:rPr>
                <w:rFonts w:ascii="Arial" w:cs="Arial" w:eastAsia="Arial" w:hAnsi="Arial"/>
                <w:sz w:val="18"/>
                <w:szCs w:val="18"/>
                <w:color w:val="auto"/>
                <w:w w:val="86"/>
              </w:rPr>
              <w:t>Page 4 of 5</w:t>
            </w:r>
          </w:p>
        </w:tc>
      </w:tr>
      <w:tr>
        <w:trPr>
          <w:trHeight w:val="459"/>
        </w:trPr>
        <w:tc>
          <w:tcPr>
            <w:tcW w:w="960" w:type="dxa"/>
            <w:vAlign w:val="bottom"/>
          </w:tcPr>
          <w:p>
            <w:pPr>
              <w:spacing w:after="0"/>
              <w:rPr>
                <w:sz w:val="24"/>
                <w:szCs w:val="24"/>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(ii)</w:t>
            </w:r>
          </w:p>
        </w:tc>
        <w:tc>
          <w:tcPr>
            <w:tcW w:w="916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r>
      <w:tr>
        <w:trPr>
          <w:trHeight w:val="496"/>
        </w:trPr>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160" w:type="dxa"/>
            <w:vAlign w:val="bottom"/>
          </w:tcPr>
          <w:p>
            <w:pPr>
              <w:ind w:left="200"/>
              <w:spacing w:after="0"/>
              <w:rPr>
                <w:sz w:val="20"/>
                <w:szCs w:val="20"/>
                <w:color w:val="auto"/>
              </w:rPr>
            </w:pPr>
            <w:r>
              <w:rPr>
                <w:rFonts w:ascii="Arial" w:cs="Arial" w:eastAsia="Arial" w:hAnsi="Arial"/>
                <w:sz w:val="22"/>
                <w:szCs w:val="22"/>
                <w:color w:val="auto"/>
              </w:rPr>
              <w:t>See Row 6 of the cover page</w:t>
            </w:r>
          </w:p>
        </w:tc>
      </w:tr>
      <w:tr>
        <w:trPr>
          <w:trHeight w:val="449"/>
        </w:trPr>
        <w:tc>
          <w:tcPr>
            <w:tcW w:w="960" w:type="dxa"/>
            <w:vAlign w:val="bottom"/>
          </w:tcPr>
          <w:p>
            <w:pPr>
              <w:spacing w:after="0"/>
              <w:rPr>
                <w:sz w:val="24"/>
                <w:szCs w:val="24"/>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(iii)</w:t>
            </w:r>
          </w:p>
        </w:tc>
        <w:tc>
          <w:tcPr>
            <w:tcW w:w="916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r>
      <w:tr>
        <w:trPr>
          <w:trHeight w:val="496"/>
        </w:trPr>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160" w:type="dxa"/>
            <w:vAlign w:val="bottom"/>
          </w:tcPr>
          <w:p>
            <w:pPr>
              <w:ind w:left="200"/>
              <w:spacing w:after="0"/>
              <w:rPr>
                <w:sz w:val="20"/>
                <w:szCs w:val="20"/>
                <w:color w:val="auto"/>
              </w:rPr>
            </w:pPr>
            <w:r>
              <w:rPr>
                <w:rFonts w:ascii="Arial" w:cs="Arial" w:eastAsia="Arial" w:hAnsi="Arial"/>
                <w:sz w:val="22"/>
                <w:szCs w:val="22"/>
                <w:color w:val="auto"/>
              </w:rPr>
              <w:t>See Row 7 of the cover page</w:t>
            </w:r>
          </w:p>
        </w:tc>
      </w:tr>
      <w:tr>
        <w:trPr>
          <w:trHeight w:val="449"/>
        </w:trPr>
        <w:tc>
          <w:tcPr>
            <w:tcW w:w="960" w:type="dxa"/>
            <w:vAlign w:val="bottom"/>
          </w:tcPr>
          <w:p>
            <w:pPr>
              <w:spacing w:after="0"/>
              <w:rPr>
                <w:sz w:val="24"/>
                <w:szCs w:val="24"/>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(iv)</w:t>
            </w:r>
          </w:p>
        </w:tc>
        <w:tc>
          <w:tcPr>
            <w:tcW w:w="916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r>
      <w:tr>
        <w:trPr>
          <w:trHeight w:val="496"/>
        </w:trPr>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160" w:type="dxa"/>
            <w:vAlign w:val="bottom"/>
          </w:tcPr>
          <w:p>
            <w:pPr>
              <w:ind w:left="200"/>
              <w:spacing w:after="0"/>
              <w:rPr>
                <w:sz w:val="20"/>
                <w:szCs w:val="20"/>
                <w:color w:val="auto"/>
              </w:rPr>
            </w:pPr>
            <w:r>
              <w:rPr>
                <w:rFonts w:ascii="Arial" w:cs="Arial" w:eastAsia="Arial" w:hAnsi="Arial"/>
                <w:sz w:val="22"/>
                <w:szCs w:val="22"/>
                <w:color w:val="auto"/>
              </w:rPr>
              <w:t>See Row 8 of the cover page</w:t>
            </w:r>
          </w:p>
        </w:tc>
      </w:tr>
      <w:tr>
        <w:trPr>
          <w:trHeight w:val="455"/>
        </w:trPr>
        <w:tc>
          <w:tcPr>
            <w:tcW w:w="960" w:type="dxa"/>
            <w:vAlign w:val="bottom"/>
          </w:tcPr>
          <w:p>
            <w:pPr>
              <w:spacing w:after="0"/>
              <w:rPr>
                <w:sz w:val="24"/>
                <w:szCs w:val="24"/>
                <w:color w:val="auto"/>
              </w:rPr>
            </w:pPr>
          </w:p>
        </w:tc>
        <w:tc>
          <w:tcPr>
            <w:tcW w:w="10280" w:type="dxa"/>
            <w:vAlign w:val="bottom"/>
            <w:gridSpan w:val="2"/>
          </w:tcPr>
          <w:p>
            <w:pPr>
              <w:ind w:left="340"/>
              <w:spacing w:after="0"/>
              <w:rPr>
                <w:sz w:val="20"/>
                <w:szCs w:val="20"/>
                <w:color w:val="auto"/>
              </w:rPr>
            </w:pPr>
            <w:r>
              <w:rPr>
                <w:rFonts w:ascii="Arial" w:cs="Arial" w:eastAsia="Arial" w:hAnsi="Arial"/>
                <w:sz w:val="22"/>
                <w:szCs w:val="22"/>
                <w:color w:val="auto"/>
                <w:w w:val="93"/>
              </w:rPr>
              <w:t>BBRC International Pte Ltd (“BBRC”) serves as the trustee for The BB Family International Trust (the “Trust”),</w:t>
            </w:r>
          </w:p>
        </w:tc>
      </w:tr>
      <w:tr>
        <w:trPr>
          <w:trHeight w:val="243"/>
        </w:trPr>
        <w:tc>
          <w:tcPr>
            <w:tcW w:w="960" w:type="dxa"/>
            <w:vAlign w:val="bottom"/>
          </w:tcPr>
          <w:p>
            <w:pPr>
              <w:spacing w:after="0"/>
              <w:rPr>
                <w:sz w:val="21"/>
                <w:szCs w:val="21"/>
                <w:color w:val="auto"/>
              </w:rPr>
            </w:pPr>
          </w:p>
        </w:tc>
        <w:tc>
          <w:tcPr>
            <w:tcW w:w="102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89"/>
              </w:rPr>
              <w:t>which holds the shares reported herein. Brett Blundy, as Managing Director of BBRC and beneficiary of the Trust,</w:t>
            </w:r>
          </w:p>
        </w:tc>
      </w:tr>
      <w:tr>
        <w:trPr>
          <w:trHeight w:val="243"/>
        </w:trPr>
        <w:tc>
          <w:tcPr>
            <w:tcW w:w="960" w:type="dxa"/>
            <w:vAlign w:val="bottom"/>
          </w:tcPr>
          <w:p>
            <w:pPr>
              <w:spacing w:after="0"/>
              <w:rPr>
                <w:sz w:val="21"/>
                <w:szCs w:val="21"/>
                <w:color w:val="auto"/>
              </w:rPr>
            </w:pPr>
          </w:p>
        </w:tc>
        <w:tc>
          <w:tcPr>
            <w:tcW w:w="1028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87"/>
              </w:rPr>
              <w:t>may be deemed to have beneficial ownership of the shares. The Trust is organized under the laws of Singapore and</w:t>
            </w:r>
          </w:p>
        </w:tc>
      </w:tr>
      <w:tr>
        <w:trPr>
          <w:trHeight w:val="274"/>
        </w:trPr>
        <w:tc>
          <w:tcPr>
            <w:tcW w:w="960" w:type="dxa"/>
            <w:vAlign w:val="bottom"/>
          </w:tcPr>
          <w:p>
            <w:pPr>
              <w:spacing w:after="0"/>
              <w:rPr>
                <w:sz w:val="23"/>
                <w:szCs w:val="23"/>
                <w:color w:val="auto"/>
              </w:rPr>
            </w:pPr>
          </w:p>
        </w:tc>
        <w:tc>
          <w:tcPr>
            <w:tcW w:w="10280" w:type="dxa"/>
            <w:vAlign w:val="bottom"/>
            <w:gridSpan w:val="2"/>
          </w:tcPr>
          <w:p>
            <w:pPr>
              <w:ind w:left="340"/>
              <w:spacing w:after="0"/>
              <w:rPr>
                <w:sz w:val="20"/>
                <w:szCs w:val="20"/>
                <w:color w:val="auto"/>
              </w:rPr>
            </w:pPr>
            <w:r>
              <w:rPr>
                <w:rFonts w:ascii="Arial" w:cs="Arial" w:eastAsia="Arial" w:hAnsi="Arial"/>
                <w:sz w:val="22"/>
                <w:szCs w:val="22"/>
                <w:color w:val="auto"/>
                <w:w w:val="95"/>
              </w:rPr>
              <w:t>Mr. Blundy is a citizen of Australia. The address for the Trust and Mr. Blundy is set forth in Item 2(a) above.</w:t>
            </w:r>
          </w:p>
        </w:tc>
      </w:tr>
      <w:tr>
        <w:trPr>
          <w:trHeight w:val="449"/>
        </w:trPr>
        <w:tc>
          <w:tcPr>
            <w:tcW w:w="9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280" w:type="dxa"/>
            <w:vAlign w:val="bottom"/>
            <w:gridSpan w:val="2"/>
          </w:tcPr>
          <w:p>
            <w:pPr>
              <w:ind w:left="34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438"/>
        </w:trPr>
        <w:tc>
          <w:tcPr>
            <w:tcW w:w="960" w:type="dxa"/>
            <w:vAlign w:val="bottom"/>
          </w:tcPr>
          <w:p>
            <w:pPr>
              <w:spacing w:after="0"/>
              <w:rPr>
                <w:sz w:val="24"/>
                <w:szCs w:val="24"/>
                <w:color w:val="auto"/>
              </w:rPr>
            </w:pPr>
          </w:p>
        </w:tc>
        <w:tc>
          <w:tcPr>
            <w:tcW w:w="10280" w:type="dxa"/>
            <w:vAlign w:val="bottom"/>
            <w:gridSpan w:val="2"/>
          </w:tcPr>
          <w:p>
            <w:pPr>
              <w:ind w:left="340"/>
              <w:spacing w:after="0"/>
              <w:rPr>
                <w:sz w:val="20"/>
                <w:szCs w:val="20"/>
                <w:color w:val="auto"/>
              </w:rPr>
            </w:pPr>
            <w:r>
              <w:rPr>
                <w:rFonts w:ascii="Arial" w:cs="Arial" w:eastAsia="Arial" w:hAnsi="Arial"/>
                <w:sz w:val="22"/>
                <w:szCs w:val="22"/>
                <w:color w:val="auto"/>
                <w:w w:val="89"/>
              </w:rPr>
              <w:t>If this statement is being filed to report the fact that as of the date hereof the reporting person has ceased to be the</w:t>
            </w:r>
          </w:p>
        </w:tc>
      </w:tr>
      <w:tr>
        <w:trPr>
          <w:trHeight w:val="338"/>
        </w:trPr>
        <w:tc>
          <w:tcPr>
            <w:tcW w:w="960" w:type="dxa"/>
            <w:vAlign w:val="bottom"/>
          </w:tcPr>
          <w:p>
            <w:pPr>
              <w:spacing w:after="0"/>
              <w:rPr>
                <w:sz w:val="24"/>
                <w:szCs w:val="24"/>
                <w:color w:val="auto"/>
              </w:rPr>
            </w:pPr>
          </w:p>
        </w:tc>
        <w:tc>
          <w:tcPr>
            <w:tcW w:w="10280" w:type="dxa"/>
            <w:vAlign w:val="bottom"/>
            <w:gridSpan w:val="2"/>
          </w:tcPr>
          <w:p>
            <w:pPr>
              <w:ind w:left="340"/>
              <w:spacing w:after="0" w:line="253" w:lineRule="exact"/>
              <w:rPr>
                <w:sz w:val="20"/>
                <w:szCs w:val="20"/>
                <w:color w:val="auto"/>
              </w:rPr>
            </w:pPr>
            <w:r>
              <w:rPr>
                <w:rFonts w:ascii="Arial" w:cs="Arial" w:eastAsia="Arial" w:hAnsi="Arial"/>
                <w:sz w:val="22"/>
                <w:szCs w:val="22"/>
                <w:color w:val="auto"/>
              </w:rPr>
              <w:t xml:space="preserve">beneficial owner of more than 5 percent of the class of securities, check the following </w:t>
            </w:r>
            <w:r>
              <w:rPr>
                <w:rFonts w:ascii="MS PGothic" w:cs="MS PGothic" w:eastAsia="MS PGothic" w:hAnsi="MS PGothic"/>
                <w:sz w:val="22"/>
                <w:szCs w:val="22"/>
                <w:color w:val="auto"/>
              </w:rPr>
              <w:t>☐</w:t>
            </w:r>
          </w:p>
        </w:tc>
      </w:tr>
      <w:tr>
        <w:trPr>
          <w:trHeight w:val="425"/>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2"/>
          </w:tcPr>
          <w:p>
            <w:pPr>
              <w:ind w:left="34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96"/>
        </w:trPr>
        <w:tc>
          <w:tcPr>
            <w:tcW w:w="960" w:type="dxa"/>
            <w:vAlign w:val="bottom"/>
          </w:tcPr>
          <w:p>
            <w:pPr>
              <w:spacing w:after="0"/>
              <w:rPr>
                <w:sz w:val="24"/>
                <w:szCs w:val="24"/>
                <w:color w:val="auto"/>
              </w:rPr>
            </w:pPr>
          </w:p>
        </w:tc>
        <w:tc>
          <w:tcPr>
            <w:tcW w:w="10280" w:type="dxa"/>
            <w:vAlign w:val="bottom"/>
            <w:gridSpan w:val="2"/>
          </w:tcPr>
          <w:p>
            <w:pPr>
              <w:ind w:left="340"/>
              <w:spacing w:after="0"/>
              <w:rPr>
                <w:sz w:val="20"/>
                <w:szCs w:val="20"/>
                <w:color w:val="auto"/>
              </w:rPr>
            </w:pPr>
            <w:r>
              <w:rPr>
                <w:rFonts w:ascii="Arial" w:cs="Arial" w:eastAsia="Arial" w:hAnsi="Arial"/>
                <w:sz w:val="22"/>
                <w:szCs w:val="22"/>
                <w:color w:val="auto"/>
              </w:rPr>
              <w:t>Not applicable</w:t>
            </w:r>
          </w:p>
        </w:tc>
      </w:tr>
      <w:tr>
        <w:trPr>
          <w:trHeight w:val="431"/>
        </w:trPr>
        <w:tc>
          <w:tcPr>
            <w:tcW w:w="9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280" w:type="dxa"/>
            <w:vAlign w:val="bottom"/>
            <w:gridSpan w:val="2"/>
          </w:tcPr>
          <w:p>
            <w:pPr>
              <w:ind w:left="34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34"/>
        </w:trPr>
        <w:tc>
          <w:tcPr>
            <w:tcW w:w="960" w:type="dxa"/>
            <w:vAlign w:val="bottom"/>
          </w:tcPr>
          <w:p>
            <w:pPr>
              <w:spacing w:after="0"/>
              <w:rPr>
                <w:sz w:val="20"/>
                <w:szCs w:val="20"/>
                <w:color w:val="auto"/>
              </w:rPr>
            </w:pPr>
          </w:p>
        </w:tc>
        <w:tc>
          <w:tcPr>
            <w:tcW w:w="10280" w:type="dxa"/>
            <w:vAlign w:val="bottom"/>
            <w:gridSpan w:val="2"/>
          </w:tcPr>
          <w:p>
            <w:pPr>
              <w:ind w:left="340"/>
              <w:spacing w:after="0"/>
              <w:rPr>
                <w:sz w:val="20"/>
                <w:szCs w:val="20"/>
                <w:color w:val="auto"/>
              </w:rPr>
            </w:pPr>
            <w:r>
              <w:rPr>
                <w:rFonts w:ascii="Arial" w:cs="Arial" w:eastAsia="Arial" w:hAnsi="Arial"/>
                <w:sz w:val="18"/>
                <w:szCs w:val="18"/>
                <w:b w:val="1"/>
                <w:bCs w:val="1"/>
                <w:color w:val="auto"/>
              </w:rPr>
              <w:t>Company or Control Person.</w:t>
            </w:r>
          </w:p>
        </w:tc>
      </w:tr>
      <w:tr>
        <w:trPr>
          <w:trHeight w:val="496"/>
        </w:trPr>
        <w:tc>
          <w:tcPr>
            <w:tcW w:w="960" w:type="dxa"/>
            <w:vAlign w:val="bottom"/>
          </w:tcPr>
          <w:p>
            <w:pPr>
              <w:spacing w:after="0"/>
              <w:rPr>
                <w:sz w:val="24"/>
                <w:szCs w:val="24"/>
                <w:color w:val="auto"/>
              </w:rPr>
            </w:pPr>
          </w:p>
        </w:tc>
        <w:tc>
          <w:tcPr>
            <w:tcW w:w="10280" w:type="dxa"/>
            <w:vAlign w:val="bottom"/>
            <w:gridSpan w:val="2"/>
          </w:tcPr>
          <w:p>
            <w:pPr>
              <w:ind w:left="340"/>
              <w:spacing w:after="0"/>
              <w:rPr>
                <w:sz w:val="20"/>
                <w:szCs w:val="20"/>
                <w:color w:val="auto"/>
              </w:rPr>
            </w:pPr>
            <w:r>
              <w:rPr>
                <w:rFonts w:ascii="Arial" w:cs="Arial" w:eastAsia="Arial" w:hAnsi="Arial"/>
                <w:sz w:val="22"/>
                <w:szCs w:val="22"/>
                <w:color w:val="auto"/>
              </w:rPr>
              <w:t>Not applicable</w:t>
            </w:r>
          </w:p>
        </w:tc>
      </w:tr>
      <w:tr>
        <w:trPr>
          <w:trHeight w:val="449"/>
        </w:trPr>
        <w:tc>
          <w:tcPr>
            <w:tcW w:w="9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80" w:type="dxa"/>
            <w:vAlign w:val="bottom"/>
            <w:gridSpan w:val="2"/>
          </w:tcPr>
          <w:p>
            <w:pPr>
              <w:ind w:left="34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96"/>
        </w:trPr>
        <w:tc>
          <w:tcPr>
            <w:tcW w:w="960" w:type="dxa"/>
            <w:vAlign w:val="bottom"/>
          </w:tcPr>
          <w:p>
            <w:pPr>
              <w:spacing w:after="0"/>
              <w:rPr>
                <w:sz w:val="24"/>
                <w:szCs w:val="24"/>
                <w:color w:val="auto"/>
              </w:rPr>
            </w:pPr>
          </w:p>
        </w:tc>
        <w:tc>
          <w:tcPr>
            <w:tcW w:w="10280" w:type="dxa"/>
            <w:vAlign w:val="bottom"/>
            <w:gridSpan w:val="2"/>
          </w:tcPr>
          <w:p>
            <w:pPr>
              <w:ind w:left="340"/>
              <w:spacing w:after="0"/>
              <w:rPr>
                <w:sz w:val="20"/>
                <w:szCs w:val="20"/>
                <w:color w:val="auto"/>
              </w:rPr>
            </w:pPr>
            <w:r>
              <w:rPr>
                <w:rFonts w:ascii="Arial" w:cs="Arial" w:eastAsia="Arial" w:hAnsi="Arial"/>
                <w:sz w:val="22"/>
                <w:szCs w:val="22"/>
                <w:color w:val="auto"/>
              </w:rPr>
              <w:t>Not applicable</w:t>
            </w:r>
          </w:p>
        </w:tc>
      </w:tr>
      <w:tr>
        <w:trPr>
          <w:trHeight w:val="449"/>
        </w:trPr>
        <w:tc>
          <w:tcPr>
            <w:tcW w:w="9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28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Notice of Dissolution of Group.</w:t>
            </w:r>
          </w:p>
        </w:tc>
      </w:tr>
      <w:tr>
        <w:trPr>
          <w:trHeight w:val="496"/>
        </w:trPr>
        <w:tc>
          <w:tcPr>
            <w:tcW w:w="960" w:type="dxa"/>
            <w:vAlign w:val="bottom"/>
          </w:tcPr>
          <w:p>
            <w:pPr>
              <w:spacing w:after="0"/>
              <w:rPr>
                <w:sz w:val="24"/>
                <w:szCs w:val="24"/>
                <w:color w:val="auto"/>
              </w:rPr>
            </w:pPr>
          </w:p>
        </w:tc>
        <w:tc>
          <w:tcPr>
            <w:tcW w:w="10280" w:type="dxa"/>
            <w:vAlign w:val="bottom"/>
            <w:gridSpan w:val="2"/>
          </w:tcPr>
          <w:p>
            <w:pPr>
              <w:ind w:left="340"/>
              <w:spacing w:after="0"/>
              <w:rPr>
                <w:sz w:val="20"/>
                <w:szCs w:val="20"/>
                <w:color w:val="auto"/>
              </w:rPr>
            </w:pPr>
            <w:r>
              <w:rPr>
                <w:rFonts w:ascii="Arial" w:cs="Arial" w:eastAsia="Arial" w:hAnsi="Arial"/>
                <w:sz w:val="22"/>
                <w:szCs w:val="22"/>
                <w:color w:val="auto"/>
              </w:rPr>
              <w:t>Not applicable</w:t>
            </w:r>
          </w:p>
        </w:tc>
      </w:tr>
      <w:tr>
        <w:trPr>
          <w:trHeight w:val="449"/>
        </w:trPr>
        <w:tc>
          <w:tcPr>
            <w:tcW w:w="96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280" w:type="dxa"/>
            <w:vAlign w:val="bottom"/>
            <w:gridSpan w:val="2"/>
          </w:tcPr>
          <w:p>
            <w:pPr>
              <w:ind w:left="340"/>
              <w:spacing w:after="0"/>
              <w:rPr>
                <w:sz w:val="20"/>
                <w:szCs w:val="20"/>
                <w:color w:val="auto"/>
              </w:rPr>
            </w:pPr>
            <w:r>
              <w:rPr>
                <w:rFonts w:ascii="Arial" w:cs="Arial" w:eastAsia="Arial" w:hAnsi="Arial"/>
                <w:sz w:val="18"/>
                <w:szCs w:val="18"/>
                <w:b w:val="1"/>
                <w:bCs w:val="1"/>
                <w:color w:val="auto"/>
              </w:rPr>
              <w:t>Certifications.</w:t>
            </w:r>
          </w:p>
        </w:tc>
      </w:tr>
    </w:tbl>
    <w:p>
      <w:pPr>
        <w:spacing w:after="0" w:line="22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CUSIP No. 926400102</w:t>
      </w:r>
      <w:r>
        <w:rPr>
          <w:sz w:val="20"/>
          <w:szCs w:val="20"/>
          <w:color w:val="auto"/>
        </w:rPr>
        <w:tab/>
      </w:r>
      <w:r>
        <w:rPr>
          <w:rFonts w:ascii="Arial" w:cs="Arial" w:eastAsia="Arial" w:hAnsi="Arial"/>
          <w:sz w:val="16"/>
          <w:szCs w:val="16"/>
          <w:color w:val="auto"/>
        </w:rPr>
        <w:t>Page 5 of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May 31, 2022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BBRC International Pte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Brett Blundy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Brett Blundy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4"/>
    </w:lvl>
  </w:abstractNum>
  <w:abstractNum w:abstractNumId="8">
    <w:nsid w:val="12200854"/>
    <w:multiLevelType w:val="hybridMultilevel"/>
    <w:lvl w:ilvl="0">
      <w:lvlJc w:val="left"/>
      <w:lvlText w:val="(%1)"/>
      <w:numFmt w:val="lowerLetter"/>
      <w:start w:val="5"/>
    </w:lvl>
  </w:abstractNum>
  <w:abstractNum w:abstractNumId="9">
    <w:nsid w:val="4DB127F8"/>
    <w:multiLevelType w:val="hybridMultilevel"/>
    <w:lvl w:ilvl="0">
      <w:lvlJc w:val="left"/>
      <w:lvlText w:val="(%1)"/>
      <w:numFmt w:val="lowerLetter"/>
      <w:start w:val="3"/>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2022-05-31T08:12:52Z</dcterms:created>
  <dcterms:modified xsi:type="dcterms:W3CDTF">2022-05-31T08:12:52Z</dcterms:modified>
</cp:coreProperties>
</file>