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right="8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VICTORIA'S SECRET &amp; CO.</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19"/>
                <w:szCs w:val="19"/>
                <w:color w:val="auto"/>
              </w:rPr>
            </w:pPr>
          </w:p>
        </w:tc>
        <w:tc>
          <w:tcPr>
            <w:tcW w:w="3760" w:type="dxa"/>
            <w:vAlign w:val="bottom"/>
          </w:tcPr>
          <w:p>
            <w:pPr>
              <w:jc w:val="right"/>
              <w:ind w:right="174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4"/>
        </w:trPr>
        <w:tc>
          <w:tcPr>
            <w:tcW w:w="4980" w:type="dxa"/>
            <w:vAlign w:val="bottom"/>
            <w:gridSpan w:val="2"/>
          </w:tcPr>
          <w:p>
            <w:pPr>
              <w:jc w:val="center"/>
              <w:ind w:right="2548"/>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20" w:type="dxa"/>
            <w:vAlign w:val="bottom"/>
          </w:tcPr>
          <w:p>
            <w:pPr>
              <w:spacing w:after="0"/>
              <w:rPr>
                <w:sz w:val="12"/>
                <w:szCs w:val="12"/>
                <w:color w:val="auto"/>
              </w:rPr>
            </w:pPr>
          </w:p>
        </w:tc>
        <w:tc>
          <w:tcPr>
            <w:tcW w:w="37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2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5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520" w:type="dxa"/>
            <w:vAlign w:val="bottom"/>
          </w:tcPr>
          <w:p>
            <w:pPr>
              <w:spacing w:after="0"/>
              <w:rPr>
                <w:sz w:val="19"/>
                <w:szCs w:val="19"/>
                <w:color w:val="auto"/>
              </w:rPr>
            </w:pPr>
          </w:p>
        </w:tc>
        <w:tc>
          <w:tcPr>
            <w:tcW w:w="3760" w:type="dxa"/>
            <w:vAlign w:val="bottom"/>
          </w:tcPr>
          <w:p>
            <w:pPr>
              <w:jc w:val="right"/>
              <w:ind w:right="194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2"/>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520" w:type="dxa"/>
            <w:vAlign w:val="bottom"/>
          </w:tcPr>
          <w:p>
            <w:pPr>
              <w:spacing w:after="0"/>
              <w:rPr>
                <w:sz w:val="16"/>
                <w:szCs w:val="16"/>
                <w:color w:val="auto"/>
              </w:rPr>
            </w:pPr>
          </w:p>
        </w:tc>
        <w:tc>
          <w:tcPr>
            <w:tcW w:w="376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20" w:type="dxa"/>
            <w:vAlign w:val="bottom"/>
          </w:tcPr>
          <w:p>
            <w:pPr>
              <w:jc w:val="right"/>
              <w:ind w:right="132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5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20" w:type="dxa"/>
            <w:vAlign w:val="bottom"/>
            <w:tcBorders>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220" w:type="dxa"/>
            <w:vAlign w:val="bottom"/>
            <w:tcBorders>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ind w:right="1182"/>
              <w:spacing w:after="0"/>
              <w:rPr>
                <w:sz w:val="20"/>
                <w:szCs w:val="20"/>
                <w:color w:val="auto"/>
              </w:rPr>
            </w:pPr>
            <w:r>
              <w:rPr>
                <w:rFonts w:ascii="Times New Roman" w:cs="Times New Roman" w:eastAsia="Times New Roman" w:hAnsi="Times New Roman"/>
                <w:sz w:val="14"/>
                <w:szCs w:val="14"/>
                <w:color w:val="auto"/>
              </w:rPr>
              <w:t>VSCO</w:t>
            </w:r>
          </w:p>
        </w:tc>
        <w:tc>
          <w:tcPr>
            <w:tcW w:w="37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14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4"/>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300" w:lineRule="exact"/>
        <w:rPr>
          <w:sz w:val="24"/>
          <w:szCs w:val="24"/>
          <w:color w:val="auto"/>
        </w:rPr>
      </w:pPr>
    </w:p>
    <w:p>
      <w:pPr>
        <w:ind w:right="3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1" w:lineRule="exact"/>
        <w:rPr>
          <w:sz w:val="24"/>
          <w:szCs w:val="24"/>
          <w:color w:val="auto"/>
        </w:rPr>
      </w:pPr>
    </w:p>
    <w:p>
      <w:pPr>
        <w:ind w:right="2400"/>
        <w:spacing w:after="0" w:line="27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27, 2022, the number of outstanding shares of the Registrant’s common stock was 83,078,907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114300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80010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2"/>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 *</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Income for the Thirteen-Weeks Ended April 30, 2022 and May 1, 2021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Comprehensive Income for the Thirteen-Weeks Ended April 30, 2022 and May 1, 2021</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0000FF"/>
            </w:tcBorders>
            <w:gridSpan w:val="5"/>
          </w:tcPr>
          <w:p>
            <w:pPr>
              <w:ind w:left="20"/>
              <w:spacing w:after="0" w:line="136" w:lineRule="exact"/>
              <w:rPr>
                <w:sz w:val="20"/>
                <w:szCs w:val="20"/>
                <w:color w:val="auto"/>
              </w:rPr>
            </w:pPr>
            <w:r>
              <w:rPr>
                <w:rFonts w:ascii="Times New Roman" w:cs="Times New Roman" w:eastAsia="Times New Roman" w:hAnsi="Times New Roman"/>
                <w:sz w:val="15"/>
                <w:szCs w:val="15"/>
                <w:color w:val="0000FF"/>
              </w:rPr>
              <w:t>(Unaudited)</w:t>
            </w:r>
          </w:p>
        </w:tc>
        <w:tc>
          <w:tcPr>
            <w:tcW w:w="7500" w:type="dxa"/>
            <w:vAlign w:val="bottom"/>
            <w:tcBorders>
              <w:top w:val="single" w:sz="8" w:color="0000FF"/>
            </w:tcBorders>
            <w:gridSpan w:val="11"/>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and Combined Balance Sheets as of April 30, 2022 (Unaudited), January 29, 2022 and May 1, 2021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Consolidated and Combined Statements of Equity for the Thirteen-Weeks Ended April 30, 2022 and May 1, 2021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Consolidated and Combined Statements of Cash Flows for the Thirteen-Weeks Ended April 30, 2022 and May 1, 2021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1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and Combined Financial Statements (Unaudited)</w:t>
            </w:r>
          </w:p>
        </w:tc>
        <w:tc>
          <w:tcPr>
            <w:tcW w:w="4280" w:type="dxa"/>
            <w:vAlign w:val="bottom"/>
            <w:gridSpan w:val="6"/>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19</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8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32</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1"/>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1"/>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19"/>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300" w:hanging="434"/>
        <w:spacing w:after="0" w:line="23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“first quarter of 2022” and “first quarter of 2021” refer to the thirteen-week periods ended April 30, 2022 and May 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Attributable to Victoria's Secret &amp; Co.</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8720" w:type="dxa"/>
            <w:vAlign w:val="bottom"/>
            <w:vMerge w:val="restart"/>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8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8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AND COMBINED STATEMENTS OF COMPREHENSIVE INCOME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8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8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7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8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0" w:type="dxa"/>
            <w:vAlign w:val="bottom"/>
          </w:tcPr>
          <w:p>
            <w:pPr>
              <w:spacing w:after="0"/>
              <w:rPr>
                <w:sz w:val="1"/>
                <w:szCs w:val="1"/>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none issued</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83, 85, and 0 shares issued</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by Former Parent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7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29, 2022</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Noncontrolling Interest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6"/>
        </w:trPr>
        <w:tc>
          <w:tcPr>
            <w:tcW w:w="2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1"/>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30, 2022</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40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9"/>
                <w:szCs w:val="9"/>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Investment by</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30, 2021</w:t>
            </w:r>
          </w:p>
        </w:tc>
        <w:tc>
          <w:tcPr>
            <w:tcW w:w="104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1, 2021</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for)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Long-lived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Frankies Bikinis, LLC</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Noncontrolling Interest Partner</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Former Parent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AND COMBINED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76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and PINK brand names. The Company has more than 890 Victoria’s Secret and PINK stores in the U.S., Canada and China as well as online at www.VictoriasSecret.com and www.PINK.com and other online channels worldwide. Additionally, Victoria’s Secret and PINK have more than 450 stores in more than 70 countries operating under franchise, license and wholesale arrangements. The Company also includes the Victoria's Secret and PINK merchandise sourcing and production function serving the Company and its international partners. The Company operates as a single segment designed to serve customers worldwide seamlessly through stores and online channels.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&amp; Co. Spin-Off</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August 2, 2021 (the “Distribution Date”), after the New York Stock Exchange ("NYSE") market closing, the Separation of the Victoria's Secret business was completed. On August 3, 2021, Victoria's Secret &amp; Co. became an independent, publicly traded company trading on the NYSE under the stock symbol "VSCO."</w:t>
      </w:r>
    </w:p>
    <w:p>
      <w:pPr>
        <w:spacing w:after="0" w:line="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10, "Long-term Debt and Borrowing Facilities"). The Former Parent retained no ownership interest in the Company following the Separation.</w:t>
      </w:r>
    </w:p>
    <w:p>
      <w:pPr>
        <w:spacing w:after="0" w:line="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"Transactions with Former Parent."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“first quarter of 2022” and “first quarter of 2021” refer to the thirteen-week periods ended April 30, 2022 and May 1, 2021,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Unaudited Consolidated and Combined Financial Statements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for periods through the Separation date of August 2, 2021 are combined financial statements prepared on a carve-out basis as discussed below. The Company’s financial statements for the period from August 3, 2021 through April 30, 2022 are consolidated financial statements based on the reported results of Victoria's Secret &amp; Co. as a standalone company.</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and Combined Financial Statements have been prepared in conformity with accounting principles generally accepted in the United States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 Prior to Separation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Intracompany transactions have been eliminated. Transactions between the Company and the Former Parent have been included in these financial statements. For those transactions between the Company and the Former Parent that were historically settled in cash, the Company reflected such balances in the Consolidated and Combined Balance Sheets in Other Current Assets for balances due from the Former Parent and in Accrued Expenses and Other for balances due to the Former Parent. The aggregate net effect of transactions between the Company and the Former Parent that were historically settled other than in cash are reflected in the Consolidated and Combined Balance Sheets as Net Investment by Former Parent and in the Consolidated and Combined Statements of Cash Flows as Net Transfers to Former Parent. For additional information, see Note 2, "Transactions with Former Parent."</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and Combined Balance Sheets include certain of the Former Parent's assets and liabilities that were specifically identifiable or otherwise attributable to the Company. The Former Parent's third-party long-term notes payable and the related interest expense have not been allocated to the Company for any of the periods presented as the Company was not the legal obligor of such debt. Except for Long-term Debt due to Former Parent, the debt reflected in the Consolidated and Combined Balance Sheets relate to third-party borrowings specifically attributable to, and legal obligations of, the Company.</w:t>
      </w:r>
    </w:p>
    <w:p>
      <w:pPr>
        <w:spacing w:after="0" w:line="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Former Parent utilized a centralized approach to cash management and financing its operations. The Cash and Cash Equivalents held by the Former Parent at the corporate level were not specifically identifiable to the Company and, therefore, were not reflected in the Company’s Consolidated and Combined Balance Sheets. Cash transfers between the Former Parent and the Company were accounted for through Net Investment by the Former Parent. Cash and Cash Equivalents in the Consolidated and Combined Balance Sheets represent cash and cash equivalents held by the Company at period-end prior to any potential transfer to the centralized cash management pool of the Former Parent.</w:t>
      </w:r>
    </w:p>
    <w:p>
      <w:pPr>
        <w:spacing w:after="0" w:line="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Consolidated and Combined Statements of Income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Costs applicable to the Company related to these functions are included in the Consolidated and Combined Statements of Income for all periods presented. Prior to the transition of these functions, these costs were directly charged to the Company by the Former Parent.</w:t>
      </w:r>
    </w:p>
    <w:p>
      <w:pPr>
        <w:spacing w:after="0" w:line="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$19 million in the first quarter of 2021 were allocated and included within General, Administrative and Store Operating Expenses in the 2021 Consolidated and Combined Statement of Income.</w:t>
      </w:r>
    </w:p>
    <w:p>
      <w:pPr>
        <w:spacing w:after="0" w:line="6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2, "Transactions with Former Parent."</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 of Income for periods prior to the Separation are not necessarily representative of the taxes that may arise in the future when the Company files its income tax returns independent from the Former Parent's returns.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Consolidated and Combined Financial Statements as of and for the periods ended April 30, 2022 and May 1, 2021 are unaudited. These Consolidated and Combined Financial Statements should be read in conjunction with the audited Consolidated and Combined Financial Statements and Notes thereto included in our Annual Report on Form 10-K filed with the Securities and Exchange Commission ("SEC") on March 18, 2022.</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and Combined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w:t>
      </w:r>
    </w:p>
    <w:p>
      <w:pPr>
        <w:spacing w:after="0" w:line="10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coronavirus pandemic ("COVID-19") has created significant public health concerns as well as economic disruption, uncertainty and volatility. The Company remains focused on the safe operation of its business, including its stores, distribution, fulfillment and call centers. There remains the potential for COVID-19-related risks of closure or operating restrictions, as well as risks related to delays or disruptions in our supply chain and related pricing impacts, which could materially impact the Company's operations and financial performance in future periods.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interim period are not necessarily indicative of the results expected for the full fiscal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and the Company's share of net income or loss from all other unconsolidated entities is included in General, Administrative and Store Operating Expenses in the Consolidated and Combined Statements of Income. The Company’s equity method investments are required to be reviewed for impairment when it is determined there may be an other-than-temporary loss in value.</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$54 million as of April 30, 2022, $35 million as of January 29, 2022 and $32 million as of May 1, 2021. These investments are recorded in Other Assets on the Consolidated and Combined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and Combined Financial Statements. The share of the investment not owned by the Company is reflected in Noncontrolling Interest in the Consolidated and Combined Balance Sheets. The Company recognizes the share of net income or loss not attributable to the Company in Net Loss Attributable to Noncontrolling Interest in the Consolidated and Combined Statements of Income. Noncontrolling interest in the first quarter of 2022 represents the portion of equity interests in a joint venture in China that is not owned by the Company. For additional information, see Note 4, "Restructuring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by Former Parent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Investment by Former Parent in the Consolidated and Combined Balance Sheets represents the Former Parent's historical investment in the Company, the accumulated net earnings after taxes and the net effect of the transactions with and allocations from the Former Parent. All transactions reflected in Net Investment by Former Parent in the accompanying Consolidated and Combined Balance Sheets have been considered as financing activities for purposes of the Consolidated and Combined Statements of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Basis of Presentation above and Note 2, "Transactions with Former Parent."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from time to time uses derivative financial instruments to manage exposure to foreign currency exchange rates. The Company does not use derivative instruments for trading purposes. All derivative instruments are recorded on the Consolidated and Combined Balance Sheets at fair value.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April 30, 2022, the Company's investment portfolio is primarily comprised of bank deposits. Prior to the Separation, cash generated by the Company was invested by the Former Parent in U.S. government obligations and U.S. Treasury and AAA-rated money market funds.</w:t>
      </w:r>
    </w:p>
    <w:p>
      <w:pPr>
        <w:spacing w:after="0" w:line="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first quarter of 2022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Transactions with Former Parent</w:t>
      </w:r>
    </w:p>
    <w:p>
      <w:pPr>
        <w:spacing w:after="0" w:line="121"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Between the Company and the Former Parent Prior to the Separation</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Balances between the Company and the Former Parent or its affiliates prior to the Separation, that are derived from transactions that historically were cash settled, are reflected in the Consolidated and Combined Balance Sheets in Other Current Assets for balances due from the Former Parent and in Accrued Expenses and Other for balances due to the Former Parent for periods prior to the Separation.</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Balances between the Company and the Former Parent or its affiliates prior to the Separation, that are derived from transactions that were historically settled other than in cash, are included in Net Investment by Former Parent within Shareholders' Equity on the Consolidated and Combined Balance Sheets for periods prior to the Separation.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9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Prior to the Separation, 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$1 million of interest expense in the first quarter of 2021 related to this borrowing.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Transfers from (to) Former Parent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Net Transfers from (to) Former Parent prior to the Separation in the first quarter of 2021 Consolidated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Statement of Equity: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23"/>
        </w:trPr>
        <w:tc>
          <w:tcPr>
            <w:tcW w:w="9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9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9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Pooling and General Financing Activities,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Assets (a)</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Income Tax Payments</w:t>
            </w: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Transfers to Former Parent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r>
      <w:tr>
        <w:trPr>
          <w:trHeight w:val="21"/>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380" w:hanging="652"/>
        <w:spacing w:after="0" w:line="282"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long-lived assets transferred between the Company and the Former Parent as a result of asset allocation decisions made during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Former Parent</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terms of the transition services agreements, the Company will provide its Former Parent, on a transitional basis, certain services or functions, including information technology, certain logistics functions, customer marketing and customer call center services. Additionally, the Former Parent will provide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based on the nature of the services. Consideration for transition services provided to the Former Parent are recorded within the Consolidated and Combined Statements of Income based on the nature of the services and as an offset to expenses incurred to provide the services. Following the Separation, the Company recognized consideration of $20 million for services provided to the Former Parent and recognized costs of $19 million for services provided by the Former Parent in the first quarter of 2022 pursuant to the transition services agreements.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Domestic Transportation Services Agreement, the Former Parent will continue to provide transportation services to the Company for certain personal care and apparel merchandise in the United States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During the first quarter of 2022, the Company recognized costs of $18 million pursuant to the Domestic Transportation Services Agreement.</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$100 million as of April 30, 2022, $101 million as of January 29, 2022 and $74 million as of May 1, 2021. Accounts receivable primarily relate to amounts due from the Company's franchise, license and wholesale partners. Under these arrangements, payment terms are typically 60 to 90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$238 million as of April 30, 2022, $258 million as of January 29, 2022 and $230 million as of May 1, 2021. The Company recognized $81 million as revenue in the first quarter of 2022 from amounts recorded as deferred revenue at the beginning of the year. As of April 30, 2022, the Company recorded deferred revenue of $217 million within Accrued Expenses and Other, and $21 million within Other Long-term Liabilities on the Consolidated and Combined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first quarter of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2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6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April 2022, the Company launched a new co-branded credit card in which customers can earn points on purchases of company product as well as on purchases outside of the Company. The co-branded credit card is in addition to the Company's existing U.S. private label credit card.</w:t>
      </w:r>
    </w:p>
    <w:p>
      <w:pPr>
        <w:spacing w:after="0" w:line="4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$26 million and $28 million for the first quarter of 2022 and 2021, respectively, related to revenue earned in connection with its credit card arrangements.</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$184 million and $163 million for the first quarter of 2022 and 2021,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9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April 2022, the Company announced the completion of the joint venture agreement with Regina Miracle International (Holdings) Limited ("Regina Miracle"), a company on the Hong Kong Stock Exchange, related to its existing company-owned business in China. The Company and Regina Miracle have formed a joint venture to operate Victoria's Secret stores and the related online business in China. Under the terms of the agreement, the Company owns 51% of the joint venture and Regina Miracle owns the remaining 49%. The Company received $45 million in cash from Regina Miracle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and Combined Statement of Cash Flows.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Since the Company has retained control over the joint venture, the joint venture's assets, liabilities and results of operations will continue to be consolidated in the Company's consolidated financial statements. Regina Miracle's interest in the joint venture is now reflected in Noncontrolling Interest in the consolidated balance sheet and in Net Loss Attributable to Noncontrolling Interest in the consolidated statement of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Earnings per basic share is computed based on the weighted-average number of common shares outstanding. Earnings per diluted share include the weighted-average effect of dilutive restricted stock and options on the weighted-average shares outstanding.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per share for the first quarter of 2022 and 2021:</w:t>
      </w:r>
    </w:p>
    <w:p>
      <w:pPr>
        <w:spacing w:after="0" w:line="6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9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29"/>
        </w:trPr>
        <w:tc>
          <w:tcPr>
            <w:tcW w:w="9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Options and Restricted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Options and Awards (a)</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8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and awards were excluded from the calculation of diluted earnings per share because their inclusion would have been anti-dilutive.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Repurchases</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2022, upon final settlement of the Company's December 2021 accelerated share repurchase agreement (“ASR Agreement”) with Goldman Sachs &amp; Co. LLC (“Goldman Sachs”), the Company received an additional 0.3 million shares of the Company's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2022, the Company's Board of Directors approved a new share repurchase program (“March 2022 Share Repurchase Program”), providing for the repurchase of up to $250 million of the Company's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during the first quarter of 2022 under its March 2022 Share Repurchase Program: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March 2022 Share Repurchase Program has $141 million remaining as of April 30, 2022.</w:t>
      </w:r>
    </w:p>
    <w:p>
      <w:pPr>
        <w:spacing w:after="0" w:line="10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Subsequent to April 30, 2022, the Company repurchased an additional 0.5 million shares for $23 million through June 2, 2022 under the March 2022 Share Repurchase Program.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 Retirements</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February 2022, the Company immediately retired the additional 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Board of Directors' resolution, shares of common stock repurchased under the March 2022 Share Repurchase Program will be retired and cancelled upon repurchase. As a result, the Company retired the 2.2 million shares repurchased under the March 2022 Share Repurchase Program, which resulted in reductions of less than $1 million in the par value of Common Stock, $4 million in Paid-in Capital and $105 million in Retained Earnings.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April 30, 2022, January 29, 2022 and May 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April 30, 2022, January 29, 2022 and May 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13"/>
                <w:szCs w:val="13"/>
                <w:color w:val="auto"/>
              </w:rPr>
            </w:pPr>
          </w:p>
        </w:tc>
        <w:tc>
          <w:tcPr>
            <w:tcW w:w="11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6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8"/>
              </w:rPr>
              <w:t>3,774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57"/>
              <w:spacing w:after="0"/>
              <w:rPr>
                <w:sz w:val="20"/>
                <w:szCs w:val="20"/>
                <w:color w:val="auto"/>
              </w:rPr>
            </w:pPr>
            <w:r>
              <w:rPr>
                <w:rFonts w:ascii="Times New Roman" w:cs="Times New Roman" w:eastAsia="Times New Roman" w:hAnsi="Times New Roman"/>
                <w:sz w:val="18"/>
                <w:szCs w:val="18"/>
                <w:color w:val="auto"/>
              </w:rPr>
              <w:t>(2,738)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b w:val="1"/>
                <w:bCs w:val="1"/>
                <w:color w:val="auto"/>
                <w:w w:val="98"/>
              </w:rPr>
              <w:t>1,036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$70 million and $80 million for the first quarter of 2022 and 2021,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April 30, 2022, January 29,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13"/>
                <w:szCs w:val="1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6740" w:type="dxa"/>
            <w:vAlign w:val="bottom"/>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Retirement Plan</w:t>
            </w:r>
          </w:p>
        </w:tc>
        <w:tc>
          <w:tcPr>
            <w:tcW w:w="102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Post-Separation, the Company is filing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adjusted as necessary for quarterly events.</w:t>
      </w:r>
    </w:p>
    <w:p>
      <w:pPr>
        <w:spacing w:after="0" w:line="10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For the first quarter of 2022, the Company’s effective tax rate was 2.4% compared to 22.5% in the first quarter of 2021. Both rates were lower than the Company's combined estimated federal and state statutory rate primarily due to the recognition of excess tax benefits related to share-based awards that vested in the respective quarter.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in the amount of $10 million and $1 million for the first quarter of 2022 and 2021, respectively.</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August 2, 2021,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Distribution Date. As such, the net liabilities associated with uncertain tax positions that were presented in the financial statements in prior periods on a carve-out basis were not transferred to the Company as part of the Separation.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debt balance, net of unamortized debt issuance costs and discounts, as of April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 and May 1,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80" w:type="dxa"/>
            <w:vAlign w:val="bottom"/>
          </w:tcPr>
          <w:p>
            <w:pPr>
              <w:spacing w:after="0"/>
              <w:rPr>
                <w:sz w:val="13"/>
                <w:szCs w:val="13"/>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$398 million Term Loan due August 2028 ("Term Loan Facility")</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6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 million in the first quarter of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w:t>
      </w:r>
    </w:p>
    <w:p>
      <w:pPr>
        <w:spacing w:after="0" w:line="5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August 2, 2021, the Company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April 30, 2022 and January 29, 2022 Consolidated and Combined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2, 2021, the Company entered into a term loan B credit facility in an aggregate principal amount of $400 million (the "Term Loan Facility"), which will mature in August 2028. Commencing in December 2021, the Company will make quarterly principal payments on the Term Loan Facility in an amount equal to 0.25% of the original principal amount of $400 million. The Company made a principal payment of $1 million for the Term Loan Facility during the first quarter of 2022.</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guarantors that do not constitute priority collateral of the asset-based revolving credit facility and on a second-priority lien basis by priority collateral of the asset-based revolving credit facility, subject to customary exceptions.</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2, 2021, the Company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reporting period ending April 30, 2022, the Company's borrowing base was $651 million and there were no borrowings outstanding under the ABL Facility. The Company had $40 million of outstanding letters of credit as of April 30, 2022 that reduced its availability under the ABL Facility.</w:t>
      </w:r>
    </w:p>
    <w:p>
      <w:pPr>
        <w:spacing w:after="0" w:line="4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August 2, 2021, 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April 30, 2022 and January 29, 2022 Consolidated and Combined Balance Sheets.</w:t>
      </w:r>
    </w:p>
    <w:p>
      <w:pPr>
        <w:spacing w:after="0" w:line="7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April 30, 2022,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China subsidiaries previously utilized revolving and term loan bank facilities to support their operations ("Foreign Facilities"). As of May 1, 2021, there were no borrowings outstanding under the Foreign Facilities. During the second quarter of 2021, with no borrowings outstanding, the Company terminated the Foreign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9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$1 million of interest expense during the first quarter of 2021 related to this borrowing.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publicly traded debt as of April 30, 2022, January 29, 2022 and May 1,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2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80" w:type="dxa"/>
            <w:vAlign w:val="bottom"/>
          </w:tcPr>
          <w:p>
            <w:pPr>
              <w:spacing w:after="0"/>
              <w:rPr>
                <w:sz w:val="13"/>
                <w:szCs w:val="13"/>
                <w:color w:val="auto"/>
              </w:rPr>
            </w:pPr>
          </w:p>
        </w:tc>
        <w:tc>
          <w:tcPr>
            <w:tcW w:w="11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6800" w:type="dxa"/>
            <w:vAlign w:val="bottom"/>
          </w:tcPr>
          <w:p>
            <w:pPr>
              <w:spacing w:after="0"/>
              <w:rPr>
                <w:sz w:val="17"/>
                <w:szCs w:val="17"/>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975</w:t>
            </w:r>
          </w:p>
        </w:tc>
        <w:tc>
          <w:tcPr>
            <w:tcW w:w="380" w:type="dxa"/>
            <w:vAlign w:val="bottom"/>
          </w:tcPr>
          <w:p>
            <w:pPr>
              <w:spacing w:after="0"/>
              <w:rPr>
                <w:sz w:val="20"/>
                <w:szCs w:val="20"/>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320" w:hanging="332"/>
        <w:spacing w:after="0" w:line="266" w:lineRule="auto"/>
        <w:tabs>
          <w:tab w:leader="none" w:pos="3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 (Loss)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the first quarter of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China joint venture agreement completed in April 2022, the Company reclassified $3 million of accumulated foreign currency translation adjustments related to the joint venture out of accumulated other comprehensive income and into Paid-in Capital in the first quarter of 2022 in order to reflect the amount attributable to the noncontrolling interest partner. For additional information see Note 4, "Restructuring Activities."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the first quarter of 2021:</w:t>
      </w:r>
    </w:p>
    <w:p>
      <w:pPr>
        <w:spacing w:after="0" w:line="5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30,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Retirement Benefits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$12 million and $10 million for the first quarter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Former Parent previously sponsored a non-qualified supplemental retirement plan. The non-qualified plan was an unfunded plan which provided benefits beyond the Internal Revenue Code limits for qualified defined contribution plans. On June 27, 2020, the Human Capital and Compensation Committee of the Former Parent's Board of Directors authorized the termination of the non-qualified plan. All benefits and obligations due under the non-qualified plan were fully paid during the second quarter of 2021. Total expense recognized related to the non-qualified plan was not significant for any period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Former Parent Derivative Lawsuits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the Company) and past and present employees, officers and directors, among others. As part of the settlement, the Former Parent (and its subsidiaries, including the Company) has agreed to implement certain management and governance measures, including the maintenance of a Diversity, Equity, and Inclusion Council. Following the Separation, the settlement terms apply to both the Former Parent and the Company. Each company has committed to invest $45 million over at least five years to fund the management and governance measures. The settlement was preliminarily approved on August 25, 2021, and a fairness hearing occurred on January 18, 2022. On May 16, 2022, the United States District Court of the Southern District of Ohio granted final approval of the settlement.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Occupancy-related Legal Matter</w:t>
      </w:r>
    </w:p>
    <w:p>
      <w:pPr>
        <w:spacing w:after="0" w:line="1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The Company has appealed this judgment; the appeal has not yet been decided by the appellate court.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plans to appeal the judgment. As of the end of the first quarter, we are fully accrued for both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the Company,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30"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from our Former Parent may not be tax-free for U.S. federal income tax purposes;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synergies from separating the businesses that could negatively impact our balance sheet, profit margins or earnings;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all of the expected benefits of the spin-off;</w:t>
      </w:r>
    </w:p>
    <w:p>
      <w:pPr>
        <w:spacing w:after="0" w:line="6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novel coronavirus (COVID-19) global pandemic has had and may continue to have an adverse effect on our business and results of operations;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mall traffic and the availability of suitable store locations on appropriate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through new store openings and existing store remodels;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57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environmental hazards or natural disasters;</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21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impacted areas;</w:t>
      </w:r>
    </w:p>
    <w:p>
      <w:pPr>
        <w:spacing w:after="0" w:line="1"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 including those caused by inflation;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technology platform rules or other obligations related to data privacy and security;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even if experience or future events make it clear that any expected results expressed or implied by those forward-looking statements will not be realized. Additional information regarding these and other factors can be found in “Item 1A. Risk Factors” in this Form 10-Q and in “Item 1A. Risk Factors” in our Annual Report on Form 10-K filed with the SEC on March 18, 2022.</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and Combined Financial Statements, which have been prepared in accordance with GAAP. The following information should be read in conjunction with our financial statements and the related notes included in Item 1.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Victoria’s Secret is an iconic global brand of women’s intimate and other apparel, personal care and beauty products. We sell our products primarily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Victoria’s Secret and PINK merchandise is sold online through our e-commerce platform, through retail stores located in the U.S., Canada and China, and through international stores and websites operated by partners under franchise, license, wholesale and joint venture arrangements. We have a presence in over 70 countries and we believe we benefit from global brand awareness, a wide and compelling product assortment and a powerful, deep connection with our customers.</w:t>
      </w:r>
    </w:p>
    <w:p>
      <w:pPr>
        <w:spacing w:after="0" w:line="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first quarter of 2022, our operating income was $94 million as compared to $226 million in first quarter of 2021, and our operating income rate was 6.3% as compared to 14.5% last year. The operating income decrease in the first quarter of 2022 as compared to the first quarter of 2021 was primarily driven by a decrease in net sales and merchandise margin as compared to the first quarter of 2021. Merchandise margin in the quarter as compared to last year decreased approximately $80 million as a result of incremental supply chain and inflationary cost pressures. Additionally, the decrease in net sales and merchandise margin in the quarter was driven by incremental net sales and merchandise margin recognized in the first quarter last year as a result of federal stimulus benefits. Net sales decreased $70 million, or 5%, to $1.484 billion compared to $1.554 billion in the first quarter of 2021. Our North American store sales decreased $2 million, to $931 million compared to $933 million in the first quarter of 2021. In our North American stores, an increase in traffic in the first quarter of 2022 as compared to the first quarter of 2021 was offset by a decrease in conversion (which we define as the percentage of customers who visit our stores and make a purchase). Our direct channel sales decreased by 19%, or $100 million, to $421 million compared to $521 million in the first quarter of 2021, primarily due to a decline in traffic and average unit retail (which we define as the average price per unit purchased).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remain committed to our brand transformation focused on evolving our positioning and promoting inclusivity and diversity, which we believe will allow us to attract new customers while also deepening our connection with existing ones. We will continue our advocacy for women, our commitment to being best at bras, and our focus on enhancing the customer experience. We plan to continue to enhance our omni-channel capabilities and personalization, increase our "store of the future" footprint and expand internationally into new markets while growing our digital presence. We will continue to search for new growth opportunities, including new brands we develop as well as partnerships with existing brands that help us attract new customers and better meet the needs of existing ones. This will include continuing to partner and invest in women-led companies that are potential sources of growth, either in revenue or customer goodwill, or both.</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continue to focus on maximizing our performance and leveraging the strength of our brands and connection to our customers. Despite the supply chain cost and macroeconomic pressures we expect to continue to face, we are confident in our opportunities and remain committed to delivering long-term sustainable value for our shareholders.</w:t>
      </w:r>
    </w:p>
    <w:p>
      <w:pPr>
        <w:spacing w:after="0" w:line="54" w:lineRule="exact"/>
        <w:rPr>
          <w:sz w:val="20"/>
          <w:szCs w:val="20"/>
          <w:color w:val="auto"/>
        </w:rPr>
      </w:pPr>
    </w:p>
    <w:p>
      <w:pPr>
        <w:ind w:right="3200"/>
        <w:spacing w:after="0" w:line="367"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first quarter 2022 financial performance, see “Results of Operations.” </w:t>
      </w:r>
      <w:r>
        <w:rPr>
          <w:rFonts w:ascii="Times New Roman" w:cs="Times New Roman" w:eastAsia="Times New Roman" w:hAnsi="Times New Roman"/>
          <w:sz w:val="18"/>
          <w:szCs w:val="18"/>
          <w:b w:val="1"/>
          <w:bCs w:val="1"/>
          <w:i w:val="1"/>
          <w:iCs w:val="1"/>
          <w:color w:val="auto"/>
        </w:rPr>
        <w:t>Impacts of Victoria's Secret Spin-Off</w:t>
      </w:r>
    </w:p>
    <w:p>
      <w:pPr>
        <w:spacing w:after="0" w:line="1" w:lineRule="exact"/>
        <w:rPr>
          <w:sz w:val="20"/>
          <w:szCs w:val="20"/>
          <w:color w:val="auto"/>
        </w:rPr>
      </w:pPr>
    </w:p>
    <w:p>
      <w:pPr>
        <w:jc w:val="both"/>
        <w:ind w:right="380"/>
        <w:spacing w:after="0" w:line="282" w:lineRule="auto"/>
        <w:rPr>
          <w:sz w:val="20"/>
          <w:szCs w:val="20"/>
          <w:color w:val="auto"/>
        </w:rPr>
      </w:pPr>
      <w:r>
        <w:rPr>
          <w:rFonts w:ascii="Times New Roman" w:cs="Times New Roman" w:eastAsia="Times New Roman" w:hAnsi="Times New Roman"/>
          <w:sz w:val="18"/>
          <w:szCs w:val="18"/>
          <w:color w:val="auto"/>
        </w:rPr>
        <w:t>The spin-off of Victoria’s Secret &amp; Co. into an independent, publicly traded company was completed on August 2, 2021. We believe the spin-off will enable us to maximize management focus and financial flexibility to thrive in an evolving retail environment and deliver long-term profitable growth.</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expect incremental, future capital and expense related to the implementation of new information technology platforms. We currently estimate that our total incremental expenditures could be $100 million to $150 million over the next several years. These estimated costs will consist of internal and external labor, software licensing, networking, security and physical infrastructure required to separate the current information technology capabilities (systems and infrastructure) in support of two independent companies. Such estimates are subject to change as our work continues. We will provide technology services to the Former Parent under the transition services agreements while independent systems</w:t>
      </w:r>
    </w:p>
    <w:p>
      <w:pPr>
        <w:spacing w:after="0" w:line="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environments are created, which we believe will help to minimize dis-synergies. The above estimates are preliminary in nature, are based solely on information available to us as of the date of this quarterly report and are inherently uncertain and subject to 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of COVID-19</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coronavirus pandemic has created significant public health concerns as well as economic disruption, uncertainty and volatility. We remain focused on the safe operation of our business, including our stores, distribution, fulfillment and call centers. There remains the potential for COVID-19-related risks of closure or operating restrictions, as well as risks related to delays or disruptions in our supply chain and related pricing impacts, which could materially impact our operations and financial performance in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statements for periods through the Separation date of August 2, 2021 are combined financial statements prepared on a “carve-out” basis,</w:t>
      </w:r>
    </w:p>
    <w:p>
      <w:pPr>
        <w:spacing w:after="0" w:line="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which reflects the business as historically managed within the Former Parent. The balance sheets and cash flows for the periods prior to the Separation include only those assets and liabilities directly related to the Victoria’s Secret business, and the statements of income include the historically reported results of the Victoria’s Secret business along with allocations of a portion of the Former Parent's total corporate expenses. Our financial statements for the period from August 3, 2021 through April 30, 2022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Financial Information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Form 10-Q, provided below are non-GAAP financial measures that present operating income, net income attributable to Victoria's Secret &amp; Co., and net income per diluted share attributable to Victoria's Secret &amp; Co.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9080" w:type="dxa"/>
            <w:vAlign w:val="bottom"/>
            <w:tcBorders>
              <w:bottom w:val="single" w:sz="8" w:color="CCEEFF"/>
            </w:tcBorders>
            <w:gridSpan w:val="4"/>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4620" w:type="dxa"/>
            <w:vAlign w:val="bottom"/>
            <w:tcBorders>
              <w:bottom w:val="single" w:sz="8" w:color="CCEEFF"/>
            </w:tcBorders>
            <w:gridSpan w:val="3"/>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Attributable to Victoria's Secret &amp; Co.</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Attributable to Victoria's Secret &amp; Co. - GAAP</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Per Diluted Share Attributable to Victoria's Secret &amp; Co.</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Per Diluted Share Attributable to Victoria's Secret &amp; Co. - GAAP</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Occupancy-related Legal Matter (a)</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80" w:hanging="652"/>
        <w:spacing w:after="0" w:line="255" w:lineRule="auto"/>
        <w:tabs>
          <w:tab w:leader="none" w:pos="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we recognized a pre-tax charge of $22 million ($16 million after-tax), included in buying and occupancy expense, related to a legal matter with a landlord regarding a high-profile store that we surrendered to the landlord prior to the Separation. For additional information see Note 14, "Commitments and Contingencies" included in Item 1.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2022 U.S. company-operated store data to the first quarter of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6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9"/>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8"/>
              </w:rPr>
              <w:t>Stores at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Reclassed to</w:t>
            </w:r>
          </w:p>
        </w:tc>
        <w:tc>
          <w:tcPr>
            <w:tcW w:w="14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00" w:type="dxa"/>
            <w:vAlign w:val="bottom"/>
          </w:tcPr>
          <w:p>
            <w:pPr>
              <w:spacing w:after="0"/>
              <w:rPr>
                <w:sz w:val="17"/>
                <w:szCs w:val="17"/>
                <w:color w:val="auto"/>
              </w:rPr>
            </w:pP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Joint Venture (a)</w:t>
            </w:r>
          </w:p>
        </w:tc>
        <w:tc>
          <w:tcPr>
            <w:tcW w:w="14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CCEEFF"/>
            </w:tcBorders>
            <w:gridSpan w:val="5"/>
          </w:tcPr>
          <w:p>
            <w:pPr>
              <w:ind w:left="9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5"/>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5"/>
          </w:tcPr>
          <w:p>
            <w:pPr>
              <w:ind w:left="9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________________</w:t>
            </w: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46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41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Includes eight partner-operated stores.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January 30, 2021</w:t>
            </w:r>
          </w:p>
        </w:tc>
        <w:tc>
          <w:tcPr>
            <w:tcW w:w="200" w:type="dxa"/>
            <w:vAlign w:val="bottom"/>
          </w:tcPr>
          <w:p>
            <w:pPr>
              <w:spacing w:after="0"/>
              <w:rPr>
                <w:sz w:val="17"/>
                <w:szCs w:val="17"/>
                <w:color w:val="auto"/>
              </w:rPr>
            </w:pPr>
          </w:p>
        </w:tc>
        <w:tc>
          <w:tcPr>
            <w:tcW w:w="1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May 1, 2021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gridSpan w:val="5"/>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460" w:type="dxa"/>
            <w:vAlign w:val="bottom"/>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China - Beauty &amp; Accessories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 Full Assortment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4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5"/>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4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w w:val="98"/>
              </w:rPr>
              <w:t>1,391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2022 Compared to First Quarter of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first quarter of 2022, operating income decreased $132 million, to $94 million, compared to operating income of $226 million in the first quarter of 2021, and the operating income rate (expressed as a percentage of net sales) decreased to 6.3% from 14.5%. The drivers of the operating income results are discussed in the following sections.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first quarter of 2022 in comparison to the first quarter of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66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931</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1,484</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1880" w:firstLine="8"/>
        <w:spacing w:after="0" w:line="314" w:lineRule="auto"/>
        <w:tabs>
          <w:tab w:leader="none" w:pos="6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The following table provides a reconciliation of net sales for the first quarter of 2022 to the first quarter of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 Net Sales</w:t>
            </w:r>
          </w:p>
        </w:tc>
        <w:tc>
          <w:tcPr>
            <w:tcW w:w="96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Comparable Store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Direct Channel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9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Other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 Net Sales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2022 comparable sales to the first quarter of 2021:</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0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020" w:type="dxa"/>
            <w:vAlign w:val="bottom"/>
            <w:gridSpan w:val="2"/>
          </w:tcPr>
          <w:p>
            <w:pPr>
              <w:ind w:left="8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in the first quarter of 2022 as compared to the first quarter of 2021 were impacted by incremental net sales recognized in the first quarter last year as a result of federal stimulus benefits.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$2 million to $931 million as compared to the first quarter of 2021 as an increase in traffic was offset by a decrease in conversion. Net sales in stores outside of North America increased in the first quarter of 2022 compared to the first quarter of 2021 as a result of fewer COVID-19-related store restrictions.</w:t>
      </w:r>
    </w:p>
    <w:p>
      <w:pPr>
        <w:spacing w:after="0" w:line="54" w:lineRule="exact"/>
        <w:rPr>
          <w:sz w:val="20"/>
          <w:szCs w:val="20"/>
          <w:color w:val="auto"/>
        </w:rPr>
      </w:pPr>
    </w:p>
    <w:p>
      <w:pPr>
        <w:ind w:right="1120"/>
        <w:spacing w:after="0" w:line="360" w:lineRule="auto"/>
        <w:rPr>
          <w:sz w:val="20"/>
          <w:szCs w:val="20"/>
          <w:color w:val="auto"/>
        </w:rPr>
      </w:pPr>
      <w:r>
        <w:rPr>
          <w:rFonts w:ascii="Times New Roman" w:cs="Times New Roman" w:eastAsia="Times New Roman" w:hAnsi="Times New Roman"/>
          <w:sz w:val="18"/>
          <w:szCs w:val="18"/>
          <w:color w:val="auto"/>
        </w:rPr>
        <w:t xml:space="preserve">In the direct channel, net sales decreased $100 million, or 19%, to $421 million, primarily due to a decrease in traffic and average unit retail. </w:t>
      </w:r>
      <w:r>
        <w:rPr>
          <w:rFonts w:ascii="Times New Roman" w:cs="Times New Roman" w:eastAsia="Times New Roman" w:hAnsi="Times New Roman"/>
          <w:sz w:val="18"/>
          <w:szCs w:val="18"/>
          <w:b w:val="1"/>
          <w:bCs w:val="1"/>
          <w:color w:val="auto"/>
        </w:rPr>
        <w:t>Gross Profit</w:t>
      </w:r>
    </w:p>
    <w:p>
      <w:pPr>
        <w:ind w:right="640"/>
        <w:spacing w:after="0" w:line="282" w:lineRule="auto"/>
        <w:rPr>
          <w:sz w:val="20"/>
          <w:szCs w:val="20"/>
          <w:color w:val="auto"/>
        </w:rPr>
      </w:pPr>
      <w:r>
        <w:rPr>
          <w:rFonts w:ascii="Times New Roman" w:cs="Times New Roman" w:eastAsia="Times New Roman" w:hAnsi="Times New Roman"/>
          <w:sz w:val="18"/>
          <w:szCs w:val="18"/>
          <w:color w:val="auto"/>
        </w:rPr>
        <w:t>For the first quarter of 2022, our gross profit decreased $150 million compared to the first quarter of 2021 to $522 million, and our gross profit rate (expressed as a percentage of net sales) decreased to 35.1% from 43.2%.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gross profit decrease was due to the decrease in merchandise margin dollars related to the decrease in net sales and incremental supply chain and inflationary cost pressures of approximately $80 million. Additionally, the decrease in net sales and merchandise margin in the quarter was driven by incremental net sales and merchandise margin recognized in the first quarter last year as a result of federal stimulus benefits.</w:t>
      </w:r>
    </w:p>
    <w:p>
      <w:pPr>
        <w:spacing w:after="0" w:line="4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gross profit rate decrease was driven by a decrease in the merchandise margin rate reflecting lower net sales and increased supply chain and inflationary cost pressures, and slight buying and occupancy expense deleverage driven by the decrease in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first quarter of 2022, our general, administrative and store operating expenses decreased $18 million, or 4%, compared to the first quarter of 2021 to $428 million due to lower incentive compensation and selling expenses.</w:t>
      </w:r>
    </w:p>
    <w:p>
      <w:pPr>
        <w:spacing w:after="0" w:line="4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increased to 28.8% from 28.7% due to slight deleverage driven by the decrease in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For the first quarter of 2022, our interest expense increased $11 million to $12 million compared to the first quarter of 2021, driven by the increase in our outstanding debt during 2021 due to the issuance of the 2029 Notes in July 2021 and entering into the Term Loan Facility upon Separation in August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For the first quarter of 2022, the Company's effective tax rate was 2.4% compared to 22.5% in the first quarter of 2021. Both rates were lower than the Company's combined estimated federal and state statutory rate primarily due to the recognition of excess tax benefits related to share-based awards that vested in the respective quarter.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cash and cash equivalents held by the Former Parent at the corporate level prior to the Separation were not specifically identifiable to us and, therefore, were not reflected in the Consolidated and Combined Balance Sheets. The Former Parent's third-party long-term debt and the related interest expense were not allocated to us for any of the periods presented prior to the Separation as we were not the legal obligor of such debt.</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dependent upon our ability to continue to generate positive cash flow from operations, and on our ability to maintain our debt financing on acceptable terms. Based upon our history of generating positive cash flows, we believe we will be able to meet our short-term liquidity needs. Management believes that our cash balances and funds provided by operating activities, along with borrowing capacity and access to capital markets, taken as a whole, provide (i) adequate liquidity to meet all of our current and long-term obligations when due, including third-party debt that we incurred in connection with the Separation, (ii) adequate liquidity to fund capital expenditures, and (iii) flexibility to meet investment opportunities that may arise. However, there can be no assurances that we will be able to obtain additional debt or equity financing on acceptable terms in the future.</w:t>
      </w:r>
    </w:p>
    <w:p>
      <w:pPr>
        <w:spacing w:after="0" w:line="57"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requirements over the next 12 months.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 and Capitalization</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history of generating positive cash flows, we believe we will be able to continue to meet our working capital needs.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for the periods post-Separation as of April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3"/>
                <w:szCs w:val="13"/>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5"/>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April 30, 2022 amounts represent a thirteen-week period and the January 29, 2022 amounts represent a fifty-two-week period.</w:t>
      </w:r>
    </w:p>
    <w:p>
      <w:pPr>
        <w:spacing w:after="0" w:line="9" w:lineRule="exact"/>
        <w:rPr>
          <w:rFonts w:ascii="Times New Roman" w:cs="Times New Roman" w:eastAsia="Times New Roman" w:hAnsi="Times New Roman"/>
          <w:sz w:val="18"/>
          <w:szCs w:val="18"/>
          <w:color w:val="auto"/>
        </w:rPr>
      </w:pPr>
    </w:p>
    <w:p>
      <w:pPr>
        <w:ind w:left="660" w:right="80" w:hanging="652"/>
        <w:spacing w:after="0" w:line="255"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periods ending April 30, 2022 and January 29, 2022, our borrowing base was $651 million and $564 million, respectively, and there were no borrowings outstanding under the ABL Facility for either period. We had outstanding letters of credit, which reduce our availability under the ABL Facility, of $40 million as of April 30, 2022 and $41 million as of January 29,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first quarter of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(used for) operating activities reflects net income adjusted for non-cash items, including depreciation, share-based compensation expense and deferred tax expense, as well as changes in working capital. Net cash used for operating activities in the first quarter of 2022 was $146 million, a decrease in net cash flows from operating activities of $248 million compared to the first quarter of 2021. The decrease in net cash from operating activities in the first quarter of 2022 was primarily driven by higher cash outflows associated with working capital changes and lower net income. The most significant working capital driver resulting in the decrease in operating cash flows is our increased inventory levels, primarily driven by higher cost of goods due to supply chain cost pressures and longer in-transit shipment times which we began to experience in the third and fourth quarter of 2021, and the associated impact on accounts payable due to the timing of payments for inventory.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2022 was $48 million, consisting primarily of capital expenditures of $21 million and our $18 million investment in Frankies Bikinis. The capital expenditures were primarily related to our store refresh program and technology to support our retail capabilities and general infrastructure needs as we separate into a standalone company.</w:t>
      </w:r>
    </w:p>
    <w:p>
      <w:pPr>
        <w:spacing w:after="0" w:line="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2021 was $19 million for capital expenditures. The capital expenditures were primarily related to spending on technology and logistics to support our digital business and other retail capabilities.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2022 was $91 million, consisting primarily of $109 million of share repurchases and $38 million of payments for taxes on share-based compensation awards issued, partially offset by $55 million of cash received from Regina Miracle in connection with the joint venture agreement completed in April 2022.</w:t>
      </w:r>
    </w:p>
    <w:p>
      <w:pPr>
        <w:spacing w:after="0" w:line="54" w:lineRule="exact"/>
        <w:rPr>
          <w:sz w:val="20"/>
          <w:szCs w:val="20"/>
          <w:color w:val="auto"/>
        </w:rPr>
      </w:pPr>
    </w:p>
    <w:p>
      <w:pPr>
        <w:ind w:right="2200"/>
        <w:spacing w:after="0" w:line="360" w:lineRule="auto"/>
        <w:rPr>
          <w:sz w:val="20"/>
          <w:szCs w:val="20"/>
          <w:color w:val="auto"/>
        </w:rPr>
      </w:pPr>
      <w:r>
        <w:rPr>
          <w:rFonts w:ascii="Times New Roman" w:cs="Times New Roman" w:eastAsia="Times New Roman" w:hAnsi="Times New Roman"/>
          <w:sz w:val="18"/>
          <w:szCs w:val="18"/>
          <w:color w:val="auto"/>
        </w:rPr>
        <w:t xml:space="preserve">Net cash used for financing activities in the first quarter of 2021 was $88 million related to net transfers to the Former Parent. </w:t>
      </w:r>
      <w:r>
        <w:rPr>
          <w:rFonts w:ascii="Times New Roman" w:cs="Times New Roman" w:eastAsia="Times New Roman" w:hAnsi="Times New Roman"/>
          <w:sz w:val="18"/>
          <w:szCs w:val="18"/>
          <w:b w:val="1"/>
          <w:bCs w:val="1"/>
          <w:color w:val="auto"/>
        </w:rPr>
        <w:t>Common Stock Share Repurchases</w:t>
      </w: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will determine share repurchase authorizations, giving consideration to our levels of profit and cash flow, capital requirements, current and forecasted liquidity, the restrictions placed upon us by our borrowing arrangements and the Tax Matters Agreement with the Former Parent, as well as financial and other conditions existing at the time. We use cash flow generated from operating activities to fund our share repurchase programs. The timing and amount of any repurchases will be made at our discretion, taking into account a number of factors, including market conditions.</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February 2022, upon final settlement of our December 2021 ASR Agreement with Goldman Sachs, we received an additional 0.3 million shares of our common stock from Goldman Sachs. The delivery of shares resulted in an immediate reduction of the outstanding shares used to calculate the weighted-average common shares outstanding for basic and diluted net income per share. In connection with the settlement of the ASR Agreement, $50 million previously recorded in Paid-in Capital as of January 29, 2022, was reclassified to Treasury Stock as of April 30, 2022.</w:t>
      </w:r>
    </w:p>
    <w:p>
      <w:pPr>
        <w:spacing w:after="0" w:line="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2022, our Board of Directors approved a new share repurchase program (“March 2022 Share Repurchase Program”), providing for the repurchase of up to $250 million of our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during the first quarter of 2022 under our March 2022 Share Repurchase Program:</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March 2022 Share Repurchase Program has $141 million remaining as of April 30, 2022.</w:t>
      </w:r>
    </w:p>
    <w:p>
      <w:pPr>
        <w:spacing w:after="0" w:line="10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Subsequent to April 30, 2022, we repurchased an additional 0.5 million shares for $23 million through June 2, 2022 under the March 2022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 Retirements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February 2022, we immediately retired the additional 0.3 million shares repurchased in connection with the settlement of the ASR Agreement. The retirement resulted in a reduction of $50 million in Treasury Stock, less than $1 million in the par value of Common Stock, less than $1 million in Paid-in Capital and nearly $50 million in Retained Earnings.</w:t>
      </w:r>
    </w:p>
    <w:p>
      <w:pPr>
        <w:spacing w:after="0" w:line="4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accordance with the Board of Directors' resolution, shares of common stock repurchased under the March 2022 Share Repurchase Program will be retired and cancelled upon repurchase. As a result, we retired the 2.2 million shares repurchased under the March 2022 Share Repurchase Program, which resulted in reductions of less than $1 million in the par value of Common Stock, $4 million in Paid-in Capital and $105 million in Retained Earnings.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the Separation. We cannot guarantee that we will pay a dividend in the future or continue to pay any dividends if and when we commence paying dividends.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would use cash flow generated from operating and financing activities to fund our dividends.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following table provides our outstanding debt balance, net of unamortized debt issuance costs and discounts, as of April 30, 2022, January 29, 2022 and May 1, 2021:</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8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May 1,</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$398 million Term Loan due August 2028 ("Term Loan Facility")</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0" w:type="dxa"/>
            <w:vAlign w:val="bottom"/>
          </w:tcPr>
          <w:p>
            <w:pPr>
              <w:spacing w:after="0"/>
              <w:rPr>
                <w:sz w:val="16"/>
                <w:szCs w:val="16"/>
                <w:color w:val="auto"/>
              </w:rPr>
            </w:pPr>
          </w:p>
        </w:tc>
        <w:tc>
          <w:tcPr>
            <w:tcW w:w="70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due to Former Parent</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 million in the first quarter of 2022.</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w:t>
      </w:r>
    </w:p>
    <w:p>
      <w:pPr>
        <w:spacing w:after="0" w:line="5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 The issuance costs are being amortized through the maturity date and are included within Long-term Debt on the April 30, 2022 and January 29, 2022 Consolidated and Combined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7"/>
          <w:szCs w:val="17"/>
          <w:color w:val="auto"/>
        </w:rPr>
        <w:t>On August 2, 2021, we entered into a term loan B credit facility in an aggregate principal amount of $400 million (the "Term Loan Facility"), which will mature in August 2028. Commencing in December 2021, we will make quarterly principal payments on the Term Loan Facility in an amount equal to 0.25% of the original principal amount of $400 million. We made a principal payment of $1 million for the Term Loan Facility during the first quarter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guarantors that do not constitute priority collateral of the asset-based revolving credit facility and on a second-priority lien basis by priority collateral of the asset-based revolving credit facility,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2, 2021, we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our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reporting period ending April 30, 2022, our borrowing base was $651 million and there were no borrowings outstanding under the ABL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$40 million of outstanding letters of credit as of April 30, 2022 that reduced our availability under the ABL Facility.</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August 2, 2021, 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 The discounts and issuance costs from the Term Loan Facility are being amortized through the maturity date and are included within Long-term Debt on the April 30, 2022 and January 29, 2022 Consolidated and Combined Balance Sheets.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April 30, 2022, we were in compliance with all covenants under our long-term debt and borrowing facilities.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Facilities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of our China subsidiaries previously utilized revolving and term loan bank facilities to support their operations ("Foreign Facilities"). As of May 1, 2021, there were no borrowings outstanding under the Foreign Facilities. During the second quarter of 2021, with no borrowings outstanding, we terminated the Foreign Facilities.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due to Former Parent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$1 million of interest expense during the first quarter of 2021 related to this borrowing.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97"/>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April 30, 2022:</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6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29, 2022, as discussed in “Contingent Liabilities and Contractual Obligations” in our Annual Report on Form 10-K filed with the SEC on March 18, 2022.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did not adopt any new accounting standards during the first quarter of 2022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and estimates disclosed in our Annual Report on Form 10-K filed with the SEC on March 18, 2022.</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April 30, 2022, our investment portfolio is primarily comprised of bank deposits. Prior to the Separation, cash generated by us was invested by the Former Parent in U.S. government obligations and U.S. Treasury and AAA-rated money market funds. Given the short-term nature and quality of investments in our portfolio, we do not believe there is any material risk to principal associated with increases or decreases in interest rates.</w:t>
      </w:r>
    </w:p>
    <w:p>
      <w:pPr>
        <w:spacing w:after="0" w:line="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long-term debt as of April 30, 2022 consists of the 2029 Notes, which have a fixed interest rate, and the $398 million Term Loan Facility, which has a variable interest rate based on either the LIBOR or an alternate base rate. Our exposure to interest rate changes is limited to the fair value of the debt issued as well as the interest we pay on the Term Loan Facility, which would not have a material impact on our earnings or cash flows.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publicly traded debt as of April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2022 and May 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6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60" w:type="dxa"/>
            <w:vAlign w:val="bottom"/>
          </w:tcPr>
          <w:p>
            <w:pPr>
              <w:spacing w:after="0"/>
              <w:rPr>
                <w:sz w:val="13"/>
                <w:szCs w:val="13"/>
                <w:color w:val="auto"/>
              </w:rPr>
            </w:pPr>
          </w:p>
        </w:tc>
        <w:tc>
          <w:tcPr>
            <w:tcW w:w="10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May 1,</w:t>
            </w:r>
          </w:p>
        </w:tc>
      </w:tr>
      <w:tr>
        <w:trPr>
          <w:trHeight w:val="196"/>
        </w:trPr>
        <w:tc>
          <w:tcPr>
            <w:tcW w:w="7000" w:type="dxa"/>
            <w:vAlign w:val="bottom"/>
          </w:tcPr>
          <w:p>
            <w:pPr>
              <w:spacing w:after="0"/>
              <w:rPr>
                <w:sz w:val="17"/>
                <w:szCs w:val="17"/>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999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975</w:t>
            </w:r>
          </w:p>
        </w:tc>
        <w:tc>
          <w:tcPr>
            <w:tcW w:w="360" w:type="dxa"/>
            <w:vAlign w:val="bottom"/>
          </w:tcPr>
          <w:p>
            <w:pPr>
              <w:spacing w:after="0"/>
              <w:rPr>
                <w:sz w:val="20"/>
                <w:szCs w:val="20"/>
                <w:color w:val="auto"/>
              </w:rPr>
            </w:pPr>
          </w:p>
        </w:tc>
        <w:tc>
          <w:tcPr>
            <w:tcW w:w="10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April 30, 2022, we believe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April 30, 2022, our investment portfolio is primarily comprised of bank deposits. Prior to the Separation, cash generated by us was invested by the Former Parent in U.S. government obligations and U.S. Treasury and AAA-rated money market funds. We also periodically review the relative credit standing of franchise, license and wholesale partners and other entities to which we grant credit terms in the normal course of business.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of the end of the period covered by this report, we carried out an evaluation, under the supervision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2" w:lineRule="exact"/>
        <w:rPr>
          <w:sz w:val="20"/>
          <w:szCs w:val="20"/>
          <w:color w:val="auto"/>
        </w:rPr>
      </w:pPr>
    </w:p>
    <w:p>
      <w:pPr>
        <w:ind w:right="480" w:firstLine="8"/>
        <w:spacing w:after="0" w:line="26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w:t>
      </w:r>
    </w:p>
    <w:p>
      <w:pPr>
        <w:spacing w:after="0" w:line="44" w:lineRule="exact"/>
        <w:rPr>
          <w:sz w:val="20"/>
          <w:szCs w:val="20"/>
          <w:color w:val="auto"/>
        </w:rPr>
      </w:pPr>
    </w:p>
    <w:p>
      <w:pPr>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us) and past and present employees, officers and directors, among others. As part of the settlement, the Former Parent (and its subsidiaries, including us) has agreed to implement certain management and governance measures, including the maintenance of a Diversity, Equity, and Inclusion Council. Following the Separation, the settlement terms apply to both the Former Parent and us. Each company has committed to invest $45 million over at least five years to fund the management and governance measures. The settlement was preliminarily approved on August 25, 2021, and a fairness hearing occurred on January 18, 2022. On May 16, 2022, the United States District Court of the Southern District of Ohio granted final approval of the settlement.</w:t>
      </w:r>
    </w:p>
    <w:p>
      <w:pPr>
        <w:spacing w:after="0" w:line="21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2021 Annual Report on Form 10-K filed with the SEC on March 18, 2022. There have been no material changes to the risk factors from those described in the 2021 Annual Report on Form 10-K. We wish to caution the reader that the risk factors discussed in “Item 1A. Risk Factors” in our 2021 Annual Report on Form 10-K and those described in this report or other SEC filings could cause actual results to differ materially from those stated in any forward-looking statements.</w:t>
      </w:r>
    </w:p>
    <w:p>
      <w:pPr>
        <w:spacing w:after="0" w:line="37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first quarter of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24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Maximum Number of Shares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740" w:type="dxa"/>
            <w:vAlign w:val="bottom"/>
            <w:gridSpan w:val="2"/>
          </w:tcPr>
          <w:p>
            <w:pPr>
              <w:jc w:val="center"/>
              <w:ind w:left="39"/>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2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Programs</w:t>
            </w:r>
          </w:p>
        </w:tc>
        <w:tc>
          <w:tcPr>
            <w:tcW w:w="300" w:type="dxa"/>
            <w:vAlign w:val="bottom"/>
          </w:tcPr>
          <w:p>
            <w:pPr>
              <w:spacing w:after="0"/>
              <w:rPr>
                <w:sz w:val="12"/>
                <w:szCs w:val="12"/>
                <w:color w:val="auto"/>
              </w:rPr>
            </w:pPr>
          </w:p>
        </w:tc>
        <w:tc>
          <w:tcPr>
            <w:tcW w:w="24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 Program</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3"/>
          </w:tcPr>
          <w:p>
            <w:pPr>
              <w:jc w:val="right"/>
              <w:ind w:right="19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5"/>
              </w:rPr>
              <w:t>(b)</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3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3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payments due upon vesting of employee restricted stock awards and the use of our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60" w:right="220" w:hanging="652"/>
        <w:spacing w:after="0" w:line="255"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purchased in February 2022 includes the delivery of 0.317 million shares pursuant to the ASR Agreement discussed in Note 5, “Earnings Per Share and Shareholders' Equity” included in Item 1. Financial Statements. The average price paid per share, including any broker commissions, in February 2022 for shares not purchased pursuant to the ASR Agreement was $57.49.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4"/>
            <w:shd w:val="clear" w:color="auto" w:fill="CCEEFF"/>
          </w:tcPr>
          <w:p>
            <w:pPr>
              <w:ind w:left="140"/>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1*</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August 3, 2021).</w:t>
            </w:r>
          </w:p>
        </w:tc>
      </w:tr>
      <w:tr>
        <w:trPr>
          <w:trHeight w:val="243"/>
        </w:trPr>
        <w:tc>
          <w:tcPr>
            <w:tcW w:w="1340" w:type="dxa"/>
            <w:vAlign w:val="bottom"/>
            <w:gridSpan w:val="4"/>
          </w:tcPr>
          <w:p>
            <w:pPr>
              <w:ind w:left="14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hyperlink>
            <w:r>
              <w:rPr>
                <w:rFonts w:ascii="Times New Roman" w:cs="Times New Roman" w:eastAsia="Times New Roman" w:hAnsi="Times New Roman"/>
                <w:sz w:val="18"/>
                <w:szCs w:val="18"/>
                <w:u w:val="single" w:color="auto"/>
                <w:color w:val="0000FF"/>
              </w:rPr>
              <w:t>2*</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Amended and Restated Bylaws of Victoria’s Secret &amp; Co. (incorporated by reference to Exhibit 3.2 to the Company's Form 8-K</w:t>
            </w:r>
          </w:p>
        </w:tc>
      </w:tr>
      <w:tr>
        <w:trPr>
          <w:trHeight w:val="214"/>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filed on August 3, 2021).</w:t>
            </w:r>
          </w:p>
        </w:tc>
      </w:tr>
      <w:tr>
        <w:trPr>
          <w:trHeight w:val="49"/>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Executive Severance Agreement by and between VS Service Company, LLC and Dein Boyle, dated as of June 28, 2021.</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5"/>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209"/>
        </w:trPr>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43"/>
        </w:trPr>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p>
        </w:tc>
        <w:tc>
          <w:tcPr>
            <w:tcW w:w="880" w:type="dxa"/>
            <w:vAlign w:val="bottom"/>
            <w:tcBorders>
              <w:top w:val="single" w:sz="8" w:color="CCEEFF"/>
            </w:tcBorders>
          </w:tcPr>
          <w:p>
            <w:pPr>
              <w:spacing w:after="0"/>
              <w:rPr>
                <w:sz w:val="21"/>
                <w:szCs w:val="21"/>
                <w:color w:val="auto"/>
              </w:rPr>
            </w:pPr>
          </w:p>
        </w:tc>
        <w:tc>
          <w:tcPr>
            <w:tcW w:w="986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4"/>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Timothy Johnson</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and Chief Financial Officer *</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p>
      <w:pPr>
        <w:spacing w:after="0" w:line="90" w:lineRule="exact"/>
        <w:rPr>
          <w:sz w:val="20"/>
          <w:szCs w:val="20"/>
          <w:color w:val="auto"/>
        </w:rPr>
      </w:pPr>
    </w:p>
    <w:p>
      <w:pPr>
        <w:ind w:left="280" w:hanging="272"/>
        <w:spacing w:after="0"/>
        <w:tabs>
          <w:tab w:leader="none" w:pos="2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Johnson is the principal financial officer and the principal accounting officer and has been duly authorized to sign on behalf of the Registrant.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34</w:t>
      </w:r>
    </w:p>
    <w:p>
      <w:pPr>
        <w:sectPr>
          <w:pgSz w:w="11900" w:h="16838" w:orient="portrait"/>
          <w:cols w:equalWidth="0" w:num="1">
            <w:col w:w="10760"/>
          </w:cols>
          <w:pgMar w:left="320" w:top="118" w:right="8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THIS EXECUTIVE SEVERANCE AGREEMENT (this “Agreement”) is made and entered into as of the last date of signature below (the “Effective Date”), by and between the Company and Dein Boyle (the “Executive”) (hereinafter collectively referred to as the “Parties”).</w:t>
      </w:r>
    </w:p>
    <w:p>
      <w:pPr>
        <w:spacing w:after="0" w:line="17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WHEREAS, the Executive currently serves as a key employee of the Company and the Executive’s services and knowledge are valuable to the Company; and</w:t>
      </w:r>
    </w:p>
    <w:p>
      <w:pPr>
        <w:spacing w:after="0" w:line="15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WHEREAS, in consideration of the Executive’s continued employment, the Company has determined that it is in its best interests to provide the Executive with the severance protections in accordance with the terms and conditions of this Agreement.</w:t>
      </w:r>
    </w:p>
    <w:p>
      <w:pPr>
        <w:spacing w:after="0" w:line="14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172" w:lineRule="exact"/>
        <w:rPr>
          <w:sz w:val="20"/>
          <w:szCs w:val="20"/>
          <w:color w:val="auto"/>
        </w:rPr>
      </w:pPr>
    </w:p>
    <w:p>
      <w:pPr>
        <w:jc w:val="both"/>
        <w:ind w:firstLine="656"/>
        <w:spacing w:after="0" w:line="226"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this Agreement</w:t>
      </w:r>
      <w:r>
        <w:rPr>
          <w:rFonts w:ascii="Times New Roman" w:cs="Times New Roman" w:eastAsia="Times New Roman" w:hAnsi="Times New Roman"/>
          <w:sz w:val="18"/>
          <w:szCs w:val="18"/>
          <w:color w:val="auto"/>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spacing w:after="0" w:line="15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Executive’s employment with the Company shall terminate upon the earlier of: (i) automatically thirty</w:t>
      </w:r>
    </w:p>
    <w:p>
      <w:pPr>
        <w:jc w:val="both"/>
        <w:ind w:firstLine="8"/>
        <w:spacing w:after="0" w:line="216" w:lineRule="auto"/>
        <w:tabs>
          <w:tab w:leader="none" w:pos="3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Executive provides a written Notice of Termination of his or her resignation for any reason other than for Good Reason; (ii) thirty (30) days following the Executive providing a Notice of Termination indicating the existence of a condition(s) constituting Good Reason other than to the extent that such condition is cured; (iii) immediately upon the Executive’s Disability or death; (iv) automatically thirty (30) days after the Executive receives written Notice of Termination from the Company of his or her Termination without Cause; or (v) the date set forth in the Notice of Termination from the Company of the Executive’s termination of employment with the Company for Cause (collectively, the earlier of being the “Termination Date”). The Company may elect to pay the Executive in lieu of the thirty (30) days’ written notice, but will still deliver a Notice of Termination.</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Non-Qualifying Termination</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 (or any of its affiliates).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to the extent that the Executive experiences a Termination for any reason while a Company-led internal investigation into facts that could reasonably give rise to the 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spacing w:after="0" w:line="157"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experiences a Termination by reason of the Executive’s death or if the Executive gives the Company a written Notice of Termination other than for Good Reason, the Company’s sole obligation shall be to pay the Executive the Accrued Amounts.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experiences a Termination by reason of the Executive’s Disability, the Company’s sole obligation shall be to pay the Executive the Accrued Amounts and the Executive shall be entitled to receive disability benefits available under the Company’s (or any affiliate’s) long-term disability plan, to the extent applicable.</w:t>
      </w:r>
    </w:p>
    <w:p>
      <w:pPr>
        <w:spacing w:after="0" w:line="171" w:lineRule="exact"/>
        <w:rPr>
          <w:rFonts w:ascii="Times New Roman" w:cs="Times New Roman" w:eastAsia="Times New Roman" w:hAnsi="Times New Roman"/>
          <w:sz w:val="18"/>
          <w:szCs w:val="18"/>
          <w:color w:val="auto"/>
        </w:rPr>
      </w:pPr>
    </w:p>
    <w:p>
      <w:pPr>
        <w:jc w:val="both"/>
        <w:ind w:right="20" w:firstLine="656"/>
        <w:spacing w:after="0" w:line="226"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Not Within the Protection Period</w:t>
      </w:r>
      <w:r>
        <w:rPr>
          <w:rFonts w:ascii="Times New Roman" w:cs="Times New Roman" w:eastAsia="Times New Roman" w:hAnsi="Times New Roman"/>
          <w:sz w:val="18"/>
          <w:szCs w:val="18"/>
          <w:color w:val="auto"/>
        </w:rPr>
        <w:t>. If the Executive experiences a Qualifying Termination not within the Protection Period, then, subject to Section 6, the Company will provide the Executive with the following (collectively, the “Severance Benefits”):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35" w:name="page36"/>
    <w:bookmarkEnd w:id="35"/>
    <w:p>
      <w:pPr>
        <w:jc w:val="both"/>
        <w:ind w:firstLine="1304"/>
        <w:spacing w:after="0" w:line="220"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the Executive’s Base Salary for a period of two (2) years following the Qualifying Termination, less applicable withholding, payable as follows: (i) on the Company’s first regularly scheduled pay date falling on or after sixty (60) days from the Executive’s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157"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two (2) years following the Termination Date, and provided that the Executive pays the applicable contribution amount required to be paid by similarly-situated active employees for such coverage, the Company shall provide to the Executive and the Executive’s covered dependents, medical and dental benefits substantially similar in the aggregate to the those provided to similarly-situated active employees, provided that the Company’s contribution toward the cost of such coverage shall be treated as taxable income to the Executive and the Executive must continue to pay his or her portion of the cost of this coverage with after-tax dollars (the “Benefit Continuation”). The Company’s obligation to provide the Benefit Continuation shall cease upon the Executive becoming eligible for similar benefits as the result of employment with another employer. Notwithstanding the foregoing, if the Executive is not eligible to continue to participate in the relevant plan(s) providing the Benefit Continuation or if providing the Benefit Continuation would violate the nondiscrimination rules under Section 105(h) of the Code, or the rules applicable to non-grandfathered health plans under the Patient Protection and Affordable Care Act of 2010 (“PPACA”), or result in the imposition of penalties under the Code and/or PPACA and the related regulations and guidance promulgated thereunder, the Parties agree to reform this section in a manner as necessary to comply with applicable law, while, to the extent permitted by applicable law, preserve its intended economic benefit;</w:t>
      </w:r>
    </w:p>
    <w:p>
      <w:pPr>
        <w:spacing w:after="0" w:line="179"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a Retention Date (as defined in the Retention Agreement by and between one of the subsidiaries of L Brands, Inc. and the Executive dated August 7, 2020 (the “Retention Agreement”)), the Retention Payment (as defined in the Retention Agreement) scheduled to be paid for the Retention Date immediately following the Termination Date shall be paid, less applicable withholding, on the First Payment Date;</w:t>
      </w:r>
    </w:p>
    <w:p>
      <w:pPr>
        <w:spacing w:after="0" w:line="157" w:lineRule="exact"/>
        <w:rPr>
          <w:rFonts w:ascii="Times New Roman" w:cs="Times New Roman" w:eastAsia="Times New Roman" w:hAnsi="Times New Roman"/>
          <w:sz w:val="18"/>
          <w:szCs w:val="18"/>
          <w:color w:val="auto"/>
        </w:rPr>
      </w:pPr>
    </w:p>
    <w:p>
      <w:pPr>
        <w:jc w:val="both"/>
        <w:ind w:firstLine="1304"/>
        <w:spacing w:after="0" w:line="209"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any incentive compensation under the IC Plan that the Executive would have received if the Executive had remained employed with the Company for a period of one (1) year after the Termination Date based on actual performance, less applicable withholding, subject to the terms of the IC Plan. The foregoing payments shall be paid at the same time as payments under the IC Plan are typically paid, but in no event earlier than three (3) months following the Executive’s Qualifying Termination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is completed. For the purposes of clarity, under this subsection, the Executive shall not be entitled to payments under the IC Plan pursuant to this provision for partial performance periods that are not then-completed on the first anniversary of the Termination Date; and</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outstanding equity awards will be determined as follows:</w:t>
      </w:r>
    </w:p>
    <w:p>
      <w:pPr>
        <w:spacing w:after="0" w:line="184" w:lineRule="exact"/>
        <w:rPr>
          <w:rFonts w:ascii="Times New Roman" w:cs="Times New Roman" w:eastAsia="Times New Roman" w:hAnsi="Times New Roman"/>
          <w:sz w:val="18"/>
          <w:szCs w:val="18"/>
          <w:color w:val="auto"/>
        </w:rPr>
      </w:pPr>
    </w:p>
    <w:p>
      <w:pPr>
        <w:jc w:val="both"/>
        <w:ind w:firstLine="1952"/>
        <w:spacing w:after="0" w:line="220" w:lineRule="auto"/>
        <w:tabs>
          <w:tab w:leader="none" w:pos="25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157" w:lineRule="exact"/>
        <w:rPr>
          <w:rFonts w:ascii="Times New Roman" w:cs="Times New Roman" w:eastAsia="Times New Roman" w:hAnsi="Times New Roman"/>
          <w:sz w:val="18"/>
          <w:szCs w:val="18"/>
          <w:color w:val="auto"/>
        </w:rPr>
      </w:pPr>
    </w:p>
    <w:p>
      <w:pPr>
        <w:jc w:val="both"/>
        <w:ind w:firstLine="1952"/>
        <w:spacing w:after="0" w:line="220" w:lineRule="auto"/>
        <w:tabs>
          <w:tab w:leader="none" w:pos="25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based, at least in part, on the satisfaction of performance goals shall vest and be settled by the later of the First Payment Date and sixty (60) 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157" w:lineRule="exact"/>
        <w:rPr>
          <w:rFonts w:ascii="Times New Roman" w:cs="Times New Roman" w:eastAsia="Times New Roman" w:hAnsi="Times New Roman"/>
          <w:sz w:val="18"/>
          <w:szCs w:val="18"/>
          <w:color w:val="auto"/>
        </w:rPr>
      </w:pPr>
    </w:p>
    <w:p>
      <w:pPr>
        <w:jc w:val="both"/>
        <w:ind w:firstLine="1952"/>
        <w:spacing w:after="0" w:line="224" w:lineRule="auto"/>
        <w:tabs>
          <w:tab w:leader="none" w:pos="25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the Executive as of the Termination Date would vest at a greater percentage under the terms of the applicable plan and award agreement than as provided for under Sections 4(f)(i)-(ii), the terms of such award agreement shall instead to determine the number of shares covered by such equity award that will vest under this Section 4(f), subject to Sections 4(f)(iv)-(v);</w:t>
      </w:r>
    </w:p>
    <w:p>
      <w:pPr>
        <w:spacing w:after="0" w:line="158" w:lineRule="exact"/>
        <w:rPr>
          <w:rFonts w:ascii="Times New Roman" w:cs="Times New Roman" w:eastAsia="Times New Roman" w:hAnsi="Times New Roman"/>
          <w:sz w:val="18"/>
          <w:szCs w:val="18"/>
          <w:color w:val="auto"/>
        </w:rPr>
      </w:pPr>
    </w:p>
    <w:p>
      <w:pPr>
        <w:jc w:val="both"/>
        <w:ind w:firstLine="1952"/>
        <w:spacing w:after="0" w:line="223" w:lineRule="auto"/>
        <w:tabs>
          <w:tab w:leader="none" w:pos="258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three (3)-month period commencing upon the Termination Date, provided, that, (x) to the extent a VS Change in Control occurs during such three (3)-month period, any such equity awards that are outstanding and unvested as of the VS Change in Control will instead be treated in accordance with Section 5; and (y) to the extent a VS Change in Control does not occur during such three (3)-month period, any portion of the equity awards outstanding as of Termination Date that do not vest pursuant to Sections 4(f)(i)-(iii) shall be forfeited; and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7" w:right="339" w:bottom="1440" w:gutter="0" w:footer="0" w:header="0"/>
        </w:sectPr>
      </w:pPr>
    </w:p>
    <w:bookmarkStart w:id="36" w:name="page37"/>
    <w:bookmarkEnd w:id="36"/>
    <w:p>
      <w:pPr>
        <w:jc w:val="both"/>
        <w:ind w:firstLine="1952"/>
        <w:spacing w:after="0" w:line="231" w:lineRule="auto"/>
        <w:tabs>
          <w:tab w:leader="none" w:pos="25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spacing w:after="0" w:line="158"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Within the Protection Period</w:t>
      </w:r>
      <w:r>
        <w:rPr>
          <w:rFonts w:ascii="Times New Roman" w:cs="Times New Roman" w:eastAsia="Times New Roman" w:hAnsi="Times New Roman"/>
          <w:sz w:val="18"/>
          <w:szCs w:val="18"/>
          <w:color w:val="auto"/>
        </w:rPr>
        <w:t>. If the Executive has a Qualifying Termination within the Protection Period, then, subject to Section 6, the Company will provide the Executive with the following (collectively, the “Change in Control Severance Benefits”):</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described in Sections 4(a), (b), (c), and (d);</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sum of the incentive compensation payouts that the Executive actually received under the IC Plan for the four (4) completed seasons immediately preceding the Termination Date (the “Bonus Amount”). The Bonus Amount shall be paid, less applicable withholding, in a lump sum cash payment on the First Payment Date;</w:t>
      </w:r>
    </w:p>
    <w:p>
      <w:pPr>
        <w:spacing w:after="0" w:line="158" w:lineRule="exact"/>
        <w:rPr>
          <w:rFonts w:ascii="Times New Roman" w:cs="Times New Roman" w:eastAsia="Times New Roman" w:hAnsi="Times New Roman"/>
          <w:sz w:val="18"/>
          <w:szCs w:val="18"/>
          <w:color w:val="auto"/>
        </w:rPr>
      </w:pPr>
    </w:p>
    <w:p>
      <w:pPr>
        <w:jc w:val="both"/>
        <w:ind w:firstLine="1304"/>
        <w:spacing w:after="0" w:line="210" w:lineRule="auto"/>
        <w:tabs>
          <w:tab w:leader="none" w:pos="194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product of (i) the IC Plan payment that the Executive would have earned for the season during which the Executive’s Qualifying Termination occurs, based on actual performance, multiplied by (ii) a fraction, the numerator of which is the number of days in the season (within the meaning of the IC Plan) in which the Termination Date occurs that elapsed through the Termination Date and the denominator of which is the total number of days in such season. The foregoing payment, less applicable withholding, shall be paid at the same time as payments under the IC Plan are typically paid, but in no event earlier than the First Payment Date and in no event later than March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year following the year in which the applicable season is completed; and</w:t>
      </w:r>
    </w:p>
    <w:p>
      <w:pPr>
        <w:spacing w:after="0" w:line="159"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equity awards held by the Executive immediately before such Qualifying Termination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Termination Date occurs during the portion of the Protection Period that precedes a VS Change in Control and the Executive has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already commenced receiving payments and/or benefits under Section 4 prior to the VS Change in Control, then (i) the Executive will be entitled to the payments and benefits under this Section 5 in lieu of any additional payments or benefits under Section 4, but only to the extent an equivalent payment and/or benefit has not already been paid or provided pursuant to Section 4; and (ii) any payments that the Executive would have otherwise been entitled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this Section 5 that have not otherwise been paid to the Executive as of the VS Change in Control will be paid to the Executive in a single lump sum payment as soon as administratively practicable, but no later than sixty (60) calendar days following the occurrence of the VS Change in Control.</w:t>
      </w:r>
    </w:p>
    <w:p>
      <w:pPr>
        <w:spacing w:after="0" w:line="157" w:lineRule="exact"/>
        <w:rPr>
          <w:sz w:val="20"/>
          <w:szCs w:val="20"/>
          <w:color w:val="auto"/>
        </w:rPr>
      </w:pPr>
    </w:p>
    <w:p>
      <w:pPr>
        <w:jc w:val="both"/>
        <w:ind w:firstLine="656"/>
        <w:spacing w:after="0" w:line="220"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Change in Control Severance Benefits (in each case, other than the Accrued Amounts), unless the Executive timely executes and delivers to the Company a release of claims in favor of the Company, its affiliates and their respective officers and directors in a form provided by the Company (the “Release”) and such Release becomes effective and irrevocable within sixty (60) days following the Executive’s Termination Date. If the foregoing requirements are not satisfied by the Executive, then no Severance Benefits nor Change in Control Severance Benefits (in each case, other than the Accrued Amounts) shall be due to the Executive pursuant to this Agreement.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(ii) unused PTO remaining upon the Termination Date; and (iii) salary continuation provided for under the Confidentiality, Noncompetition and Intellectual Property Agreement.</w:t>
      </w:r>
    </w:p>
    <w:p>
      <w:pPr>
        <w:spacing w:after="0" w:line="158" w:lineRule="exact"/>
        <w:rPr>
          <w:rFonts w:ascii="Times New Roman" w:cs="Times New Roman" w:eastAsia="Times New Roman" w:hAnsi="Times New Roman"/>
          <w:sz w:val="18"/>
          <w:szCs w:val="18"/>
          <w:color w:val="auto"/>
        </w:rPr>
      </w:pPr>
    </w:p>
    <w:p>
      <w:pPr>
        <w:ind w:right="20" w:firstLine="1304"/>
        <w:spacing w:after="0" w:line="250" w:lineRule="auto"/>
        <w:tabs>
          <w:tab w:leader="none" w:pos="1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spacing w:after="0" w:line="149"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entitlement to any other benefits not expressly referenced herein shall be determined in accordance with the applicable employee benefit plans then in effect.</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expressly agrees that any amounts the Executive may owe to the Company as of the Termination Date may be deducted from the amounts that the Company would otherwise owe to the Executive under this Agreement.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7" w:right="339" w:bottom="1440" w:gutter="0" w:footer="0" w:header="0"/>
        </w:sectPr>
      </w:pPr>
    </w:p>
    <w:bookmarkStart w:id="37" w:name="page38"/>
    <w:bookmarkEnd w:id="37"/>
    <w:p>
      <w:pPr>
        <w:jc w:val="both"/>
        <w:ind w:firstLine="1304"/>
        <w:spacing w:after="0" w:line="220" w:lineRule="auto"/>
        <w:tabs>
          <w:tab w:leader="none" w:pos="194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Section 9(b), any controversy or claim between the Company and the Executive arising out of or relating to this Agreement or its termination shall be settled and determined by a single arbitrator whose award shall be accepted as final and binding upon the parties. If Executive initiates arbitration, Executive will be responsible for paying a filing fee of $300 or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w:t>
      </w:r>
      <w:r>
        <w:rPr>
          <w:rFonts w:ascii="Times New Roman" w:cs="Times New Roman" w:eastAsia="Times New Roman" w:hAnsi="Times New Roman"/>
          <w:sz w:val="18"/>
          <w:szCs w:val="18"/>
          <w:u w:val="single" w:color="auto"/>
          <w:color w:val="auto"/>
        </w:rPr>
        <w:t>http://www.adr.org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http://www.jamsadr.com</w:t>
      </w:r>
      <w:r>
        <w:rPr>
          <w:rFonts w:ascii="Times New Roman" w:cs="Times New Roman" w:eastAsia="Times New Roman" w:hAnsi="Times New Roman"/>
          <w:sz w:val="18"/>
          <w:szCs w:val="18"/>
          <w:color w:val="auto"/>
        </w:rPr>
        <w:t>,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16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does not include:</w:t>
      </w:r>
    </w:p>
    <w:p>
      <w:pPr>
        <w:spacing w:after="0" w:line="198"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Noncompetition and Intellectual Property Agreement;</w:t>
      </w:r>
    </w:p>
    <w:p>
      <w:pPr>
        <w:spacing w:after="0" w:line="184"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77" w:right="339" w:bottom="1440" w:gutter="0" w:footer="0" w:header="0"/>
        </w:sectPr>
      </w:pPr>
    </w:p>
    <w:bookmarkStart w:id="38" w:name="page39"/>
    <w:bookmarkEnd w:id="38"/>
    <w:p>
      <w:pPr>
        <w:ind w:left="2600" w:hanging="648"/>
        <w:spacing w:after="0"/>
        <w:tabs>
          <w:tab w:leader="none" w:pos="260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184" w:lineRule="exact"/>
        <w:rPr>
          <w:rFonts w:ascii="Times New Roman" w:cs="Times New Roman" w:eastAsia="Times New Roman" w:hAnsi="Times New Roman"/>
          <w:sz w:val="18"/>
          <w:szCs w:val="18"/>
          <w:color w:val="auto"/>
        </w:rPr>
      </w:pPr>
    </w:p>
    <w:p>
      <w:pPr>
        <w:ind w:firstLine="1952"/>
        <w:spacing w:after="0" w:line="250" w:lineRule="auto"/>
        <w:tabs>
          <w:tab w:leader="none" w:pos="2582"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spacing w:after="0" w:line="149" w:lineRule="exact"/>
        <w:rPr>
          <w:rFonts w:ascii="Times New Roman" w:cs="Times New Roman" w:eastAsia="Times New Roman" w:hAnsi="Times New Roman"/>
          <w:sz w:val="18"/>
          <w:szCs w:val="18"/>
          <w:color w:val="auto"/>
        </w:rPr>
      </w:pPr>
    </w:p>
    <w:p>
      <w:pPr>
        <w:ind w:right="20" w:firstLine="1952"/>
        <w:spacing w:after="0" w:line="237" w:lineRule="auto"/>
        <w:tabs>
          <w:tab w:leader="none" w:pos="2586"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also does not prevent Executive from filing a claim or charge with a federal, state or local administrative agency, such as the Equal Employment Opportunity Commission, the National Labor Relations Board, or similar state or local agencies.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154"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4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 ACTION WAIVER. </w:t>
      </w:r>
      <w:r>
        <w:rPr>
          <w:rFonts w:ascii="Times New Roman" w:cs="Times New Roman" w:eastAsia="Times New Roman" w:hAnsi="Times New Roman"/>
          <w:sz w:val="18"/>
          <w:szCs w:val="18"/>
          <w:color w:val="auto"/>
        </w:rPr>
        <w:t>To the extent permissible by law, there shall be no right or authority for any dispute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arbitrated as a class action or collective action (“Class Action Waiver”). </w:t>
      </w:r>
      <w:r>
        <w:rPr>
          <w:rFonts w:ascii="Times New Roman" w:cs="Times New Roman" w:eastAsia="Times New Roman" w:hAnsi="Times New Roman"/>
          <w:sz w:val="18"/>
          <w:szCs w:val="18"/>
          <w:b w:val="1"/>
          <w:bCs w:val="1"/>
          <w:color w:val="auto"/>
        </w:rPr>
        <w:t>THIS MEANS THAT, EXCEPT AS EXPLICITLY PROVIDED HEREIN,</w:t>
      </w:r>
    </w:p>
    <w:p>
      <w:pPr>
        <w:jc w:val="both"/>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DISPUTES 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w:t>
      </w:r>
    </w:p>
    <w:p>
      <w:pPr>
        <w:spacing w:after="0" w:line="155"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REPRESENTATIVE ACTION WAIVER. </w:t>
      </w:r>
      <w:r>
        <w:rPr>
          <w:rFonts w:ascii="Times New Roman" w:cs="Times New Roman" w:eastAsia="Times New Roman" w:hAnsi="Times New Roman"/>
          <w:sz w:val="18"/>
          <w:szCs w:val="18"/>
          <w:color w:val="auto"/>
        </w:rPr>
        <w:t>To the extent permissible by law, there shall be no right or authority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w:t>
      </w:r>
    </w:p>
    <w:p>
      <w:pPr>
        <w:spacing w:after="0" w:line="2" w:lineRule="exact"/>
        <w:rPr>
          <w:rFonts w:ascii="Times New Roman" w:cs="Times New Roman" w:eastAsia="Times New Roman" w:hAnsi="Times New Roman"/>
          <w:sz w:val="18"/>
          <w:szCs w:val="18"/>
          <w:color w:val="auto"/>
        </w:rPr>
      </w:pPr>
    </w:p>
    <w:p>
      <w:pPr>
        <w:jc w:val="both"/>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15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between the rules and procedures set forth in either the JAMS or AAA rules and those set forth in this Agreement shall be resolved in favor of those in this Agreement.</w:t>
      </w:r>
    </w:p>
    <w:p>
      <w:pPr>
        <w:spacing w:after="0" w:line="14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proof at an arbitration shall at all times be on the Party seeking relief.</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the Family and Medical Leave Act.</w:t>
      </w:r>
    </w:p>
    <w:p>
      <w:pPr>
        <w:spacing w:after="0" w:line="172"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158"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w:t>
      </w:r>
    </w:p>
    <w:p>
      <w:pPr>
        <w:spacing w:after="0" w:line="171" w:lineRule="exact"/>
        <w:rPr>
          <w:rFonts w:ascii="Times New Roman" w:cs="Times New Roman" w:eastAsia="Times New Roman" w:hAnsi="Times New Roman"/>
          <w:sz w:val="18"/>
          <w:szCs w:val="18"/>
          <w:color w:val="auto"/>
        </w:rPr>
      </w:pPr>
    </w:p>
    <w:p>
      <w:pPr>
        <w:jc w:val="both"/>
        <w:ind w:firstLine="656"/>
        <w:spacing w:after="0" w:line="226" w:lineRule="auto"/>
        <w:tabs>
          <w:tab w:leader="none" w:pos="1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each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7" w:right="339" w:bottom="1440" w:gutter="0" w:footer="0" w:header="0"/>
        </w:sectPr>
      </w:pPr>
    </w:p>
    <w:bookmarkStart w:id="39" w:name="page40"/>
    <w:bookmarkEnd w:id="39"/>
    <w:p>
      <w:pPr>
        <w:jc w:val="both"/>
        <w:ind w:firstLine="656"/>
        <w:spacing w:after="0" w:line="217"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161" w:lineRule="exact"/>
        <w:rPr>
          <w:rFonts w:ascii="Times New Roman" w:cs="Times New Roman" w:eastAsia="Times New Roman" w:hAnsi="Times New Roman"/>
          <w:sz w:val="18"/>
          <w:szCs w:val="18"/>
          <w:color w:val="auto"/>
        </w:rPr>
      </w:pPr>
    </w:p>
    <w:p>
      <w:pPr>
        <w:ind w:firstLine="656"/>
        <w:spacing w:after="0" w:line="250"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149"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spacing w:after="0" w:line="158"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3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To the Executive: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Dein Boyle</w:t>
      </w:r>
    </w:p>
    <w:p>
      <w:pPr>
        <w:ind w:left="1300"/>
        <w:spacing w:after="0" w:line="203" w:lineRule="auto"/>
        <w:rPr>
          <w:sz w:val="20"/>
          <w:szCs w:val="20"/>
          <w:color w:val="auto"/>
        </w:rPr>
      </w:pPr>
      <w:r>
        <w:rPr>
          <w:rFonts w:ascii="Times New Roman" w:cs="Times New Roman" w:eastAsia="Times New Roman" w:hAnsi="Times New Roman"/>
          <w:sz w:val="18"/>
          <w:szCs w:val="18"/>
          <w:color w:val="auto"/>
        </w:rPr>
        <w:t>8189 Creek Hollow Road</w:t>
      </w:r>
    </w:p>
    <w:p>
      <w:pPr>
        <w:ind w:left="1300"/>
        <w:spacing w:after="0"/>
        <w:rPr>
          <w:sz w:val="20"/>
          <w:szCs w:val="20"/>
          <w:color w:val="auto"/>
        </w:rPr>
      </w:pPr>
      <w:r>
        <w:rPr>
          <w:rFonts w:ascii="Times New Roman" w:cs="Times New Roman" w:eastAsia="Times New Roman" w:hAnsi="Times New Roman"/>
          <w:sz w:val="18"/>
          <w:szCs w:val="18"/>
          <w:color w:val="auto"/>
        </w:rPr>
        <w:t>Blacklick, OH 43004</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To the Company: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VS Service Company, LLC</w:t>
      </w:r>
    </w:p>
    <w:p>
      <w:pPr>
        <w:ind w:left="1300"/>
        <w:spacing w:after="0" w:line="203" w:lineRule="auto"/>
        <w:rPr>
          <w:sz w:val="20"/>
          <w:szCs w:val="20"/>
          <w:color w:val="auto"/>
        </w:rPr>
      </w:pPr>
      <w:r>
        <w:rPr>
          <w:rFonts w:ascii="Times New Roman" w:cs="Times New Roman" w:eastAsia="Times New Roman" w:hAnsi="Times New Roman"/>
          <w:sz w:val="18"/>
          <w:szCs w:val="18"/>
          <w:color w:val="auto"/>
        </w:rPr>
        <w:t>Four Limited Parkway,</w:t>
      </w:r>
    </w:p>
    <w:p>
      <w:pPr>
        <w:ind w:left="1300"/>
        <w:spacing w:after="0" w:line="219" w:lineRule="auto"/>
        <w:rPr>
          <w:sz w:val="20"/>
          <w:szCs w:val="20"/>
          <w:color w:val="auto"/>
        </w:rPr>
      </w:pPr>
      <w:r>
        <w:rPr>
          <w:rFonts w:ascii="Times New Roman" w:cs="Times New Roman" w:eastAsia="Times New Roman" w:hAnsi="Times New Roman"/>
          <w:sz w:val="18"/>
          <w:szCs w:val="18"/>
          <w:color w:val="auto"/>
        </w:rPr>
        <w:t>Reynoldsburg, Ohio 43068</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165" w:lineRule="exact"/>
        <w:rPr>
          <w:sz w:val="20"/>
          <w:szCs w:val="20"/>
          <w:color w:val="auto"/>
        </w:rPr>
      </w:pPr>
    </w:p>
    <w:p>
      <w:pPr>
        <w:jc w:val="both"/>
        <w:ind w:firstLine="656"/>
        <w:spacing w:after="0"/>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the Executive’s consent: to (i) 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211"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spacing w:after="0" w:line="158" w:lineRule="exact"/>
        <w:rPr>
          <w:rFonts w:ascii="Times New Roman" w:cs="Times New Roman" w:eastAsia="Times New Roman" w:hAnsi="Times New Roman"/>
          <w:sz w:val="18"/>
          <w:szCs w:val="18"/>
          <w:color w:val="auto"/>
        </w:rPr>
      </w:pPr>
    </w:p>
    <w:p>
      <w:pPr>
        <w:ind w:right="20" w:firstLine="656"/>
        <w:spacing w:after="0" w:line="250"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49" w:lineRule="exact"/>
        <w:rPr>
          <w:rFonts w:ascii="Times New Roman" w:cs="Times New Roman" w:eastAsia="Times New Roman" w:hAnsi="Times New Roman"/>
          <w:sz w:val="18"/>
          <w:szCs w:val="18"/>
          <w:color w:val="auto"/>
        </w:rPr>
      </w:pPr>
    </w:p>
    <w:p>
      <w:pPr>
        <w:ind w:firstLine="656"/>
        <w:spacing w:after="0" w:line="237"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167" w:lineRule="exact"/>
        <w:rPr>
          <w:rFonts w:ascii="Times New Roman" w:cs="Times New Roman" w:eastAsia="Times New Roman" w:hAnsi="Times New Roman"/>
          <w:sz w:val="18"/>
          <w:szCs w:val="18"/>
          <w:color w:val="auto"/>
        </w:rPr>
      </w:pPr>
    </w:p>
    <w:p>
      <w:pPr>
        <w:ind w:firstLine="656"/>
        <w:spacing w:after="0" w:line="239"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have the right to withhold from any amount payable hereunder any Federal, state and local taxes in order for the Company to satisfy any withholding tax obligation it may have under any applicable law or regulation.</w:t>
      </w:r>
    </w:p>
    <w:p>
      <w:pPr>
        <w:spacing w:after="0" w:line="158" w:lineRule="exact"/>
        <w:rPr>
          <w:rFonts w:ascii="Times New Roman" w:cs="Times New Roman" w:eastAsia="Times New Roman" w:hAnsi="Times New Roman"/>
          <w:sz w:val="18"/>
          <w:szCs w:val="18"/>
          <w:color w:val="auto"/>
        </w:rPr>
      </w:pPr>
    </w:p>
    <w:p>
      <w:pPr>
        <w:jc w:val="both"/>
        <w:ind w:firstLine="656"/>
        <w:spacing w:after="0" w:line="223" w:lineRule="auto"/>
        <w:tabs>
          <w:tab w:leader="none" w:pos="12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77" w:right="339" w:bottom="1440" w:gutter="0" w:footer="0" w:header="0"/>
        </w:sectPr>
      </w:pPr>
    </w:p>
    <w:bookmarkStart w:id="40" w:name="page41"/>
    <w:bookmarkEnd w:id="40"/>
    <w:p>
      <w:pPr>
        <w:jc w:val="both"/>
        <w:ind w:firstLine="1304"/>
        <w:spacing w:after="0" w:line="220" w:lineRule="auto"/>
        <w:tabs>
          <w:tab w:leader="none" w:pos="194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14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the Executive may receive under this Agreement shall be treated as a “separate payment” for purposes of</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w:t>
      </w:r>
    </w:p>
    <w:p>
      <w:pPr>
        <w:spacing w:after="0" w:line="17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1.409A-1(b)(9)(iii), or otherwise. Any payments and benefits provided under this Agreement may be accelerated in time or schedule by the Company, in its sole discretion, to the extent permitted by Section 409A of the Code.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set forth in this Section 22.</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Stock Plan” means the L Brands, Inc. 2020 Stock Option and Performance Incentive Plan, as amended from time to time.</w:t>
      </w:r>
    </w:p>
    <w:p>
      <w:pPr>
        <w:spacing w:after="0" w:line="19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 means: (i) unpaid Base Salary through the Termination Date; and (ii) unreimbursed business expenses incurred by the Executive on behalf of the Company during the term of his or her employment in accordance with the Company’s standard policies (including expense verification policies) regarding the reimbursement of business expenses, as the same may be modified from time to time.</w:t>
      </w:r>
    </w:p>
    <w:p>
      <w:pPr>
        <w:spacing w:after="0" w:line="157" w:lineRule="exact"/>
        <w:rPr>
          <w:rFonts w:ascii="Times New Roman" w:cs="Times New Roman" w:eastAsia="Times New Roman" w:hAnsi="Times New Roman"/>
          <w:sz w:val="18"/>
          <w:szCs w:val="18"/>
          <w:color w:val="auto"/>
        </w:rPr>
      </w:pPr>
    </w:p>
    <w:p>
      <w:pPr>
        <w:ind w:firstLine="1304"/>
        <w:spacing w:after="0" w:line="250" w:lineRule="auto"/>
        <w:tabs>
          <w:tab w:leader="none" w:pos="1941"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means the Executive’s annual base salary in effect as of the Termination Date (without giving effect to any reduction resulting in a Qualifying Termination for Good Reason).</w:t>
      </w:r>
    </w:p>
    <w:p>
      <w:pPr>
        <w:spacing w:after="0" w:line="149" w:lineRule="exact"/>
        <w:rPr>
          <w:rFonts w:ascii="Times New Roman" w:cs="Times New Roman" w:eastAsia="Times New Roman" w:hAnsi="Times New Roman"/>
          <w:sz w:val="18"/>
          <w:szCs w:val="18"/>
          <w:color w:val="auto"/>
        </w:rPr>
      </w:pPr>
    </w:p>
    <w:p>
      <w:pPr>
        <w:jc w:val="both"/>
        <w:ind w:firstLine="1304"/>
        <w:spacing w:after="0" w:line="222" w:lineRule="auto"/>
        <w:tabs>
          <w:tab w:leader="none" w:pos="193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as determined by the Company in its sole discretion, that the Executive (i) was grossly negligent in the performance of the Executive’s duties with the Company (other than a failure resulting from the Executive’s incapacity due to physical or mental illness);</w:t>
      </w:r>
    </w:p>
    <w:p>
      <w:pPr>
        <w:spacing w:after="0" w:line="1" w:lineRule="exact"/>
        <w:rPr>
          <w:rFonts w:ascii="Times New Roman" w:cs="Times New Roman" w:eastAsia="Times New Roman" w:hAnsi="Times New Roman"/>
          <w:sz w:val="18"/>
          <w:szCs w:val="18"/>
          <w:color w:val="auto"/>
        </w:rPr>
      </w:pPr>
    </w:p>
    <w:p>
      <w:pPr>
        <w:jc w:val="both"/>
        <w:ind w:firstLine="8"/>
        <w:spacing w:after="0" w:line="211" w:lineRule="auto"/>
        <w:tabs>
          <w:tab w:leader="none" w:pos="2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pled “guilty” or “no contest” to, or has been convicted of, an act which is defined as a felony under federal or state law; (iii) engaged in misconduct in bad faith that could reasonably be expected to materially harm the Company’s business or its reputation; or (iv) commits or engages in Subject Conduct. No event of condition described in subsections (i), (iii) or (iv) of the immediately preceding sentence shall constitute Cause unless (x) the Company provides the Executive a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(any its affiliates) immediately following expiration of such thirty-day (30) period. Notwithstanding anything in this Agreement to the contrary, if the Executive’s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spacing w:after="0" w:line="17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 VS Change in Control and/or an LB Change in Control.</w:t>
      </w:r>
    </w:p>
    <w:p>
      <w:pPr>
        <w:spacing w:after="0" w:line="184" w:lineRule="exact"/>
        <w:rPr>
          <w:rFonts w:ascii="Times New Roman" w:cs="Times New Roman" w:eastAsia="Times New Roman" w:hAnsi="Times New Roman"/>
          <w:sz w:val="18"/>
          <w:szCs w:val="18"/>
          <w:color w:val="auto"/>
        </w:rPr>
      </w:pPr>
    </w:p>
    <w:p>
      <w:pPr>
        <w:ind w:right="20" w:firstLine="1304"/>
        <w:spacing w:after="0" w:line="237" w:lineRule="auto"/>
        <w:tabs>
          <w:tab w:leader="none" w:pos="193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Any reference to a section of the Code shall be deemed to include a reference to any regulations promulgated thereunder.</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VS Service Company, LLC, a Delaware limited liability company or its successors and permitted assigns.</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physical or mental infirmity that impairs the Executive’s ability to substantially perform the Executive’s duties for the Company for a period of at least six (6) months in any twelve (12)-month calendar period as determined in accordance with the Company’s (or any affiliate’s) long-term disability plan, to the extent applicable.</w:t>
      </w:r>
    </w:p>
    <w:p>
      <w:pPr>
        <w:spacing w:after="0" w:line="14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Plan” means the incentive compensation plan of the Company (or any of its affiliates) in which the Executive participates as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Termination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77" w:right="339" w:bottom="1440" w:gutter="0" w:footer="0" w:header="0"/>
        </w:sectPr>
      </w:pPr>
    </w:p>
    <w:bookmarkStart w:id="41" w:name="page42"/>
    <w:bookmarkEnd w:id="41"/>
    <w:p>
      <w:pPr>
        <w:jc w:val="both"/>
        <w:ind w:firstLine="1304"/>
        <w:spacing w:after="0" w:line="214" w:lineRule="auto"/>
        <w:tabs>
          <w:tab w:leader="none" w:pos="1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(i) a material reduction in the Executive’s positions, duties, authority, responsibilities or reporting requirements; (ii) the failure of the Company to obtain the assumption in writing of its obligation to perform this Agreement by any successor to all or substantially all of the assets of the Company within fifteen (15) days after a merger, consolidation, sale, or similar transaction; (iii) a material reduction in the Executive’s Base Salary or annual bonus opportunity under the IC Plan other than pursuant to an across-the-board reduction applicable to all similarly-situated employees; or (iv) the relocation of the Executive’s principal place of employment from the Columbus, Ohio area. “Good Reason” shall not include acts taken by the Company by reason of the Executive’s physical or mental infirmity which impairs the Executive’s ability to substantially perform his or her duties. Notwithstanding the foregoing provisions of this definition, any assertion by the Executive of a termination for Good Reason shall not be effective unless all of the following conditions are satisfied: (x) the Executive has provided a Notice of Termination to the Company indicating the existence of the condition(s) providing grounds for termination for Good Reason within sixty (60) days of the initial existence of such condition becoming known (or should have become known) to him or her; (y) the condition(s) specified in such notice must remain uncorrected by the Company for thirty (30) days following the Company’s receipt of such written notice; and (x) the Executive terminates employment immediately following the expiration of such thirty-day (30) period.</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“LB Change in Control” means a “Change in Control” under the 2020 Stock Plan.</w:t>
      </w:r>
    </w:p>
    <w:p>
      <w:pPr>
        <w:spacing w:after="0" w:line="184"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Termination” 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w:t>
      </w:r>
    </w:p>
    <w:p>
      <w:pPr>
        <w:spacing w:after="0" w:line="16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Period” means, (i) the period beginning three (3) months prior to a VS Change in Control and ending twenty-four</w:t>
      </w:r>
    </w:p>
    <w:p>
      <w:pPr>
        <w:ind w:firstLine="8"/>
        <w:spacing w:after="0" w:line="226" w:lineRule="auto"/>
        <w:tabs>
          <w:tab w:leader="none" w:pos="3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VS Change in Control, and (ii) only to the extent that an LB Change in Control occurs prior to a VS Change in Control, the period beginning on the date of an LB Change in Control and ending twenty-four (24) months thereafter.</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the Executive’s Termination either: (i) by the Company without Cause; or (ii) by the Executive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Good Reason.</w:t>
      </w:r>
    </w:p>
    <w:p>
      <w:pPr>
        <w:spacing w:after="0" w:line="16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means the Executive’s termination of employment with the Company, for any reason, whether voluntary or involuntary, provided that such termination constitutes a “separation from service” as defined and applied under Section 409A of the Code.</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Compensation” means any cash-based performance or incentive award paid by or any equity compensation awarded by the Company (or any of its affiliates), including, but not limited to, under the 2020 Stock Plan (and any successor thereto) and the IC Plan.</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 Change in Control” means, (i) the consummation of any transaction (including, without limitation, any sale of stock, merger, consolidation or spin-off), the result of which is that L Brands no longer owns, directly or indirectly, at least fifty percent (50%) of the voting securities of VS&amp;Co. then outstanding; (ii) any Person (other than an Excluded Person) becomes, together with all “affiliates” and “associates” (each as defined under Rule 12b-2 of the Securities Exchange Act of 1934, as amended (the “Act”)) the “beneficial owner” (as defined under Rule 13d-3 of the Act) of securities representing fifty percent (50%) or more of the combined voting power of the Voting Stock of VS&amp;Co. then outstanding, unless such Person becomes the “beneficial owner” of fifty percent (50%) or more of the combined voting power of such Voting Stock then outstanding solely as a result of an acquisition of such Voting Stock by VS&amp;Co. which, by reducing the Voting Stock of VS&amp;Co. outstanding, increases the proportionate Voting Stock beneficially owned by such Person (together with all “affiliates” and “associates” of such Person) to fifty percent (50%) or more of the combined voting power of the Voting Stock of VS&amp;Co. then outstanding; provided that if a Person shall become the “beneficial owner” of fifty percent (50%) or more of the combined voting power of the Voting Stock of VS&amp;Co. then outstanding by reason of such Voting Stock acquisition by VS&amp;Co. and shall thereafter become the “beneficial owner” of any additional Voting Stock of VS&amp;Co. which causes the proportionate voting power of Voting Stock beneficially owned by such Person to increase to fifty percent (50%) or more of the combined voting power of the Voting Stock of VS&amp;Co. then outstanding, such Person shall, upon becoming the “beneficial owner” of such additional Voting Stock of VS&amp;Co., be deemed to have become the “beneficial owner” of fifty percent (50%) or more of the combined voting power of the Voting Stock then outstanding other than solely as a result of such Voting Stock acquisition by VS&amp;Co.; (iii) the sale or other disposition of all or substantially all of the assets of VS&amp;Co.; or (iv) the consummation of a complete liquidation or dissolution of VS&amp;Co. For the purposes of the foregoing definition, “Person,” “Excluded Person,” and “Voting Stock” shall have their respective meanings set forth in the 2020 Stock Plan as of the Effective Date, provided that any reference therein to the Company shall be deemed a reference to VS&amp;Co.</w:t>
      </w:r>
    </w:p>
    <w:p>
      <w:pPr>
        <w:spacing w:after="0" w:line="15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VS&amp;Co. means Victoria’s Secret &amp;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77" w:right="339" w:bottom="1440" w:gutter="0" w:footer="0" w:header="0"/>
        </w:sectPr>
      </w:pPr>
    </w:p>
    <w:bookmarkStart w:id="42" w:name="page43"/>
    <w:bookmarkEnd w:id="42"/>
    <w:p>
      <w:pPr>
        <w:spacing w:after="0" w:line="237"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first above written.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DEIN BOYLE</w:t>
            </w:r>
          </w:p>
        </w:tc>
        <w:tc>
          <w:tcPr>
            <w:tcW w:w="2240" w:type="dxa"/>
            <w:vAlign w:val="bottom"/>
          </w:tcPr>
          <w:p>
            <w:pPr>
              <w:spacing w:after="0"/>
              <w:rPr>
                <w:sz w:val="19"/>
                <w:szCs w:val="19"/>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Dein Boyle</w:t>
            </w:r>
          </w:p>
        </w:tc>
        <w:tc>
          <w:tcPr>
            <w:tcW w:w="4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6/28/2021</w:t>
            </w:r>
          </w:p>
        </w:tc>
      </w:tr>
      <w:tr>
        <w:trPr>
          <w:trHeight w:val="475"/>
        </w:trPr>
        <w:tc>
          <w:tcPr>
            <w:tcW w:w="3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2240" w:type="dxa"/>
            <w:vAlign w:val="bottom"/>
          </w:tcPr>
          <w:p>
            <w:pPr>
              <w:spacing w:after="0"/>
              <w:rPr>
                <w:sz w:val="24"/>
                <w:szCs w:val="24"/>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 Martin Waters</w:t>
            </w:r>
          </w:p>
        </w:tc>
        <w:tc>
          <w:tcPr>
            <w:tcW w:w="448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6/28/2021</w:t>
            </w:r>
          </w:p>
        </w:tc>
      </w:tr>
      <w:tr>
        <w:trPr>
          <w:trHeight w:val="844"/>
        </w:trPr>
        <w:tc>
          <w:tcPr>
            <w:tcW w:w="3840" w:type="dxa"/>
            <w:vAlign w:val="bottom"/>
            <w:tcBorders>
              <w:top w:val="single" w:sz="8" w:color="auto"/>
            </w:tcBorders>
          </w:tcPr>
          <w:p>
            <w:pPr>
              <w:spacing w:after="0"/>
              <w:rPr>
                <w:sz w:val="24"/>
                <w:szCs w:val="24"/>
                <w:color w:val="auto"/>
              </w:rPr>
            </w:pPr>
          </w:p>
        </w:tc>
        <w:tc>
          <w:tcPr>
            <w:tcW w:w="2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w:t>
            </w:r>
          </w:p>
        </w:tc>
        <w:tc>
          <w:tcPr>
            <w:tcW w:w="2240" w:type="dxa"/>
            <w:vAlign w:val="bottom"/>
            <w:tcBorders>
              <w:top w:val="single" w:sz="8" w:color="auto"/>
            </w:tcBorders>
          </w:tcPr>
          <w:p>
            <w:pPr>
              <w:spacing w:after="0"/>
              <w:rPr>
                <w:sz w:val="24"/>
                <w:szCs w:val="24"/>
                <w:color w:val="auto"/>
              </w:rPr>
            </w:pPr>
          </w:p>
        </w:tc>
      </w:tr>
    </w:tbl>
    <w:p>
      <w:pPr>
        <w:sectPr>
          <w:pgSz w:w="11900" w:h="16838" w:orient="portrait"/>
          <w:cols w:equalWidth="0" w:num="1">
            <w:col w:w="11220"/>
          </w:cols>
          <w:pgMar w:left="320" w:top="877"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Waters, certify that:</w:t>
      </w:r>
    </w:p>
    <w:p>
      <w:pPr>
        <w:spacing w:after="0" w:line="23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4"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Johnson, certify that:</w:t>
      </w:r>
    </w:p>
    <w:p>
      <w:pPr>
        <w:spacing w:after="0" w:line="23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Martin Waters, the Chief Executive Officer, and Timothy Johnson, the Executive Vice President and Chief Financial Officer, of Victoria’s Secret &amp; Co. (the “Company”), each certifies that, to the best of his knowledge:</w:t>
      </w:r>
    </w:p>
    <w:p>
      <w:pPr>
        <w:spacing w:after="0" w:line="54" w:lineRule="exact"/>
        <w:rPr>
          <w:sz w:val="20"/>
          <w:szCs w:val="20"/>
          <w:color w:val="auto"/>
        </w:rPr>
      </w:pPr>
    </w:p>
    <w:p>
      <w:pPr>
        <w:ind w:left="660" w:right="260" w:hanging="328"/>
        <w:spacing w:after="0" w:line="282" w:lineRule="auto"/>
        <w:tabs>
          <w:tab w:leader="none" w:pos="6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dated June 3, 2022 for the period ending April 30, 2022 (the “Form 10-Q”),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Waters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Timothy Johnson</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
      <w:numFmt w:val="bullet"/>
      <w:start w:val="1"/>
    </w:lvl>
    <w:lvl w:ilvl="1">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1E7FF521"/>
    <w:multiLevelType w:val="hybridMultilevel"/>
    <w:lvl w:ilvl="0">
      <w:lvlJc w:val="left"/>
      <w:lvlText w:val="(%1)"/>
      <w:numFmt w:val="decimal"/>
      <w:start w:val="30"/>
    </w:lvl>
    <w:lvl w:ilvl="1">
      <w:lvlJc w:val="left"/>
      <w:lvlText w:val="%2."/>
      <w:numFmt w:val="decimal"/>
      <w:start w:val="3"/>
    </w:lvl>
    <w:lvl w:ilvl="2">
      <w:lvlJc w:val="left"/>
      <w:lvlText w:val="(%3)"/>
      <w:numFmt w:val="lowerLetter"/>
      <w:start w:val="1"/>
    </w:lvl>
  </w:abstractNum>
  <w:abstractNum w:abstractNumId="21">
    <w:nsid w:val="7C3DBD3D"/>
    <w:multiLevelType w:val="hybridMultilevel"/>
    <w:lvl w:ilvl="0">
      <w:lvlJc w:val="left"/>
      <w:lvlText w:val="(%1)"/>
      <w:numFmt w:val="lowerLetter"/>
      <w:start w:val="2"/>
    </w:lvl>
    <w:lvl w:ilvl="1">
      <w:lvlJc w:val="left"/>
      <w:lvlText w:val="(%2)"/>
      <w:numFmt w:val="lowerRoman"/>
      <w:start w:val="1"/>
    </w:lvl>
  </w:abstractNum>
  <w:abstractNum w:abstractNumId="22">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3">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4">
    <w:nsid w:val="22221A70"/>
    <w:multiLevelType w:val="hybridMultilevel"/>
    <w:lvl w:ilvl="0">
      <w:lvlJc w:val="left"/>
      <w:lvlText w:val="%1."/>
      <w:numFmt w:val="decimal"/>
      <w:start w:val="6"/>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
    <w:nsid w:val="3006C83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7">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8">
    <w:nsid w:val="419AC24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5577F8E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
    <w:nsid w:val="440BADFC"/>
    <w:multiLevelType w:val="hybridMultilevel"/>
    <w:lvl w:ilvl="0">
      <w:lvlJc w:val="left"/>
      <w:lvlText w:val="%1."/>
      <w:numFmt w:val="decimal"/>
      <w:start w:val="12"/>
    </w:lvl>
  </w:abstractNum>
  <w:abstractNum w:abstractNumId="31">
    <w:nsid w:val="5072367"/>
    <w:multiLevelType w:val="hybridMultilevel"/>
    <w:lvl w:ilvl="0">
      <w:lvlJc w:val="left"/>
      <w:lvlText w:val="%1."/>
      <w:numFmt w:val="decimal"/>
      <w:start w:val="16"/>
    </w:lvl>
  </w:abstractNum>
  <w:abstractNum w:abstractNumId="32">
    <w:nsid w:val="3804823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3">
    <w:nsid w:val="77465F01"/>
    <w:multiLevelType w:val="hybridMultilevel"/>
    <w:lvl w:ilvl="0">
      <w:lvlJc w:val="left"/>
      <w:lvlText w:val="%1"/>
      <w:numFmt w:val="lowerLetter"/>
      <w:start w:val="1"/>
    </w:lvl>
    <w:lvl w:ilvl="1">
      <w:lvlJc w:val="left"/>
      <w:lvlText w:val="%2."/>
      <w:numFmt w:val="decimal"/>
      <w:start w:val="22"/>
    </w:lvl>
    <w:lvl w:ilvl="2">
      <w:lvlJc w:val="left"/>
      <w:lvlText w:val="(%3)"/>
      <w:numFmt w:val="lowerLetter"/>
      <w:start w:val="1"/>
    </w:lvl>
  </w:abstractNum>
  <w:abstractNum w:abstractNumId="34">
    <w:nsid w:val="7724C67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abstractNum>
  <w:abstractNum w:abstractNumId="35">
    <w:nsid w:val="5C482A97"/>
    <w:multiLevelType w:val="hybridMultilevel"/>
    <w:lvl w:ilvl="0">
      <w:lvlJc w:val="left"/>
      <w:lvlText w:val="%1"/>
      <w:numFmt w:val="decimal"/>
      <w:start w:val="1"/>
    </w:lvl>
    <w:lvl w:ilvl="1">
      <w:lvlJc w:val="left"/>
      <w:lvlText w:val="(%2)"/>
      <w:numFmt w:val="lowerLetter"/>
      <w:start w:val="10"/>
    </w:lvl>
  </w:abstractNum>
  <w:abstractNum w:abstractNumId="36">
    <w:nsid w:val="2463B9EA"/>
    <w:multiLevelType w:val="hybridMultilevel"/>
    <w:lvl w:ilvl="0">
      <w:lvlJc w:val="left"/>
      <w:lvlText w:val="(%1)"/>
      <w:numFmt w:val="decimal"/>
      <w:start w:val="24"/>
    </w:lvl>
    <w:lvl w:ilvl="1">
      <w:lvlJc w:val="left"/>
      <w:lvlText w:val="(%2)"/>
      <w:numFmt w:val="lowerLetter"/>
      <w:start w:val="1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4" Type="http://schemas.openxmlformats.org/officeDocument/2006/relationships/hyperlink" Target="http://www.sec.gov/Archives/edgar/data/0001856437/000114036121026649/nt10026698x8_ex3-1.htm" TargetMode="External"/><Relationship Id="rId45" Type="http://schemas.openxmlformats.org/officeDocument/2006/relationships/hyperlink" Target="http://www.sec.gov/Archives/edgar/data/0001856437/000114036121026649/nt10026698x8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2022-06-03T15:21:57Z</dcterms:created>
  <dcterms:modified xsi:type="dcterms:W3CDTF">2022-06-03T15:21:57Z</dcterms:modified>
</cp:coreProperties>
</file>