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14, 2024</w:t>
      </w:r>
    </w:p>
    <w:p>
      <w:pPr>
        <w:spacing w:after="0" w:line="104" w:lineRule="exact"/>
        <w:rPr>
          <w:sz w:val="24"/>
          <w:szCs w:val="24"/>
          <w:color w:val="auto"/>
        </w:rPr>
      </w:pPr>
    </w:p>
    <w:p>
      <w:pPr>
        <w:ind w:left="8800"/>
        <w:spacing w:after="0"/>
        <w:rPr>
          <w:sz w:val="20"/>
          <w:szCs w:val="20"/>
          <w:color w:val="auto"/>
        </w:rPr>
      </w:pPr>
      <w:r>
        <w:rPr>
          <w:rFonts w:ascii="Times New Roman" w:cs="Times New Roman" w:eastAsia="Times New Roman" w:hAnsi="Times New Roman"/>
          <w:sz w:val="17"/>
          <w:szCs w:val="17"/>
          <w:b w:val="1"/>
          <w:bCs w:val="1"/>
          <w:color w:val="auto"/>
        </w:rPr>
        <w:t>Registration No. 333-_________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23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95885</wp:posOffset>
            </wp:positionV>
            <wp:extent cx="7123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S-8</w:t>
      </w:r>
    </w:p>
    <w:p>
      <w:pPr>
        <w:spacing w:after="0" w:line="2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REGISTRATION STATEMENT UNDER THE SECURITIES ACT OF 1933</w:t>
      </w:r>
    </w:p>
    <w:p>
      <w:pPr>
        <w:spacing w:after="0" w:line="280" w:lineRule="exact"/>
        <w:rPr>
          <w:sz w:val="24"/>
          <w:szCs w:val="24"/>
          <w:color w:val="auto"/>
        </w:rPr>
      </w:pPr>
    </w:p>
    <w:tbl>
      <w:tblPr>
        <w:tblLayout w:type="fixed"/>
        <w:tblInd w:w="1320" w:type="dxa"/>
        <w:tblCellMar>
          <w:top w:w="0" w:type="dxa"/>
          <w:left w:w="0" w:type="dxa"/>
          <w:bottom w:w="0" w:type="dxa"/>
          <w:right w:w="0" w:type="dxa"/>
        </w:tblCellMar>
      </w:tblPr>
      <w:tr>
        <w:trPr>
          <w:trHeight w:val="334"/>
        </w:trPr>
        <w:tc>
          <w:tcPr>
            <w:tcW w:w="2420" w:type="dxa"/>
            <w:vAlign w:val="bottom"/>
          </w:tcPr>
          <w:p>
            <w:pPr>
              <w:spacing w:after="0"/>
              <w:rPr>
                <w:sz w:val="24"/>
                <w:szCs w:val="24"/>
                <w:color w:val="auto"/>
              </w:rPr>
            </w:pPr>
          </w:p>
        </w:tc>
        <w:tc>
          <w:tcPr>
            <w:tcW w:w="4000" w:type="dxa"/>
            <w:vAlign w:val="bottom"/>
          </w:tcPr>
          <w:p>
            <w:pPr>
              <w:jc w:val="center"/>
              <w:ind w:right="158"/>
              <w:spacing w:after="0"/>
              <w:rPr>
                <w:sz w:val="20"/>
                <w:szCs w:val="20"/>
                <w:color w:val="auto"/>
              </w:rPr>
            </w:pPr>
            <w:r>
              <w:rPr>
                <w:rFonts w:ascii="Times New Roman" w:cs="Times New Roman" w:eastAsia="Times New Roman" w:hAnsi="Times New Roman"/>
                <w:sz w:val="25"/>
                <w:szCs w:val="25"/>
                <w:b w:val="1"/>
                <w:bCs w:val="1"/>
                <w:color w:val="auto"/>
              </w:rPr>
              <w:t>VICTORIA’S SECRET &amp; CO.</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420" w:type="dxa"/>
            <w:vAlign w:val="bottom"/>
          </w:tcPr>
          <w:p>
            <w:pPr>
              <w:spacing w:after="0"/>
              <w:rPr>
                <w:sz w:val="20"/>
                <w:szCs w:val="20"/>
                <w:color w:val="auto"/>
              </w:rPr>
            </w:pPr>
          </w:p>
        </w:tc>
        <w:tc>
          <w:tcPr>
            <w:tcW w:w="4000" w:type="dxa"/>
            <w:vAlign w:val="bottom"/>
          </w:tcPr>
          <w:p>
            <w:pPr>
              <w:jc w:val="center"/>
              <w:ind w:right="138"/>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5"/>
        </w:trPr>
        <w:tc>
          <w:tcPr>
            <w:tcW w:w="2420" w:type="dxa"/>
            <w:vAlign w:val="bottom"/>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000" w:type="dxa"/>
            <w:vAlign w:val="bottom"/>
          </w:tcPr>
          <w:p>
            <w:pPr>
              <w:spacing w:after="0"/>
              <w:rPr>
                <w:sz w:val="24"/>
                <w:szCs w:val="24"/>
                <w:color w:val="auto"/>
              </w:rPr>
            </w:pPr>
          </w:p>
        </w:tc>
        <w:tc>
          <w:tcPr>
            <w:tcW w:w="200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86-3167653</w:t>
            </w:r>
          </w:p>
        </w:tc>
        <w:tc>
          <w:tcPr>
            <w:tcW w:w="0" w:type="dxa"/>
            <w:vAlign w:val="bottom"/>
          </w:tcPr>
          <w:p>
            <w:pPr>
              <w:spacing w:after="0"/>
              <w:rPr>
                <w:sz w:val="1"/>
                <w:szCs w:val="1"/>
                <w:color w:val="auto"/>
              </w:rPr>
            </w:pPr>
          </w:p>
        </w:tc>
      </w:tr>
      <w:tr>
        <w:trPr>
          <w:trHeight w:val="234"/>
        </w:trPr>
        <w:tc>
          <w:tcPr>
            <w:tcW w:w="2420" w:type="dxa"/>
            <w:vAlign w:val="bottom"/>
            <w:vMerge w:val="restart"/>
          </w:tcPr>
          <w:p>
            <w:pPr>
              <w:jc w:val="center"/>
              <w:ind w:left="410"/>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6000" w:type="dxa"/>
            <w:vAlign w:val="bottom"/>
            <w:gridSpan w:val="2"/>
          </w:tcPr>
          <w:p>
            <w:pPr>
              <w:jc w:val="center"/>
              <w:ind w:left="3298"/>
              <w:spacing w:after="0"/>
              <w:rPr>
                <w:sz w:val="20"/>
                <w:szCs w:val="20"/>
                <w:color w:val="auto"/>
              </w:rPr>
            </w:pPr>
            <w:r>
              <w:rPr>
                <w:rFonts w:ascii="Times New Roman" w:cs="Times New Roman" w:eastAsia="Times New Roman" w:hAnsi="Times New Roman"/>
                <w:sz w:val="18"/>
                <w:szCs w:val="18"/>
                <w:color w:val="auto"/>
                <w:w w:val="99"/>
              </w:rPr>
              <w:t>(I.R.S. Employer Identification No.)</w:t>
            </w:r>
          </w:p>
        </w:tc>
        <w:tc>
          <w:tcPr>
            <w:tcW w:w="0" w:type="dxa"/>
            <w:vAlign w:val="bottom"/>
          </w:tcPr>
          <w:p>
            <w:pPr>
              <w:spacing w:after="0"/>
              <w:rPr>
                <w:sz w:val="1"/>
                <w:szCs w:val="1"/>
                <w:color w:val="auto"/>
              </w:rPr>
            </w:pPr>
          </w:p>
        </w:tc>
      </w:tr>
      <w:tr>
        <w:trPr>
          <w:trHeight w:val="68"/>
        </w:trPr>
        <w:tc>
          <w:tcPr>
            <w:tcW w:w="2420" w:type="dxa"/>
            <w:vAlign w:val="bottom"/>
            <w:vMerge w:val="continue"/>
          </w:tcPr>
          <w:p>
            <w:pPr>
              <w:spacing w:after="0"/>
              <w:rPr>
                <w:sz w:val="5"/>
                <w:szCs w:val="5"/>
                <w:color w:val="auto"/>
              </w:rPr>
            </w:pPr>
          </w:p>
        </w:tc>
        <w:tc>
          <w:tcPr>
            <w:tcW w:w="4000" w:type="dxa"/>
            <w:vAlign w:val="bottom"/>
          </w:tcPr>
          <w:p>
            <w:pPr>
              <w:spacing w:after="0"/>
              <w:rPr>
                <w:sz w:val="5"/>
                <w:szCs w:val="5"/>
                <w:color w:val="auto"/>
              </w:rPr>
            </w:pPr>
          </w:p>
        </w:tc>
        <w:tc>
          <w:tcPr>
            <w:tcW w:w="2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420" w:type="dxa"/>
            <w:vAlign w:val="bottom"/>
            <w:gridSpan w:val="2"/>
          </w:tcPr>
          <w:p>
            <w:pPr>
              <w:jc w:val="center"/>
              <w:ind w:right="3398"/>
              <w:spacing w:after="0"/>
              <w:rPr>
                <w:sz w:val="20"/>
                <w:szCs w:val="20"/>
                <w:color w:val="auto"/>
              </w:rPr>
            </w:pPr>
            <w:r>
              <w:rPr>
                <w:rFonts w:ascii="Times New Roman" w:cs="Times New Roman" w:eastAsia="Times New Roman" w:hAnsi="Times New Roman"/>
                <w:sz w:val="18"/>
                <w:szCs w:val="18"/>
                <w:color w:val="auto"/>
                <w:w w:val="99"/>
              </w:rPr>
              <w:t>of incorporation or organization)</w:t>
            </w:r>
          </w:p>
        </w:tc>
        <w:tc>
          <w:tcPr>
            <w:tcW w:w="2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3"/>
        </w:trPr>
        <w:tc>
          <w:tcPr>
            <w:tcW w:w="2420" w:type="dxa"/>
            <w:vAlign w:val="bottom"/>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4 Limited Parkway East</w:t>
            </w:r>
          </w:p>
        </w:tc>
        <w:tc>
          <w:tcPr>
            <w:tcW w:w="40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20" w:type="dxa"/>
            <w:vAlign w:val="bottom"/>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rPr>
              <w:t>Reynoldsburg, Ohio</w:t>
            </w:r>
          </w:p>
        </w:tc>
        <w:tc>
          <w:tcPr>
            <w:tcW w:w="40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420" w:type="dxa"/>
            <w:vAlign w:val="bottom"/>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OH</w:t>
            </w:r>
          </w:p>
        </w:tc>
        <w:tc>
          <w:tcPr>
            <w:tcW w:w="4000" w:type="dxa"/>
            <w:vAlign w:val="bottom"/>
          </w:tcPr>
          <w:p>
            <w:pPr>
              <w:spacing w:after="0"/>
              <w:rPr>
                <w:sz w:val="24"/>
                <w:szCs w:val="24"/>
                <w:color w:val="auto"/>
              </w:rPr>
            </w:pPr>
          </w:p>
        </w:tc>
        <w:tc>
          <w:tcPr>
            <w:tcW w:w="200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43068</w:t>
            </w:r>
          </w:p>
        </w:tc>
        <w:tc>
          <w:tcPr>
            <w:tcW w:w="0" w:type="dxa"/>
            <w:vAlign w:val="bottom"/>
          </w:tcPr>
          <w:p>
            <w:pPr>
              <w:spacing w:after="0"/>
              <w:rPr>
                <w:sz w:val="1"/>
                <w:szCs w:val="1"/>
                <w:color w:val="auto"/>
              </w:rPr>
            </w:pPr>
          </w:p>
        </w:tc>
      </w:tr>
      <w:tr>
        <w:trPr>
          <w:trHeight w:val="234"/>
        </w:trPr>
        <w:tc>
          <w:tcPr>
            <w:tcW w:w="6420" w:type="dxa"/>
            <w:vAlign w:val="bottom"/>
            <w:gridSpan w:val="2"/>
          </w:tcPr>
          <w:p>
            <w:pPr>
              <w:jc w:val="center"/>
              <w:ind w:right="3398"/>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00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bl>
    <w:p>
      <w:pPr>
        <w:spacing w:after="0" w:line="3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VICTORIA’S SECRET &amp; CO. 2021 STOCK OPTION AND PERFORMANCE INCENTIVE PLAN, AS AMENDED</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(Full title of the plan)</w:t>
      </w: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Timothy Johnson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and Administrative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 Limited Parkway East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Reynoldsburg, Ohio 43068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(614) 415-7000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and address of agent for service)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number, including area code, of agent for service)</w:t>
      </w:r>
    </w:p>
    <w:p>
      <w:pPr>
        <w:spacing w:after="0" w:line="234"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86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450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86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450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1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50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29"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234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wp:posOffset>
            </wp:positionV>
            <wp:extent cx="71234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56"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On June 13, 2024, at the 2024 Annual Meeting of Stockholders of Victoria’s Secret &amp; Co. (the “Registrant”), the Registrant’s stockholders approved an amendment to the Victoria’s Secret &amp; Co. 2021 Stock Option and Performance Incentive Plan (as amended, the “VS 2021 Stock Plan”) to increase the number of shares of the Registrant’s common stock, $0.01 par value per share (the “Common Stock”), available for issuance under the plan by 4,800,000 shares. The Registrant is filing this Registration Statement on Form S-8 for the purpose of registering under the Securities Act of 1933, as amended (the “Securities Act”), such additional 4,800,000 shares of Common Stock for issuance under the VS 2021 Stock Plan. Pursuant to General Instruction E, the contents of the Registration Statements on Form S-8 filed with the Securities and Exchange Commission (the “Commission”) on July 19, 2021 (Registration No. 333-258021) and August 3, 2021 (Registration No. 333-258419) are incorporated by reference into this Registration Statement, except as supplemented by the information set forth below.</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56"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 information specified in Item 1 and Item 2 of Part I of this Registration Statement is omitted from this filing in accordance with the provisions of Rule 428 under the Securities Act and the introductory note to Part I of the Registration Statement on Form S-8. The documents containing the information specified in Part I will be delivered to the participants in the VS 2021 Stock Plan as required by Rule 428(b)(1).</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56"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following documents, which have been filed by the Registrant with the Commission pursuant to the Securities Exchange Act of 1934, as amended (the “Exchange Act”), are incorporated by reference herein:</w:t>
      </w:r>
    </w:p>
    <w:p>
      <w:pPr>
        <w:spacing w:after="0" w:line="189" w:lineRule="exact"/>
        <w:rPr>
          <w:sz w:val="20"/>
          <w:szCs w:val="20"/>
          <w:color w:val="auto"/>
        </w:rPr>
      </w:pPr>
    </w:p>
    <w:p>
      <w:pPr>
        <w:ind w:left="660" w:right="80" w:hanging="328"/>
        <w:spacing w:after="0" w:line="282" w:lineRule="auto"/>
        <w:tabs>
          <w:tab w:leader="none" w:pos="657"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Registrant for the fiscal year ended February 3, 2024, filed with the Commission on March 22, 2024 (the “2023 Annual Report”);</w:t>
      </w:r>
    </w:p>
    <w:p>
      <w:pPr>
        <w:spacing w:after="0" w:line="188"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Registrant for the quarterly period ended May 4, 2024, filed with the Commission on June 7, 2024;</w:t>
      </w:r>
    </w:p>
    <w:p>
      <w:pPr>
        <w:spacing w:after="0" w:line="252"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7"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Reports on Form 8-K of the Registrant filed with the Commission on March 6, 2024 and June 5, 2024 (for each, excluding Items 2.02 and 7.01 thereof);</w:t>
      </w:r>
    </w:p>
    <w:p>
      <w:pPr>
        <w:spacing w:after="0" w:line="188"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definitive proxy statement for the Registrant’s 2024 Annual Meeting of Stockholders filed by the Registrant with the Commission on May 3, 2024; and</w:t>
      </w:r>
    </w:p>
    <w:p>
      <w:pPr>
        <w:spacing w:after="0" w:line="188"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7"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the Common Stock, which is contained in Exhibit 4.1 to the 2023 Annual Report, including any amendments or supplements thereto filed for the purpose of updating such description.</w:t>
      </w:r>
    </w:p>
    <w:p>
      <w:pPr>
        <w:spacing w:after="0" w:line="18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All documents filed by the Registrant pursuant to Sections 13(a), 13(c), 14 or 15(d) of the Exchange Act, after the date of this Registration Statement and prior to the filing of a post-effective amendment that indicates that all securities offered hereby have been sold or which deregisters all securities then remaining unsold, are incorporated by reference in this Registration Statement and are a part hereof from the date of filing of such documents; except as to any portion of any future annual or quarterly report to stockholders or document or current report furnished under current Items 2.02 or 7.01 of Form 8-K that is not deemed filed under such provisions. 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40"/>
          </w:cols>
          <w:pgMar w:left="320" w:top="98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Delaware General Corporation Law</w:t>
      </w:r>
    </w:p>
    <w:p>
      <w:pPr>
        <w:spacing w:after="0" w:line="256" w:lineRule="exact"/>
        <w:rPr>
          <w:sz w:val="20"/>
          <w:szCs w:val="20"/>
          <w:color w:val="auto"/>
        </w:rPr>
      </w:pPr>
    </w:p>
    <w:p>
      <w:pPr>
        <w:ind w:right="520" w:firstLine="324"/>
        <w:spacing w:after="0" w:line="261" w:lineRule="auto"/>
        <w:rPr>
          <w:sz w:val="20"/>
          <w:szCs w:val="20"/>
          <w:color w:val="auto"/>
        </w:rPr>
      </w:pPr>
      <w:r>
        <w:rPr>
          <w:rFonts w:ascii="Times New Roman" w:cs="Times New Roman" w:eastAsia="Times New Roman" w:hAnsi="Times New Roman"/>
          <w:sz w:val="18"/>
          <w:szCs w:val="18"/>
          <w:color w:val="auto"/>
        </w:rPr>
        <w:t>Section 102(b)(7) of the Delaware General Corporation Law (the “DGCL”) enables a corporation to eliminate or limit the personal liability of a director or officer to the corporation or its stockholders for monetary damages for breach of fiduciary duty as a director or officer, except for any:</w:t>
      </w: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a director’s or officer’s duty of loyalty to the corporation or its stockholders;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 or omission of a director or officer not in good faith or which involves intentional misconduct or a knowing violation of law;</w:t>
      </w:r>
    </w:p>
    <w:p>
      <w:pPr>
        <w:spacing w:after="0" w:line="9" w:lineRule="exact"/>
        <w:rPr>
          <w:rFonts w:ascii="Times New Roman" w:cs="Times New Roman" w:eastAsia="Times New Roman" w:hAnsi="Times New Roman"/>
          <w:sz w:val="18"/>
          <w:szCs w:val="18"/>
          <w:color w:val="auto"/>
        </w:rPr>
      </w:pPr>
    </w:p>
    <w:p>
      <w:pPr>
        <w:ind w:left="980" w:right="20" w:hanging="324"/>
        <w:spacing w:after="0" w:line="250" w:lineRule="auto"/>
        <w:tabs>
          <w:tab w:leader="none" w:pos="97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of a director under Section 174 of the DGCL (providing for liability of directors for unlawful payment of dividends or unlawful stock purchases or redemptions);</w:t>
      </w: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from which a director or officer derived an improper personal benefit; or</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of an officer in any action by or in the right of the corporation.</w:t>
      </w:r>
    </w:p>
    <w:p>
      <w:pPr>
        <w:spacing w:after="0" w:line="234"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Section 145(a) of the DGCL empowers a corporation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w:t>
      </w:r>
    </w:p>
    <w:p>
      <w:pPr>
        <w:spacing w:after="0" w:line="189"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DGCL provides that the indemnification described above shall not be deemed exclusive of any other indemnification that may be granted by a corporation pursuant to its bylaws, agreement, vote of stockholders or disinterested directors or otherwise.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Certificate of Incorporation</w:t>
      </w:r>
    </w:p>
    <w:p>
      <w:pPr>
        <w:spacing w:after="0" w:line="256" w:lineRule="exact"/>
        <w:rPr>
          <w:sz w:val="20"/>
          <w:szCs w:val="20"/>
          <w:color w:val="auto"/>
        </w:rPr>
      </w:pPr>
    </w:p>
    <w:p>
      <w:pPr>
        <w:jc w:val="both"/>
        <w:ind w:right="400" w:firstLine="324"/>
        <w:spacing w:after="0" w:line="266" w:lineRule="auto"/>
        <w:rPr>
          <w:sz w:val="20"/>
          <w:szCs w:val="20"/>
          <w:color w:val="auto"/>
        </w:rPr>
      </w:pPr>
      <w:r>
        <w:rPr>
          <w:rFonts w:ascii="Times New Roman" w:cs="Times New Roman" w:eastAsia="Times New Roman" w:hAnsi="Times New Roman"/>
          <w:sz w:val="18"/>
          <w:szCs w:val="18"/>
          <w:color w:val="auto"/>
        </w:rPr>
        <w:t>In accordance with Section 102(b)(7) of the DGCL, the Amended and Restated Certificate of Incorporation of the Registrant includes a provision eliminating, to the fullest extent permitted by the DGCL, the liability of the Registrant’s directors and officers to the Registrant or its stockholders for monetary damages for breach of fiduciary duty as a director or officer.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Bylaws</w:t>
      </w:r>
    </w:p>
    <w:p>
      <w:pPr>
        <w:spacing w:after="0" w:line="256"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Article V of the Registrant’s Second Amended and Restated Bylaws include the following provisions related to indemnification of directors and officers:</w:t>
      </w:r>
    </w:p>
    <w:p>
      <w:pPr>
        <w:spacing w:after="0" w:line="18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Section 5.01. Indemnification. The corporation shall indemnify any person who was or is a party or is threatened to be made a party to any threatened, pending, or completed action, suit, or proceeding, whether civil, criminal, administrative, or investigative, by reason of the fact that such person, or such person’s testator or intestate, is or was a director or officer of the corporation, or is or was serving at the request of the corporation as a director, officer, employee, or agent of another corporation, partnership, joint venture, trust, or other enterprise, or as a member of any committee or similar body against all expenses (including attorneys’ fees), judgments, penalties, fines, and amounts paid in settlement actually and reasonably incurred by such person in connection with such action, suit, or proceeding (including appeals) or the defense or settlement thereof or any claim, issue, or matter therein, to the fullest extent permitted by the laws of Delaware as they may exist from time to time.</w:t>
      </w:r>
    </w:p>
    <w:p>
      <w:pPr>
        <w:sectPr>
          <w:pgSz w:w="11900" w:h="16838" w:orient="portrait"/>
          <w:cols w:equalWidth="0" w:num="1">
            <w:col w:w="11200"/>
          </w:cols>
          <w:pgMar w:left="320" w:top="1130" w:right="379" w:bottom="1440" w:gutter="0" w:footer="0" w:header="0"/>
        </w:sectPr>
      </w:pPr>
    </w:p>
    <w:bookmarkStart w:id="3" w:name="page4"/>
    <w:bookmarkEnd w:id="3"/>
    <w:p>
      <w:pPr>
        <w:ind w:firstLine="324"/>
        <w:spacing w:after="0" w:line="261" w:lineRule="auto"/>
        <w:rPr>
          <w:sz w:val="20"/>
          <w:szCs w:val="20"/>
          <w:color w:val="auto"/>
        </w:rPr>
      </w:pPr>
      <w:r>
        <w:rPr>
          <w:rFonts w:ascii="Times New Roman" w:cs="Times New Roman" w:eastAsia="Times New Roman" w:hAnsi="Times New Roman"/>
          <w:sz w:val="18"/>
          <w:szCs w:val="18"/>
          <w:color w:val="auto"/>
        </w:rPr>
        <w:t>Section 5.02. Insurance. The proper officers of the corporation, without further authorization by the Board of Directors, may in their discretion purchase and maintain insurance on behalf of any person who is or was a director, officer, employee, or agent of the corporation, or is or was serving at the request of the corporation as a director, officer, employee, or agent for another corporation, partnership, joint venture, trust, or other enterprise, against any liability.</w:t>
      </w:r>
    </w:p>
    <w:p>
      <w:pPr>
        <w:spacing w:after="0" w:line="207"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Section 5.03. ERISA. To assure indemnification under this Article V of all such persons who are or were “fiduciaries” of an employee benefit plan governed by the Act of Congress entitled “Employee Retirement Income Security Act of 1974”, as amended from time to time, the provisions of this Article V shall, for the purposes hereof, be interpreted as follows: an “other enterprise” shall be deemed to include an employee benefit plan; the corporation shall be deemed to have requested a person to serve as an employee of an employee benefit plan where the performance by such person of duties to the corporation also imposes duties on, or otherwise involves services by, such person to the plan or participants or beneficiaries of the plan; excise taxes assessed on a person with respect to an employee benefit plan pursuant to said Act of Congress shall be deemed “fines”; and action taken or omitted by a person with respect to an employee benefit plan in the performance of such person’s duties for a purpose reasonably believed by such person to be in the interest of the participants and beneficiaries of the plan shall be deemed to be for a purpose which is not opposed to the best interests of the corporation.</w:t>
      </w:r>
    </w:p>
    <w:p>
      <w:pPr>
        <w:spacing w:after="0" w:line="215"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Section 5.04. Contractual Nature. The foregoing provisions of this Article V shall be deemed to be a contract between the corporation and each director and officer who serves in such capacity at any time while this Article V is in effect, and any repeal or modification thereof shall not affect any rights or obligations then existing with respect to any state of facts then or theretofore existing or any action, suit, or proceeding theretofore or thereafter brought based in whole or in part upon any such state of facts.</w:t>
      </w:r>
    </w:p>
    <w:p>
      <w:pPr>
        <w:spacing w:after="0" w:line="207"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Section 5.05. Construction. For the purposes of this Article V, references to “the corporation” include in addition to the resulting corporation, any constituent corporation (including any constituent of a constituent) absorbed in a consolidation or merger which, if its separate existence had continued, would have had power and authority to indemnify its directors, officers, employees or agents, so that any person who is or was a director or officer of such constituent corporation or is or was serving at the request of such constituent corporation as a director, officer, employee, or agent of another corporation, partnership, joint venture, trust, or other enterprise, or as a member of any committee or similar body, shall stand in the same position under the provisions of this Article with respect to the resulting or surviving corporation as such person would have with respect to such constituent corporation, if its separate existence had continued.</w:t>
      </w:r>
    </w:p>
    <w:p>
      <w:pPr>
        <w:spacing w:after="0" w:line="216"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Section 5.06. Non-Exclusive. The corporation may indemnify, or agree to indemnify, any person against any liabilities and expenses and pay any expenses, including attorneys’ fees, in, advance of final disposition of any action, suit, or proceeding, under any circumstances, if such indemnification and/or payment is approved by the vote of the stockholders or of the disinterested directors, or is, in the opinion of independent legal counsel selected by the Board of Directors, to be made on behalf of an indemnitee who acted in good faith and in a manner such person reasonably believed to be in, or not opposed to, the best interests of the corporation.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Victoria’s Secret &amp; Co. 2021 Stock Option and Performance Incentive Plan, as amended</w:t>
      </w:r>
    </w:p>
    <w:p>
      <w:pPr>
        <w:spacing w:after="0" w:line="256"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The 2021 VS Stock Plan provides that no member of the Human Capital and Compensation Committee of the Board of Directors, or such other committee as designated by the Board of Directors (the “Committee”), nor any person to whom duties have been delegated, will be personally liable for any action, interpretation or determination made with respect to the VS 2021 Stock Plan or award agreements made thereunder, and each member of the Committee will be fully indemnified and protected by the Registrant with respect to any liability he or she may incur with respect to any such action, interpretation or determination, to the extent permitted by applicable law and to the extent provided in the Registrants, Certification of Incorporation and Bylaws, as amended from time to time.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and Officers Insurance Coverage</w:t>
      </w:r>
    </w:p>
    <w:p>
      <w:pPr>
        <w:spacing w:after="0" w:line="25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DGCL also provides corporations with the power to purchase and maintain insurance on behalf of any person who is or was a director, officer, employee or agent of the corporation, or is or was serving at the request of the corporation in a similar capacity for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as described above. The Registrant maintains directors and officers liability insurance policies to insure such individuals against certain liabilities that might be incurred by them in such capacities.</w:t>
      </w:r>
    </w:p>
    <w:p>
      <w:pPr>
        <w:sectPr>
          <w:pgSz w:w="11900" w:h="16838" w:orient="portrait"/>
          <w:cols w:equalWidth="0" w:num="1">
            <w:col w:w="11160"/>
          </w:cols>
          <w:pgMar w:left="320" w:top="891" w:right="4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2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Not applicable.</w:t>
            </w:r>
          </w:p>
        </w:tc>
        <w:tc>
          <w:tcPr>
            <w:tcW w:w="9600" w:type="dxa"/>
            <w:vAlign w:val="bottom"/>
          </w:tcPr>
          <w:p>
            <w:pPr>
              <w:spacing w:after="0"/>
              <w:rPr>
                <w:sz w:val="20"/>
                <w:szCs w:val="20"/>
                <w:color w:val="auto"/>
              </w:rPr>
            </w:pPr>
          </w:p>
        </w:tc>
      </w:tr>
      <w:tr>
        <w:trPr>
          <w:trHeight w:val="459"/>
        </w:trPr>
        <w:tc>
          <w:tcPr>
            <w:tcW w:w="16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8. Exhibits.</w:t>
            </w:r>
          </w:p>
        </w:tc>
        <w:tc>
          <w:tcPr>
            <w:tcW w:w="9600" w:type="dxa"/>
            <w:vAlign w:val="bottom"/>
          </w:tcPr>
          <w:p>
            <w:pPr>
              <w:spacing w:after="0"/>
              <w:rPr>
                <w:sz w:val="24"/>
                <w:szCs w:val="24"/>
                <w:color w:val="auto"/>
              </w:rPr>
            </w:pPr>
          </w:p>
        </w:tc>
      </w:tr>
      <w:tr>
        <w:trPr>
          <w:trHeight w:val="499"/>
        </w:trPr>
        <w:tc>
          <w:tcPr>
            <w:tcW w:w="162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6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3"/>
        </w:trPr>
        <w:tc>
          <w:tcPr>
            <w:tcW w:w="960" w:type="dxa"/>
            <w:vAlign w:val="bottom"/>
            <w:gridSpan w:val="3"/>
          </w:tcPr>
          <w:p>
            <w:pPr>
              <w:jc w:val="center"/>
              <w:ind w:left="650"/>
              <w:spacing w:after="0" w:line="169" w:lineRule="exact"/>
              <w:rPr>
                <w:rFonts w:ascii="Times New Roman" w:cs="Times New Roman" w:eastAsia="Times New Roman" w:hAnsi="Times New Roman"/>
                <w:sz w:val="18"/>
                <w:szCs w:val="18"/>
                <w:color w:val="0000FF"/>
                <w:w w:val="97"/>
              </w:rPr>
            </w:pPr>
            <w:hyperlink r:id="rId12">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1</w:t>
              </w:r>
            </w:hyperlink>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0" w:type="dxa"/>
            <w:vAlign w:val="bottom"/>
          </w:tcPr>
          <w:p>
            <w:pPr>
              <w:ind w:left="120"/>
              <w:spacing w:after="0" w:line="169" w:lineRule="exact"/>
              <w:rPr>
                <w:sz w:val="20"/>
                <w:szCs w:val="20"/>
                <w:color w:val="auto"/>
              </w:rPr>
            </w:pPr>
            <w:r>
              <w:rPr>
                <w:rFonts w:ascii="Times New Roman" w:cs="Times New Roman" w:eastAsia="Times New Roman" w:hAnsi="Times New Roman"/>
                <w:sz w:val="18"/>
                <w:szCs w:val="18"/>
                <w:color w:val="auto"/>
              </w:rPr>
              <w:t>Amended and Restated Certificate of Incorporation of Victoria’s Secret &amp; Co. (incorporated by reference to Exhibit 3.1 to the</w:t>
            </w:r>
          </w:p>
        </w:tc>
      </w:tr>
      <w:tr>
        <w:trPr>
          <w:trHeight w:val="250"/>
        </w:trPr>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Registrant’s Form 8-K filed on June 14, 2024).</w:t>
            </w:r>
          </w:p>
        </w:tc>
      </w:tr>
      <w:tr>
        <w:trPr>
          <w:trHeight w:val="216"/>
        </w:trPr>
        <w:tc>
          <w:tcPr>
            <w:tcW w:w="960" w:type="dxa"/>
            <w:vAlign w:val="bottom"/>
            <w:gridSpan w:val="3"/>
          </w:tcPr>
          <w:p>
            <w:pPr>
              <w:jc w:val="center"/>
              <w:ind w:left="650"/>
              <w:spacing w:after="0"/>
              <w:rPr>
                <w:rFonts w:ascii="Times New Roman" w:cs="Times New Roman" w:eastAsia="Times New Roman" w:hAnsi="Times New Roman"/>
                <w:sz w:val="18"/>
                <w:szCs w:val="18"/>
                <w:color w:val="0E32E1"/>
                <w:w w:val="97"/>
              </w:rPr>
            </w:pPr>
            <w:hyperlink r:id="rId13">
              <w:r>
                <w:rPr>
                  <w:rFonts w:ascii="Times New Roman" w:cs="Times New Roman" w:eastAsia="Times New Roman" w:hAnsi="Times New Roman"/>
                  <w:sz w:val="18"/>
                  <w:szCs w:val="18"/>
                  <w:color w:val="0E32E1"/>
                  <w:w w:val="97"/>
                </w:rPr>
                <w:t>4.</w:t>
              </w:r>
              <w:r>
                <w:rPr>
                  <w:rFonts w:ascii="Times New Roman" w:cs="Times New Roman" w:eastAsia="Times New Roman" w:hAnsi="Times New Roman"/>
                  <w:sz w:val="18"/>
                  <w:szCs w:val="18"/>
                  <w:u w:val="single" w:color="auto"/>
                  <w:color w:val="0E32E1"/>
                  <w:w w:val="97"/>
                </w:rPr>
                <w:t>2</w:t>
              </w:r>
            </w:hyperlink>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Second Amended and Restated Bylaws of Victoria’s Secret &amp; Co. (incorporated by reference to Exhibit 3.2 to the Registrant’s</w:t>
            </w:r>
          </w:p>
        </w:tc>
      </w:tr>
      <w:tr>
        <w:trPr>
          <w:trHeight w:val="205"/>
        </w:trPr>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Borders>
              <w:top w:val="single" w:sz="8" w:color="0E32E1"/>
            </w:tcBorders>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0" w:type="dxa"/>
            <w:vAlign w:val="bottom"/>
          </w:tcPr>
          <w:p>
            <w:pPr>
              <w:ind w:left="120"/>
              <w:spacing w:after="0" w:line="205" w:lineRule="exact"/>
              <w:rPr>
                <w:sz w:val="20"/>
                <w:szCs w:val="20"/>
                <w:color w:val="auto"/>
              </w:rPr>
            </w:pPr>
            <w:r>
              <w:rPr>
                <w:rFonts w:ascii="Times New Roman" w:cs="Times New Roman" w:eastAsia="Times New Roman" w:hAnsi="Times New Roman"/>
                <w:sz w:val="18"/>
                <w:szCs w:val="18"/>
                <w:color w:val="auto"/>
              </w:rPr>
              <w:t>Form 10-K filed on March 17, 2023).</w:t>
            </w:r>
          </w:p>
        </w:tc>
      </w:tr>
      <w:tr>
        <w:trPr>
          <w:trHeight w:val="194"/>
        </w:trPr>
        <w:tc>
          <w:tcPr>
            <w:tcW w:w="960" w:type="dxa"/>
            <w:vAlign w:val="bottom"/>
            <w:gridSpan w:val="3"/>
          </w:tcPr>
          <w:p>
            <w:pPr>
              <w:jc w:val="center"/>
              <w:ind w:left="650"/>
              <w:spacing w:after="0" w:line="194" w:lineRule="exact"/>
              <w:rPr>
                <w:sz w:val="20"/>
                <w:szCs w:val="20"/>
                <w:color w:val="auto"/>
              </w:rPr>
            </w:pPr>
            <w:r>
              <w:rPr>
                <w:rFonts w:ascii="Times New Roman" w:cs="Times New Roman" w:eastAsia="Times New Roman" w:hAnsi="Times New Roman"/>
                <w:sz w:val="18"/>
                <w:szCs w:val="18"/>
                <w:color w:val="0E32E1"/>
                <w:w w:val="97"/>
              </w:rPr>
              <w:t>5.</w:t>
            </w:r>
            <w:r>
              <w:rPr>
                <w:rFonts w:ascii="Times New Roman" w:cs="Times New Roman" w:eastAsia="Times New Roman" w:hAnsi="Times New Roman"/>
                <w:sz w:val="18"/>
                <w:szCs w:val="18"/>
                <w:u w:val="single" w:color="auto"/>
                <w:color w:val="0E32E1"/>
                <w:w w:val="97"/>
              </w:rPr>
              <w:t>1</w:t>
            </w: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60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Opinion of Vorys, Sater, Seymour and Pease LLP regarding the legality of the securities being registered (filed herewith).</w:t>
            </w:r>
          </w:p>
        </w:tc>
      </w:tr>
      <w:tr>
        <w:trPr>
          <w:trHeight w:val="20"/>
        </w:trPr>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0" w:type="dxa"/>
            <w:vAlign w:val="bottom"/>
          </w:tcPr>
          <w:p>
            <w:pPr>
              <w:spacing w:after="0" w:line="20" w:lineRule="exact"/>
              <w:rPr>
                <w:sz w:val="1"/>
                <w:szCs w:val="1"/>
                <w:color w:val="auto"/>
              </w:rPr>
            </w:pPr>
          </w:p>
        </w:tc>
      </w:tr>
      <w:tr>
        <w:trPr>
          <w:trHeight w:val="209"/>
        </w:trPr>
        <w:tc>
          <w:tcPr>
            <w:tcW w:w="1000" w:type="dxa"/>
            <w:vAlign w:val="bottom"/>
            <w:gridSpan w:val="4"/>
          </w:tcPr>
          <w:p>
            <w:pPr>
              <w:jc w:val="center"/>
              <w:ind w:left="590"/>
              <w:spacing w:after="0" w:line="196" w:lineRule="exact"/>
              <w:rPr>
                <w:rFonts w:ascii="Times New Roman" w:cs="Times New Roman" w:eastAsia="Times New Roman" w:hAnsi="Times New Roman"/>
                <w:sz w:val="18"/>
                <w:szCs w:val="18"/>
                <w:color w:val="0E32E1"/>
              </w:rPr>
            </w:pPr>
            <w:hyperlink r:id="rId14">
              <w:r>
                <w:rPr>
                  <w:rFonts w:ascii="Times New Roman" w:cs="Times New Roman" w:eastAsia="Times New Roman" w:hAnsi="Times New Roman"/>
                  <w:sz w:val="18"/>
                  <w:szCs w:val="18"/>
                  <w:color w:val="0E32E1"/>
                </w:rPr>
                <w:t>10.</w:t>
              </w:r>
              <w:r>
                <w:rPr>
                  <w:rFonts w:ascii="Times New Roman" w:cs="Times New Roman" w:eastAsia="Times New Roman" w:hAnsi="Times New Roman"/>
                  <w:sz w:val="18"/>
                  <w:szCs w:val="18"/>
                  <w:u w:val="single" w:color="auto"/>
                  <w:color w:val="0E32E1"/>
                </w:rPr>
                <w:t>1</w:t>
              </w:r>
            </w:hyperlink>
          </w:p>
        </w:tc>
        <w:tc>
          <w:tcPr>
            <w:tcW w:w="620" w:type="dxa"/>
            <w:vAlign w:val="bottom"/>
          </w:tcPr>
          <w:p>
            <w:pPr>
              <w:spacing w:after="0"/>
              <w:rPr>
                <w:sz w:val="18"/>
                <w:szCs w:val="18"/>
                <w:color w:val="auto"/>
              </w:rPr>
            </w:pPr>
          </w:p>
        </w:tc>
        <w:tc>
          <w:tcPr>
            <w:tcW w:w="960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Victoria’s Secret &amp; Co. 2021 Stock Option and Performance Incentive Plan (incorporated by reference to Exhibit 99.1 to the</w:t>
            </w:r>
          </w:p>
        </w:tc>
      </w:tr>
      <w:tr>
        <w:trPr>
          <w:trHeight w:val="250"/>
        </w:trPr>
        <w:tc>
          <w:tcPr>
            <w:tcW w:w="680" w:type="dxa"/>
            <w:vAlign w:val="bottom"/>
          </w:tcPr>
          <w:p>
            <w:pPr>
              <w:spacing w:after="0"/>
              <w:rPr>
                <w:sz w:val="21"/>
                <w:szCs w:val="21"/>
                <w:color w:val="auto"/>
              </w:rPr>
            </w:pPr>
          </w:p>
        </w:tc>
        <w:tc>
          <w:tcPr>
            <w:tcW w:w="60" w:type="dxa"/>
            <w:vAlign w:val="bottom"/>
            <w:tcBorders>
              <w:top w:val="single" w:sz="8" w:color="0E32E1"/>
            </w:tcBorders>
          </w:tcPr>
          <w:p>
            <w:pPr>
              <w:spacing w:after="0"/>
              <w:rPr>
                <w:sz w:val="21"/>
                <w:szCs w:val="21"/>
                <w:color w:val="auto"/>
              </w:rPr>
            </w:pPr>
          </w:p>
        </w:tc>
        <w:tc>
          <w:tcPr>
            <w:tcW w:w="220" w:type="dxa"/>
            <w:vAlign w:val="bottom"/>
            <w:tcBorders>
              <w:top w:val="single" w:sz="8" w:color="0E32E1"/>
            </w:tcBorders>
          </w:tcPr>
          <w:p>
            <w:pPr>
              <w:spacing w:after="0"/>
              <w:rPr>
                <w:sz w:val="21"/>
                <w:szCs w:val="21"/>
                <w:color w:val="auto"/>
              </w:rPr>
            </w:pPr>
          </w:p>
        </w:tc>
        <w:tc>
          <w:tcPr>
            <w:tcW w:w="40" w:type="dxa"/>
            <w:vAlign w:val="bottom"/>
            <w:tcBorders>
              <w:top w:val="single" w:sz="8" w:color="0E32E1"/>
            </w:tcBorders>
          </w:tcPr>
          <w:p>
            <w:pPr>
              <w:spacing w:after="0"/>
              <w:rPr>
                <w:sz w:val="21"/>
                <w:szCs w:val="21"/>
                <w:color w:val="auto"/>
              </w:rPr>
            </w:pPr>
          </w:p>
        </w:tc>
        <w:tc>
          <w:tcPr>
            <w:tcW w:w="620" w:type="dxa"/>
            <w:vAlign w:val="bottom"/>
          </w:tcPr>
          <w:p>
            <w:pPr>
              <w:spacing w:after="0"/>
              <w:rPr>
                <w:sz w:val="21"/>
                <w:szCs w:val="21"/>
                <w:color w:val="auto"/>
              </w:rPr>
            </w:pPr>
          </w:p>
        </w:tc>
        <w:tc>
          <w:tcPr>
            <w:tcW w:w="9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Registrant’s Form S-8 filed on July 19, 2021).</w:t>
            </w:r>
          </w:p>
        </w:tc>
      </w:tr>
      <w:tr>
        <w:trPr>
          <w:trHeight w:val="216"/>
        </w:trPr>
        <w:tc>
          <w:tcPr>
            <w:tcW w:w="1000" w:type="dxa"/>
            <w:vAlign w:val="bottom"/>
            <w:gridSpan w:val="4"/>
          </w:tcPr>
          <w:p>
            <w:pPr>
              <w:jc w:val="center"/>
              <w:ind w:left="590"/>
              <w:spacing w:after="0" w:line="196" w:lineRule="exact"/>
              <w:rPr>
                <w:rFonts w:ascii="Times New Roman" w:cs="Times New Roman" w:eastAsia="Times New Roman" w:hAnsi="Times New Roman"/>
                <w:sz w:val="18"/>
                <w:szCs w:val="18"/>
                <w:color w:val="0000FF"/>
              </w:rPr>
            </w:pPr>
            <w:hyperlink r:id="rId1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hyperlink>
          </w:p>
        </w:tc>
        <w:tc>
          <w:tcPr>
            <w:tcW w:w="620" w:type="dxa"/>
            <w:vAlign w:val="bottom"/>
          </w:tcPr>
          <w:p>
            <w:pPr>
              <w:spacing w:after="0"/>
              <w:rPr>
                <w:sz w:val="18"/>
                <w:szCs w:val="18"/>
                <w:color w:val="auto"/>
              </w:rPr>
            </w:pPr>
          </w:p>
        </w:tc>
        <w:tc>
          <w:tcPr>
            <w:tcW w:w="960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Amendment to the Victoria’s Secret &amp; Co. 2021 Stock Option and Performance Incentive Plan (incorporated by reference to</w:t>
            </w:r>
          </w:p>
        </w:tc>
      </w:tr>
      <w:tr>
        <w:trPr>
          <w:trHeight w:val="250"/>
        </w:trPr>
        <w:tc>
          <w:tcPr>
            <w:tcW w:w="680" w:type="dxa"/>
            <w:vAlign w:val="bottom"/>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620" w:type="dxa"/>
            <w:vAlign w:val="bottom"/>
          </w:tcPr>
          <w:p>
            <w:pPr>
              <w:spacing w:after="0"/>
              <w:rPr>
                <w:sz w:val="21"/>
                <w:szCs w:val="21"/>
                <w:color w:val="auto"/>
              </w:rPr>
            </w:pPr>
          </w:p>
        </w:tc>
        <w:tc>
          <w:tcPr>
            <w:tcW w:w="9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Exhibit 10.2 to the Registrant’s Form 8-K filed on June 14, 2024).</w:t>
            </w:r>
          </w:p>
        </w:tc>
      </w:tr>
      <w:tr>
        <w:trPr>
          <w:trHeight w:val="216"/>
        </w:trPr>
        <w:tc>
          <w:tcPr>
            <w:tcW w:w="680" w:type="dxa"/>
            <w:vAlign w:val="bottom"/>
          </w:tcPr>
          <w:p>
            <w:pPr>
              <w:spacing w:after="0"/>
              <w:rPr>
                <w:sz w:val="18"/>
                <w:szCs w:val="18"/>
                <w:color w:val="auto"/>
              </w:rPr>
            </w:pPr>
          </w:p>
        </w:tc>
        <w:tc>
          <w:tcPr>
            <w:tcW w:w="320" w:type="dxa"/>
            <w:vAlign w:val="bottom"/>
            <w:tcBorders>
              <w:bottom w:val="single" w:sz="8" w:color="0E32E1"/>
            </w:tcBorders>
            <w:gridSpan w:val="3"/>
          </w:tcPr>
          <w:p>
            <w:pPr>
              <w:jc w:val="center"/>
              <w:spacing w:after="0"/>
              <w:rPr>
                <w:sz w:val="20"/>
                <w:szCs w:val="20"/>
                <w:color w:val="auto"/>
              </w:rPr>
            </w:pPr>
            <w:r>
              <w:rPr>
                <w:rFonts w:ascii="Times New Roman" w:cs="Times New Roman" w:eastAsia="Times New Roman" w:hAnsi="Times New Roman"/>
                <w:sz w:val="18"/>
                <w:szCs w:val="18"/>
                <w:color w:val="0E32E1"/>
              </w:rPr>
              <w:t>23.</w:t>
            </w:r>
            <w:r>
              <w:rPr>
                <w:rFonts w:ascii="Times New Roman" w:cs="Times New Roman" w:eastAsia="Times New Roman" w:hAnsi="Times New Roman"/>
                <w:sz w:val="18"/>
                <w:szCs w:val="18"/>
                <w:u w:val="single" w:color="auto"/>
                <w:color w:val="0E32E1"/>
              </w:rPr>
              <w:t>1</w:t>
            </w:r>
          </w:p>
        </w:tc>
        <w:tc>
          <w:tcPr>
            <w:tcW w:w="620" w:type="dxa"/>
            <w:vAlign w:val="bottom"/>
          </w:tcPr>
          <w:p>
            <w:pPr>
              <w:spacing w:after="0"/>
              <w:rPr>
                <w:sz w:val="18"/>
                <w:szCs w:val="18"/>
                <w:color w:val="auto"/>
              </w:rPr>
            </w:pPr>
          </w:p>
        </w:tc>
        <w:tc>
          <w:tcPr>
            <w:tcW w:w="9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Consent of Ernst &amp; Young LLP (filed herewith).</w:t>
            </w:r>
          </w:p>
        </w:tc>
      </w:tr>
      <w:tr>
        <w:trPr>
          <w:trHeight w:val="209"/>
        </w:trPr>
        <w:tc>
          <w:tcPr>
            <w:tcW w:w="680" w:type="dxa"/>
            <w:vAlign w:val="bottom"/>
          </w:tcPr>
          <w:p>
            <w:pPr>
              <w:spacing w:after="0"/>
              <w:rPr>
                <w:sz w:val="18"/>
                <w:szCs w:val="18"/>
                <w:color w:val="auto"/>
              </w:rPr>
            </w:pPr>
          </w:p>
        </w:tc>
        <w:tc>
          <w:tcPr>
            <w:tcW w:w="320" w:type="dxa"/>
            <w:vAlign w:val="bottom"/>
            <w:tcBorders>
              <w:bottom w:val="single" w:sz="8" w:color="0E32E1"/>
            </w:tcBorders>
            <w:gridSpan w:val="3"/>
          </w:tcPr>
          <w:p>
            <w:pPr>
              <w:jc w:val="center"/>
              <w:spacing w:after="0"/>
              <w:rPr>
                <w:sz w:val="20"/>
                <w:szCs w:val="20"/>
                <w:color w:val="auto"/>
              </w:rPr>
            </w:pPr>
            <w:r>
              <w:rPr>
                <w:rFonts w:ascii="Times New Roman" w:cs="Times New Roman" w:eastAsia="Times New Roman" w:hAnsi="Times New Roman"/>
                <w:sz w:val="18"/>
                <w:szCs w:val="18"/>
                <w:color w:val="0E32E1"/>
              </w:rPr>
              <w:t>23.</w:t>
            </w:r>
            <w:r>
              <w:rPr>
                <w:rFonts w:ascii="Times New Roman" w:cs="Times New Roman" w:eastAsia="Times New Roman" w:hAnsi="Times New Roman"/>
                <w:sz w:val="18"/>
                <w:szCs w:val="18"/>
                <w:u w:val="single" w:color="auto"/>
                <w:color w:val="0E32E1"/>
              </w:rPr>
              <w:t>2</w:t>
            </w:r>
          </w:p>
        </w:tc>
        <w:tc>
          <w:tcPr>
            <w:tcW w:w="620" w:type="dxa"/>
            <w:vAlign w:val="bottom"/>
          </w:tcPr>
          <w:p>
            <w:pPr>
              <w:spacing w:after="0"/>
              <w:rPr>
                <w:sz w:val="18"/>
                <w:szCs w:val="18"/>
                <w:color w:val="auto"/>
              </w:rPr>
            </w:pPr>
          </w:p>
        </w:tc>
        <w:tc>
          <w:tcPr>
            <w:tcW w:w="9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Consent of Vorys, Sater, Seymour and Pease LLP (included in Exhibit 5.1).</w:t>
            </w:r>
          </w:p>
        </w:tc>
      </w:tr>
      <w:tr>
        <w:trPr>
          <w:trHeight w:val="250"/>
        </w:trPr>
        <w:tc>
          <w:tcPr>
            <w:tcW w:w="1000" w:type="dxa"/>
            <w:vAlign w:val="bottom"/>
            <w:gridSpan w:val="4"/>
          </w:tcPr>
          <w:p>
            <w:pPr>
              <w:jc w:val="center"/>
              <w:ind w:left="590"/>
              <w:spacing w:after="0"/>
              <w:rPr>
                <w:sz w:val="20"/>
                <w:szCs w:val="20"/>
                <w:color w:val="auto"/>
              </w:rPr>
            </w:pPr>
            <w:r>
              <w:rPr>
                <w:rFonts w:ascii="Times New Roman" w:cs="Times New Roman" w:eastAsia="Times New Roman" w:hAnsi="Times New Roman"/>
                <w:sz w:val="18"/>
                <w:szCs w:val="18"/>
                <w:color w:val="auto"/>
              </w:rPr>
              <w:t>24.1</w:t>
            </w:r>
          </w:p>
        </w:tc>
        <w:tc>
          <w:tcPr>
            <w:tcW w:w="620" w:type="dxa"/>
            <w:vAlign w:val="bottom"/>
          </w:tcPr>
          <w:p>
            <w:pPr>
              <w:spacing w:after="0"/>
              <w:rPr>
                <w:sz w:val="21"/>
                <w:szCs w:val="21"/>
                <w:color w:val="auto"/>
              </w:rPr>
            </w:pPr>
          </w:p>
        </w:tc>
        <w:tc>
          <w:tcPr>
            <w:tcW w:w="9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Power of Attorney (included on the signature pages of this Registration Statement).</w:t>
            </w:r>
          </w:p>
        </w:tc>
      </w:tr>
    </w:tbl>
    <w:p>
      <w:pPr>
        <w:ind w:left="1740" w:hanging="1030"/>
        <w:spacing w:after="0"/>
        <w:tabs>
          <w:tab w:leader="none" w:pos="1740" w:val="left"/>
        </w:tabs>
        <w:numPr>
          <w:ilvl w:val="0"/>
          <w:numId w:val="3"/>
        </w:numPr>
        <w:rPr>
          <w:rFonts w:ascii="Times New Roman" w:cs="Times New Roman" w:eastAsia="Times New Roman" w:hAnsi="Times New Roman"/>
          <w:sz w:val="18"/>
          <w:szCs w:val="18"/>
          <w:u w:val="single" w:color="auto"/>
          <w:color w:val="0E32E1"/>
        </w:rPr>
      </w:pPr>
      <w:r>
        <w:rPr>
          <w:rFonts w:ascii="Times New Roman" w:cs="Times New Roman" w:eastAsia="Times New Roman" w:hAnsi="Times New Roman"/>
          <w:sz w:val="18"/>
          <w:szCs w:val="18"/>
          <w:color w:val="auto"/>
        </w:rPr>
        <w:t>Calculation of Filing Fee Tables (filed herewith).</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256"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52"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52" w:lineRule="exact"/>
        <w:rPr>
          <w:rFonts w:ascii="Times New Roman" w:cs="Times New Roman" w:eastAsia="Times New Roman" w:hAnsi="Times New Roman"/>
          <w:sz w:val="18"/>
          <w:szCs w:val="18"/>
          <w:color w:val="auto"/>
        </w:rPr>
      </w:pPr>
    </w:p>
    <w:p>
      <w:pPr>
        <w:ind w:left="980" w:firstLine="324"/>
        <w:spacing w:after="0" w:line="255" w:lineRule="auto"/>
        <w:tabs>
          <w:tab w:leader="none" w:pos="1569"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215" w:lineRule="exact"/>
        <w:rPr>
          <w:rFonts w:ascii="Times New Roman" w:cs="Times New Roman" w:eastAsia="Times New Roman" w:hAnsi="Times New Roman"/>
          <w:sz w:val="18"/>
          <w:szCs w:val="18"/>
          <w:color w:val="auto"/>
        </w:rPr>
      </w:pPr>
    </w:p>
    <w:p>
      <w:pPr>
        <w:ind w:left="980" w:right="180" w:firstLine="324"/>
        <w:spacing w:after="0" w:line="282" w:lineRule="auto"/>
        <w:tabs>
          <w:tab w:leader="none" w:pos="1619"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87" w:lineRule="exact"/>
        <w:rPr>
          <w:sz w:val="20"/>
          <w:szCs w:val="20"/>
          <w:color w:val="auto"/>
        </w:rPr>
      </w:pPr>
    </w:p>
    <w:p>
      <w:pPr>
        <w:ind w:left="660" w:right="80"/>
        <w:spacing w:after="0" w:line="267"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and (a)(1)(ii) of this section do not apply if the information required to be included in a post-effective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by those paragraphs is contained in reports filed with or furnished to the Commission by the Registrant pursuant to Section 13 or Section 15(d) of the Exchange Act that are incorporated by reference in this Registration Statement.</w:t>
      </w:r>
    </w:p>
    <w:p>
      <w:pPr>
        <w:spacing w:after="0" w:line="202" w:lineRule="exact"/>
        <w:rPr>
          <w:sz w:val="20"/>
          <w:szCs w:val="20"/>
          <w:color w:val="auto"/>
        </w:rPr>
      </w:pPr>
    </w:p>
    <w:p>
      <w:pPr>
        <w:ind w:left="660" w:right="80" w:firstLine="320"/>
        <w:spacing w:after="0" w:line="266" w:lineRule="auto"/>
        <w:tabs>
          <w:tab w:leader="none" w:pos="130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 xml:space="preserve">bona fide </w:t>
      </w:r>
      <w:r>
        <w:rPr>
          <w:rFonts w:ascii="Times New Roman" w:cs="Times New Roman" w:eastAsia="Times New Roman" w:hAnsi="Times New Roman"/>
          <w:sz w:val="18"/>
          <w:szCs w:val="18"/>
          <w:color w:val="auto"/>
        </w:rPr>
        <w:t>offering thereof.</w:t>
      </w:r>
    </w:p>
    <w:p>
      <w:pPr>
        <w:spacing w:after="0" w:line="202" w:lineRule="exact"/>
        <w:rPr>
          <w:rFonts w:ascii="Times New Roman" w:cs="Times New Roman" w:eastAsia="Times New Roman" w:hAnsi="Times New Roman"/>
          <w:sz w:val="18"/>
          <w:szCs w:val="18"/>
          <w:color w:val="auto"/>
        </w:rPr>
      </w:pPr>
    </w:p>
    <w:p>
      <w:pPr>
        <w:ind w:left="660" w:right="240" w:firstLine="320"/>
        <w:spacing w:after="0" w:line="282" w:lineRule="auto"/>
        <w:tabs>
          <w:tab w:leader="none" w:pos="130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ectPr>
          <w:pgSz w:w="11900" w:h="16838" w:orient="portrait"/>
          <w:cols w:equalWidth="0" w:num="1">
            <w:col w:w="11220"/>
          </w:cols>
          <w:pgMar w:left="320" w:top="887" w:right="359" w:bottom="1440" w:gutter="0" w:footer="0" w:header="0"/>
        </w:sectPr>
      </w:pPr>
    </w:p>
    <w:bookmarkStart w:id="5" w:name="page6"/>
    <w:bookmarkEnd w:id="5"/>
    <w:p>
      <w:pPr>
        <w:ind w:left="-332" w:firstLine="332"/>
        <w:spacing w:after="0" w:line="258" w:lineRule="auto"/>
        <w:tabs>
          <w:tab w:leader="none" w:pos="31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210" w:lineRule="exact"/>
        <w:rPr>
          <w:rFonts w:ascii="Times New Roman" w:cs="Times New Roman" w:eastAsia="Times New Roman" w:hAnsi="Times New Roman"/>
          <w:sz w:val="18"/>
          <w:szCs w:val="18"/>
          <w:color w:val="auto"/>
        </w:rPr>
      </w:pPr>
    </w:p>
    <w:p>
      <w:pPr>
        <w:ind w:left="-332" w:right="80" w:firstLine="332"/>
        <w:spacing w:after="0" w:line="254" w:lineRule="auto"/>
        <w:tabs>
          <w:tab w:leader="none" w:pos="31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ectPr>
          <w:pgSz w:w="11900" w:h="16838" w:orient="portrait"/>
          <w:cols w:equalWidth="0" w:num="1">
            <w:col w:w="10828"/>
          </w:cols>
          <w:pgMar w:left="652" w:top="891" w:right="419" w:bottom="1440" w:gutter="0" w:footer="0" w:header="0"/>
        </w:sectPr>
      </w:pPr>
    </w:p>
    <w:bookmarkStart w:id="6" w:name="page7"/>
    <w:bookmarkEnd w:id="6"/>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Reynoldsburg, State of Ohio, on the 14th day of June, 2024.</w:t>
      </w:r>
    </w:p>
    <w:p>
      <w:pPr>
        <w:spacing w:after="0" w:line="200" w:lineRule="exact"/>
        <w:rPr>
          <w:sz w:val="20"/>
          <w:szCs w:val="20"/>
          <w:color w:val="auto"/>
        </w:rPr>
      </w:pPr>
    </w:p>
    <w:p>
      <w:pPr>
        <w:spacing w:after="0" w:line="201"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297" w:lineRule="exact"/>
        <w:rPr>
          <w:sz w:val="20"/>
          <w:szCs w:val="20"/>
          <w:color w:val="auto"/>
        </w:rPr>
      </w:pPr>
    </w:p>
    <w:tbl>
      <w:tblPr>
        <w:tblLayout w:type="fixed"/>
        <w:tblInd w:w="542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Timothy Johnson</w:t>
            </w:r>
          </w:p>
        </w:tc>
      </w:tr>
      <w:tr>
        <w:trPr>
          <w:trHeight w:val="21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Timothy Johnson</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and Administrative Officer</w:t>
            </w:r>
          </w:p>
        </w:tc>
      </w:tr>
    </w:tbl>
    <w:p>
      <w:pPr>
        <w:sectPr>
          <w:pgSz w:w="11900" w:h="16838" w:orient="portrait"/>
          <w:cols w:equalWidth="0" w:num="1">
            <w:col w:w="10780"/>
          </w:cols>
          <w:pgMar w:left="320" w:top="887" w:right="79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56"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Martin Waters and Timothy Johnson and each of them, our true and lawful attorneys-in-fact and agents, with full power of substitution and resubstitution, to do any and all acts and things and execute, in the name of the undersigned, any and all instruments which said attorneys-in-fact and agents may deem necessary or advisable in order to enable Victoria’s Secret &amp; Co. to comply with the Securities Act of 1933, as amended, and any requirements of the Securities and Exchange Commission in respect thereof, in connection with the filing with the Securities and Exchange Commission of one or more registration statements on Form S-8 under the Securities Act of 1933, as amended, including, specifically, but without limitation, power and authority to sign the name of the undersigned to any such registration statement, and any amendments to any such registration statement (including post-effective amendments), and to file the same with all exhibits thereto and other documents in connection therewith, with the Securities and Exchange Commission, to sign any and all applications, registration statements, notices or other documents necessary or advisable to comply with applicable state securities laws, and to file the same, together with other documents in connection therewith with the appropriate state securities authorities, granting unto said attorneys-in-fact and agents, and each of them, full power and authority to do and to perform each and every act and thing requisite or necessary to be done in and about the premises, as fully and to all intents and purposes as the undersigned might or could do in person, hereby ratifying and confirming all that said attorneys-in-fact and agents, and any of them, or their substitutes, may lawfully do or cause to be done by virtue hereof.</w:t>
      </w:r>
    </w:p>
    <w:p>
      <w:pPr>
        <w:spacing w:after="0" w:line="214"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indicated on June 14,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5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Title</w:t>
            </w:r>
          </w:p>
        </w:tc>
      </w:tr>
      <w:tr>
        <w:trPr>
          <w:trHeight w:val="426"/>
        </w:trPr>
        <w:tc>
          <w:tcPr>
            <w:tcW w:w="5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Martin Waters</w:t>
            </w:r>
          </w:p>
        </w:tc>
        <w:tc>
          <w:tcPr>
            <w:tcW w:w="5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 and Chief Executive Officer</w:t>
            </w:r>
          </w:p>
        </w:tc>
      </w:tr>
      <w:tr>
        <w:trPr>
          <w:trHeight w:val="228"/>
        </w:trPr>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Martin Waters</w:t>
            </w:r>
          </w:p>
        </w:tc>
        <w:tc>
          <w:tcPr>
            <w:tcW w:w="5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41"/>
        </w:trPr>
        <w:tc>
          <w:tcPr>
            <w:tcW w:w="5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Timothy Johnson</w:t>
            </w:r>
          </w:p>
        </w:tc>
        <w:tc>
          <w:tcPr>
            <w:tcW w:w="5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and Administrative Officer</w:t>
            </w:r>
          </w:p>
        </w:tc>
      </w:tr>
      <w:tr>
        <w:trPr>
          <w:trHeight w:val="228"/>
        </w:trPr>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Timothy Johnson</w:t>
            </w:r>
          </w:p>
        </w:tc>
        <w:tc>
          <w:tcPr>
            <w:tcW w:w="5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 and principal accounting officer)</w:t>
            </w:r>
          </w:p>
        </w:tc>
      </w:tr>
      <w:tr>
        <w:trPr>
          <w:trHeight w:val="441"/>
        </w:trPr>
        <w:tc>
          <w:tcPr>
            <w:tcW w:w="5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Donna James</w:t>
            </w:r>
          </w:p>
        </w:tc>
        <w:tc>
          <w:tcPr>
            <w:tcW w:w="5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Chair of the Board of Directors</w:t>
            </w:r>
          </w:p>
        </w:tc>
      </w:tr>
      <w:tr>
        <w:trPr>
          <w:trHeight w:val="228"/>
        </w:trPr>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Donna James</w:t>
            </w:r>
          </w:p>
        </w:tc>
        <w:tc>
          <w:tcPr>
            <w:tcW w:w="5900" w:type="dxa"/>
            <w:vAlign w:val="bottom"/>
          </w:tcPr>
          <w:p>
            <w:pPr>
              <w:spacing w:after="0"/>
              <w:rPr>
                <w:sz w:val="19"/>
                <w:szCs w:val="19"/>
                <w:color w:val="auto"/>
              </w:rPr>
            </w:pPr>
          </w:p>
        </w:tc>
      </w:tr>
      <w:tr>
        <w:trPr>
          <w:trHeight w:val="495"/>
        </w:trPr>
        <w:tc>
          <w:tcPr>
            <w:tcW w:w="5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Irene Chang Britt</w:t>
            </w:r>
          </w:p>
        </w:tc>
        <w:tc>
          <w:tcPr>
            <w:tcW w:w="5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28"/>
        </w:trPr>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Irene Chang Britt</w:t>
            </w:r>
          </w:p>
        </w:tc>
        <w:tc>
          <w:tcPr>
            <w:tcW w:w="5900" w:type="dxa"/>
            <w:vAlign w:val="bottom"/>
          </w:tcPr>
          <w:p>
            <w:pPr>
              <w:spacing w:after="0"/>
              <w:rPr>
                <w:sz w:val="19"/>
                <w:szCs w:val="19"/>
                <w:color w:val="auto"/>
              </w:rPr>
            </w:pPr>
          </w:p>
        </w:tc>
      </w:tr>
      <w:tr>
        <w:trPr>
          <w:trHeight w:val="495"/>
        </w:trPr>
        <w:tc>
          <w:tcPr>
            <w:tcW w:w="5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Jacqueline Hernández</w:t>
            </w:r>
          </w:p>
        </w:tc>
        <w:tc>
          <w:tcPr>
            <w:tcW w:w="5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28"/>
        </w:trPr>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Jacqueline Hernández</w:t>
            </w:r>
          </w:p>
        </w:tc>
        <w:tc>
          <w:tcPr>
            <w:tcW w:w="5900" w:type="dxa"/>
            <w:vAlign w:val="bottom"/>
          </w:tcPr>
          <w:p>
            <w:pPr>
              <w:spacing w:after="0"/>
              <w:rPr>
                <w:sz w:val="19"/>
                <w:szCs w:val="19"/>
                <w:color w:val="auto"/>
              </w:rPr>
            </w:pPr>
          </w:p>
        </w:tc>
      </w:tr>
      <w:tr>
        <w:trPr>
          <w:trHeight w:val="495"/>
        </w:trPr>
        <w:tc>
          <w:tcPr>
            <w:tcW w:w="5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Lauren Peters</w:t>
            </w:r>
          </w:p>
        </w:tc>
        <w:tc>
          <w:tcPr>
            <w:tcW w:w="5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28"/>
        </w:trPr>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Lauren Peters</w:t>
            </w:r>
          </w:p>
        </w:tc>
        <w:tc>
          <w:tcPr>
            <w:tcW w:w="5900" w:type="dxa"/>
            <w:vAlign w:val="bottom"/>
          </w:tcPr>
          <w:p>
            <w:pPr>
              <w:spacing w:after="0"/>
              <w:rPr>
                <w:sz w:val="19"/>
                <w:szCs w:val="19"/>
                <w:color w:val="auto"/>
              </w:rPr>
            </w:pPr>
          </w:p>
        </w:tc>
      </w:tr>
      <w:tr>
        <w:trPr>
          <w:trHeight w:val="495"/>
        </w:trPr>
        <w:tc>
          <w:tcPr>
            <w:tcW w:w="5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Sarah Davis</w:t>
            </w:r>
          </w:p>
        </w:tc>
        <w:tc>
          <w:tcPr>
            <w:tcW w:w="5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28"/>
        </w:trPr>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Sarah Davis</w:t>
            </w:r>
          </w:p>
        </w:tc>
        <w:tc>
          <w:tcPr>
            <w:tcW w:w="5900" w:type="dxa"/>
            <w:vAlign w:val="bottom"/>
          </w:tcPr>
          <w:p>
            <w:pPr>
              <w:spacing w:after="0"/>
              <w:rPr>
                <w:sz w:val="19"/>
                <w:szCs w:val="19"/>
                <w:color w:val="auto"/>
              </w:rPr>
            </w:pPr>
          </w:p>
        </w:tc>
      </w:tr>
      <w:tr>
        <w:trPr>
          <w:trHeight w:val="495"/>
        </w:trPr>
        <w:tc>
          <w:tcPr>
            <w:tcW w:w="5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Anne Sheehan</w:t>
            </w:r>
          </w:p>
        </w:tc>
        <w:tc>
          <w:tcPr>
            <w:tcW w:w="5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28"/>
        </w:trPr>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Anne Sheehan</w:t>
            </w:r>
          </w:p>
        </w:tc>
        <w:tc>
          <w:tcPr>
            <w:tcW w:w="5900" w:type="dxa"/>
            <w:vAlign w:val="bottom"/>
          </w:tcPr>
          <w:p>
            <w:pPr>
              <w:spacing w:after="0"/>
              <w:rPr>
                <w:sz w:val="19"/>
                <w:szCs w:val="19"/>
                <w:color w:val="auto"/>
              </w:rPr>
            </w:pPr>
          </w:p>
        </w:tc>
      </w:tr>
      <w:tr>
        <w:trPr>
          <w:trHeight w:val="441"/>
        </w:trPr>
        <w:tc>
          <w:tcPr>
            <w:tcW w:w="5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Mariam Naficy</w:t>
            </w:r>
          </w:p>
        </w:tc>
        <w:tc>
          <w:tcPr>
            <w:tcW w:w="5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28"/>
        </w:trPr>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Mariam Naficy</w:t>
            </w:r>
          </w:p>
        </w:tc>
        <w:tc>
          <w:tcPr>
            <w:tcW w:w="5900" w:type="dxa"/>
            <w:vAlign w:val="bottom"/>
          </w:tcPr>
          <w:p>
            <w:pPr>
              <w:spacing w:after="0"/>
              <w:rPr>
                <w:sz w:val="19"/>
                <w:szCs w:val="19"/>
                <w:color w:val="auto"/>
              </w:rPr>
            </w:pPr>
          </w:p>
        </w:tc>
      </w:tr>
      <w:tr>
        <w:trPr>
          <w:trHeight w:val="441"/>
        </w:trPr>
        <w:tc>
          <w:tcPr>
            <w:tcW w:w="5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Rod Little</w:t>
            </w:r>
          </w:p>
        </w:tc>
        <w:tc>
          <w:tcPr>
            <w:tcW w:w="5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28"/>
        </w:trPr>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Rod Little</w:t>
            </w:r>
          </w:p>
        </w:tc>
        <w:tc>
          <w:tcPr>
            <w:tcW w:w="5900" w:type="dxa"/>
            <w:vAlign w:val="bottom"/>
          </w:tcPr>
          <w:p>
            <w:pPr>
              <w:spacing w:after="0"/>
              <w:rPr>
                <w:sz w:val="19"/>
                <w:szCs w:val="19"/>
                <w:color w:val="auto"/>
              </w:rPr>
            </w:pPr>
          </w:p>
        </w:tc>
      </w:tr>
    </w:tbl>
    <w:p>
      <w:pPr>
        <w:sectPr>
          <w:pgSz w:w="11900" w:h="16838" w:orient="portrait"/>
          <w:cols w:equalWidth="0" w:num="1">
            <w:col w:w="11220"/>
          </w:cols>
          <w:pgMar w:left="320" w:top="887" w:right="35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17365D"/>
        </w:rPr>
        <w:t>52 East Gay Street</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17365D"/>
        </w:rPr>
        <w:t>P.O. Box 1008</w:t>
      </w:r>
    </w:p>
    <w:p>
      <w:pPr>
        <w:spacing w:after="0" w:line="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17365D"/>
        </w:rPr>
        <w:t>Columbus, Ohio 43216-1008</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17365D"/>
        </w:rPr>
        <w:t>614.464.6400 | vorys.com</w:t>
      </w:r>
    </w:p>
    <w:p>
      <w:pPr>
        <w:spacing w:after="0" w:line="2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17365D"/>
        </w:rPr>
        <w:t>Founded 1909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1611630" cy="2400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161163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June 14,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Victoria’s Secret &amp; 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Limited Parkway East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Reynoldsburg, OH 43068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have acted as counsel to Victoria’s Secret &amp; Co., a Delaware corporation (the “Company”), in connection with the Company’s Registration Statement on Form S-8 (the “Registration Statement”) to be filed with the Securities and Exchange Commission on the date hereof in order to register 4,800,000 shares of the Company’s common stock, $0.01 par value per share (the “Common Stock”), under the provisions of the Securities Act of 1933, as amended (the “Act”), and the rules and regulations promulgated thereunder (the “Rules and Regulations”), for issuance and delivery pursuant to awards to be granted under the Victoria’s Secret &amp; Co. 2021 Stock Option and Performance Incentive Plan (as amended, the “Plan”).</w:t>
      </w:r>
    </w:p>
    <w:p>
      <w:pPr>
        <w:spacing w:after="0" w:line="183"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rendering this opinion, we have examined, to the extent deemed necessary, originals or copies of: (a) the Registration Statement; (b) the Plan; (c) the Company’s Amended Certificate of Incorporation, as currently in effect; (d) the Company’s Second Amended and Restated Bylaws, as currently in effect; and (e) certain corporate records of the Company, including resolutions adopted by the directors of the Company and by the shareholders of the Company. We have also relied upon such oral or written statements and representations of the officers of the Company and examined such certificates of public officials and authorities of law as we have deemed relevant as a basis for this opinion.</w:t>
      </w:r>
    </w:p>
    <w:p>
      <w:pPr>
        <w:spacing w:after="0" w:line="183"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 our examination of the aforesaid records, documents and certificates, we have assumed, without independent investigation: (a) the authenticity of all records, documents and certificates examined by us; (b) the correctness of the information contained in all records, documents and certificates examined by us; (c) the accuracy of all statements in certificates of public officials and officers of the Company that we reviewed; (d) the accuracy of all representations made by the Company as to matters of fact in documents that we reviewed; (e) the genuineness of all signatures; (f) the legal capacity of all individuals who have executed any of the aforesaid documents and certificates; (g) the authority of all individuals entering and maintaining records; and (h) the conformity to authentic originals of all items submitted to us as copies (whether certified, conformed, photostatic or by other electronic means) of records, documents or certificates. In rendering the opinion below, we have further assumed that each award under the Plan will be approved by the Board of Directors of the Company (or a duly authorized committee thereof or officer of the Company).</w:t>
      </w:r>
    </w:p>
    <w:p>
      <w:pPr>
        <w:spacing w:after="0" w:line="192"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We have relied solely upon the examinations and inquiries recited herein, and, except for the examinations and inquiries recited herein, we have not undertaken any independent investigation to determine the existence or absence of any facts, and no inference as to our knowledge concerning such facts should be drawn.</w:t>
      </w:r>
    </w:p>
    <w:p>
      <w:pPr>
        <w:spacing w:after="0" w:line="176"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Based upon and subject to the foregoing and subject to the qualifications and limitations set forth herein, as of the date hereof, we are of the opinion that the 4,800,000 shares of Common Stock to be registered on the Registration Statement under the Act for issuance and delivery under the Plan, when issued, delivered and paid for, as appropriate, in accordance with, and for the consideration, if any, prescribed in, the Plan and in any award agreements entered into by participants in the Plan with the Company as contemplated by the Plan, will be validly issued, fully paid and non-assessable.</w:t>
      </w:r>
    </w:p>
    <w:p>
      <w:pPr>
        <w:spacing w:after="0" w:line="180"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Members of our firm are admitted to the Bar in the State of Ohio and we express no opinion as to the laws of any jurisdiction other than the laws of the State of Ohio, the General Corporation Law of the State of Delaware, and the laws of the United States of America.</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17365D"/>
        </w:rPr>
        <w:t>Ohio | Washington, D.C. | Texas | Pennsylvania | California | London | Berlin</w:t>
      </w:r>
    </w:p>
    <w:p>
      <w:pPr>
        <w:sectPr>
          <w:pgSz w:w="11900" w:h="16838" w:orient="portrait"/>
          <w:cols w:equalWidth="0" w:num="1">
            <w:col w:w="11240"/>
          </w:cols>
          <w:pgMar w:left="320" w:top="360"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1071880" cy="163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071880" cy="163195"/>
                    </a:xfrm>
                    <a:prstGeom prst="rect">
                      <a:avLst/>
                    </a:prstGeom>
                    <a:noFill/>
                  </pic:spPr>
                </pic:pic>
              </a:graphicData>
            </a:graphic>
          </wp:anchor>
        </w:drawing>
        <w:t>Page 2</w:t>
      </w:r>
    </w:p>
    <w:p>
      <w:pPr>
        <w:spacing w:after="0" w:line="27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This opinion is based upon the laws and legal interpretations in effect, and the facts and circumstances existing, on the date hereof, and we assume no obligation to revise or supplement this opinion should any such law or legal interpretation be changed by legislative action, judicial interpretation or otherwise or should there be any change in such facts or circumstances.</w:t>
      </w:r>
    </w:p>
    <w:p>
      <w:pPr>
        <w:spacing w:after="0" w:line="17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the foregoing, we consent to the filing of this opinion as an exhibit to the Registration Statement and to the reference to us therein. By giving such consent, we do not thereby admit that we come within the category of persons whose consent is required under Section 7 of the Act or the Rules and Regulations.</w:t>
      </w:r>
    </w:p>
    <w:p>
      <w:pPr>
        <w:spacing w:after="0" w:line="17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/s/ Vorys, Sater, Seymour and Pease LLP</w:t>
      </w:r>
    </w:p>
    <w:p>
      <w:pPr>
        <w:spacing w:after="0" w:line="22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Vorys, Sater, Seymour and Pease LLP</w:t>
      </w:r>
    </w:p>
    <w:p>
      <w:pPr>
        <w:sectPr>
          <w:pgSz w:w="11900" w:h="16838" w:orient="portrait"/>
          <w:cols w:equalWidth="0" w:num="1">
            <w:col w:w="11200"/>
          </w:cols>
          <w:pgMar w:left="320" w:top="931" w:right="37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5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pertaining to the Victoria’s Secret &amp; Co. 2021 Stock Option and Performance Incentive Plan, as amended, of our reports dated March 22, 2024, with respect to the consolidated financial statements of Victoria’s Secret &amp; Co. and the effectiveness of internal control over financial reporting of Victoria’s Secret &amp; Co. included in its Annual Report (Form 10-K) for the year ended February 3, 2024, filed with the Securities and Exchange Commission.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Grandview Heights, Ohio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7, 2024</w:t>
      </w:r>
    </w:p>
    <w:p>
      <w:pPr>
        <w:sectPr>
          <w:pgSz w:w="11900" w:h="16838" w:orient="portrait"/>
          <w:cols w:equalWidth="0" w:num="1">
            <w:col w:w="11240"/>
          </w:cols>
          <w:pgMar w:left="320" w:top="887" w:right="3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Table 1: Newly Registered Securities</w:t>
      </w:r>
    </w:p>
    <w:p>
      <w:pPr>
        <w:spacing w:after="0" w:line="183" w:lineRule="exact"/>
        <w:rPr>
          <w:sz w:val="20"/>
          <w:szCs w:val="20"/>
          <w:color w:val="auto"/>
        </w:rPr>
      </w:pPr>
    </w:p>
    <w:tbl>
      <w:tblPr>
        <w:tblLayout w:type="fixed"/>
        <w:tblInd w:w="10" w:type="dxa"/>
        <w:tblCellMar>
          <w:top w:w="0" w:type="dxa"/>
          <w:left w:w="0" w:type="dxa"/>
          <w:bottom w:w="0" w:type="dxa"/>
          <w:right w:w="0" w:type="dxa"/>
        </w:tblCellMar>
      </w:tblPr>
      <w:tr>
        <w:trPr>
          <w:trHeight w:val="194"/>
        </w:trPr>
        <w:tc>
          <w:tcPr>
            <w:tcW w:w="1060" w:type="dxa"/>
            <w:vAlign w:val="bottom"/>
            <w:tcBorders>
              <w:top w:val="single" w:sz="8" w:color="auto"/>
              <w:left w:val="single" w:sz="8" w:color="auto"/>
              <w:right w:val="single" w:sz="8" w:color="auto"/>
            </w:tcBorders>
          </w:tcPr>
          <w:p>
            <w:pPr>
              <w:spacing w:after="0"/>
              <w:rPr>
                <w:sz w:val="16"/>
                <w:szCs w:val="16"/>
                <w:color w:val="auto"/>
              </w:rPr>
            </w:pPr>
          </w:p>
        </w:tc>
        <w:tc>
          <w:tcPr>
            <w:tcW w:w="1840" w:type="dxa"/>
            <w:vAlign w:val="bottom"/>
            <w:tcBorders>
              <w:top w:val="single" w:sz="8" w:color="auto"/>
              <w:right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80" w:type="dxa"/>
            <w:vAlign w:val="bottom"/>
            <w:tcBorders>
              <w:top w:val="single" w:sz="8" w:color="auto"/>
              <w:right w:val="single" w:sz="8" w:color="auto"/>
            </w:tcBorders>
          </w:tcPr>
          <w:p>
            <w:pPr>
              <w:spacing w:after="0"/>
              <w:rPr>
                <w:sz w:val="16"/>
                <w:szCs w:val="16"/>
                <w:color w:val="auto"/>
              </w:rPr>
            </w:pPr>
          </w:p>
        </w:tc>
        <w:tc>
          <w:tcPr>
            <w:tcW w:w="1300" w:type="dxa"/>
            <w:vAlign w:val="bottom"/>
            <w:tcBorders>
              <w:top w:val="single" w:sz="8" w:color="auto"/>
              <w:right w:val="single" w:sz="8" w:color="auto"/>
            </w:tcBorders>
          </w:tcPr>
          <w:p>
            <w:pPr>
              <w:spacing w:after="0"/>
              <w:rPr>
                <w:sz w:val="16"/>
                <w:szCs w:val="16"/>
                <w:color w:val="auto"/>
              </w:rPr>
            </w:pPr>
          </w:p>
        </w:tc>
        <w:tc>
          <w:tcPr>
            <w:tcW w:w="1200" w:type="dxa"/>
            <w:vAlign w:val="bottom"/>
            <w:tcBorders>
              <w:top w:val="single" w:sz="8" w:color="auto"/>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Proposed</w:t>
            </w:r>
          </w:p>
        </w:tc>
        <w:tc>
          <w:tcPr>
            <w:tcW w:w="16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460" w:type="dxa"/>
            <w:vAlign w:val="bottom"/>
            <w:tcBorders>
              <w:top w:val="single" w:sz="8" w:color="auto"/>
              <w:right w:val="single" w:sz="8" w:color="auto"/>
            </w:tcBorders>
          </w:tcPr>
          <w:p>
            <w:pPr>
              <w:spacing w:after="0"/>
              <w:rPr>
                <w:sz w:val="16"/>
                <w:szCs w:val="16"/>
                <w:color w:val="auto"/>
              </w:rPr>
            </w:pPr>
          </w:p>
        </w:tc>
        <w:tc>
          <w:tcPr>
            <w:tcW w:w="14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0" w:type="dxa"/>
            <w:vAlign w:val="bottom"/>
          </w:tcPr>
          <w:p>
            <w:pPr>
              <w:spacing w:after="0"/>
              <w:rPr>
                <w:sz w:val="1"/>
                <w:szCs w:val="1"/>
                <w:color w:val="auto"/>
              </w:rPr>
            </w:pPr>
          </w:p>
        </w:tc>
      </w:tr>
      <w:tr>
        <w:trPr>
          <w:trHeight w:val="184"/>
        </w:trPr>
        <w:tc>
          <w:tcPr>
            <w:tcW w:w="10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1840" w:type="dxa"/>
            <w:vAlign w:val="bottom"/>
            <w:tcBorders>
              <w:right w:val="single" w:sz="8" w:color="auto"/>
            </w:tcBorders>
          </w:tcPr>
          <w:p>
            <w:pPr>
              <w:spacing w:after="0"/>
              <w:rPr>
                <w:sz w:val="16"/>
                <w:szCs w:val="16"/>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Fee Calculation</w:t>
            </w:r>
          </w:p>
        </w:tc>
        <w:tc>
          <w:tcPr>
            <w:tcW w:w="8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0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Maximum</w:t>
            </w:r>
          </w:p>
        </w:tc>
        <w:tc>
          <w:tcPr>
            <w:tcW w:w="1600" w:type="dxa"/>
            <w:vAlign w:val="bottom"/>
            <w:tcBorders>
              <w:right w:val="single" w:sz="8" w:color="auto"/>
            </w:tcBorders>
            <w:vMerge w:val="continue"/>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060" w:type="dxa"/>
            <w:vAlign w:val="bottom"/>
            <w:tcBorders>
              <w:left w:val="single" w:sz="8" w:color="auto"/>
              <w:right w:val="single" w:sz="8" w:color="auto"/>
            </w:tcBorders>
            <w:vMerge w:val="continue"/>
          </w:tcPr>
          <w:p>
            <w:pPr>
              <w:spacing w:after="0"/>
              <w:rPr>
                <w:sz w:val="15"/>
                <w:szCs w:val="15"/>
                <w:color w:val="auto"/>
              </w:rPr>
            </w:pP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Security Class Title</w:t>
            </w:r>
          </w:p>
        </w:tc>
        <w:tc>
          <w:tcPr>
            <w:tcW w:w="1260" w:type="dxa"/>
            <w:vAlign w:val="bottom"/>
            <w:vMerge w:val="continue"/>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vMerge w:val="continue"/>
          </w:tcPr>
          <w:p>
            <w:pPr>
              <w:spacing w:after="0"/>
              <w:rPr>
                <w:sz w:val="15"/>
                <w:szCs w:val="15"/>
                <w:color w:val="auto"/>
              </w:rPr>
            </w:pPr>
          </w:p>
        </w:tc>
        <w:tc>
          <w:tcPr>
            <w:tcW w:w="120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Offering Price</w:t>
            </w:r>
          </w:p>
        </w:tc>
        <w:tc>
          <w:tcPr>
            <w:tcW w:w="160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Aggregate Offering</w:t>
            </w:r>
          </w:p>
        </w:tc>
        <w:tc>
          <w:tcPr>
            <w:tcW w:w="1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Fee Rate</w:t>
            </w:r>
          </w:p>
        </w:tc>
        <w:tc>
          <w:tcPr>
            <w:tcW w:w="144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Registration Fee</w:t>
            </w:r>
          </w:p>
        </w:tc>
        <w:tc>
          <w:tcPr>
            <w:tcW w:w="0" w:type="dxa"/>
            <w:vAlign w:val="bottom"/>
          </w:tcPr>
          <w:p>
            <w:pPr>
              <w:spacing w:after="0"/>
              <w:rPr>
                <w:sz w:val="1"/>
                <w:szCs w:val="1"/>
                <w:color w:val="auto"/>
              </w:rPr>
            </w:pPr>
          </w:p>
        </w:tc>
      </w:tr>
      <w:tr>
        <w:trPr>
          <w:trHeight w:val="229"/>
        </w:trPr>
        <w:tc>
          <w:tcPr>
            <w:tcW w:w="10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Type</w:t>
            </w:r>
          </w:p>
        </w:tc>
        <w:tc>
          <w:tcPr>
            <w:tcW w:w="1840" w:type="dxa"/>
            <w:vAlign w:val="bottom"/>
            <w:tcBorders>
              <w:bottom w:val="single" w:sz="8" w:color="auto"/>
              <w:right w:val="single" w:sz="8" w:color="auto"/>
            </w:tcBorders>
            <w:vMerge w:val="continue"/>
          </w:tcPr>
          <w:p>
            <w:pPr>
              <w:spacing w:after="0"/>
              <w:rPr>
                <w:sz w:val="19"/>
                <w:szCs w:val="19"/>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Rule</w:t>
            </w:r>
          </w:p>
        </w:tc>
        <w:tc>
          <w:tcPr>
            <w:tcW w:w="8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Registered (1)</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 Share (2)</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Price (2)</w:t>
            </w:r>
          </w:p>
        </w:tc>
        <w:tc>
          <w:tcPr>
            <w:tcW w:w="1460" w:type="dxa"/>
            <w:vAlign w:val="bottom"/>
            <w:tcBorders>
              <w:bottom w:val="single" w:sz="8" w:color="auto"/>
              <w:right w:val="single" w:sz="8" w:color="auto"/>
            </w:tcBorders>
            <w:vMerge w:val="continue"/>
          </w:tcPr>
          <w:p>
            <w:pPr>
              <w:spacing w:after="0"/>
              <w:rPr>
                <w:sz w:val="19"/>
                <w:szCs w:val="19"/>
                <w:color w:val="auto"/>
              </w:rPr>
            </w:pP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(2)(3)</w:t>
            </w:r>
          </w:p>
        </w:tc>
        <w:tc>
          <w:tcPr>
            <w:tcW w:w="0" w:type="dxa"/>
            <w:vAlign w:val="bottom"/>
          </w:tcPr>
          <w:p>
            <w:pPr>
              <w:spacing w:after="0"/>
              <w:rPr>
                <w:sz w:val="1"/>
                <w:szCs w:val="1"/>
                <w:color w:val="auto"/>
              </w:rPr>
            </w:pPr>
          </w:p>
        </w:tc>
      </w:tr>
      <w:tr>
        <w:trPr>
          <w:trHeight w:val="183"/>
        </w:trPr>
        <w:tc>
          <w:tcPr>
            <w:tcW w:w="1060" w:type="dxa"/>
            <w:vAlign w:val="bottom"/>
            <w:tcBorders>
              <w:left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Equity</w:t>
            </w:r>
          </w:p>
        </w:tc>
        <w:tc>
          <w:tcPr>
            <w:tcW w:w="184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Common Stock, $0.01</w:t>
            </w:r>
          </w:p>
        </w:tc>
        <w:tc>
          <w:tcPr>
            <w:tcW w:w="126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rPr>
              <w:t>Other</w:t>
            </w:r>
          </w:p>
        </w:tc>
        <w:tc>
          <w:tcPr>
            <w:tcW w:w="8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4,800,000</w:t>
            </w:r>
          </w:p>
        </w:tc>
        <w:tc>
          <w:tcPr>
            <w:tcW w:w="120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$19.385</w:t>
            </w:r>
          </w:p>
        </w:tc>
        <w:tc>
          <w:tcPr>
            <w:tcW w:w="160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$93,048,002.40</w:t>
            </w:r>
          </w:p>
        </w:tc>
        <w:tc>
          <w:tcPr>
            <w:tcW w:w="1460" w:type="dxa"/>
            <w:vAlign w:val="bottom"/>
            <w:tcBorders>
              <w:right w:val="single" w:sz="8" w:color="auto"/>
            </w:tcBorders>
          </w:tcPr>
          <w:p>
            <w:pPr>
              <w:jc w:val="right"/>
              <w:ind w:right="230"/>
              <w:spacing w:after="0" w:line="182" w:lineRule="exact"/>
              <w:rPr>
                <w:sz w:val="20"/>
                <w:szCs w:val="20"/>
                <w:color w:val="auto"/>
              </w:rPr>
            </w:pPr>
            <w:r>
              <w:rPr>
                <w:rFonts w:ascii="Times New Roman" w:cs="Times New Roman" w:eastAsia="Times New Roman" w:hAnsi="Times New Roman"/>
                <w:sz w:val="18"/>
                <w:szCs w:val="18"/>
                <w:color w:val="auto"/>
              </w:rPr>
              <w:t>0.00014760</w:t>
            </w:r>
          </w:p>
        </w:tc>
        <w:tc>
          <w:tcPr>
            <w:tcW w:w="144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rPr>
              <w:t>$13,733.89</w:t>
            </w:r>
          </w:p>
        </w:tc>
        <w:tc>
          <w:tcPr>
            <w:tcW w:w="0" w:type="dxa"/>
            <w:vAlign w:val="bottom"/>
          </w:tcPr>
          <w:p>
            <w:pPr>
              <w:spacing w:after="0"/>
              <w:rPr>
                <w:sz w:val="1"/>
                <w:szCs w:val="1"/>
                <w:color w:val="auto"/>
              </w:rPr>
            </w:pPr>
          </w:p>
        </w:tc>
      </w:tr>
      <w:tr>
        <w:trPr>
          <w:trHeight w:val="252"/>
        </w:trPr>
        <w:tc>
          <w:tcPr>
            <w:tcW w:w="1060" w:type="dxa"/>
            <w:vAlign w:val="bottom"/>
            <w:tcBorders>
              <w:left w:val="single" w:sz="8" w:color="auto"/>
              <w:right w:val="single" w:sz="8" w:color="auto"/>
            </w:tcBorders>
          </w:tcPr>
          <w:p>
            <w:pPr>
              <w:spacing w:after="0"/>
              <w:rPr>
                <w:sz w:val="21"/>
                <w:szCs w:val="21"/>
                <w:color w:val="auto"/>
              </w:rPr>
            </w:pP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par value per share</w:t>
            </w:r>
          </w:p>
        </w:tc>
        <w:tc>
          <w:tcPr>
            <w:tcW w:w="1260" w:type="dxa"/>
            <w:vAlign w:val="bottom"/>
          </w:tcPr>
          <w:p>
            <w:pPr>
              <w:spacing w:after="0"/>
              <w:rPr>
                <w:sz w:val="21"/>
                <w:szCs w:val="21"/>
                <w:color w:val="auto"/>
              </w:rPr>
            </w:pPr>
          </w:p>
        </w:tc>
        <w:tc>
          <w:tcPr>
            <w:tcW w:w="80" w:type="dxa"/>
            <w:vAlign w:val="bottom"/>
            <w:tcBorders>
              <w:right w:val="single" w:sz="8" w:color="auto"/>
            </w:tcBorders>
          </w:tcPr>
          <w:p>
            <w:pPr>
              <w:spacing w:after="0"/>
              <w:rPr>
                <w:sz w:val="21"/>
                <w:szCs w:val="21"/>
                <w:color w:val="auto"/>
              </w:rPr>
            </w:pPr>
          </w:p>
        </w:tc>
        <w:tc>
          <w:tcPr>
            <w:tcW w:w="1300" w:type="dxa"/>
            <w:vAlign w:val="bottom"/>
            <w:tcBorders>
              <w:right w:val="single" w:sz="8" w:color="auto"/>
            </w:tcBorders>
          </w:tcPr>
          <w:p>
            <w:pPr>
              <w:spacing w:after="0"/>
              <w:rPr>
                <w:sz w:val="21"/>
                <w:szCs w:val="21"/>
                <w:color w:val="auto"/>
              </w:rPr>
            </w:pPr>
          </w:p>
        </w:tc>
        <w:tc>
          <w:tcPr>
            <w:tcW w:w="1200" w:type="dxa"/>
            <w:vAlign w:val="bottom"/>
            <w:tcBorders>
              <w:right w:val="single" w:sz="8" w:color="auto"/>
            </w:tcBorders>
          </w:tcPr>
          <w:p>
            <w:pPr>
              <w:spacing w:after="0"/>
              <w:rPr>
                <w:sz w:val="21"/>
                <w:szCs w:val="21"/>
                <w:color w:val="auto"/>
              </w:rPr>
            </w:pPr>
          </w:p>
        </w:tc>
        <w:tc>
          <w:tcPr>
            <w:tcW w:w="160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($147.60 per</w:t>
            </w:r>
          </w:p>
        </w:tc>
        <w:tc>
          <w:tcPr>
            <w:tcW w:w="1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60" w:type="dxa"/>
            <w:vAlign w:val="bottom"/>
            <w:tcBorders>
              <w:left w:val="single" w:sz="8" w:color="auto"/>
              <w:right w:val="single" w:sz="8" w:color="auto"/>
            </w:tcBorders>
          </w:tcPr>
          <w:p>
            <w:pPr>
              <w:spacing w:after="0"/>
              <w:rPr>
                <w:sz w:val="20"/>
                <w:szCs w:val="20"/>
                <w:color w:val="auto"/>
              </w:rPr>
            </w:pPr>
          </w:p>
        </w:tc>
        <w:tc>
          <w:tcPr>
            <w:tcW w:w="1840" w:type="dxa"/>
            <w:vAlign w:val="bottom"/>
            <w:tcBorders>
              <w:right w:val="single" w:sz="8" w:color="auto"/>
            </w:tcBorders>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$1,000,000)</w:t>
            </w:r>
          </w:p>
        </w:tc>
        <w:tc>
          <w:tcPr>
            <w:tcW w:w="1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60" w:type="dxa"/>
            <w:vAlign w:val="bottom"/>
            <w:tcBorders>
              <w:left w:val="single" w:sz="8" w:color="auto"/>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gridSpan w:val="2"/>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060" w:type="dxa"/>
            <w:vAlign w:val="bottom"/>
            <w:tcBorders>
              <w:left w:val="single" w:sz="8" w:color="auto"/>
              <w:bottom w:val="single" w:sz="8" w:color="auto"/>
            </w:tcBorders>
          </w:tcPr>
          <w:p>
            <w:pPr>
              <w:spacing w:after="0"/>
              <w:rPr>
                <w:sz w:val="19"/>
                <w:szCs w:val="19"/>
                <w:color w:val="auto"/>
              </w:rPr>
            </w:pPr>
          </w:p>
        </w:tc>
        <w:tc>
          <w:tcPr>
            <w:tcW w:w="1840" w:type="dxa"/>
            <w:vAlign w:val="bottom"/>
            <w:tcBorders>
              <w:bottom w:val="single" w:sz="8" w:color="auto"/>
            </w:tcBorders>
          </w:tcPr>
          <w:p>
            <w:pPr>
              <w:spacing w:after="0"/>
              <w:rPr>
                <w:sz w:val="19"/>
                <w:szCs w:val="19"/>
                <w:color w:val="auto"/>
              </w:rPr>
            </w:pPr>
          </w:p>
        </w:tc>
        <w:tc>
          <w:tcPr>
            <w:tcW w:w="2640" w:type="dxa"/>
            <w:vAlign w:val="bottom"/>
            <w:tcBorders>
              <w:bottom w:val="single" w:sz="8" w:color="auto"/>
              <w:right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 Offering Amounts</w:t>
            </w:r>
          </w:p>
        </w:tc>
        <w:tc>
          <w:tcPr>
            <w:tcW w:w="1200" w:type="dxa"/>
            <w:vAlign w:val="bottom"/>
            <w:tcBorders>
              <w:bottom w:val="single" w:sz="8" w:color="auto"/>
              <w:right w:val="single" w:sz="8" w:color="auto"/>
            </w:tcBorders>
          </w:tcPr>
          <w:p>
            <w:pPr>
              <w:spacing w:after="0"/>
              <w:rPr>
                <w:sz w:val="19"/>
                <w:szCs w:val="19"/>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$93,048,002.40</w:t>
            </w:r>
          </w:p>
        </w:tc>
        <w:tc>
          <w:tcPr>
            <w:tcW w:w="1460" w:type="dxa"/>
            <w:vAlign w:val="bottom"/>
            <w:tcBorders>
              <w:bottom w:val="single" w:sz="8" w:color="auto"/>
              <w:right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$13,733.89</w:t>
            </w:r>
          </w:p>
        </w:tc>
        <w:tc>
          <w:tcPr>
            <w:tcW w:w="0" w:type="dxa"/>
            <w:vAlign w:val="bottom"/>
          </w:tcPr>
          <w:p>
            <w:pPr>
              <w:spacing w:after="0"/>
              <w:rPr>
                <w:sz w:val="1"/>
                <w:szCs w:val="1"/>
                <w:color w:val="auto"/>
              </w:rPr>
            </w:pPr>
          </w:p>
        </w:tc>
      </w:tr>
      <w:tr>
        <w:trPr>
          <w:trHeight w:val="223"/>
        </w:trPr>
        <w:tc>
          <w:tcPr>
            <w:tcW w:w="1060" w:type="dxa"/>
            <w:vAlign w:val="bottom"/>
            <w:tcBorders>
              <w:left w:val="single" w:sz="8" w:color="auto"/>
              <w:bottom w:val="single" w:sz="8" w:color="auto"/>
            </w:tcBorders>
          </w:tcPr>
          <w:p>
            <w:pPr>
              <w:spacing w:after="0"/>
              <w:rPr>
                <w:sz w:val="19"/>
                <w:szCs w:val="19"/>
                <w:color w:val="auto"/>
              </w:rPr>
            </w:pPr>
          </w:p>
        </w:tc>
        <w:tc>
          <w:tcPr>
            <w:tcW w:w="18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380" w:type="dxa"/>
            <w:vAlign w:val="bottom"/>
            <w:tcBorders>
              <w:bottom w:val="single" w:sz="8" w:color="auto"/>
              <w:right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Total Fee Offsets</w:t>
            </w:r>
          </w:p>
        </w:tc>
        <w:tc>
          <w:tcPr>
            <w:tcW w:w="1200" w:type="dxa"/>
            <w:vAlign w:val="bottom"/>
            <w:tcBorders>
              <w:bottom w:val="single" w:sz="8" w:color="auto"/>
              <w:right w:val="single" w:sz="8" w:color="auto"/>
            </w:tcBorders>
          </w:tcPr>
          <w:p>
            <w:pPr>
              <w:spacing w:after="0"/>
              <w:rPr>
                <w:sz w:val="19"/>
                <w:szCs w:val="19"/>
                <w:color w:val="auto"/>
              </w:rPr>
            </w:pPr>
          </w:p>
        </w:tc>
        <w:tc>
          <w:tcPr>
            <w:tcW w:w="1600" w:type="dxa"/>
            <w:vAlign w:val="bottom"/>
            <w:tcBorders>
              <w:bottom w:val="single" w:sz="8" w:color="auto"/>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r>
        <w:trPr>
          <w:trHeight w:val="223"/>
        </w:trPr>
        <w:tc>
          <w:tcPr>
            <w:tcW w:w="1060" w:type="dxa"/>
            <w:vAlign w:val="bottom"/>
            <w:tcBorders>
              <w:left w:val="single" w:sz="8" w:color="auto"/>
              <w:bottom w:val="single" w:sz="8" w:color="auto"/>
            </w:tcBorders>
          </w:tcPr>
          <w:p>
            <w:pPr>
              <w:spacing w:after="0"/>
              <w:rPr>
                <w:sz w:val="19"/>
                <w:szCs w:val="19"/>
                <w:color w:val="auto"/>
              </w:rPr>
            </w:pPr>
          </w:p>
        </w:tc>
        <w:tc>
          <w:tcPr>
            <w:tcW w:w="18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Net Fee Due</w:t>
            </w:r>
          </w:p>
        </w:tc>
        <w:tc>
          <w:tcPr>
            <w:tcW w:w="1200" w:type="dxa"/>
            <w:vAlign w:val="bottom"/>
            <w:tcBorders>
              <w:bottom w:val="single" w:sz="8" w:color="auto"/>
              <w:right w:val="single" w:sz="8" w:color="auto"/>
            </w:tcBorders>
          </w:tcPr>
          <w:p>
            <w:pPr>
              <w:spacing w:after="0"/>
              <w:rPr>
                <w:sz w:val="19"/>
                <w:szCs w:val="19"/>
                <w:color w:val="auto"/>
              </w:rPr>
            </w:pPr>
          </w:p>
        </w:tc>
        <w:tc>
          <w:tcPr>
            <w:tcW w:w="1600" w:type="dxa"/>
            <w:vAlign w:val="bottom"/>
            <w:tcBorders>
              <w:bottom w:val="single" w:sz="8" w:color="auto"/>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$13,733.89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ind w:left="660" w:right="80" w:hanging="652"/>
        <w:spacing w:after="0" w:line="258" w:lineRule="auto"/>
        <w:tabs>
          <w:tab w:leader="none" w:pos="65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under the Securities Act of 1933, as amended (the “Securities Act”), this Registration Statement shall also cover any additional shares of the Registrant’s Common Stock that become issuable under the Victoria’s Secret &amp; Co. 2021 Stock Option and Performance Incentive Plan (as amended, the “Plan”) in respect of the securities identified in the above table by reason of any stock dividend, stock split, recapitalization, or other similar transaction effected without the Registrant’s receipt of consideration that increases the number of the outstanding shares of the Registrant’s Common Stock.</w:t>
      </w:r>
    </w:p>
    <w:p>
      <w:pPr>
        <w:spacing w:after="0" w:line="210" w:lineRule="exact"/>
        <w:rPr>
          <w:rFonts w:ascii="Times New Roman" w:cs="Times New Roman" w:eastAsia="Times New Roman" w:hAnsi="Times New Roman"/>
          <w:sz w:val="18"/>
          <w:szCs w:val="18"/>
          <w:color w:val="auto"/>
        </w:rPr>
      </w:pPr>
    </w:p>
    <w:p>
      <w:pPr>
        <w:ind w:left="660" w:right="40" w:hanging="652"/>
        <w:spacing w:after="0" w:line="266" w:lineRule="auto"/>
        <w:tabs>
          <w:tab w:leader="none" w:pos="65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Rules 457(c) and (h) under the Securities Act, the proposed maximum offering price per share and the proposed maximum aggregate offering price are estimated for the purpose of calculating the amount of the registration fee and are based on the average of the high and low sales price of the Registrant’s Common Stock as reported on the New York Stock Exchange on June 10, 2024.</w:t>
      </w:r>
    </w:p>
    <w:p>
      <w:pPr>
        <w:spacing w:after="0" w:line="202"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Rounded up to the nearest penny.</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Letter"/>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07"/>
    </w:lvl>
  </w:abstractNum>
  <w:abstractNum w:abstractNumId="3">
    <w:nsid w:val="3D1B58B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
    <w:nsid w:val="507ED7AB"/>
    <w:multiLevelType w:val="hybridMultilevel"/>
    <w:lvl w:ilvl="0">
      <w:lvlJc w:val="left"/>
      <w:lvlText w:val="(%1)"/>
      <w:numFmt w:val="decimal"/>
      <w:start w:val="2"/>
    </w:lvl>
  </w:abstractNum>
  <w:abstractNum w:abstractNumId="5">
    <w:nsid w:val="2EB141F2"/>
    <w:multiLevelType w:val="hybridMultilevel"/>
    <w:lvl w:ilvl="0">
      <w:lvlJc w:val="left"/>
      <w:lvlText w:val="(%1)"/>
      <w:numFmt w:val="lowerLetter"/>
      <w:start w:val="2"/>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jpeg"/><Relationship Id="rId17" Type="http://schemas.openxmlformats.org/officeDocument/2006/relationships/image" Target="media/image6.jpeg"/><Relationship Id="rId12" Type="http://schemas.openxmlformats.org/officeDocument/2006/relationships/hyperlink" Target="https://www.sec.gov/Archives/edgar/data/1856437/000185643724000018/ex31vsco-61420248xk.htm" TargetMode="External"/><Relationship Id="rId13" Type="http://schemas.openxmlformats.org/officeDocument/2006/relationships/hyperlink" Target="https://www.sec.gov/Archives/edgar/data/1856437/000185643723000013/vsco-1282023x10kex32.htm" TargetMode="External"/><Relationship Id="rId14" Type="http://schemas.openxmlformats.org/officeDocument/2006/relationships/hyperlink" Target="https://www.sec.gov/Archives/edgar/data/1856437/000095010321010671/dp154507_ex9901.htm" TargetMode="External"/><Relationship Id="rId15" Type="http://schemas.openxmlformats.org/officeDocument/2006/relationships/hyperlink" Target="https://www.sec.gov/Archives/edgar/data/1856437/000185643724000018/ex102vsco-61420248x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2024-06-14T15:55:10Z</dcterms:created>
  <dcterms:modified xsi:type="dcterms:W3CDTF">2024-06-14T15:55:10Z</dcterms:modified>
</cp:coreProperties>
</file>