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jpeg" ContentType="image/jpeg"/>
  <Override PartName="/word/media/image35.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540996dpre14a.htm"/>
        <w:bookmarkStart w:id="1" w:name="ksd540996dpre14a"/>
        <w:bookmarkEnd w:id="0"/>
        <w:bookmarkEnd w:id="1"/>
        <w:r>
          <w:rPr>
            <w:rStyle w:val="InternetLink"/>
          </w:rPr>
          <w:t>Table of Contents</w:t>
        </w:r>
      </w:hyperlink>
    </w:p>
    <w:p>
      <w:pPr>
        <w:pStyle w:val="TextBody"/>
        <w:bidi w:val="0"/>
        <w:spacing w:lineRule="atLeast" w:line="142" w:before="0" w:after="0"/>
        <w:jc w:val="left"/>
        <w:rPr>
          <w:bdr w:val="single" w:sz="2" w:space="1" w:color="000000"/>
          <w:shd w:fill="FFFFFF" w:val="clear"/>
        </w:rPr>
      </w:pPr>
      <w:r>
        <w:rPr>
          <w:bdr w:val="single" w:sz="2" w:space="1" w:color="000000"/>
          <w:shd w:fill="FFFFFF" w:val="clear"/>
        </w:rPr>
        <w:t> </w:t>
      </w:r>
    </w:p>
    <w:p>
      <w:pPr>
        <w:pStyle w:val="TextBody"/>
        <w:bidi w:val="0"/>
        <w:spacing w:lineRule="atLeast" w:line="142" w:before="0" w:after="40"/>
        <w:jc w:val="left"/>
        <w:rPr>
          <w:bdr w:val="single" w:sz="2" w:space="1" w:color="000000"/>
          <w:shd w:fill="FFFFFF" w:val="clear"/>
        </w:rPr>
      </w:pPr>
      <w:r>
        <w:rPr>
          <w:bdr w:val="single" w:sz="2" w:space="1" w:color="000000"/>
          <w:shd w:fill="FFFFFF" w:val="clear"/>
        </w:rPr>
        <w:t> </w:t>
      </w:r>
    </w:p>
    <w:p>
      <w:pPr>
        <w:pStyle w:val="TextBody"/>
        <w:bidi w:val="0"/>
        <w:spacing w:before="80" w:after="0"/>
        <w:jc w:val="center"/>
        <w:rPr>
          <w:rFonts w:ascii="arial" w:hAnsi="arial"/>
          <w:b/>
          <w:sz w:val="36"/>
          <w:shd w:fill="FFFFFF" w:val="clear"/>
        </w:rPr>
      </w:pPr>
      <w:r>
        <w:rPr>
          <w:rFonts w:ascii="arial" w:hAnsi="arial"/>
          <w:b/>
          <w:sz w:val="36"/>
          <w:shd w:fill="FFFFFF" w:val="clear"/>
        </w:rPr>
        <w:t xml:space="preserve">UNITED STATES </w:t>
      </w:r>
    </w:p>
    <w:p>
      <w:pPr>
        <w:pStyle w:val="TextBody"/>
        <w:bidi w:val="0"/>
        <w:spacing w:before="0" w:after="0"/>
        <w:jc w:val="center"/>
        <w:rPr>
          <w:rFonts w:ascii="arial" w:hAnsi="arial"/>
          <w:b/>
          <w:sz w:val="36"/>
          <w:shd w:fill="FFFFFF" w:val="clear"/>
        </w:rPr>
      </w:pPr>
      <w:r>
        <w:rPr>
          <w:rFonts w:ascii="arial" w:hAnsi="arial"/>
          <w:b/>
          <w:sz w:val="36"/>
          <w:shd w:fill="FFFFFF" w:val="clear"/>
        </w:rPr>
        <w:t xml:space="preserve">SECURITIES AND EXCHANGE COMMISSION </w:t>
      </w:r>
    </w:p>
    <w:p>
      <w:pPr>
        <w:pStyle w:val="TextBody"/>
        <w:bidi w:val="0"/>
        <w:spacing w:before="0" w:after="0"/>
        <w:jc w:val="center"/>
        <w:rPr>
          <w:rFonts w:ascii="arial" w:hAnsi="arial"/>
          <w:b/>
          <w:sz w:val="24"/>
          <w:shd w:fill="FFFFFF" w:val="clear"/>
        </w:rPr>
      </w:pPr>
      <w:r>
        <w:rPr>
          <w:rFonts w:ascii="arial" w:hAnsi="arial"/>
          <w:b/>
          <w:sz w:val="24"/>
          <w:shd w:fill="FFFFFF" w:val="clear"/>
        </w:rPr>
        <w:t xml:space="preserve">Washington, D.C. 20549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000000"/>
          <w:shd w:fill="FFFFFF" w:val="clear"/>
        </w:rPr>
      </w:pPr>
      <w:r>
        <w:rPr>
          <w:bdr w:val="single" w:sz="8" w:space="1" w:color="000000"/>
          <w:shd w:fill="FFFFFF" w:val="clear"/>
        </w:rPr>
        <w:t> </w:t>
      </w:r>
    </w:p>
    <w:p>
      <w:pPr>
        <w:pStyle w:val="TextBody"/>
        <w:bidi w:val="0"/>
        <w:spacing w:before="240" w:after="0"/>
        <w:jc w:val="center"/>
        <w:rPr>
          <w:rFonts w:ascii="arial" w:hAnsi="arial"/>
          <w:b/>
          <w:sz w:val="32"/>
          <w:shd w:fill="FFFFFF" w:val="clear"/>
        </w:rPr>
      </w:pPr>
      <w:r>
        <w:rPr>
          <w:rFonts w:ascii="arial" w:hAnsi="arial"/>
          <w:b/>
          <w:sz w:val="32"/>
          <w:shd w:fill="FFFFFF" w:val="clear"/>
        </w:rPr>
        <w:t>SCHEDULE 14A</w:t>
      </w:r>
    </w:p>
    <w:p>
      <w:pPr>
        <w:pStyle w:val="TextBody"/>
        <w:bidi w:val="0"/>
        <w:spacing w:before="240" w:after="0"/>
        <w:jc w:val="center"/>
        <w:rPr>
          <w:rFonts w:ascii="arial" w:hAnsi="arial"/>
          <w:b/>
          <w:sz w:val="24"/>
          <w:shd w:fill="FFFFFF" w:val="clear"/>
        </w:rPr>
      </w:pPr>
      <w:r>
        <w:rPr>
          <w:rFonts w:ascii="arial" w:hAnsi="arial"/>
          <w:b/>
          <w:sz w:val="24"/>
          <w:shd w:fill="FFFFFF" w:val="clear"/>
        </w:rPr>
        <w:t xml:space="preserve">Proxy Statement Pursuant to Section 14(a) of the </w:t>
      </w:r>
    </w:p>
    <w:p>
      <w:pPr>
        <w:pStyle w:val="TextBody"/>
        <w:bidi w:val="0"/>
        <w:spacing w:before="0" w:after="0"/>
        <w:jc w:val="center"/>
        <w:rPr>
          <w:rFonts w:ascii="arial" w:hAnsi="arial"/>
          <w:b/>
          <w:sz w:val="24"/>
          <w:shd w:fill="FFFFFF" w:val="clear"/>
        </w:rPr>
      </w:pPr>
      <w:r>
        <w:rPr>
          <w:rFonts w:ascii="arial" w:hAnsi="arial"/>
          <w:b/>
          <w:sz w:val="24"/>
          <w:shd w:fill="FFFFFF" w:val="clear"/>
        </w:rPr>
        <w:t xml:space="preserve">Securities Exchange Act of 1934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000000"/>
          <w:shd w:fill="FFFFFF" w:val="clear"/>
        </w:rPr>
      </w:pPr>
      <w:r>
        <w:rPr>
          <w:bdr w:val="single" w:sz="8" w:space="1" w:color="000000"/>
          <w:shd w:fill="FFFFFF" w:val="clear"/>
        </w:rPr>
        <w:t> </w:t>
      </w:r>
    </w:p>
    <w:p>
      <w:pPr>
        <w:pStyle w:val="TextBody"/>
        <w:bidi w:val="0"/>
        <w:spacing w:before="240" w:after="0"/>
        <w:jc w:val="left"/>
        <w:rPr>
          <w:rFonts w:ascii="arial" w:hAnsi="arial"/>
          <w:sz w:val="18"/>
          <w:shd w:fill="FFFFFF" w:val="clear"/>
        </w:rPr>
      </w:pPr>
      <w:r>
        <w:rPr>
          <w:rFonts w:ascii="arial" w:hAnsi="arial"/>
          <w:sz w:val="18"/>
          <w:shd w:fill="FFFFFF" w:val="clear"/>
        </w:rPr>
        <w:t>Filed by the Registrant </w:t>
      </w:r>
    </w:p>
    <w:p>
      <w:pPr>
        <w:pStyle w:val="TextBody"/>
        <w:bidi w:val="0"/>
        <w:spacing w:before="240" w:after="0"/>
        <w:jc w:val="left"/>
        <w:rPr>
          <w:spacing w:val="0"/>
          <w:shd w:fill="FFFFFF" w:val="clear"/>
        </w:rPr>
      </w:pPr>
      <w:r>
        <w:rPr>
          <w:spacing w:val="0"/>
          <w:shd w:fill="FFFFFF" w:val="clear"/>
        </w:rPr>
        <w:t>☒</w:t>
      </w:r>
    </w:p>
    <w:p>
      <w:pPr>
        <w:pStyle w:val="TextBody"/>
        <w:bidi w:val="0"/>
        <w:spacing w:before="240" w:after="0"/>
        <w:jc w:val="left"/>
        <w:rPr>
          <w:shd w:fill="FFFFFF" w:val="clear"/>
        </w:rPr>
      </w:pPr>
      <w:r>
        <w:rPr>
          <w:shd w:fill="FFFFFF" w:val="clear"/>
        </w:rPr>
        <w:t xml:space="preserve">      </w:t>
      </w:r>
      <w:r>
        <w:rPr>
          <w:rFonts w:ascii="arial" w:hAnsi="arial"/>
          <w:sz w:val="18"/>
          <w:shd w:fill="FFFFFF" w:val="clear"/>
        </w:rPr>
        <w:t>Filed by a party other than the Registrant </w:t>
      </w:r>
    </w:p>
    <w:p>
      <w:pPr>
        <w:pStyle w:val="TextBody"/>
        <w:bidi w:val="0"/>
        <w:spacing w:before="240" w:after="0"/>
        <w:jc w:val="left"/>
        <w:rPr>
          <w:spacing w:val="0"/>
          <w:shd w:fill="FFFFFF" w:val="clear"/>
        </w:rPr>
      </w:pPr>
      <w:r>
        <w:rPr>
          <w:spacing w:val="0"/>
          <w:shd w:fill="FFFFFF" w:val="clear"/>
        </w:rPr>
        <w:t>☐</w:t>
      </w:r>
    </w:p>
    <w:p>
      <w:pPr>
        <w:pStyle w:val="TextBody"/>
        <w:bidi w:val="0"/>
        <w:spacing w:before="240" w:after="0"/>
        <w:jc w:val="left"/>
        <w:rPr>
          <w:rFonts w:ascii="arial" w:hAnsi="arial"/>
          <w:sz w:val="18"/>
          <w:shd w:fill="FFFFFF" w:val="clear"/>
        </w:rPr>
      </w:pPr>
      <w:r>
        <w:rPr>
          <w:rFonts w:ascii="arial" w:hAnsi="arial"/>
          <w:sz w:val="18"/>
          <w:shd w:fill="FFFFFF" w:val="clear"/>
        </w:rPr>
        <w:t xml:space="preserve">Check the </w:t>
      </w:r>
    </w:p>
    <w:p>
      <w:pPr>
        <w:pStyle w:val="TextBody"/>
        <w:bidi w:val="0"/>
        <w:spacing w:before="240" w:after="0"/>
        <w:jc w:val="left"/>
        <w:rPr>
          <w:rFonts w:ascii="arial" w:hAnsi="arial"/>
          <w:sz w:val="18"/>
          <w:shd w:fill="FFFFFF" w:val="clear"/>
        </w:rPr>
      </w:pPr>
      <w:r>
        <w:rPr>
          <w:rFonts w:ascii="arial" w:hAnsi="arial"/>
          <w:sz w:val="18"/>
          <w:shd w:fill="FFFFFF" w:val="clear"/>
        </w:rPr>
        <w:t xml:space="preserve">appropriate </w:t>
      </w:r>
    </w:p>
    <w:p>
      <w:pPr>
        <w:pStyle w:val="TextBody"/>
        <w:bidi w:val="0"/>
        <w:spacing w:before="240" w:after="0"/>
        <w:jc w:val="left"/>
        <w:rPr>
          <w:rFonts w:ascii="arial" w:hAnsi="arial"/>
          <w:sz w:val="18"/>
          <w:shd w:fill="FFFFFF" w:val="clear"/>
        </w:rPr>
      </w:pPr>
      <w:r>
        <w:rPr>
          <w:rFonts w:ascii="arial" w:hAnsi="arial"/>
          <w:sz w:val="18"/>
          <w:shd w:fill="FFFFFF" w:val="clear"/>
        </w:rPr>
        <w:t xml:space="preserve">box: </w:t>
      </w:r>
    </w:p>
    <w:p>
      <w:pPr>
        <w:pStyle w:val="TextBody"/>
        <w:bidi w:val="0"/>
        <w:spacing w:before="0" w:after="0"/>
        <w:jc w:val="left"/>
        <w:rPr>
          <w:shd w:fill="FFFFFF" w:val="clear"/>
        </w:rPr>
      </w:pPr>
      <w:r>
        <w:rPr>
          <w:shd w:fill="FFFFFF" w:val="clear"/>
        </w:rPr>
        <w:t> </w:t>
      </w:r>
    </w:p>
    <w:tbl>
      <w:tblPr>
        <w:tblW w:w="2635" w:type="dxa"/>
        <w:jc w:val="left"/>
        <w:tblInd w:w="0" w:type="dxa"/>
        <w:tblLayout w:type="fixed"/>
        <w:tblCellMar>
          <w:top w:w="0" w:type="dxa"/>
          <w:left w:w="0" w:type="dxa"/>
          <w:bottom w:w="0" w:type="dxa"/>
          <w:right w:w="0" w:type="dxa"/>
        </w:tblCellMar>
      </w:tblPr>
      <w:tblGrid>
        <w:gridCol w:w="245"/>
        <w:gridCol w:w="2390"/>
      </w:tblGrid>
      <w:tr>
        <w:trPr/>
        <w:tc>
          <w:tcPr>
            <w:tcW w:w="245" w:type="dxa"/>
            <w:tcBorders/>
            <w:vAlign w:val="center"/>
          </w:tcPr>
          <w:p>
            <w:pPr>
              <w:pStyle w:val="TableContents"/>
              <w:bidi w:val="0"/>
              <w:spacing w:before="0" w:after="0"/>
              <w:jc w:val="left"/>
              <w:rPr>
                <w:spacing w:val="0"/>
              </w:rPr>
            </w:pPr>
            <w:r>
              <w:rPr>
                <w:spacing w:val="0"/>
              </w:rPr>
              <w:t>☒</w:t>
            </w:r>
          </w:p>
        </w:tc>
        <w:tc>
          <w:tcPr>
            <w:tcW w:w="2390" w:type="dxa"/>
            <w:tcBorders/>
            <w:vAlign w:val="center"/>
          </w:tcPr>
          <w:p>
            <w:pPr>
              <w:pStyle w:val="TableContents"/>
              <w:bidi w:val="0"/>
              <w:spacing w:before="0" w:after="0"/>
              <w:jc w:val="left"/>
              <w:rPr>
                <w:rFonts w:ascii="arial" w:hAnsi="arial"/>
                <w:sz w:val="18"/>
              </w:rPr>
            </w:pPr>
            <w:r>
              <w:rPr>
                <w:rFonts w:ascii="arial" w:hAnsi="arial"/>
                <w:sz w:val="18"/>
              </w:rPr>
              <w:t xml:space="preserve">Preliminary Proxy Statement </w:t>
            </w:r>
          </w:p>
        </w:tc>
      </w:tr>
    </w:tbl>
    <w:p>
      <w:pPr>
        <w:pStyle w:val="TextBody"/>
        <w:bidi w:val="0"/>
        <w:spacing w:before="0" w:after="0"/>
        <w:jc w:val="left"/>
        <w:rPr>
          <w:shd w:fill="FFFFFF" w:val="clear"/>
        </w:rPr>
      </w:pPr>
      <w:r>
        <w:rPr>
          <w:shd w:fill="FFFFFF" w:val="clear"/>
        </w:rPr>
        <w:t> </w:t>
      </w:r>
    </w:p>
    <w:tbl>
      <w:tblPr>
        <w:tblW w:w="5755" w:type="dxa"/>
        <w:jc w:val="left"/>
        <w:tblInd w:w="0" w:type="dxa"/>
        <w:tblLayout w:type="fixed"/>
        <w:tblCellMar>
          <w:top w:w="0" w:type="dxa"/>
          <w:left w:w="0" w:type="dxa"/>
          <w:bottom w:w="0" w:type="dxa"/>
          <w:right w:w="0" w:type="dxa"/>
        </w:tblCellMar>
      </w:tblPr>
      <w:tblGrid>
        <w:gridCol w:w="245"/>
        <w:gridCol w:w="5510"/>
      </w:tblGrid>
      <w:tr>
        <w:trPr/>
        <w:tc>
          <w:tcPr>
            <w:tcW w:w="245" w:type="dxa"/>
            <w:tcBorders/>
            <w:vAlign w:val="center"/>
          </w:tcPr>
          <w:p>
            <w:pPr>
              <w:pStyle w:val="TableContents"/>
              <w:bidi w:val="0"/>
              <w:spacing w:before="0" w:after="0"/>
              <w:jc w:val="left"/>
              <w:rPr>
                <w:spacing w:val="0"/>
              </w:rPr>
            </w:pPr>
            <w:r>
              <w:rPr>
                <w:spacing w:val="0"/>
              </w:rPr>
              <w:t>☐</w:t>
            </w:r>
          </w:p>
        </w:tc>
        <w:tc>
          <w:tcPr>
            <w:tcW w:w="5510" w:type="dxa"/>
            <w:tcBorders/>
            <w:vAlign w:val="center"/>
          </w:tcPr>
          <w:p>
            <w:pPr>
              <w:pStyle w:val="TableContents"/>
              <w:bidi w:val="0"/>
              <w:spacing w:before="0" w:after="0"/>
              <w:jc w:val="left"/>
              <w:rPr>
                <w:rFonts w:ascii="arial" w:hAnsi="arial"/>
                <w:sz w:val="18"/>
              </w:rPr>
            </w:pPr>
            <w:r>
              <w:rPr>
                <w:rFonts w:ascii="arial" w:hAnsi="arial"/>
                <w:sz w:val="18"/>
              </w:rPr>
              <w:t xml:space="preserve">Confidential, for Use of the Commission Only (as permitted by Rule </w:t>
            </w:r>
          </w:p>
          <w:p>
            <w:pPr>
              <w:pStyle w:val="TableContents"/>
              <w:bidi w:val="0"/>
              <w:spacing w:before="0" w:after="0"/>
              <w:jc w:val="left"/>
              <w:rPr>
                <w:rFonts w:ascii="arial" w:hAnsi="arial"/>
                <w:spacing w:val="0"/>
                <w:sz w:val="18"/>
              </w:rPr>
            </w:pPr>
            <w:r>
              <w:rPr>
                <w:rFonts w:ascii="arial" w:hAnsi="arial"/>
                <w:spacing w:val="0"/>
                <w:sz w:val="18"/>
              </w:rPr>
              <w:t>14a-6(e)(2))</w:t>
            </w:r>
          </w:p>
        </w:tc>
      </w:tr>
    </w:tbl>
    <w:p>
      <w:pPr>
        <w:pStyle w:val="TextBody"/>
        <w:bidi w:val="0"/>
        <w:spacing w:before="0" w:after="0"/>
        <w:jc w:val="left"/>
        <w:rPr>
          <w:shd w:fill="FFFFFF" w:val="clear"/>
        </w:rPr>
      </w:pPr>
      <w:r>
        <w:rPr>
          <w:shd w:fill="FFFFFF" w:val="clear"/>
        </w:rPr>
        <w:t> </w:t>
      </w:r>
    </w:p>
    <w:tbl>
      <w:tblPr>
        <w:tblW w:w="2470" w:type="dxa"/>
        <w:jc w:val="left"/>
        <w:tblInd w:w="0" w:type="dxa"/>
        <w:tblLayout w:type="fixed"/>
        <w:tblCellMar>
          <w:top w:w="0" w:type="dxa"/>
          <w:left w:w="0" w:type="dxa"/>
          <w:bottom w:w="0" w:type="dxa"/>
          <w:right w:w="0" w:type="dxa"/>
        </w:tblCellMar>
      </w:tblPr>
      <w:tblGrid>
        <w:gridCol w:w="245"/>
        <w:gridCol w:w="2225"/>
      </w:tblGrid>
      <w:tr>
        <w:trPr/>
        <w:tc>
          <w:tcPr>
            <w:tcW w:w="245" w:type="dxa"/>
            <w:tcBorders/>
            <w:vAlign w:val="center"/>
          </w:tcPr>
          <w:p>
            <w:pPr>
              <w:pStyle w:val="TableContents"/>
              <w:bidi w:val="0"/>
              <w:spacing w:before="0" w:after="0"/>
              <w:jc w:val="left"/>
              <w:rPr>
                <w:spacing w:val="0"/>
              </w:rPr>
            </w:pPr>
            <w:r>
              <w:rPr>
                <w:spacing w:val="0"/>
              </w:rPr>
              <w:t>☐</w:t>
            </w:r>
          </w:p>
        </w:tc>
        <w:tc>
          <w:tcPr>
            <w:tcW w:w="2225" w:type="dxa"/>
            <w:tcBorders/>
            <w:vAlign w:val="center"/>
          </w:tcPr>
          <w:p>
            <w:pPr>
              <w:pStyle w:val="TableContents"/>
              <w:bidi w:val="0"/>
              <w:spacing w:before="0" w:after="0"/>
              <w:jc w:val="left"/>
              <w:rPr>
                <w:rFonts w:ascii="arial" w:hAnsi="arial"/>
                <w:sz w:val="18"/>
              </w:rPr>
            </w:pPr>
            <w:r>
              <w:rPr>
                <w:rFonts w:ascii="arial" w:hAnsi="arial"/>
                <w:sz w:val="18"/>
              </w:rPr>
              <w:t xml:space="preserve">Definitive Proxy Statement </w:t>
            </w:r>
          </w:p>
        </w:tc>
      </w:tr>
    </w:tbl>
    <w:p>
      <w:pPr>
        <w:pStyle w:val="TextBody"/>
        <w:bidi w:val="0"/>
        <w:spacing w:before="0" w:after="0"/>
        <w:jc w:val="left"/>
        <w:rPr>
          <w:shd w:fill="FFFFFF" w:val="clear"/>
        </w:rPr>
      </w:pPr>
      <w:r>
        <w:rPr>
          <w:shd w:fill="FFFFFF" w:val="clear"/>
        </w:rPr>
        <w:t> </w:t>
      </w:r>
    </w:p>
    <w:tbl>
      <w:tblPr>
        <w:tblW w:w="2755" w:type="dxa"/>
        <w:jc w:val="left"/>
        <w:tblInd w:w="0" w:type="dxa"/>
        <w:tblLayout w:type="fixed"/>
        <w:tblCellMar>
          <w:top w:w="0" w:type="dxa"/>
          <w:left w:w="0" w:type="dxa"/>
          <w:bottom w:w="0" w:type="dxa"/>
          <w:right w:w="0" w:type="dxa"/>
        </w:tblCellMar>
      </w:tblPr>
      <w:tblGrid>
        <w:gridCol w:w="245"/>
        <w:gridCol w:w="2510"/>
      </w:tblGrid>
      <w:tr>
        <w:trPr/>
        <w:tc>
          <w:tcPr>
            <w:tcW w:w="245" w:type="dxa"/>
            <w:tcBorders/>
            <w:vAlign w:val="center"/>
          </w:tcPr>
          <w:p>
            <w:pPr>
              <w:pStyle w:val="TableContents"/>
              <w:bidi w:val="0"/>
              <w:spacing w:before="0" w:after="0"/>
              <w:jc w:val="left"/>
              <w:rPr>
                <w:spacing w:val="0"/>
              </w:rPr>
            </w:pPr>
            <w:r>
              <w:rPr>
                <w:spacing w:val="0"/>
              </w:rPr>
              <w:t>☐</w:t>
            </w:r>
          </w:p>
        </w:tc>
        <w:tc>
          <w:tcPr>
            <w:tcW w:w="2510" w:type="dxa"/>
            <w:tcBorders/>
            <w:vAlign w:val="center"/>
          </w:tcPr>
          <w:p>
            <w:pPr>
              <w:pStyle w:val="TableContents"/>
              <w:bidi w:val="0"/>
              <w:spacing w:before="0" w:after="0"/>
              <w:jc w:val="left"/>
              <w:rPr>
                <w:rFonts w:ascii="arial" w:hAnsi="arial"/>
                <w:sz w:val="18"/>
              </w:rPr>
            </w:pPr>
            <w:r>
              <w:rPr>
                <w:rFonts w:ascii="arial" w:hAnsi="arial"/>
                <w:sz w:val="18"/>
              </w:rPr>
              <w:t xml:space="preserve">Definitive Additional Materials </w:t>
            </w:r>
          </w:p>
        </w:tc>
      </w:tr>
    </w:tbl>
    <w:p>
      <w:pPr>
        <w:pStyle w:val="TextBody"/>
        <w:bidi w:val="0"/>
        <w:spacing w:before="0" w:after="0"/>
        <w:jc w:val="left"/>
        <w:rPr>
          <w:shd w:fill="FFFFFF" w:val="clear"/>
        </w:rPr>
      </w:pPr>
      <w:r>
        <w:rPr>
          <w:shd w:fill="FFFFFF" w:val="clear"/>
        </w:rPr>
        <w:t> </w:t>
      </w:r>
    </w:p>
    <w:tbl>
      <w:tblPr>
        <w:tblW w:w="2455" w:type="dxa"/>
        <w:jc w:val="left"/>
        <w:tblInd w:w="0" w:type="dxa"/>
        <w:tblLayout w:type="fixed"/>
        <w:tblCellMar>
          <w:top w:w="0" w:type="dxa"/>
          <w:left w:w="0" w:type="dxa"/>
          <w:bottom w:w="0" w:type="dxa"/>
          <w:right w:w="0" w:type="dxa"/>
        </w:tblCellMar>
      </w:tblPr>
      <w:tblGrid>
        <w:gridCol w:w="245"/>
        <w:gridCol w:w="2210"/>
      </w:tblGrid>
      <w:tr>
        <w:trPr/>
        <w:tc>
          <w:tcPr>
            <w:tcW w:w="245" w:type="dxa"/>
            <w:tcBorders/>
            <w:vAlign w:val="center"/>
          </w:tcPr>
          <w:p>
            <w:pPr>
              <w:pStyle w:val="TableContents"/>
              <w:bidi w:val="0"/>
              <w:spacing w:before="0" w:after="0"/>
              <w:jc w:val="left"/>
              <w:rPr>
                <w:spacing w:val="0"/>
              </w:rPr>
            </w:pPr>
            <w:r>
              <w:rPr>
                <w:spacing w:val="0"/>
              </w:rPr>
              <w:t>☐</w:t>
            </w:r>
          </w:p>
        </w:tc>
        <w:tc>
          <w:tcPr>
            <w:tcW w:w="2210" w:type="dxa"/>
            <w:tcBorders/>
            <w:vAlign w:val="center"/>
          </w:tcPr>
          <w:p>
            <w:pPr>
              <w:pStyle w:val="TableContents"/>
              <w:bidi w:val="0"/>
              <w:spacing w:before="0" w:after="0"/>
              <w:jc w:val="left"/>
              <w:rPr>
                <w:rFonts w:ascii="arial" w:hAnsi="arial"/>
                <w:sz w:val="18"/>
              </w:rPr>
            </w:pPr>
            <w:r>
              <w:rPr>
                <w:rFonts w:ascii="arial" w:hAnsi="arial"/>
                <w:sz w:val="18"/>
              </w:rPr>
              <w:t xml:space="preserve">Soliciting Material under § </w:t>
            </w:r>
          </w:p>
          <w:p>
            <w:pPr>
              <w:pStyle w:val="TableContents"/>
              <w:bidi w:val="0"/>
              <w:spacing w:before="0" w:after="0"/>
              <w:jc w:val="left"/>
              <w:rPr>
                <w:rFonts w:ascii="arial" w:hAnsi="arial"/>
                <w:spacing w:val="0"/>
                <w:sz w:val="18"/>
              </w:rPr>
            </w:pPr>
            <w:r>
              <w:rPr>
                <w:rFonts w:ascii="arial" w:hAnsi="arial"/>
                <w:spacing w:val="0"/>
                <w:sz w:val="18"/>
              </w:rPr>
              <w:t>240.14a-12</w:t>
            </w:r>
          </w:p>
        </w:tc>
      </w:tr>
    </w:tbl>
    <w:p>
      <w:pPr>
        <w:pStyle w:val="TextBody"/>
        <w:bidi w:val="0"/>
        <w:spacing w:before="240" w:after="0"/>
        <w:jc w:val="center"/>
        <w:rPr>
          <w:rFonts w:ascii="arial" w:hAnsi="arial"/>
          <w:b/>
          <w:sz w:val="48"/>
          <w:shd w:fill="FFFFFF" w:val="clear"/>
        </w:rPr>
      </w:pPr>
      <w:r>
        <w:rPr>
          <w:rFonts w:ascii="arial" w:hAnsi="arial"/>
          <w:b/>
          <w:sz w:val="48"/>
          <w:shd w:fill="FFFFFF" w:val="clear"/>
        </w:rPr>
        <w:t xml:space="preserve">VICTORIA’S SECRET &amp; CO. </w:t>
      </w:r>
    </w:p>
    <w:p>
      <w:pPr>
        <w:pStyle w:val="TextBody"/>
        <w:bidi w:val="0"/>
        <w:spacing w:before="0" w:after="0"/>
        <w:jc w:val="center"/>
        <w:rPr>
          <w:rFonts w:ascii="arial" w:hAnsi="arial"/>
          <w:b/>
          <w:sz w:val="20"/>
          <w:shd w:fill="FFFFFF" w:val="clear"/>
        </w:rPr>
      </w:pPr>
      <w:r>
        <w:rPr>
          <w:rFonts w:ascii="arial" w:hAnsi="arial"/>
          <w:b/>
          <w:sz w:val="20"/>
          <w:shd w:fill="FFFFFF" w:val="clear"/>
        </w:rPr>
        <w:t xml:space="preserve">(Name of Registrant as Specified in Its Charter) </w:t>
      </w:r>
    </w:p>
    <w:p>
      <w:pPr>
        <w:pStyle w:val="TextBody"/>
        <w:bidi w:val="0"/>
        <w:spacing w:before="240" w:after="0"/>
        <w:jc w:val="center"/>
        <w:rPr>
          <w:rFonts w:ascii="arial" w:hAnsi="arial"/>
          <w:b/>
          <w:sz w:val="20"/>
          <w:shd w:fill="FFFFFF" w:val="clear"/>
        </w:rPr>
      </w:pPr>
      <w:r>
        <w:rPr>
          <w:rFonts w:ascii="arial" w:hAnsi="arial"/>
          <w:b/>
          <w:sz w:val="20"/>
          <w:shd w:fill="FFFFFF" w:val="clear"/>
        </w:rPr>
        <w:t xml:space="preserve">N/A </w:t>
      </w:r>
    </w:p>
    <w:p>
      <w:pPr>
        <w:pStyle w:val="TextBody"/>
        <w:bidi w:val="0"/>
        <w:spacing w:before="0" w:after="0"/>
        <w:jc w:val="center"/>
        <w:rPr>
          <w:rFonts w:ascii="arial" w:hAnsi="arial"/>
          <w:b/>
          <w:sz w:val="16"/>
          <w:shd w:fill="FFFFFF" w:val="clear"/>
        </w:rPr>
      </w:pPr>
      <w:r>
        <w:rPr>
          <w:rFonts w:ascii="arial" w:hAnsi="arial"/>
          <w:b/>
          <w:sz w:val="16"/>
          <w:shd w:fill="FFFFFF" w:val="clear"/>
        </w:rPr>
        <w:t xml:space="preserve">(Name of Person(s) Filing Proxy Statement, if other than the Registrant) </w:t>
      </w:r>
    </w:p>
    <w:p>
      <w:pPr>
        <w:pStyle w:val="TextBody"/>
        <w:bidi w:val="0"/>
        <w:spacing w:before="240" w:after="0"/>
        <w:jc w:val="left"/>
        <w:rPr>
          <w:rFonts w:ascii="arial" w:hAnsi="arial"/>
          <w:sz w:val="18"/>
          <w:shd w:fill="FFFFFF" w:val="clear"/>
        </w:rPr>
      </w:pPr>
      <w:r>
        <w:rPr>
          <w:rFonts w:ascii="arial" w:hAnsi="arial"/>
          <w:sz w:val="18"/>
          <w:shd w:fill="FFFFFF" w:val="clear"/>
        </w:rPr>
        <w:t xml:space="preserve">Payment of Filing Fee (Check the appropriate box): </w:t>
      </w:r>
    </w:p>
    <w:p>
      <w:pPr>
        <w:pStyle w:val="TextBody"/>
        <w:bidi w:val="0"/>
        <w:spacing w:before="0" w:after="0"/>
        <w:jc w:val="left"/>
        <w:rPr>
          <w:shd w:fill="FFFFFF" w:val="clear"/>
        </w:rPr>
      </w:pPr>
      <w:r>
        <w:rPr>
          <w:shd w:fill="FFFFFF" w:val="clear"/>
        </w:rPr>
        <w:t> </w:t>
      </w:r>
    </w:p>
    <w:tbl>
      <w:tblPr>
        <w:tblW w:w="1645" w:type="dxa"/>
        <w:jc w:val="left"/>
        <w:tblInd w:w="0" w:type="dxa"/>
        <w:tblLayout w:type="fixed"/>
        <w:tblCellMar>
          <w:top w:w="0" w:type="dxa"/>
          <w:left w:w="0" w:type="dxa"/>
          <w:bottom w:w="0" w:type="dxa"/>
          <w:right w:w="0" w:type="dxa"/>
        </w:tblCellMar>
      </w:tblPr>
      <w:tblGrid>
        <w:gridCol w:w="245"/>
        <w:gridCol w:w="1400"/>
      </w:tblGrid>
      <w:tr>
        <w:trPr/>
        <w:tc>
          <w:tcPr>
            <w:tcW w:w="245" w:type="dxa"/>
            <w:tcBorders/>
            <w:vAlign w:val="center"/>
          </w:tcPr>
          <w:p>
            <w:pPr>
              <w:pStyle w:val="TableContents"/>
              <w:bidi w:val="0"/>
              <w:spacing w:before="0" w:after="0"/>
              <w:jc w:val="left"/>
              <w:rPr>
                <w:spacing w:val="0"/>
              </w:rPr>
            </w:pPr>
            <w:r>
              <w:rPr>
                <w:spacing w:val="0"/>
              </w:rPr>
              <w:t>☒</w:t>
            </w:r>
          </w:p>
        </w:tc>
        <w:tc>
          <w:tcPr>
            <w:tcW w:w="1400" w:type="dxa"/>
            <w:tcBorders/>
            <w:vAlign w:val="center"/>
          </w:tcPr>
          <w:p>
            <w:pPr>
              <w:pStyle w:val="TableContents"/>
              <w:bidi w:val="0"/>
              <w:spacing w:before="0" w:after="0"/>
              <w:jc w:val="left"/>
              <w:rPr>
                <w:rFonts w:ascii="arial" w:hAnsi="arial"/>
                <w:sz w:val="18"/>
              </w:rPr>
            </w:pPr>
            <w:r>
              <w:rPr>
                <w:rFonts w:ascii="arial" w:hAnsi="arial"/>
                <w:sz w:val="18"/>
              </w:rPr>
              <w:t xml:space="preserve">No fee required. </w:t>
            </w:r>
          </w:p>
        </w:tc>
      </w:tr>
    </w:tbl>
    <w:p>
      <w:pPr>
        <w:pStyle w:val="TextBody"/>
        <w:bidi w:val="0"/>
        <w:spacing w:before="0" w:after="0"/>
        <w:jc w:val="left"/>
        <w:rPr>
          <w:shd w:fill="FFFFFF" w:val="clear"/>
        </w:rPr>
      </w:pPr>
      <w:r>
        <w:rPr>
          <w:shd w:fill="FFFFFF" w:val="clear"/>
        </w:rPr>
        <w:t> </w:t>
      </w:r>
    </w:p>
    <w:tbl>
      <w:tblPr>
        <w:tblW w:w="4105" w:type="dxa"/>
        <w:jc w:val="left"/>
        <w:tblInd w:w="0" w:type="dxa"/>
        <w:tblLayout w:type="fixed"/>
        <w:tblCellMar>
          <w:top w:w="0" w:type="dxa"/>
          <w:left w:w="0" w:type="dxa"/>
          <w:bottom w:w="0" w:type="dxa"/>
          <w:right w:w="0" w:type="dxa"/>
        </w:tblCellMar>
      </w:tblPr>
      <w:tblGrid>
        <w:gridCol w:w="245"/>
        <w:gridCol w:w="3860"/>
      </w:tblGrid>
      <w:tr>
        <w:trPr/>
        <w:tc>
          <w:tcPr>
            <w:tcW w:w="245" w:type="dxa"/>
            <w:tcBorders/>
            <w:vAlign w:val="center"/>
          </w:tcPr>
          <w:p>
            <w:pPr>
              <w:pStyle w:val="TableContents"/>
              <w:bidi w:val="0"/>
              <w:spacing w:before="0" w:after="0"/>
              <w:jc w:val="left"/>
              <w:rPr>
                <w:spacing w:val="0"/>
              </w:rPr>
            </w:pPr>
            <w:r>
              <w:rPr>
                <w:spacing w:val="0"/>
              </w:rPr>
              <w:t>☐</w:t>
            </w:r>
          </w:p>
        </w:tc>
        <w:tc>
          <w:tcPr>
            <w:tcW w:w="3860" w:type="dxa"/>
            <w:tcBorders/>
            <w:vAlign w:val="center"/>
          </w:tcPr>
          <w:p>
            <w:pPr>
              <w:pStyle w:val="TableContents"/>
              <w:bidi w:val="0"/>
              <w:spacing w:before="0" w:after="0"/>
              <w:jc w:val="left"/>
              <w:rPr>
                <w:rFonts w:ascii="arial" w:hAnsi="arial"/>
                <w:sz w:val="18"/>
              </w:rPr>
            </w:pPr>
            <w:r>
              <w:rPr>
                <w:rFonts w:ascii="arial" w:hAnsi="arial"/>
                <w:sz w:val="18"/>
              </w:rPr>
              <w:t xml:space="preserve">Fee paid previously with preliminary materials. </w:t>
            </w:r>
          </w:p>
        </w:tc>
      </w:tr>
    </w:tbl>
    <w:p>
      <w:pPr>
        <w:pStyle w:val="TextBody"/>
        <w:bidi w:val="0"/>
        <w:spacing w:before="0" w:after="0"/>
        <w:jc w:val="left"/>
        <w:rPr>
          <w:shd w:fill="FFFFFF" w:val="clear"/>
        </w:rPr>
      </w:pPr>
      <w:r>
        <w:rPr>
          <w:shd w:fill="FFFFFF" w:val="clear"/>
        </w:rPr>
        <w:t> </w:t>
      </w:r>
    </w:p>
    <w:tbl>
      <w:tblPr>
        <w:tblW w:w="6835" w:type="dxa"/>
        <w:jc w:val="left"/>
        <w:tblInd w:w="0" w:type="dxa"/>
        <w:tblLayout w:type="fixed"/>
        <w:tblCellMar>
          <w:top w:w="0" w:type="dxa"/>
          <w:left w:w="0" w:type="dxa"/>
          <w:bottom w:w="0" w:type="dxa"/>
          <w:right w:w="0" w:type="dxa"/>
        </w:tblCellMar>
      </w:tblPr>
      <w:tblGrid>
        <w:gridCol w:w="245"/>
        <w:gridCol w:w="6590"/>
      </w:tblGrid>
      <w:tr>
        <w:trPr/>
        <w:tc>
          <w:tcPr>
            <w:tcW w:w="245" w:type="dxa"/>
            <w:tcBorders/>
            <w:vAlign w:val="center"/>
          </w:tcPr>
          <w:p>
            <w:pPr>
              <w:pStyle w:val="TableContents"/>
              <w:bidi w:val="0"/>
              <w:spacing w:before="0" w:after="0"/>
              <w:jc w:val="left"/>
              <w:rPr>
                <w:spacing w:val="0"/>
              </w:rPr>
            </w:pPr>
            <w:r>
              <w:rPr>
                <w:spacing w:val="0"/>
              </w:rPr>
              <w:t>☐</w:t>
            </w:r>
          </w:p>
        </w:tc>
        <w:tc>
          <w:tcPr>
            <w:tcW w:w="6590" w:type="dxa"/>
            <w:tcBorders/>
            <w:vAlign w:val="center"/>
          </w:tcPr>
          <w:p>
            <w:pPr>
              <w:pStyle w:val="TableContents"/>
              <w:bidi w:val="0"/>
              <w:spacing w:before="0" w:after="0"/>
              <w:jc w:val="left"/>
              <w:rPr>
                <w:rFonts w:ascii="arial" w:hAnsi="arial"/>
                <w:sz w:val="18"/>
              </w:rPr>
            </w:pPr>
            <w:r>
              <w:rPr>
                <w:rFonts w:ascii="arial" w:hAnsi="arial"/>
                <w:sz w:val="18"/>
              </w:rPr>
              <w:t xml:space="preserve">Fee computed on table in exhibit required by Item 25(b) per Exchange Act Rules </w:t>
            </w:r>
          </w:p>
          <w:p>
            <w:pPr>
              <w:pStyle w:val="TableContents"/>
              <w:bidi w:val="0"/>
              <w:spacing w:before="0" w:after="0"/>
              <w:jc w:val="left"/>
              <w:rPr>
                <w:rFonts w:ascii="arial" w:hAnsi="arial"/>
                <w:spacing w:val="0"/>
                <w:sz w:val="18"/>
              </w:rPr>
            </w:pPr>
            <w:r>
              <w:rPr>
                <w:rFonts w:ascii="arial" w:hAnsi="arial"/>
                <w:spacing w:val="0"/>
                <w:sz w:val="18"/>
              </w:rPr>
              <w:t>14a-6(i)(1)</w:t>
            </w:r>
          </w:p>
          <w:p>
            <w:pPr>
              <w:pStyle w:val="TableContents"/>
              <w:bidi w:val="0"/>
              <w:spacing w:before="0" w:after="0"/>
              <w:jc w:val="left"/>
              <w:rPr>
                <w:rFonts w:ascii="arial" w:hAnsi="arial"/>
                <w:sz w:val="18"/>
              </w:rPr>
            </w:pPr>
            <w:r>
              <w:rPr>
                <w:rFonts w:ascii="arial" w:hAnsi="arial"/>
                <w:sz w:val="18"/>
              </w:rPr>
              <w:t xml:space="preserve">and </w:t>
            </w:r>
          </w:p>
          <w:p>
            <w:pPr>
              <w:pStyle w:val="TableContents"/>
              <w:bidi w:val="0"/>
              <w:spacing w:before="0" w:after="0"/>
              <w:jc w:val="left"/>
              <w:rPr>
                <w:rFonts w:ascii="arial" w:hAnsi="arial"/>
                <w:spacing w:val="0"/>
                <w:sz w:val="18"/>
              </w:rPr>
            </w:pPr>
            <w:r>
              <w:rPr>
                <w:rFonts w:ascii="arial" w:hAnsi="arial"/>
                <w:spacing w:val="0"/>
                <w:sz w:val="18"/>
              </w:rPr>
              <w:t>0-11.</w:t>
            </w:r>
          </w:p>
        </w:tc>
      </w:tr>
    </w:tbl>
    <w:p>
      <w:pPr>
        <w:pStyle w:val="TextBody"/>
        <w:bidi w:val="0"/>
        <w:spacing w:before="0" w:after="0"/>
        <w:jc w:val="left"/>
        <w:rPr>
          <w:shd w:fill="FFFFFF" w:val="clear"/>
        </w:rPr>
      </w:pPr>
      <w:r>
        <w:rPr>
          <w:shd w:fill="FFFFFF" w:val="clear"/>
        </w:rPr>
        <w:t> </w:t>
      </w:r>
    </w:p>
    <w:p>
      <w:pPr>
        <w:pStyle w:val="TextBody"/>
        <w:bidi w:val="0"/>
        <w:spacing w:lineRule="atLeast" w:line="142" w:before="0" w:after="0"/>
        <w:jc w:val="left"/>
        <w:rPr>
          <w:bdr w:val="single" w:sz="2" w:space="1" w:color="000000"/>
          <w:shd w:fill="FFFFFF" w:val="clear"/>
        </w:rPr>
      </w:pPr>
      <w:r>
        <w:rPr>
          <w:bdr w:val="single" w:sz="2" w:space="1" w:color="000000"/>
          <w:shd w:fill="FFFFFF" w:val="clear"/>
        </w:rPr>
        <w:t> </w:t>
      </w:r>
    </w:p>
    <w:p>
      <w:pPr>
        <w:pStyle w:val="TextBody"/>
        <w:bidi w:val="0"/>
        <w:spacing w:lineRule="atLeast" w:line="142" w:before="0" w:after="40"/>
        <w:jc w:val="left"/>
        <w:rPr>
          <w:bdr w:val="single" w:sz="2" w:space="1" w:color="000000"/>
          <w:shd w:fill="FFFFFF" w:val="clear"/>
        </w:rPr>
      </w:pPr>
      <w:r>
        <w:rPr>
          <w:bdr w:val="single" w:sz="2" w:space="1" w:color="000000"/>
          <w:shd w:fill="FFFFFF" w:val="clea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803275" cy="10312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3275" cy="103124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drawing>
          <wp:inline distT="0" distB="0" distL="0" distR="0">
            <wp:extent cx="802005" cy="103124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2005" cy="103124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center"/>
        <w:rPr>
          <w:rFonts w:ascii="Times New Roman" w:hAnsi="Times New Roman"/>
          <w:i/>
          <w:sz w:val="36"/>
        </w:rPr>
      </w:pPr>
      <w:r>
        <w:rPr>
          <w:rFonts w:ascii="Times New Roman" w:hAnsi="Times New Roman"/>
          <w:i/>
          <w:sz w:val="36"/>
        </w:rPr>
        <w:t xml:space="preserve">Letter from Our </w:t>
      </w:r>
    </w:p>
    <w:p>
      <w:pPr>
        <w:pStyle w:val="TextBody"/>
        <w:bidi w:val="0"/>
        <w:spacing w:before="0" w:after="0"/>
        <w:jc w:val="center"/>
        <w:rPr>
          <w:rFonts w:ascii="Times New Roman" w:hAnsi="Times New Roman"/>
          <w:b/>
          <w:sz w:val="60"/>
        </w:rPr>
      </w:pPr>
      <w:r>
        <w:rPr>
          <w:rFonts w:ascii="Times New Roman" w:hAnsi="Times New Roman"/>
          <w:b/>
          <w:sz w:val="60"/>
        </w:rPr>
        <w:t xml:space="preserve">CHIEF EXECUTIVE OFFICER AND CHAIR OF OUR BOARD </w:t>
      </w:r>
    </w:p>
    <w:p>
      <w:pPr>
        <w:pStyle w:val="TextBody"/>
        <w:bidi w:val="0"/>
        <w:spacing w:before="0" w:after="0"/>
        <w:jc w:val="left"/>
        <w:rPr/>
      </w:pPr>
      <w:r>
        <w:rPr/>
        <w:t> </w:t>
      </w:r>
    </w:p>
    <w:p>
      <w:pPr>
        <w:pStyle w:val="TextBody"/>
        <w:pBdr>
          <w:bottom w:val="single" w:sz="2" w:space="1" w:color="000000"/>
        </w:pBdr>
        <w:bidi w:val="0"/>
        <w:spacing w:lineRule="atLeast" w:line="142" w:before="0" w:after="40"/>
        <w:jc w:val="center"/>
        <w:rPr/>
      </w:pPr>
      <w:r>
        <w:rPr/>
        <w:t> </w:t>
      </w:r>
    </w:p>
    <w:p>
      <w:pPr>
        <w:pStyle w:val="TextBody"/>
        <w:bidi w:val="0"/>
        <w:spacing w:before="480" w:after="0"/>
        <w:jc w:val="left"/>
        <w:rPr>
          <w:rFonts w:ascii="arial" w:hAnsi="arial"/>
          <w:b/>
          <w:color w:val="F7ACBA"/>
          <w:sz w:val="24"/>
        </w:rPr>
      </w:pPr>
      <w:r>
        <w:rPr>
          <w:rFonts w:ascii="arial" w:hAnsi="arial"/>
          <w:b/>
          <w:color w:val="F7ACBA"/>
          <w:sz w:val="24"/>
        </w:rPr>
        <w:t xml:space="preserve">To our valued stockholders,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18">
                <wp:simplePos x="0" y="0"/>
                <wp:positionH relativeFrom="column">
                  <wp:align>left</wp:align>
                </wp:positionH>
                <wp:positionV relativeFrom="line">
                  <wp:posOffset>635</wp:posOffset>
                </wp:positionV>
                <wp:extent cx="3110230" cy="5139690"/>
                <wp:effectExtent l="0" t="0" r="0" b="0"/>
                <wp:wrapSquare wrapText="right"/>
                <wp:docPr id="3" name="Frame1"/>
                <a:graphic xmlns:a="http://schemas.openxmlformats.org/drawingml/2006/main">
                  <a:graphicData uri="http://schemas.microsoft.com/office/word/2010/wordprocessingShape">
                    <wps:wsp>
                      <wps:cNvSpPr txBox="1"/>
                      <wps:spPr>
                        <a:xfrm>
                          <a:off x="0" y="0"/>
                          <a:ext cx="3110230" cy="5139690"/>
                        </a:xfrm>
                        <a:prstGeom prst="rect"/>
                        <a:solidFill>
                          <a:srgbClr val="FFFFFF"/>
                        </a:solidFill>
                      </wps:spPr>
                      <wps:txbx>
                        <w:txbxContent>
                          <w:p>
                            <w:pPr>
                              <w:pStyle w:val="TextBody"/>
                              <w:bidi w:val="0"/>
                              <w:spacing w:before="0" w:after="0"/>
                              <w:jc w:val="left"/>
                              <w:rPr>
                                <w:rFonts w:ascii="arial" w:hAnsi="arial"/>
                                <w:sz w:val="18"/>
                              </w:rPr>
                            </w:pPr>
                            <w:r>
                              <w:rPr>
                                <w:rFonts w:ascii="arial" w:hAnsi="arial"/>
                                <w:sz w:val="18"/>
                              </w:rPr>
                              <w:t xml:space="preserve">On behalf of our Board of Directors and management team, we are pleased to share the Victoria’s Secret and Co. (“VS&amp;Co”) proxy statement and annual report. </w:t>
                            </w:r>
                          </w:p>
                          <w:p>
                            <w:pPr>
                              <w:pStyle w:val="TextBody"/>
                              <w:bidi w:val="0"/>
                              <w:spacing w:before="120" w:after="0"/>
                              <w:jc w:val="left"/>
                              <w:rPr>
                                <w:rFonts w:ascii="arial" w:hAnsi="arial"/>
                                <w:sz w:val="18"/>
                              </w:rPr>
                            </w:pPr>
                            <w:r>
                              <w:rPr>
                                <w:rFonts w:ascii="arial" w:hAnsi="arial"/>
                                <w:sz w:val="18"/>
                              </w:rPr>
                              <w:t xml:space="preserve">2023 was a year of continued transformation as we took key steps toward our long-term goal of becoming the </w:t>
                            </w:r>
                            <w:r>
                              <w:rPr>
                                <w:rFonts w:ascii="arial" w:hAnsi="arial"/>
                                <w:b/>
                                <w:sz w:val="18"/>
                              </w:rPr>
                              <w:t>world’s leading retailer of intimate apparel</w:t>
                            </w:r>
                            <w:r>
                              <w:rPr>
                                <w:rFonts w:ascii="arial" w:hAnsi="arial"/>
                                <w:sz w:val="18"/>
                              </w:rPr>
                              <w:t xml:space="preserve">. Against a backdrop of continued macroeconomic pressures weighing on consumers and a down trending U.S. intimates market, we remained focused on what was in our control: driving our strategy to </w:t>
                            </w:r>
                            <w:r>
                              <w:rPr>
                                <w:rFonts w:ascii="arial" w:hAnsi="arial"/>
                                <w:b/>
                                <w:sz w:val="18"/>
                              </w:rPr>
                              <w:t xml:space="preserve">Accelerate the Core, Ignite Growth </w:t>
                            </w:r>
                            <w:r>
                              <w:rPr>
                                <w:rFonts w:ascii="arial" w:hAnsi="arial"/>
                                <w:sz w:val="18"/>
                              </w:rPr>
                              <w:t xml:space="preserve">and </w:t>
                            </w:r>
                            <w:r>
                              <w:rPr>
                                <w:rFonts w:ascii="arial" w:hAnsi="arial"/>
                                <w:b/>
                                <w:sz w:val="18"/>
                              </w:rPr>
                              <w:t xml:space="preserve">Transform the Foundation </w:t>
                            </w:r>
                            <w:r>
                              <w:rPr>
                                <w:rFonts w:ascii="arial" w:hAnsi="arial"/>
                                <w:sz w:val="18"/>
                              </w:rPr>
                              <w:t xml:space="preserve">of our business. </w:t>
                            </w:r>
                          </w:p>
                          <w:p>
                            <w:pPr>
                              <w:pStyle w:val="TextBody"/>
                              <w:bidi w:val="0"/>
                              <w:spacing w:before="120" w:after="0"/>
                              <w:jc w:val="left"/>
                              <w:rPr>
                                <w:rFonts w:ascii="arial" w:hAnsi="arial"/>
                                <w:sz w:val="18"/>
                              </w:rPr>
                            </w:pPr>
                            <w:r>
                              <w:rPr>
                                <w:rFonts w:ascii="arial" w:hAnsi="arial"/>
                                <w:sz w:val="18"/>
                              </w:rPr>
                              <w:t xml:space="preserve">As we shared at our Investor Day in October 2023, our work to </w:t>
                            </w:r>
                            <w:r>
                              <w:rPr>
                                <w:rFonts w:ascii="arial" w:hAnsi="arial"/>
                                <w:b/>
                                <w:sz w:val="18"/>
                              </w:rPr>
                              <w:t>ignite growth</w:t>
                            </w:r>
                            <w:r>
                              <w:rPr>
                                <w:rFonts w:ascii="arial" w:hAnsi="arial"/>
                                <w:sz w:val="18"/>
                              </w:rPr>
                              <w:t xml:space="preserve"> and </w:t>
                            </w:r>
                            <w:r>
                              <w:rPr>
                                <w:rFonts w:ascii="arial" w:hAnsi="arial"/>
                                <w:b/>
                                <w:sz w:val="18"/>
                              </w:rPr>
                              <w:t>transform the foundation</w:t>
                            </w:r>
                            <w:r>
                              <w:rPr>
                                <w:rFonts w:ascii="arial" w:hAnsi="arial"/>
                                <w:sz w:val="18"/>
                              </w:rPr>
                              <w:t xml:space="preserve"> is tracking ahead of our plans thanks to continued significant growth in our international business, the modernization of our operating model, which is driving cost savings, and the acquisition of Adore Me, which is presenting synergy opportunities. </w:t>
                            </w:r>
                          </w:p>
                          <w:p>
                            <w:pPr>
                              <w:pStyle w:val="TextBody"/>
                              <w:bidi w:val="0"/>
                              <w:spacing w:before="120" w:after="0"/>
                              <w:jc w:val="left"/>
                              <w:rPr>
                                <w:rFonts w:ascii="arial" w:hAnsi="arial"/>
                                <w:sz w:val="18"/>
                              </w:rPr>
                            </w:pPr>
                            <w:r>
                              <w:rPr>
                                <w:rFonts w:ascii="arial" w:hAnsi="arial"/>
                                <w:sz w:val="18"/>
                              </w:rPr>
                              <w:t xml:space="preserve">At the same time, we acknowledge that our focus on </w:t>
                            </w:r>
                            <w:r>
                              <w:rPr>
                                <w:rFonts w:ascii="arial" w:hAnsi="arial"/>
                                <w:b/>
                                <w:sz w:val="18"/>
                              </w:rPr>
                              <w:t>accelerating our core</w:t>
                            </w:r>
                            <w:r>
                              <w:rPr>
                                <w:rFonts w:ascii="arial" w:hAnsi="arial"/>
                                <w:sz w:val="18"/>
                              </w:rPr>
                              <w:t xml:space="preserve"> by strengthening our business in North America has been our most challenged work over the past year. </w:t>
                            </w:r>
                          </w:p>
                          <w:p>
                            <w:pPr>
                              <w:pStyle w:val="TextBody"/>
                              <w:bidi w:val="0"/>
                              <w:spacing w:before="240" w:after="0"/>
                              <w:jc w:val="left"/>
                              <w:rPr>
                                <w:rFonts w:ascii="arial" w:hAnsi="arial"/>
                                <w:b/>
                                <w:color w:val="F7ACBA"/>
                                <w:sz w:val="24"/>
                              </w:rPr>
                            </w:pPr>
                            <w:r>
                              <w:rPr>
                                <w:rFonts w:ascii="arial" w:hAnsi="arial"/>
                                <w:b/>
                                <w:color w:val="F7ACBA"/>
                                <w:sz w:val="24"/>
                              </w:rPr>
                              <w:t xml:space="preserve">Accelerating the Core </w:t>
                            </w:r>
                          </w:p>
                          <w:p>
                            <w:pPr>
                              <w:pStyle w:val="TextBody"/>
                              <w:bidi w:val="0"/>
                              <w:spacing w:before="60" w:after="0"/>
                              <w:jc w:val="left"/>
                              <w:rPr>
                                <w:rFonts w:ascii="arial" w:hAnsi="arial"/>
                                <w:sz w:val="18"/>
                              </w:rPr>
                            </w:pPr>
                            <w:r>
                              <w:rPr>
                                <w:rFonts w:ascii="arial" w:hAnsi="arial"/>
                                <w:sz w:val="18"/>
                              </w:rPr>
                              <w:t xml:space="preserve">With a renewed concentration on being “Best at Bras,” we made progress in delivering innovation and newness and worked to rebuild the PINK apparel business in 2023. Transparently, however, we lacked a sufficiently differentiated merchandise assortment and we failed to deliver on our expectations for performance in our North America business. </w:t>
                            </w:r>
                          </w:p>
                          <w:p>
                            <w:pPr>
                              <w:pStyle w:val="TextBody"/>
                              <w:bidi w:val="0"/>
                              <w:spacing w:before="120" w:after="0"/>
                              <w:jc w:val="left"/>
                              <w:rPr>
                                <w:rFonts w:ascii="arial" w:hAnsi="arial"/>
                                <w:sz w:val="18"/>
                              </w:rPr>
                            </w:pPr>
                            <w:r>
                              <w:rPr>
                                <w:rFonts w:ascii="arial" w:hAnsi="arial"/>
                                <w:sz w:val="18"/>
                              </w:rPr>
                              <w:t xml:space="preserve">In 2023 we debuted the new Icon collection by Victoria’s Secret and introduced the Featherweight Max sports bra featuring a revolutionary super light shape designed for the gym and every day. Meanwhile, PINK introduced the Base collection, an entirely new product line and the ultimate comfortable layering wardrobe.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04.7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sz w:val="18"/>
                        </w:rPr>
                      </w:pPr>
                      <w:r>
                        <w:rPr>
                          <w:rFonts w:ascii="arial" w:hAnsi="arial"/>
                          <w:sz w:val="18"/>
                        </w:rPr>
                        <w:t xml:space="preserve">On behalf of our Board of Directors and management team, we are pleased to share the Victoria’s Secret and Co. (“VS&amp;Co”) proxy statement and annual report. </w:t>
                      </w:r>
                    </w:p>
                    <w:p>
                      <w:pPr>
                        <w:pStyle w:val="TextBody"/>
                        <w:bidi w:val="0"/>
                        <w:spacing w:before="120" w:after="0"/>
                        <w:jc w:val="left"/>
                        <w:rPr>
                          <w:rFonts w:ascii="arial" w:hAnsi="arial"/>
                          <w:sz w:val="18"/>
                        </w:rPr>
                      </w:pPr>
                      <w:r>
                        <w:rPr>
                          <w:rFonts w:ascii="arial" w:hAnsi="arial"/>
                          <w:sz w:val="18"/>
                        </w:rPr>
                        <w:t xml:space="preserve">2023 was a year of continued transformation as we took key steps toward our long-term goal of becoming the </w:t>
                      </w:r>
                      <w:r>
                        <w:rPr>
                          <w:rFonts w:ascii="arial" w:hAnsi="arial"/>
                          <w:b/>
                          <w:sz w:val="18"/>
                        </w:rPr>
                        <w:t>world’s leading retailer of intimate apparel</w:t>
                      </w:r>
                      <w:r>
                        <w:rPr>
                          <w:rFonts w:ascii="arial" w:hAnsi="arial"/>
                          <w:sz w:val="18"/>
                        </w:rPr>
                        <w:t xml:space="preserve">. Against a backdrop of continued macroeconomic pressures weighing on consumers and a down trending U.S. intimates market, we remained focused on what was in our control: driving our strategy to </w:t>
                      </w:r>
                      <w:r>
                        <w:rPr>
                          <w:rFonts w:ascii="arial" w:hAnsi="arial"/>
                          <w:b/>
                          <w:sz w:val="18"/>
                        </w:rPr>
                        <w:t xml:space="preserve">Accelerate the Core, Ignite Growth </w:t>
                      </w:r>
                      <w:r>
                        <w:rPr>
                          <w:rFonts w:ascii="arial" w:hAnsi="arial"/>
                          <w:sz w:val="18"/>
                        </w:rPr>
                        <w:t xml:space="preserve">and </w:t>
                      </w:r>
                      <w:r>
                        <w:rPr>
                          <w:rFonts w:ascii="arial" w:hAnsi="arial"/>
                          <w:b/>
                          <w:sz w:val="18"/>
                        </w:rPr>
                        <w:t xml:space="preserve">Transform the Foundation </w:t>
                      </w:r>
                      <w:r>
                        <w:rPr>
                          <w:rFonts w:ascii="arial" w:hAnsi="arial"/>
                          <w:sz w:val="18"/>
                        </w:rPr>
                        <w:t xml:space="preserve">of our business. </w:t>
                      </w:r>
                    </w:p>
                    <w:p>
                      <w:pPr>
                        <w:pStyle w:val="TextBody"/>
                        <w:bidi w:val="0"/>
                        <w:spacing w:before="120" w:after="0"/>
                        <w:jc w:val="left"/>
                        <w:rPr>
                          <w:rFonts w:ascii="arial" w:hAnsi="arial"/>
                          <w:sz w:val="18"/>
                        </w:rPr>
                      </w:pPr>
                      <w:r>
                        <w:rPr>
                          <w:rFonts w:ascii="arial" w:hAnsi="arial"/>
                          <w:sz w:val="18"/>
                        </w:rPr>
                        <w:t xml:space="preserve">As we shared at our Investor Day in October 2023, our work to </w:t>
                      </w:r>
                      <w:r>
                        <w:rPr>
                          <w:rFonts w:ascii="arial" w:hAnsi="arial"/>
                          <w:b/>
                          <w:sz w:val="18"/>
                        </w:rPr>
                        <w:t>ignite growth</w:t>
                      </w:r>
                      <w:r>
                        <w:rPr>
                          <w:rFonts w:ascii="arial" w:hAnsi="arial"/>
                          <w:sz w:val="18"/>
                        </w:rPr>
                        <w:t xml:space="preserve"> and </w:t>
                      </w:r>
                      <w:r>
                        <w:rPr>
                          <w:rFonts w:ascii="arial" w:hAnsi="arial"/>
                          <w:b/>
                          <w:sz w:val="18"/>
                        </w:rPr>
                        <w:t>transform the foundation</w:t>
                      </w:r>
                      <w:r>
                        <w:rPr>
                          <w:rFonts w:ascii="arial" w:hAnsi="arial"/>
                          <w:sz w:val="18"/>
                        </w:rPr>
                        <w:t xml:space="preserve"> is tracking ahead of our plans thanks to continued significant growth in our international business, the modernization of our operating model, which is driving cost savings, and the acquisition of Adore Me, which is presenting synergy opportunities. </w:t>
                      </w:r>
                    </w:p>
                    <w:p>
                      <w:pPr>
                        <w:pStyle w:val="TextBody"/>
                        <w:bidi w:val="0"/>
                        <w:spacing w:before="120" w:after="0"/>
                        <w:jc w:val="left"/>
                        <w:rPr>
                          <w:rFonts w:ascii="arial" w:hAnsi="arial"/>
                          <w:sz w:val="18"/>
                        </w:rPr>
                      </w:pPr>
                      <w:r>
                        <w:rPr>
                          <w:rFonts w:ascii="arial" w:hAnsi="arial"/>
                          <w:sz w:val="18"/>
                        </w:rPr>
                        <w:t xml:space="preserve">At the same time, we acknowledge that our focus on </w:t>
                      </w:r>
                      <w:r>
                        <w:rPr>
                          <w:rFonts w:ascii="arial" w:hAnsi="arial"/>
                          <w:b/>
                          <w:sz w:val="18"/>
                        </w:rPr>
                        <w:t>accelerating our core</w:t>
                      </w:r>
                      <w:r>
                        <w:rPr>
                          <w:rFonts w:ascii="arial" w:hAnsi="arial"/>
                          <w:sz w:val="18"/>
                        </w:rPr>
                        <w:t xml:space="preserve"> by strengthening our business in North America has been our most challenged work over the past year. </w:t>
                      </w:r>
                    </w:p>
                    <w:p>
                      <w:pPr>
                        <w:pStyle w:val="TextBody"/>
                        <w:bidi w:val="0"/>
                        <w:spacing w:before="240" w:after="0"/>
                        <w:jc w:val="left"/>
                        <w:rPr>
                          <w:rFonts w:ascii="arial" w:hAnsi="arial"/>
                          <w:b/>
                          <w:color w:val="F7ACBA"/>
                          <w:sz w:val="24"/>
                        </w:rPr>
                      </w:pPr>
                      <w:r>
                        <w:rPr>
                          <w:rFonts w:ascii="arial" w:hAnsi="arial"/>
                          <w:b/>
                          <w:color w:val="F7ACBA"/>
                          <w:sz w:val="24"/>
                        </w:rPr>
                        <w:t xml:space="preserve">Accelerating the Core </w:t>
                      </w:r>
                    </w:p>
                    <w:p>
                      <w:pPr>
                        <w:pStyle w:val="TextBody"/>
                        <w:bidi w:val="0"/>
                        <w:spacing w:before="60" w:after="0"/>
                        <w:jc w:val="left"/>
                        <w:rPr>
                          <w:rFonts w:ascii="arial" w:hAnsi="arial"/>
                          <w:sz w:val="18"/>
                        </w:rPr>
                      </w:pPr>
                      <w:r>
                        <w:rPr>
                          <w:rFonts w:ascii="arial" w:hAnsi="arial"/>
                          <w:sz w:val="18"/>
                        </w:rPr>
                        <w:t xml:space="preserve">With a renewed concentration on being “Best at Bras,” we made progress in delivering innovation and newness and worked to rebuild the PINK apparel business in 2023. Transparently, however, we lacked a sufficiently differentiated merchandise assortment and we failed to deliver on our expectations for performance in our North America business. </w:t>
                      </w:r>
                    </w:p>
                    <w:p>
                      <w:pPr>
                        <w:pStyle w:val="TextBody"/>
                        <w:bidi w:val="0"/>
                        <w:spacing w:before="120" w:after="0"/>
                        <w:jc w:val="left"/>
                        <w:rPr>
                          <w:rFonts w:ascii="arial" w:hAnsi="arial"/>
                          <w:sz w:val="18"/>
                        </w:rPr>
                      </w:pPr>
                      <w:r>
                        <w:rPr>
                          <w:rFonts w:ascii="arial" w:hAnsi="arial"/>
                          <w:sz w:val="18"/>
                        </w:rPr>
                        <w:t xml:space="preserve">In 2023 we debuted the new Icon collection by Victoria’s Secret and introduced the Featherweight Max sports bra featuring a revolutionary super light shape designed for the gym and every day. Meanwhile, PINK introduced the Base collection, an entirely new product line and the ultimate comfortable layering wardrobe. </w:t>
                      </w:r>
                    </w:p>
                  </w:txbxContent>
                </v:textbox>
                <w10:wrap type="square" side="right"/>
              </v:rect>
            </w:pict>
          </mc:Fallback>
        </mc:AlternateContent>
      </w:r>
      <w:r>
        <mc:AlternateContent>
          <mc:Choice Requires="wps">
            <w:drawing>
              <wp:anchor behindDoc="0" distT="0" distB="0" distL="0" distR="0" simplePos="0" locked="0" layoutInCell="1" allowOverlap="1" relativeHeight="177">
                <wp:simplePos x="0" y="0"/>
                <wp:positionH relativeFrom="column">
                  <wp:align>left</wp:align>
                </wp:positionH>
                <wp:positionV relativeFrom="line">
                  <wp:posOffset>635</wp:posOffset>
                </wp:positionV>
                <wp:extent cx="3175000" cy="4642485"/>
                <wp:effectExtent l="0" t="0" r="0" b="0"/>
                <wp:wrapSquare wrapText="right"/>
                <wp:docPr id="4" name="Frame2"/>
                <a:graphic xmlns:a="http://schemas.openxmlformats.org/drawingml/2006/main">
                  <a:graphicData uri="http://schemas.microsoft.com/office/word/2010/wordprocessingShape">
                    <wps:wsp>
                      <wps:cNvSpPr txBox="1"/>
                      <wps:spPr>
                        <a:xfrm>
                          <a:off x="0" y="0"/>
                          <a:ext cx="3175000" cy="4642485"/>
                        </a:xfrm>
                        <a:prstGeom prst="rect"/>
                        <a:solidFill>
                          <a:srgbClr val="FFFFFF"/>
                        </a:solidFill>
                      </wps:spPr>
                      <wps:txbx>
                        <w:txbxContent>
                          <w:p>
                            <w:pPr>
                              <w:pStyle w:val="TextBody"/>
                              <w:bidi w:val="0"/>
                              <w:spacing w:before="0" w:after="0"/>
                              <w:jc w:val="left"/>
                              <w:rPr>
                                <w:rFonts w:ascii="arial" w:hAnsi="arial"/>
                                <w:sz w:val="18"/>
                              </w:rPr>
                            </w:pPr>
                            <w:r>
                              <w:rPr>
                                <w:rFonts w:ascii="arial" w:hAnsi="arial"/>
                                <w:sz w:val="18"/>
                              </w:rPr>
                              <w:t xml:space="preserve">Beauty continued to be a top performing category in 2023 thanks to ongoing strength of award-winning fragrances like Bombshell as well as the introduction of new customer favorites like Bare Rose, a perfect complement to intimates. </w:t>
                            </w:r>
                          </w:p>
                          <w:p>
                            <w:pPr>
                              <w:pStyle w:val="TextBody"/>
                              <w:bidi w:val="0"/>
                              <w:spacing w:before="120" w:after="0"/>
                              <w:jc w:val="left"/>
                              <w:rPr>
                                <w:rFonts w:ascii="arial" w:hAnsi="arial"/>
                                <w:sz w:val="18"/>
                              </w:rPr>
                            </w:pPr>
                            <w:r>
                              <w:rPr>
                                <w:rFonts w:ascii="arial" w:hAnsi="arial"/>
                                <w:sz w:val="18"/>
                              </w:rPr>
                              <w:t xml:space="preserve">Beyond product, we focused on driving brand heat with cultural amplifying campaigns including Icons, which featured an all-star cast of talent including the return of Gisele Bündchen, Naomi Campbell, Adriana Lima and Candice Swanepoel, and our powerful holiday campaign featuring Mariah Carey, the queen of Christmas. </w:t>
                            </w:r>
                          </w:p>
                          <w:p>
                            <w:pPr>
                              <w:pStyle w:val="TextBody"/>
                              <w:bidi w:val="0"/>
                              <w:spacing w:before="120" w:after="0"/>
                              <w:jc w:val="left"/>
                              <w:rPr>
                                <w:rFonts w:ascii="arial" w:hAnsi="arial"/>
                                <w:sz w:val="18"/>
                              </w:rPr>
                            </w:pPr>
                            <w:r>
                              <w:rPr>
                                <w:rFonts w:ascii="arial" w:hAnsi="arial"/>
                                <w:sz w:val="18"/>
                              </w:rPr>
                              <w:t xml:space="preserve">We remained unwavering in our commitment to knowing our customer better and elevating her shopping experience in our stores and online, including the introduction of our multi-tender loyalty program, the nucleus of our customer relationship ecosystem. With more than 26 million members and growing, we are leveraging a significant increase in shopping data to enhance the customer experience. </w:t>
                            </w:r>
                          </w:p>
                          <w:p>
                            <w:pPr>
                              <w:pStyle w:val="TextBody"/>
                              <w:bidi w:val="0"/>
                              <w:spacing w:before="120" w:after="0"/>
                              <w:jc w:val="left"/>
                              <w:rPr>
                                <w:rFonts w:ascii="arial" w:hAnsi="arial"/>
                                <w:sz w:val="18"/>
                              </w:rPr>
                            </w:pPr>
                            <w:r>
                              <w:rPr>
                                <w:rFonts w:ascii="arial" w:hAnsi="arial"/>
                                <w:sz w:val="18"/>
                              </w:rPr>
                              <w:t xml:space="preserve">We continue to invest in technology to modernize our operations and improve our customer experiences with initiatives that include expanding personalization capabilities and improving digital navigation. We are modernizing our footprint through the inviting, intuitive layout of our Store of the Future program and meeting customers where they are through expanded channels of distribution. </w:t>
                            </w:r>
                          </w:p>
                          <w:p>
                            <w:pPr>
                              <w:pStyle w:val="TextBody"/>
                              <w:bidi w:val="0"/>
                              <w:spacing w:before="120" w:after="0"/>
                              <w:jc w:val="left"/>
                              <w:rPr>
                                <w:rFonts w:ascii="arial" w:hAnsi="arial"/>
                                <w:sz w:val="18"/>
                              </w:rPr>
                            </w:pPr>
                            <w:r>
                              <w:rPr>
                                <w:rFonts w:ascii="arial" w:hAnsi="arial"/>
                                <w:sz w:val="18"/>
                              </w:rPr>
                              <w:t xml:space="preserve">Going forward, we are focused on optimizing our product to not only win the intimates category but also serve the broader style needs of women. This includes reinvigorating our core products across bras, panties and beauty, while reinforcing our position as a lifestyle brand, offering outfitting through select core-adjacent categories and creating a halo to core intimates that drives trips to stores and builds brand love. At the same time, we will continue investing in the customer experience to make her experience easier, faster, and more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65.5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sz w:val="18"/>
                        </w:rPr>
                      </w:pPr>
                      <w:r>
                        <w:rPr>
                          <w:rFonts w:ascii="arial" w:hAnsi="arial"/>
                          <w:sz w:val="18"/>
                        </w:rPr>
                        <w:t xml:space="preserve">Beauty continued to be a top performing category in 2023 thanks to ongoing strength of award-winning fragrances like Bombshell as well as the introduction of new customer favorites like Bare Rose, a perfect complement to intimates. </w:t>
                      </w:r>
                    </w:p>
                    <w:p>
                      <w:pPr>
                        <w:pStyle w:val="TextBody"/>
                        <w:bidi w:val="0"/>
                        <w:spacing w:before="120" w:after="0"/>
                        <w:jc w:val="left"/>
                        <w:rPr>
                          <w:rFonts w:ascii="arial" w:hAnsi="arial"/>
                          <w:sz w:val="18"/>
                        </w:rPr>
                      </w:pPr>
                      <w:r>
                        <w:rPr>
                          <w:rFonts w:ascii="arial" w:hAnsi="arial"/>
                          <w:sz w:val="18"/>
                        </w:rPr>
                        <w:t xml:space="preserve">Beyond product, we focused on driving brand heat with cultural amplifying campaigns including Icons, which featured an all-star cast of talent including the return of Gisele Bündchen, Naomi Campbell, Adriana Lima and Candice Swanepoel, and our powerful holiday campaign featuring Mariah Carey, the queen of Christmas. </w:t>
                      </w:r>
                    </w:p>
                    <w:p>
                      <w:pPr>
                        <w:pStyle w:val="TextBody"/>
                        <w:bidi w:val="0"/>
                        <w:spacing w:before="120" w:after="0"/>
                        <w:jc w:val="left"/>
                        <w:rPr>
                          <w:rFonts w:ascii="arial" w:hAnsi="arial"/>
                          <w:sz w:val="18"/>
                        </w:rPr>
                      </w:pPr>
                      <w:r>
                        <w:rPr>
                          <w:rFonts w:ascii="arial" w:hAnsi="arial"/>
                          <w:sz w:val="18"/>
                        </w:rPr>
                        <w:t xml:space="preserve">We remained unwavering in our commitment to knowing our customer better and elevating her shopping experience in our stores and online, including the introduction of our multi-tender loyalty program, the nucleus of our customer relationship ecosystem. With more than 26 million members and growing, we are leveraging a significant increase in shopping data to enhance the customer experience. </w:t>
                      </w:r>
                    </w:p>
                    <w:p>
                      <w:pPr>
                        <w:pStyle w:val="TextBody"/>
                        <w:bidi w:val="0"/>
                        <w:spacing w:before="120" w:after="0"/>
                        <w:jc w:val="left"/>
                        <w:rPr>
                          <w:rFonts w:ascii="arial" w:hAnsi="arial"/>
                          <w:sz w:val="18"/>
                        </w:rPr>
                      </w:pPr>
                      <w:r>
                        <w:rPr>
                          <w:rFonts w:ascii="arial" w:hAnsi="arial"/>
                          <w:sz w:val="18"/>
                        </w:rPr>
                        <w:t xml:space="preserve">We continue to invest in technology to modernize our operations and improve our customer experiences with initiatives that include expanding personalization capabilities and improving digital navigation. We are modernizing our footprint through the inviting, intuitive layout of our Store of the Future program and meeting customers where they are through expanded channels of distribution. </w:t>
                      </w:r>
                    </w:p>
                    <w:p>
                      <w:pPr>
                        <w:pStyle w:val="TextBody"/>
                        <w:bidi w:val="0"/>
                        <w:spacing w:before="120" w:after="0"/>
                        <w:jc w:val="left"/>
                        <w:rPr>
                          <w:rFonts w:ascii="arial" w:hAnsi="arial"/>
                          <w:sz w:val="18"/>
                        </w:rPr>
                      </w:pPr>
                      <w:r>
                        <w:rPr>
                          <w:rFonts w:ascii="arial" w:hAnsi="arial"/>
                          <w:sz w:val="18"/>
                        </w:rPr>
                        <w:t xml:space="preserve">Going forward, we are focused on optimizing our product to not only win the intimates category but also serve the broader style needs of women. This includes reinvigorating our core products across bras, panties and beauty, while reinforcing our position as a lifestyle brand, offering outfitting through select core-adjacent categories and creating a halo to core intimates that drives trips to stores and builds brand love. At the same time, we will continue investing in the customer experience to make her experience easier, faster, and more </w:t>
                      </w:r>
                    </w:p>
                  </w:txbxContent>
                </v:textbox>
                <w10:wrap type="square" side="right"/>
              </v:rect>
            </w:pict>
          </mc:Fallback>
        </mc:AlternateContent>
      </w:r>
    </w:p>
    <w:p>
      <w:pPr>
        <w:pStyle w:val="TextBody"/>
        <w:bidi w:val="0"/>
        <w:spacing w:before="0" w:after="0"/>
        <w:jc w:val="left"/>
        <w:rPr/>
      </w:pPr>
      <w:r>
        <w:rPr/>
        <w:t> </w:t>
      </w:r>
    </w:p>
    <w:tbl>
      <w:tblPr>
        <w:tblW w:w="2837" w:type="dxa"/>
        <w:jc w:val="left"/>
        <w:tblInd w:w="0" w:type="dxa"/>
        <w:tblLayout w:type="fixed"/>
        <w:tblCellMar>
          <w:top w:w="0" w:type="dxa"/>
          <w:left w:w="0" w:type="dxa"/>
          <w:bottom w:w="0" w:type="dxa"/>
          <w:right w:w="0" w:type="dxa"/>
        </w:tblCellMar>
      </w:tblPr>
      <w:tblGrid>
        <w:gridCol w:w="292"/>
        <w:gridCol w:w="60"/>
        <w:gridCol w:w="38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color w:val="F7ACBA"/>
              </w:rPr>
            </w:pPr>
            <w:r>
              <w:rPr>
                <w:color w:val="F7ACBA"/>
              </w:rPr>
              <w:t> </w:t>
            </w:r>
            <w:r>
              <w:rPr>
                <w:b/>
                <w:color w:val="F7ACBA"/>
              </w:rPr>
              <w:t>1 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78">
                <wp:simplePos x="0" y="0"/>
                <wp:positionH relativeFrom="column">
                  <wp:align>left</wp:align>
                </wp:positionH>
                <wp:positionV relativeFrom="line">
                  <wp:posOffset>635</wp:posOffset>
                </wp:positionV>
                <wp:extent cx="3110230" cy="6425565"/>
                <wp:effectExtent l="0" t="0" r="0" b="0"/>
                <wp:wrapSquare wrapText="right"/>
                <wp:docPr id="6" name="Frame3"/>
                <a:graphic xmlns:a="http://schemas.openxmlformats.org/drawingml/2006/main">
                  <a:graphicData uri="http://schemas.microsoft.com/office/word/2010/wordprocessingShape">
                    <wps:wsp>
                      <wps:cNvSpPr txBox="1"/>
                      <wps:spPr>
                        <a:xfrm>
                          <a:off x="0" y="0"/>
                          <a:ext cx="3110230" cy="6425565"/>
                        </a:xfrm>
                        <a:prstGeom prst="rect"/>
                        <a:solidFill>
                          <a:srgbClr val="FFFFFF"/>
                        </a:solidFill>
                      </wps:spPr>
                      <wps:txbx>
                        <w:txbxContent>
                          <w:p>
                            <w:pPr>
                              <w:pStyle w:val="TextBody"/>
                              <w:bidi w:val="0"/>
                              <w:spacing w:before="0" w:after="0"/>
                              <w:jc w:val="left"/>
                              <w:rPr>
                                <w:rFonts w:ascii="arial" w:hAnsi="arial"/>
                                <w:sz w:val="18"/>
                              </w:rPr>
                            </w:pPr>
                            <w:r>
                              <w:rPr>
                                <w:rFonts w:ascii="arial" w:hAnsi="arial"/>
                                <w:sz w:val="18"/>
                              </w:rPr>
                              <w:t xml:space="preserve">engaging both in store and digitally. We will leverage our extensive customer insights and data to create a world-class omni-channel experience. </w:t>
                            </w:r>
                          </w:p>
                          <w:p>
                            <w:pPr>
                              <w:pStyle w:val="TextBody"/>
                              <w:bidi w:val="0"/>
                              <w:spacing w:before="120" w:after="0"/>
                              <w:jc w:val="left"/>
                              <w:rPr>
                                <w:rFonts w:ascii="arial" w:hAnsi="arial"/>
                                <w:sz w:val="18"/>
                              </w:rPr>
                            </w:pPr>
                            <w:r>
                              <w:rPr>
                                <w:rFonts w:ascii="arial" w:hAnsi="arial"/>
                                <w:sz w:val="18"/>
                              </w:rPr>
                              <w:t xml:space="preserve">We will also continue to enhance our go-to-market strategy and customer experience to create brand heat, amplify cultural connections and solidify relevance by aligning our evolved product flow to explosive, inclusive entertainment marketing and creating exciting tentpole moments—like the continued evolution of the Fashion Show. </w:t>
                            </w:r>
                          </w:p>
                          <w:p>
                            <w:pPr>
                              <w:pStyle w:val="TextBody"/>
                              <w:bidi w:val="0"/>
                              <w:spacing w:before="240" w:after="0"/>
                              <w:jc w:val="left"/>
                              <w:rPr>
                                <w:rFonts w:ascii="arial" w:hAnsi="arial"/>
                                <w:b/>
                                <w:color w:val="F7ACBA"/>
                                <w:sz w:val="24"/>
                              </w:rPr>
                            </w:pPr>
                            <w:r>
                              <w:rPr>
                                <w:rFonts w:ascii="arial" w:hAnsi="arial"/>
                                <w:b/>
                                <w:color w:val="F7ACBA"/>
                                <w:sz w:val="24"/>
                              </w:rPr>
                              <w:t xml:space="preserve">Igniting Growth </w:t>
                            </w:r>
                          </w:p>
                          <w:p>
                            <w:pPr>
                              <w:pStyle w:val="TextBody"/>
                              <w:bidi w:val="0"/>
                              <w:spacing w:before="60" w:after="0"/>
                              <w:jc w:val="left"/>
                              <w:rPr>
                                <w:rFonts w:ascii="arial" w:hAnsi="arial"/>
                                <w:sz w:val="18"/>
                              </w:rPr>
                            </w:pPr>
                            <w:r>
                              <w:rPr>
                                <w:rFonts w:ascii="arial" w:hAnsi="arial"/>
                                <w:sz w:val="18"/>
                              </w:rPr>
                              <w:t xml:space="preserve">A key driver of growth is our international business—it’s healthy, it’s growing and it’s profitable. We have momentum across stores and digital led by our China business, which had impressive, profitable growth in 2023. We plan to build on this momentum, and will look to expand our stores and digital footprint with our partners in existing markets and with entry into new markets around the world. </w:t>
                            </w:r>
                          </w:p>
                          <w:p>
                            <w:pPr>
                              <w:pStyle w:val="TextBody"/>
                              <w:bidi w:val="0"/>
                              <w:spacing w:before="120" w:after="0"/>
                              <w:jc w:val="left"/>
                              <w:rPr>
                                <w:rFonts w:ascii="arial" w:hAnsi="arial"/>
                                <w:sz w:val="18"/>
                              </w:rPr>
                            </w:pPr>
                            <w:r>
                              <w:rPr>
                                <w:rFonts w:ascii="arial" w:hAnsi="arial"/>
                                <w:sz w:val="18"/>
                              </w:rPr>
                              <w:t xml:space="preserve">With Adore Me in the family for a little over a year now, we are leveraging the brand’s expertise and technology to continue to improve the Victoria’s Secret and PINK customer shopping experience and accelerate the modernization of VS&amp;Co’s digital platform. The foundation of that work was established in 2023 and in early 2024 we are piloting Try-on at Home, offering a new buying experience for the Victoria’s Secret and PINK customer. </w:t>
                            </w:r>
                          </w:p>
                          <w:p>
                            <w:pPr>
                              <w:pStyle w:val="TextBody"/>
                              <w:bidi w:val="0"/>
                              <w:spacing w:before="120" w:after="0"/>
                              <w:jc w:val="left"/>
                              <w:rPr>
                                <w:rFonts w:ascii="arial" w:hAnsi="arial"/>
                                <w:sz w:val="18"/>
                              </w:rPr>
                            </w:pPr>
                            <w:r>
                              <w:rPr>
                                <w:rFonts w:ascii="arial" w:hAnsi="arial"/>
                                <w:sz w:val="18"/>
                              </w:rPr>
                              <w:t xml:space="preserve">We continue to be pleased with our partnership and results from selling beauty and intimates products on Amazon and are optimistic about what’s to come. We’re also exploring whitespace opportunities through new and unique partnerships with complementary brands and welcoming them into the Victoria’s Secret ecosystem via our curated marketplace to broaden our reach and customer appeal. </w:t>
                            </w:r>
                          </w:p>
                          <w:p>
                            <w:pPr>
                              <w:pStyle w:val="TextBody"/>
                              <w:bidi w:val="0"/>
                              <w:spacing w:before="240" w:after="0"/>
                              <w:jc w:val="left"/>
                              <w:rPr>
                                <w:rFonts w:ascii="arial" w:hAnsi="arial"/>
                                <w:b/>
                                <w:color w:val="F7ACBA"/>
                                <w:sz w:val="24"/>
                              </w:rPr>
                            </w:pPr>
                            <w:r>
                              <w:rPr>
                                <w:rFonts w:ascii="arial" w:hAnsi="arial"/>
                                <w:b/>
                                <w:color w:val="F7ACBA"/>
                                <w:sz w:val="24"/>
                              </w:rPr>
                              <w:t xml:space="preserve">Transforming the Foundation </w:t>
                            </w:r>
                          </w:p>
                          <w:p>
                            <w:pPr>
                              <w:pStyle w:val="TextBody"/>
                              <w:bidi w:val="0"/>
                              <w:spacing w:before="60" w:after="0"/>
                              <w:jc w:val="left"/>
                              <w:rPr>
                                <w:rFonts w:ascii="arial" w:hAnsi="arial"/>
                                <w:sz w:val="18"/>
                              </w:rPr>
                            </w:pPr>
                            <w:r>
                              <w:rPr>
                                <w:rFonts w:ascii="arial" w:hAnsi="arial"/>
                                <w:sz w:val="18"/>
                              </w:rPr>
                              <w:t xml:space="preserve">We continued to evolve our organization structure and leadership composition to drive better alignment to and enable more effective execution of our strategy. In addition, our initiatives to transform the foundation of our company by modernizing the operating model are paying off. </w:t>
                            </w:r>
                          </w:p>
                          <w:p>
                            <w:pPr>
                              <w:pStyle w:val="TextBody"/>
                              <w:bidi w:val="0"/>
                              <w:spacing w:before="120" w:after="0"/>
                              <w:jc w:val="left"/>
                              <w:rPr>
                                <w:rFonts w:ascii="arial" w:hAnsi="arial"/>
                                <w:sz w:val="18"/>
                              </w:rPr>
                            </w:pPr>
                            <w:r>
                              <w:rPr>
                                <w:rFonts w:ascii="arial" w:hAnsi="arial"/>
                                <w:sz w:val="18"/>
                              </w:rPr>
                              <w:t xml:space="preserve">We are leveraging technology to continue to improve the Victoria’s Secret and PINK customer shopping experience and accelerate the modernization of VS&amp;Co’s digital platform. In our supply chain we are driving efficiency, improving product quality, and increasing agility and speed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05.9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sz w:val="18"/>
                        </w:rPr>
                      </w:pPr>
                      <w:r>
                        <w:rPr>
                          <w:rFonts w:ascii="arial" w:hAnsi="arial"/>
                          <w:sz w:val="18"/>
                        </w:rPr>
                        <w:t xml:space="preserve">engaging both in store and digitally. We will leverage our extensive customer insights and data to create a world-class omni-channel experience. </w:t>
                      </w:r>
                    </w:p>
                    <w:p>
                      <w:pPr>
                        <w:pStyle w:val="TextBody"/>
                        <w:bidi w:val="0"/>
                        <w:spacing w:before="120" w:after="0"/>
                        <w:jc w:val="left"/>
                        <w:rPr>
                          <w:rFonts w:ascii="arial" w:hAnsi="arial"/>
                          <w:sz w:val="18"/>
                        </w:rPr>
                      </w:pPr>
                      <w:r>
                        <w:rPr>
                          <w:rFonts w:ascii="arial" w:hAnsi="arial"/>
                          <w:sz w:val="18"/>
                        </w:rPr>
                        <w:t xml:space="preserve">We will also continue to enhance our go-to-market strategy and customer experience to create brand heat, amplify cultural connections and solidify relevance by aligning our evolved product flow to explosive, inclusive entertainment marketing and creating exciting tentpole moments—like the continued evolution of the Fashion Show. </w:t>
                      </w:r>
                    </w:p>
                    <w:p>
                      <w:pPr>
                        <w:pStyle w:val="TextBody"/>
                        <w:bidi w:val="0"/>
                        <w:spacing w:before="240" w:after="0"/>
                        <w:jc w:val="left"/>
                        <w:rPr>
                          <w:rFonts w:ascii="arial" w:hAnsi="arial"/>
                          <w:b/>
                          <w:color w:val="F7ACBA"/>
                          <w:sz w:val="24"/>
                        </w:rPr>
                      </w:pPr>
                      <w:r>
                        <w:rPr>
                          <w:rFonts w:ascii="arial" w:hAnsi="arial"/>
                          <w:b/>
                          <w:color w:val="F7ACBA"/>
                          <w:sz w:val="24"/>
                        </w:rPr>
                        <w:t xml:space="preserve">Igniting Growth </w:t>
                      </w:r>
                    </w:p>
                    <w:p>
                      <w:pPr>
                        <w:pStyle w:val="TextBody"/>
                        <w:bidi w:val="0"/>
                        <w:spacing w:before="60" w:after="0"/>
                        <w:jc w:val="left"/>
                        <w:rPr>
                          <w:rFonts w:ascii="arial" w:hAnsi="arial"/>
                          <w:sz w:val="18"/>
                        </w:rPr>
                      </w:pPr>
                      <w:r>
                        <w:rPr>
                          <w:rFonts w:ascii="arial" w:hAnsi="arial"/>
                          <w:sz w:val="18"/>
                        </w:rPr>
                        <w:t xml:space="preserve">A key driver of growth is our international business—it’s healthy, it’s growing and it’s profitable. We have momentum across stores and digital led by our China business, which had impressive, profitable growth in 2023. We plan to build on this momentum, and will look to expand our stores and digital footprint with our partners in existing markets and with entry into new markets around the world. </w:t>
                      </w:r>
                    </w:p>
                    <w:p>
                      <w:pPr>
                        <w:pStyle w:val="TextBody"/>
                        <w:bidi w:val="0"/>
                        <w:spacing w:before="120" w:after="0"/>
                        <w:jc w:val="left"/>
                        <w:rPr>
                          <w:rFonts w:ascii="arial" w:hAnsi="arial"/>
                          <w:sz w:val="18"/>
                        </w:rPr>
                      </w:pPr>
                      <w:r>
                        <w:rPr>
                          <w:rFonts w:ascii="arial" w:hAnsi="arial"/>
                          <w:sz w:val="18"/>
                        </w:rPr>
                        <w:t xml:space="preserve">With Adore Me in the family for a little over a year now, we are leveraging the brand’s expertise and technology to continue to improve the Victoria’s Secret and PINK customer shopping experience and accelerate the modernization of VS&amp;Co’s digital platform. The foundation of that work was established in 2023 and in early 2024 we are piloting Try-on at Home, offering a new buying experience for the Victoria’s Secret and PINK customer. </w:t>
                      </w:r>
                    </w:p>
                    <w:p>
                      <w:pPr>
                        <w:pStyle w:val="TextBody"/>
                        <w:bidi w:val="0"/>
                        <w:spacing w:before="120" w:after="0"/>
                        <w:jc w:val="left"/>
                        <w:rPr>
                          <w:rFonts w:ascii="arial" w:hAnsi="arial"/>
                          <w:sz w:val="18"/>
                        </w:rPr>
                      </w:pPr>
                      <w:r>
                        <w:rPr>
                          <w:rFonts w:ascii="arial" w:hAnsi="arial"/>
                          <w:sz w:val="18"/>
                        </w:rPr>
                        <w:t xml:space="preserve">We continue to be pleased with our partnership and results from selling beauty and intimates products on Amazon and are optimistic about what’s to come. We’re also exploring whitespace opportunities through new and unique partnerships with complementary brands and welcoming them into the Victoria’s Secret ecosystem via our curated marketplace to broaden our reach and customer appeal. </w:t>
                      </w:r>
                    </w:p>
                    <w:p>
                      <w:pPr>
                        <w:pStyle w:val="TextBody"/>
                        <w:bidi w:val="0"/>
                        <w:spacing w:before="240" w:after="0"/>
                        <w:jc w:val="left"/>
                        <w:rPr>
                          <w:rFonts w:ascii="arial" w:hAnsi="arial"/>
                          <w:b/>
                          <w:color w:val="F7ACBA"/>
                          <w:sz w:val="24"/>
                        </w:rPr>
                      </w:pPr>
                      <w:r>
                        <w:rPr>
                          <w:rFonts w:ascii="arial" w:hAnsi="arial"/>
                          <w:b/>
                          <w:color w:val="F7ACBA"/>
                          <w:sz w:val="24"/>
                        </w:rPr>
                        <w:t xml:space="preserve">Transforming the Foundation </w:t>
                      </w:r>
                    </w:p>
                    <w:p>
                      <w:pPr>
                        <w:pStyle w:val="TextBody"/>
                        <w:bidi w:val="0"/>
                        <w:spacing w:before="60" w:after="0"/>
                        <w:jc w:val="left"/>
                        <w:rPr>
                          <w:rFonts w:ascii="arial" w:hAnsi="arial"/>
                          <w:sz w:val="18"/>
                        </w:rPr>
                      </w:pPr>
                      <w:r>
                        <w:rPr>
                          <w:rFonts w:ascii="arial" w:hAnsi="arial"/>
                          <w:sz w:val="18"/>
                        </w:rPr>
                        <w:t xml:space="preserve">We continued to evolve our organization structure and leadership composition to drive better alignment to and enable more effective execution of our strategy. In addition, our initiatives to transform the foundation of our company by modernizing the operating model are paying off. </w:t>
                      </w:r>
                    </w:p>
                    <w:p>
                      <w:pPr>
                        <w:pStyle w:val="TextBody"/>
                        <w:bidi w:val="0"/>
                        <w:spacing w:before="120" w:after="0"/>
                        <w:jc w:val="left"/>
                        <w:rPr>
                          <w:rFonts w:ascii="arial" w:hAnsi="arial"/>
                          <w:sz w:val="18"/>
                        </w:rPr>
                      </w:pPr>
                      <w:r>
                        <w:rPr>
                          <w:rFonts w:ascii="arial" w:hAnsi="arial"/>
                          <w:sz w:val="18"/>
                        </w:rPr>
                        <w:t xml:space="preserve">We are leveraging technology to continue to improve the Victoria’s Secret and PINK customer shopping experience and accelerate the modernization of VS&amp;Co’s digital platform. In our supply chain we are driving efficiency, improving product quality, and increasing agility and speed </w:t>
                      </w:r>
                    </w:p>
                  </w:txbxContent>
                </v:textbox>
                <w10:wrap type="square" side="right"/>
              </v:rect>
            </w:pict>
          </mc:Fallback>
        </mc:AlternateContent>
      </w:r>
      <w:r>
        <mc:AlternateContent>
          <mc:Choice Requires="wps">
            <w:drawing>
              <wp:anchor behindDoc="0" distT="0" distB="0" distL="0" distR="0" simplePos="0" locked="0" layoutInCell="1" allowOverlap="1" relativeHeight="179">
                <wp:simplePos x="0" y="0"/>
                <wp:positionH relativeFrom="column">
                  <wp:align>left</wp:align>
                </wp:positionH>
                <wp:positionV relativeFrom="line">
                  <wp:posOffset>635</wp:posOffset>
                </wp:positionV>
                <wp:extent cx="3175000" cy="6579870"/>
                <wp:effectExtent l="0" t="0" r="0" b="0"/>
                <wp:wrapSquare wrapText="right"/>
                <wp:docPr id="7" name="Frame4"/>
                <a:graphic xmlns:a="http://schemas.openxmlformats.org/drawingml/2006/main">
                  <a:graphicData uri="http://schemas.microsoft.com/office/word/2010/wordprocessingShape">
                    <wps:wsp>
                      <wps:cNvSpPr txBox="1"/>
                      <wps:spPr>
                        <a:xfrm>
                          <a:off x="0" y="0"/>
                          <a:ext cx="3175000" cy="6579870"/>
                        </a:xfrm>
                        <a:prstGeom prst="rect"/>
                        <a:solidFill>
                          <a:srgbClr val="FFFFFF"/>
                        </a:solidFill>
                      </wps:spPr>
                      <wps:txbx>
                        <w:txbxContent>
                          <w:p>
                            <w:pPr>
                              <w:pStyle w:val="TextBody"/>
                              <w:bidi w:val="0"/>
                              <w:spacing w:before="0" w:after="0"/>
                              <w:jc w:val="left"/>
                              <w:rPr>
                                <w:rFonts w:ascii="arial" w:hAnsi="arial"/>
                                <w:sz w:val="18"/>
                              </w:rPr>
                            </w:pPr>
                            <w:r>
                              <w:rPr>
                                <w:rFonts w:ascii="arial" w:hAnsi="arial"/>
                                <w:sz w:val="18"/>
                              </w:rPr>
                              <w:t xml:space="preserve">to market, all while cutting costs. We continue to efficiently and effectively manage the separation from our former parent company and in summer 2024 the full technology split will be complete. This will create even more capacity for driving technology investments and innovations to improve the customer experience and enhance our AI capabilities. We remain committed to our total $250 million goal that we discussed at our Investor Day in October 2022. We realized approximately $90 million of these savings in 2023, and expect to realize approximately $120 million of savings in 2024. </w:t>
                            </w:r>
                          </w:p>
                          <w:p>
                            <w:pPr>
                              <w:pStyle w:val="TextBody"/>
                              <w:bidi w:val="0"/>
                              <w:spacing w:before="240" w:after="0"/>
                              <w:jc w:val="left"/>
                              <w:rPr>
                                <w:rFonts w:ascii="arial" w:hAnsi="arial"/>
                                <w:b/>
                                <w:color w:val="F7ACBA"/>
                                <w:sz w:val="24"/>
                              </w:rPr>
                            </w:pPr>
                            <w:r>
                              <w:rPr>
                                <w:rFonts w:ascii="arial" w:hAnsi="arial"/>
                                <w:b/>
                                <w:color w:val="F7ACBA"/>
                                <w:sz w:val="24"/>
                              </w:rPr>
                              <w:t xml:space="preserve">Celebrating and Supporting Women in All We Do </w:t>
                            </w:r>
                          </w:p>
                          <w:p>
                            <w:pPr>
                              <w:pStyle w:val="TextBody"/>
                              <w:bidi w:val="0"/>
                              <w:spacing w:before="60" w:after="0"/>
                              <w:jc w:val="left"/>
                              <w:rPr>
                                <w:rFonts w:ascii="arial" w:hAnsi="arial"/>
                                <w:sz w:val="18"/>
                              </w:rPr>
                            </w:pPr>
                            <w:r>
                              <w:rPr>
                                <w:rFonts w:ascii="arial" w:hAnsi="arial"/>
                                <w:sz w:val="18"/>
                              </w:rPr>
                              <w:t xml:space="preserve">At the heart of all of our work are our associates and customers, the majority of whom are women. We share a collective responsibility among our majority women-led Board and entire associate base to make sure that we are consistently driving positive change for women and ensuring we use our platform to honor the diversity of their experiences. That commitment was reinforced this year through every action we took, including the launch of our first-ever adaptive products in our best-selling Body by Victoria and Wear Everywhere collections, our expansive size offering with 66 different bra sizes in our assortment and continuing to invest in women-owned and -led brands. </w:t>
                            </w:r>
                          </w:p>
                          <w:p>
                            <w:pPr>
                              <w:pStyle w:val="TextBody"/>
                              <w:bidi w:val="0"/>
                              <w:spacing w:before="120" w:after="0"/>
                              <w:jc w:val="left"/>
                              <w:rPr>
                                <w:rFonts w:ascii="arial" w:hAnsi="arial"/>
                                <w:sz w:val="18"/>
                              </w:rPr>
                            </w:pPr>
                            <w:r>
                              <w:rPr>
                                <w:rFonts w:ascii="arial" w:hAnsi="arial"/>
                                <w:sz w:val="18"/>
                              </w:rPr>
                              <w:t xml:space="preserve">In 2023 we continued our work to foster a happy, healthy and inclusive associate culture and we are creating an environment where our approximately 30,000 associates have opportunities to shape our direction. We are very proud that we maintained 100% pay equity certification for all genders, races and ethnicities, and the intersection of these identities, for the second year in a row. </w:t>
                            </w:r>
                          </w:p>
                          <w:p>
                            <w:pPr>
                              <w:pStyle w:val="TextBody"/>
                              <w:bidi w:val="0"/>
                              <w:spacing w:before="120" w:after="0"/>
                              <w:jc w:val="left"/>
                              <w:rPr>
                                <w:rFonts w:ascii="arial" w:hAnsi="arial"/>
                                <w:sz w:val="18"/>
                              </w:rPr>
                            </w:pPr>
                            <w:r>
                              <w:rPr>
                                <w:rFonts w:ascii="arial" w:hAnsi="arial"/>
                                <w:sz w:val="18"/>
                              </w:rPr>
                              <w:t xml:space="preserve">We strengthened our commitment to accelerate innovation in cancer research for women, by women with another two-year investment in the Victoria’s Secret Global Fund for Women’s Cancers. We also established a first-of-its-kind initiative to purchase cotton directly from four Alabama family farms—one Black-owned and three women-owned. These direct-to-farm relationships are a win-win, creating greater diversification within our supply chain and enabling improved traceability for VS&amp;Co while ensuring more money goes straight to the farmers who can then invest more in their businesses. </w:t>
                            </w:r>
                          </w:p>
                          <w:p>
                            <w:pPr>
                              <w:pStyle w:val="TextBody"/>
                              <w:bidi w:val="0"/>
                              <w:spacing w:before="240" w:after="0"/>
                              <w:jc w:val="left"/>
                              <w:rPr>
                                <w:rFonts w:ascii="arial" w:hAnsi="arial"/>
                                <w:b/>
                                <w:color w:val="F7ACBA"/>
                                <w:sz w:val="24"/>
                              </w:rPr>
                            </w:pPr>
                            <w:r>
                              <w:rPr>
                                <w:rFonts w:ascii="arial" w:hAnsi="arial"/>
                                <w:b/>
                                <w:color w:val="F7ACBA"/>
                                <w:sz w:val="24"/>
                              </w:rPr>
                              <w:t xml:space="preserve">Where We Are and What’s Ahead </w:t>
                            </w:r>
                          </w:p>
                          <w:p>
                            <w:pPr>
                              <w:pStyle w:val="TextBody"/>
                              <w:bidi w:val="0"/>
                              <w:spacing w:before="60" w:after="0"/>
                              <w:jc w:val="left"/>
                              <w:rPr>
                                <w:rFonts w:ascii="arial" w:hAnsi="arial"/>
                                <w:sz w:val="18"/>
                              </w:rPr>
                            </w:pPr>
                            <w:r>
                              <w:rPr>
                                <w:rFonts w:ascii="arial" w:hAnsi="arial"/>
                                <w:sz w:val="18"/>
                              </w:rPr>
                              <w:t xml:space="preserve">Like many retail brands, we are acutely attuned to the macroeconomic challenges facing the industry, the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18.1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sz w:val="18"/>
                        </w:rPr>
                      </w:pPr>
                      <w:r>
                        <w:rPr>
                          <w:rFonts w:ascii="arial" w:hAnsi="arial"/>
                          <w:sz w:val="18"/>
                        </w:rPr>
                        <w:t xml:space="preserve">to market, all while cutting costs. We continue to efficiently and effectively manage the separation from our former parent company and in summer 2024 the full technology split will be complete. This will create even more capacity for driving technology investments and innovations to improve the customer experience and enhance our AI capabilities. We remain committed to our total $250 million goal that we discussed at our Investor Day in October 2022. We realized approximately $90 million of these savings in 2023, and expect to realize approximately $120 million of savings in 2024. </w:t>
                      </w:r>
                    </w:p>
                    <w:p>
                      <w:pPr>
                        <w:pStyle w:val="TextBody"/>
                        <w:bidi w:val="0"/>
                        <w:spacing w:before="240" w:after="0"/>
                        <w:jc w:val="left"/>
                        <w:rPr>
                          <w:rFonts w:ascii="arial" w:hAnsi="arial"/>
                          <w:b/>
                          <w:color w:val="F7ACBA"/>
                          <w:sz w:val="24"/>
                        </w:rPr>
                      </w:pPr>
                      <w:r>
                        <w:rPr>
                          <w:rFonts w:ascii="arial" w:hAnsi="arial"/>
                          <w:b/>
                          <w:color w:val="F7ACBA"/>
                          <w:sz w:val="24"/>
                        </w:rPr>
                        <w:t xml:space="preserve">Celebrating and Supporting Women in All We Do </w:t>
                      </w:r>
                    </w:p>
                    <w:p>
                      <w:pPr>
                        <w:pStyle w:val="TextBody"/>
                        <w:bidi w:val="0"/>
                        <w:spacing w:before="60" w:after="0"/>
                        <w:jc w:val="left"/>
                        <w:rPr>
                          <w:rFonts w:ascii="arial" w:hAnsi="arial"/>
                          <w:sz w:val="18"/>
                        </w:rPr>
                      </w:pPr>
                      <w:r>
                        <w:rPr>
                          <w:rFonts w:ascii="arial" w:hAnsi="arial"/>
                          <w:sz w:val="18"/>
                        </w:rPr>
                        <w:t xml:space="preserve">At the heart of all of our work are our associates and customers, the majority of whom are women. We share a collective responsibility among our majority women-led Board and entire associate base to make sure that we are consistently driving positive change for women and ensuring we use our platform to honor the diversity of their experiences. That commitment was reinforced this year through every action we took, including the launch of our first-ever adaptive products in our best-selling Body by Victoria and Wear Everywhere collections, our expansive size offering with 66 different bra sizes in our assortment and continuing to invest in women-owned and -led brands. </w:t>
                      </w:r>
                    </w:p>
                    <w:p>
                      <w:pPr>
                        <w:pStyle w:val="TextBody"/>
                        <w:bidi w:val="0"/>
                        <w:spacing w:before="120" w:after="0"/>
                        <w:jc w:val="left"/>
                        <w:rPr>
                          <w:rFonts w:ascii="arial" w:hAnsi="arial"/>
                          <w:sz w:val="18"/>
                        </w:rPr>
                      </w:pPr>
                      <w:r>
                        <w:rPr>
                          <w:rFonts w:ascii="arial" w:hAnsi="arial"/>
                          <w:sz w:val="18"/>
                        </w:rPr>
                        <w:t xml:space="preserve">In 2023 we continued our work to foster a happy, healthy and inclusive associate culture and we are creating an environment where our approximately 30,000 associates have opportunities to shape our direction. We are very proud that we maintained 100% pay equity certification for all genders, races and ethnicities, and the intersection of these identities, for the second year in a row. </w:t>
                      </w:r>
                    </w:p>
                    <w:p>
                      <w:pPr>
                        <w:pStyle w:val="TextBody"/>
                        <w:bidi w:val="0"/>
                        <w:spacing w:before="120" w:after="0"/>
                        <w:jc w:val="left"/>
                        <w:rPr>
                          <w:rFonts w:ascii="arial" w:hAnsi="arial"/>
                          <w:sz w:val="18"/>
                        </w:rPr>
                      </w:pPr>
                      <w:r>
                        <w:rPr>
                          <w:rFonts w:ascii="arial" w:hAnsi="arial"/>
                          <w:sz w:val="18"/>
                        </w:rPr>
                        <w:t xml:space="preserve">We strengthened our commitment to accelerate innovation in cancer research for women, by women with another two-year investment in the Victoria’s Secret Global Fund for Women’s Cancers. We also established a first-of-its-kind initiative to purchase cotton directly from four Alabama family farms—one Black-owned and three women-owned. These direct-to-farm relationships are a win-win, creating greater diversification within our supply chain and enabling improved traceability for VS&amp;Co while ensuring more money goes straight to the farmers who can then invest more in their businesses. </w:t>
                      </w:r>
                    </w:p>
                    <w:p>
                      <w:pPr>
                        <w:pStyle w:val="TextBody"/>
                        <w:bidi w:val="0"/>
                        <w:spacing w:before="240" w:after="0"/>
                        <w:jc w:val="left"/>
                        <w:rPr>
                          <w:rFonts w:ascii="arial" w:hAnsi="arial"/>
                          <w:b/>
                          <w:color w:val="F7ACBA"/>
                          <w:sz w:val="24"/>
                        </w:rPr>
                      </w:pPr>
                      <w:r>
                        <w:rPr>
                          <w:rFonts w:ascii="arial" w:hAnsi="arial"/>
                          <w:b/>
                          <w:color w:val="F7ACBA"/>
                          <w:sz w:val="24"/>
                        </w:rPr>
                        <w:t xml:space="preserve">Where We Are and What’s Ahead </w:t>
                      </w:r>
                    </w:p>
                    <w:p>
                      <w:pPr>
                        <w:pStyle w:val="TextBody"/>
                        <w:bidi w:val="0"/>
                        <w:spacing w:before="60" w:after="0"/>
                        <w:jc w:val="left"/>
                        <w:rPr>
                          <w:rFonts w:ascii="arial" w:hAnsi="arial"/>
                          <w:sz w:val="18"/>
                        </w:rPr>
                      </w:pPr>
                      <w:r>
                        <w:rPr>
                          <w:rFonts w:ascii="arial" w:hAnsi="arial"/>
                          <w:sz w:val="18"/>
                        </w:rPr>
                        <w:t xml:space="preserve">Like many retail brands, we are acutely attuned to the macroeconomic challenges facing the industry, the </w:t>
                      </w:r>
                    </w:p>
                  </w:txbxContent>
                </v:textbox>
                <w10:wrap type="square" side="right"/>
              </v:rect>
            </w:pict>
          </mc:Fallback>
        </mc:AlternateContent>
      </w:r>
    </w:p>
    <w:p>
      <w:pPr>
        <w:pStyle w:val="TextBody"/>
        <w:bidi w:val="0"/>
        <w:spacing w:before="0" w:after="0"/>
        <w:jc w:val="left"/>
        <w:rPr/>
      </w:pPr>
      <w:r>
        <w:rPr/>
        <w:t> </w:t>
      </w:r>
    </w:p>
    <w:tbl>
      <w:tblPr>
        <w:tblW w:w="2837" w:type="dxa"/>
        <w:jc w:val="left"/>
        <w:tblInd w:w="0" w:type="dxa"/>
        <w:tblLayout w:type="fixed"/>
        <w:tblCellMar>
          <w:top w:w="0" w:type="dxa"/>
          <w:left w:w="0" w:type="dxa"/>
          <w:bottom w:w="0" w:type="dxa"/>
          <w:right w:w="0" w:type="dxa"/>
        </w:tblCellMar>
      </w:tblPr>
      <w:tblGrid>
        <w:gridCol w:w="292"/>
        <w:gridCol w:w="60"/>
        <w:gridCol w:w="38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color w:val="F7ACBA"/>
              </w:rPr>
            </w:pPr>
            <w:r>
              <w:rPr>
                <w:color w:val="F7ACBA"/>
              </w:rPr>
              <w:t> </w:t>
            </w:r>
            <w:r>
              <w:rPr>
                <w:b/>
                <w:color w:val="F7ACBA"/>
              </w:rPr>
              <w:t>2 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180">
                <wp:simplePos x="0" y="0"/>
                <wp:positionH relativeFrom="column">
                  <wp:align>left</wp:align>
                </wp:positionH>
                <wp:positionV relativeFrom="line">
                  <wp:posOffset>635</wp:posOffset>
                </wp:positionV>
                <wp:extent cx="3110230" cy="1916430"/>
                <wp:effectExtent l="0" t="0" r="0" b="0"/>
                <wp:wrapSquare wrapText="right"/>
                <wp:docPr id="9" name="Frame5"/>
                <a:graphic xmlns:a="http://schemas.openxmlformats.org/drawingml/2006/main">
                  <a:graphicData uri="http://schemas.microsoft.com/office/word/2010/wordprocessingShape">
                    <wps:wsp>
                      <wps:cNvSpPr txBox="1"/>
                      <wps:spPr>
                        <a:xfrm>
                          <a:off x="0" y="0"/>
                          <a:ext cx="3110230" cy="1916430"/>
                        </a:xfrm>
                        <a:prstGeom prst="rect"/>
                        <a:solidFill>
                          <a:srgbClr val="FFFFFF"/>
                        </a:solidFill>
                      </wps:spPr>
                      <wps:txbx>
                        <w:txbxContent>
                          <w:p>
                            <w:pPr>
                              <w:pStyle w:val="TextBody"/>
                              <w:bidi w:val="0"/>
                              <w:spacing w:before="0" w:after="0"/>
                              <w:jc w:val="left"/>
                              <w:rPr>
                                <w:rFonts w:ascii="arial" w:hAnsi="arial"/>
                                <w:sz w:val="18"/>
                              </w:rPr>
                            </w:pPr>
                            <w:r>
                              <w:rPr>
                                <w:rFonts w:ascii="arial" w:hAnsi="arial"/>
                                <w:sz w:val="18"/>
                              </w:rPr>
                              <w:t xml:space="preserve">inflationary pressures facing our customers and the competitive dynamics in retail amid a challenging market. </w:t>
                            </w:r>
                          </w:p>
                          <w:p>
                            <w:pPr>
                              <w:pStyle w:val="TextBody"/>
                              <w:bidi w:val="0"/>
                              <w:spacing w:before="120" w:after="0"/>
                              <w:jc w:val="left"/>
                              <w:rPr>
                                <w:rFonts w:ascii="arial" w:hAnsi="arial"/>
                                <w:sz w:val="18"/>
                              </w:rPr>
                            </w:pPr>
                            <w:r>
                              <w:rPr>
                                <w:rFonts w:ascii="arial" w:hAnsi="arial"/>
                                <w:sz w:val="18"/>
                              </w:rPr>
                              <w:t xml:space="preserve">We have consistently said that we’re on a journey, and our brand revolution and our strategy will not return their full potential overnight. In 2024, our priority is strengthening our North American business by growing market share in our key categories of bras, intimates and beauty while expanding in key adjacent categories and attracting a broader, more loyal customer base with more compelling storytelling in stores and on our digital platforms. We will continue to drive growth globally through our international partners, while adding new brands to our portfolio, organically or through investments, with a focus on categories and customer groups where we are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50.9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sz w:val="18"/>
                        </w:rPr>
                      </w:pPr>
                      <w:r>
                        <w:rPr>
                          <w:rFonts w:ascii="arial" w:hAnsi="arial"/>
                          <w:sz w:val="18"/>
                        </w:rPr>
                        <w:t xml:space="preserve">inflationary pressures facing our customers and the competitive dynamics in retail amid a challenging market. </w:t>
                      </w:r>
                    </w:p>
                    <w:p>
                      <w:pPr>
                        <w:pStyle w:val="TextBody"/>
                        <w:bidi w:val="0"/>
                        <w:spacing w:before="120" w:after="0"/>
                        <w:jc w:val="left"/>
                        <w:rPr>
                          <w:rFonts w:ascii="arial" w:hAnsi="arial"/>
                          <w:sz w:val="18"/>
                        </w:rPr>
                      </w:pPr>
                      <w:r>
                        <w:rPr>
                          <w:rFonts w:ascii="arial" w:hAnsi="arial"/>
                          <w:sz w:val="18"/>
                        </w:rPr>
                        <w:t xml:space="preserve">We have consistently said that we’re on a journey, and our brand revolution and our strategy will not return their full potential overnight. In 2024, our priority is strengthening our North American business by growing market share in our key categories of bras, intimates and beauty while expanding in key adjacent categories and attracting a broader, more loyal customer base with more compelling storytelling in stores and on our digital platforms. We will continue to drive growth globally through our international partners, while adding new brands to our portfolio, organically or through investments, with a focus on categories and customer groups where we are </w:t>
                      </w:r>
                    </w:p>
                  </w:txbxContent>
                </v:textbox>
                <w10:wrap type="square" side="right"/>
              </v:rect>
            </w:pict>
          </mc:Fallback>
        </mc:AlternateContent>
      </w:r>
      <w:r>
        <mc:AlternateContent>
          <mc:Choice Requires="wps">
            <w:drawing>
              <wp:anchor behindDoc="0" distT="0" distB="0" distL="0" distR="0" simplePos="0" locked="0" layoutInCell="1" allowOverlap="1" relativeHeight="181">
                <wp:simplePos x="0" y="0"/>
                <wp:positionH relativeFrom="column">
                  <wp:align>left</wp:align>
                </wp:positionH>
                <wp:positionV relativeFrom="line">
                  <wp:posOffset>635</wp:posOffset>
                </wp:positionV>
                <wp:extent cx="3175000" cy="1992630"/>
                <wp:effectExtent l="0" t="0" r="0" b="0"/>
                <wp:wrapSquare wrapText="right"/>
                <wp:docPr id="10" name="Frame6"/>
                <a:graphic xmlns:a="http://schemas.openxmlformats.org/drawingml/2006/main">
                  <a:graphicData uri="http://schemas.microsoft.com/office/word/2010/wordprocessingShape">
                    <wps:wsp>
                      <wps:cNvSpPr txBox="1"/>
                      <wps:spPr>
                        <a:xfrm>
                          <a:off x="0" y="0"/>
                          <a:ext cx="3175000" cy="1992630"/>
                        </a:xfrm>
                        <a:prstGeom prst="rect"/>
                        <a:solidFill>
                          <a:srgbClr val="FFFFFF"/>
                        </a:solidFill>
                      </wps:spPr>
                      <wps:txbx>
                        <w:txbxContent>
                          <w:p>
                            <w:pPr>
                              <w:pStyle w:val="TextBody"/>
                              <w:bidi w:val="0"/>
                              <w:spacing w:before="0" w:after="0"/>
                              <w:jc w:val="left"/>
                              <w:rPr>
                                <w:rFonts w:ascii="arial" w:hAnsi="arial"/>
                                <w:sz w:val="18"/>
                              </w:rPr>
                            </w:pPr>
                            <w:r>
                              <w:rPr>
                                <w:rFonts w:ascii="arial" w:hAnsi="arial"/>
                                <w:sz w:val="18"/>
                              </w:rPr>
                              <w:t xml:space="preserve">underrepresented to enhance our brand position; and all while operating a modern, high performing, agile, empowered, and enabled organization to deliver efficiencies and to invest in our people and culture. </w:t>
                            </w:r>
                          </w:p>
                          <w:p>
                            <w:pPr>
                              <w:pStyle w:val="TextBody"/>
                              <w:bidi w:val="0"/>
                              <w:spacing w:before="120" w:after="0"/>
                              <w:jc w:val="left"/>
                              <w:rPr>
                                <w:rFonts w:ascii="arial" w:hAnsi="arial"/>
                                <w:sz w:val="18"/>
                              </w:rPr>
                            </w:pPr>
                            <w:r>
                              <w:rPr>
                                <w:rFonts w:ascii="arial" w:hAnsi="arial"/>
                                <w:sz w:val="18"/>
                              </w:rPr>
                              <w:t xml:space="preserve">Under our committed management team and Board of Directors, we are united behind our strategies to deliver the potential of our category-defining brands with the support of our dedicated associates. We remain confident and are focused on meeting our long-term financial targets and returning value to our stockholders, guided by our three strategic priorities: </w:t>
                            </w:r>
                            <w:r>
                              <w:rPr>
                                <w:rFonts w:ascii="arial" w:hAnsi="arial"/>
                                <w:b/>
                                <w:sz w:val="18"/>
                              </w:rPr>
                              <w:t>Accelerate the Core, Ignite Growth and Transform the Foundation</w:t>
                            </w:r>
                            <w:r>
                              <w:rPr>
                                <w:rFonts w:ascii="arial" w:hAnsi="arial"/>
                                <w:sz w:val="18"/>
                              </w:rPr>
                              <w:t xml:space="preserve">. </w:t>
                            </w:r>
                          </w:p>
                          <w:p>
                            <w:pPr>
                              <w:pStyle w:val="TextBody"/>
                              <w:bidi w:val="0"/>
                              <w:spacing w:before="120" w:after="0"/>
                              <w:jc w:val="left"/>
                              <w:rPr>
                                <w:rFonts w:ascii="arial" w:hAnsi="arial"/>
                                <w:sz w:val="18"/>
                              </w:rPr>
                            </w:pPr>
                            <w:r>
                              <w:rPr>
                                <w:rFonts w:ascii="arial" w:hAnsi="arial"/>
                                <w:sz w:val="18"/>
                              </w:rPr>
                              <w:t xml:space="preserve">Thank you for your continued commitment to Victoria’s Secret &amp; Co.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56.9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sz w:val="18"/>
                        </w:rPr>
                      </w:pPr>
                      <w:r>
                        <w:rPr>
                          <w:rFonts w:ascii="arial" w:hAnsi="arial"/>
                          <w:sz w:val="18"/>
                        </w:rPr>
                        <w:t xml:space="preserve">underrepresented to enhance our brand position; and all while operating a modern, high performing, agile, empowered, and enabled organization to deliver efficiencies and to invest in our people and culture. </w:t>
                      </w:r>
                    </w:p>
                    <w:p>
                      <w:pPr>
                        <w:pStyle w:val="TextBody"/>
                        <w:bidi w:val="0"/>
                        <w:spacing w:before="120" w:after="0"/>
                        <w:jc w:val="left"/>
                        <w:rPr>
                          <w:rFonts w:ascii="arial" w:hAnsi="arial"/>
                          <w:sz w:val="18"/>
                        </w:rPr>
                      </w:pPr>
                      <w:r>
                        <w:rPr>
                          <w:rFonts w:ascii="arial" w:hAnsi="arial"/>
                          <w:sz w:val="18"/>
                        </w:rPr>
                        <w:t xml:space="preserve">Under our committed management team and Board of Directors, we are united behind our strategies to deliver the potential of our category-defining brands with the support of our dedicated associates. We remain confident and are focused on meeting our long-term financial targets and returning value to our stockholders, guided by our three strategic priorities: </w:t>
                      </w:r>
                      <w:r>
                        <w:rPr>
                          <w:rFonts w:ascii="arial" w:hAnsi="arial"/>
                          <w:b/>
                          <w:sz w:val="18"/>
                        </w:rPr>
                        <w:t>Accelerate the Core, Ignite Growth and Transform the Foundation</w:t>
                      </w:r>
                      <w:r>
                        <w:rPr>
                          <w:rFonts w:ascii="arial" w:hAnsi="arial"/>
                          <w:sz w:val="18"/>
                        </w:rPr>
                        <w:t xml:space="preserve">. </w:t>
                      </w:r>
                    </w:p>
                    <w:p>
                      <w:pPr>
                        <w:pStyle w:val="TextBody"/>
                        <w:bidi w:val="0"/>
                        <w:spacing w:before="120" w:after="0"/>
                        <w:jc w:val="left"/>
                        <w:rPr>
                          <w:rFonts w:ascii="arial" w:hAnsi="arial"/>
                          <w:sz w:val="18"/>
                        </w:rPr>
                      </w:pPr>
                      <w:r>
                        <w:rPr>
                          <w:rFonts w:ascii="arial" w:hAnsi="arial"/>
                          <w:sz w:val="18"/>
                        </w:rPr>
                        <w:t xml:space="preserve">Thank you for your continued commitment to Victoria’s Secret &amp; Co.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b/>
          <w:sz w:val="18"/>
        </w:rPr>
      </w:pPr>
      <w:r>
        <w:rPr>
          <w:rFonts w:ascii="arial" w:hAnsi="arial"/>
          <w:b/>
          <w:sz w:val="18"/>
        </w:rPr>
        <w:t xml:space="preserve">Sincerely, </w:t>
      </w:r>
    </w:p>
    <w:p>
      <w:pPr>
        <w:pStyle w:val="TextBody"/>
        <w:bidi w:val="0"/>
        <w:spacing w:before="0" w:after="0"/>
        <w:jc w:val="left"/>
        <w:rPr/>
      </w:pPr>
      <w:r>
        <w:rPr/>
        <w:t> </w:t>
      </w:r>
    </w:p>
    <w:p>
      <w:pPr>
        <w:pStyle w:val="TextBody"/>
        <w:bidi w:val="0"/>
        <w:spacing w:before="0" w:after="0"/>
        <w:jc w:val="left"/>
        <w:rPr/>
      </w:pPr>
      <w:r>
        <w:rPr/>
        <w:drawing>
          <wp:inline distT="0" distB="0" distL="0" distR="0">
            <wp:extent cx="7810500" cy="224790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7810500" cy="2247900"/>
                    </a:xfrm>
                    <a:prstGeom prst="rect">
                      <a:avLst/>
                    </a:prstGeom>
                  </pic:spPr>
                </pic:pic>
              </a:graphicData>
            </a:graphic>
          </wp:inline>
        </w:drawing>
      </w:r>
      <w:r>
        <w:rPr/>
        <w:t xml:space="preserve"> </w:t>
      </w:r>
    </w:p>
    <w:p>
      <w:pPr>
        <w:pStyle w:val="TextBody"/>
        <w:bidi w:val="0"/>
        <w:spacing w:before="240" w:after="0"/>
        <w:jc w:val="left"/>
        <w:rPr>
          <w:rFonts w:ascii="arial" w:hAnsi="arial"/>
          <w:sz w:val="18"/>
        </w:rPr>
      </w:pPr>
      <w:r>
        <w:rPr>
          <w:rFonts w:ascii="arial" w:hAnsi="arial"/>
          <w:sz w:val="18"/>
        </w:rPr>
        <w:t xml:space="preserve">May 3, 2024 </w:t>
      </w:r>
    </w:p>
    <w:p>
      <w:pPr>
        <w:pStyle w:val="TextBody"/>
        <w:bidi w:val="0"/>
        <w:spacing w:before="0" w:after="0"/>
        <w:jc w:val="left"/>
        <w:rPr/>
      </w:pPr>
      <w:r>
        <w:rPr/>
        <w:t> </w:t>
      </w:r>
    </w:p>
    <w:tbl>
      <w:tblPr>
        <w:tblW w:w="2837" w:type="dxa"/>
        <w:jc w:val="left"/>
        <w:tblInd w:w="0" w:type="dxa"/>
        <w:tblLayout w:type="fixed"/>
        <w:tblCellMar>
          <w:top w:w="0" w:type="dxa"/>
          <w:left w:w="0" w:type="dxa"/>
          <w:bottom w:w="0" w:type="dxa"/>
          <w:right w:w="0" w:type="dxa"/>
        </w:tblCellMar>
      </w:tblPr>
      <w:tblGrid>
        <w:gridCol w:w="292"/>
        <w:gridCol w:w="60"/>
        <w:gridCol w:w="38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7"/>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color w:val="F7ACBA"/>
              </w:rPr>
            </w:pPr>
            <w:r>
              <w:rPr>
                <w:color w:val="F7ACBA"/>
              </w:rPr>
              <w:t> </w:t>
            </w:r>
            <w:r>
              <w:rPr>
                <w:b/>
                <w:color w:val="F7ACBA"/>
              </w:rPr>
              <w:t>3 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center"/>
        <w:rPr>
          <w:rFonts w:ascii="Times New Roman" w:hAnsi="Times New Roman"/>
          <w:i/>
          <w:sz w:val="36"/>
        </w:rPr>
      </w:pPr>
      <w:r>
        <w:rPr>
          <w:rFonts w:ascii="Times New Roman" w:hAnsi="Times New Roman"/>
          <w:i/>
          <w:sz w:val="36"/>
        </w:rPr>
        <w:t xml:space="preserve">Victoria’s Secret &amp; Co. </w:t>
      </w:r>
    </w:p>
    <w:p>
      <w:pPr>
        <w:pStyle w:val="TextBody"/>
        <w:bidi w:val="0"/>
        <w:spacing w:before="0" w:after="0"/>
        <w:jc w:val="center"/>
        <w:rPr>
          <w:rFonts w:ascii="Times New Roman" w:hAnsi="Times New Roman"/>
          <w:b/>
          <w:sz w:val="60"/>
        </w:rPr>
      </w:pPr>
      <w:r>
        <w:rPr>
          <w:rFonts w:ascii="Times New Roman" w:hAnsi="Times New Roman"/>
          <w:b/>
          <w:sz w:val="60"/>
        </w:rPr>
        <w:t xml:space="preserve">NOTICE OF ANNUAL MEETING OF STOCKHOLDERS </w:t>
      </w:r>
    </w:p>
    <w:p>
      <w:pPr>
        <w:pStyle w:val="TextBody"/>
        <w:bidi w:val="0"/>
        <w:spacing w:before="0" w:after="0"/>
        <w:jc w:val="left"/>
        <w:rPr/>
      </w:pPr>
      <w:r>
        <w:rPr/>
        <w:t> </w:t>
      </w:r>
    </w:p>
    <w:p>
      <w:pPr>
        <w:pStyle w:val="TextBody"/>
        <w:pBdr>
          <w:bottom w:val="single" w:sz="2" w:space="1" w:color="000000"/>
        </w:pBdr>
        <w:bidi w:val="0"/>
        <w:spacing w:lineRule="atLeast" w:line="142" w:before="0" w:after="40"/>
        <w:jc w:val="center"/>
        <w:rPr/>
      </w:pPr>
      <w:r>
        <w:rPr/>
        <w:t> </w:t>
      </w:r>
    </w:p>
    <w:p>
      <w:pPr>
        <w:pStyle w:val="TextBody"/>
        <w:bidi w:val="0"/>
        <w:spacing w:before="480" w:after="0"/>
        <w:jc w:val="left"/>
        <w:rPr>
          <w:rFonts w:ascii="arial" w:hAnsi="arial"/>
          <w:b/>
          <w:color w:val="F7ACBA"/>
          <w:sz w:val="24"/>
        </w:rPr>
      </w:pPr>
      <w:r>
        <w:rPr>
          <w:rFonts w:ascii="arial" w:hAnsi="arial"/>
          <w:b/>
          <w:color w:val="F7ACBA"/>
          <w:sz w:val="24"/>
        </w:rPr>
        <w:t xml:space="preserve">To our stockholders: </w:t>
      </w:r>
    </w:p>
    <w:p>
      <w:pPr>
        <w:pStyle w:val="TextBody"/>
        <w:bidi w:val="0"/>
        <w:spacing w:before="60" w:after="0"/>
        <w:jc w:val="left"/>
        <w:rPr>
          <w:rFonts w:ascii="arial" w:hAnsi="arial"/>
          <w:sz w:val="18"/>
        </w:rPr>
      </w:pPr>
      <w:r>
        <w:rPr>
          <w:rFonts w:ascii="arial" w:hAnsi="arial"/>
          <w:sz w:val="18"/>
        </w:rPr>
        <w:t xml:space="preserve">Notice is hereby given that the 2024 Annual Meeting of Stockholders of Victoria’s Secret &amp; Co. (“VS&amp;Co”) will be held virtually via live audio webcast on Thursday, June 13, 2024, at 8:30 a.m. Eastern Time. Stockholders may participate in, vote, and submit questions during the 2024 Annual Meeting online at </w:t>
      </w:r>
      <w:r>
        <w:rPr>
          <w:rFonts w:ascii="arial" w:hAnsi="arial"/>
          <w:i/>
          <w:sz w:val="18"/>
        </w:rPr>
        <w:t>www.proxydocs.com/VSCO</w:t>
      </w:r>
      <w:r>
        <w:rPr>
          <w:rFonts w:ascii="arial" w:hAnsi="arial"/>
          <w:sz w:val="18"/>
        </w:rPr>
        <w:t xml:space="preserve">. At the meeting, stockholders will be asked to vote on the following proposals: </w:t>
      </w:r>
    </w:p>
    <w:p>
      <w:pPr>
        <w:pStyle w:val="TextBody"/>
        <w:bidi w:val="0"/>
        <w:spacing w:before="0" w:after="0"/>
        <w:jc w:val="left"/>
        <w:rPr/>
      </w:pPr>
      <w:r>
        <w:rPr/>
        <w:t> </w:t>
      </w:r>
    </w:p>
    <w:tbl>
      <w:tblPr>
        <w:tblW w:w="6640" w:type="dxa"/>
        <w:jc w:val="left"/>
        <w:tblInd w:w="0" w:type="dxa"/>
        <w:tblLayout w:type="fixed"/>
        <w:tblCellMar>
          <w:top w:w="0" w:type="dxa"/>
          <w:left w:w="0" w:type="dxa"/>
          <w:bottom w:w="0" w:type="dxa"/>
          <w:right w:w="0" w:type="dxa"/>
        </w:tblCellMar>
      </w:tblPr>
      <w:tblGrid>
        <w:gridCol w:w="75"/>
        <w:gridCol w:w="200"/>
        <w:gridCol w:w="636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1.</w:t>
            </w:r>
          </w:p>
        </w:tc>
        <w:tc>
          <w:tcPr>
            <w:tcW w:w="6365" w:type="dxa"/>
            <w:tcBorders/>
            <w:vAlign w:val="center"/>
          </w:tcPr>
          <w:p>
            <w:pPr>
              <w:pStyle w:val="TableContents"/>
              <w:bidi w:val="0"/>
              <w:spacing w:before="0" w:after="0"/>
              <w:jc w:val="left"/>
              <w:rPr>
                <w:rFonts w:ascii="arial" w:hAnsi="arial"/>
                <w:sz w:val="18"/>
              </w:rPr>
            </w:pPr>
            <w:r>
              <w:rPr>
                <w:rFonts w:ascii="arial" w:hAnsi="arial"/>
                <w:sz w:val="18"/>
              </w:rPr>
              <w:t xml:space="preserve">To elect nine directors to serve until the 2025 annual meeting of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2.</w:t>
            </w:r>
          </w:p>
        </w:tc>
        <w:tc>
          <w:tcPr>
            <w:tcW w:w="9945" w:type="dxa"/>
            <w:tcBorders/>
            <w:vAlign w:val="center"/>
          </w:tcPr>
          <w:p>
            <w:pPr>
              <w:pStyle w:val="TableContents"/>
              <w:bidi w:val="0"/>
              <w:spacing w:before="0" w:after="0"/>
              <w:jc w:val="left"/>
              <w:rPr>
                <w:rFonts w:ascii="arial" w:hAnsi="arial"/>
                <w:sz w:val="18"/>
              </w:rPr>
            </w:pPr>
            <w:r>
              <w:rPr>
                <w:rFonts w:ascii="arial" w:hAnsi="arial"/>
                <w:sz w:val="18"/>
              </w:rPr>
              <w:t xml:space="preserve">To approve an amendment to our Amended and Restated Certificate of Incorporation to permit the exculpation of our officers as permitted by Delaware law; </w:t>
            </w:r>
          </w:p>
        </w:tc>
      </w:tr>
    </w:tbl>
    <w:p>
      <w:pPr>
        <w:pStyle w:val="TextBody"/>
        <w:bidi w:val="0"/>
        <w:spacing w:before="0" w:after="0"/>
        <w:jc w:val="left"/>
        <w:rPr/>
      </w:pPr>
      <w:r>
        <w:rPr/>
        <w:t> </w:t>
      </w:r>
    </w:p>
    <w:tbl>
      <w:tblPr>
        <w:tblW w:w="7225" w:type="dxa"/>
        <w:jc w:val="left"/>
        <w:tblInd w:w="0" w:type="dxa"/>
        <w:tblLayout w:type="fixed"/>
        <w:tblCellMar>
          <w:top w:w="0" w:type="dxa"/>
          <w:left w:w="0" w:type="dxa"/>
          <w:bottom w:w="0" w:type="dxa"/>
          <w:right w:w="0" w:type="dxa"/>
        </w:tblCellMar>
      </w:tblPr>
      <w:tblGrid>
        <w:gridCol w:w="75"/>
        <w:gridCol w:w="200"/>
        <w:gridCol w:w="695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3.</w:t>
            </w:r>
          </w:p>
        </w:tc>
        <w:tc>
          <w:tcPr>
            <w:tcW w:w="6950" w:type="dxa"/>
            <w:tcBorders/>
            <w:vAlign w:val="center"/>
          </w:tcPr>
          <w:p>
            <w:pPr>
              <w:pStyle w:val="TableContents"/>
              <w:bidi w:val="0"/>
              <w:spacing w:before="0" w:after="0"/>
              <w:jc w:val="left"/>
              <w:rPr>
                <w:rFonts w:ascii="arial" w:hAnsi="arial"/>
                <w:sz w:val="18"/>
              </w:rPr>
            </w:pPr>
            <w:r>
              <w:rPr>
                <w:rFonts w:ascii="arial" w:hAnsi="arial"/>
                <w:sz w:val="18"/>
              </w:rPr>
              <w:t xml:space="preserve">To approve, on an advisory basis, the compensation of our named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4"/>
        <w:gridCol w:w="9956"/>
      </w:tblGrid>
      <w:tr>
        <w:trPr/>
        <w:tc>
          <w:tcPr>
            <w:tcW w:w="75"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4.</w:t>
            </w:r>
          </w:p>
        </w:tc>
        <w:tc>
          <w:tcPr>
            <w:tcW w:w="9956" w:type="dxa"/>
            <w:tcBorders/>
            <w:vAlign w:val="center"/>
          </w:tcPr>
          <w:p>
            <w:pPr>
              <w:pStyle w:val="TableContents"/>
              <w:bidi w:val="0"/>
              <w:spacing w:before="0" w:after="0"/>
              <w:jc w:val="left"/>
              <w:rPr>
                <w:rFonts w:ascii="arial" w:hAnsi="arial"/>
                <w:sz w:val="18"/>
              </w:rPr>
            </w:pPr>
            <w:r>
              <w:rPr>
                <w:rFonts w:ascii="arial" w:hAnsi="arial"/>
                <w:sz w:val="18"/>
              </w:rPr>
              <w:t xml:space="preserve">To approve an amendment to the Victoria’s Secret &amp; Co. 2021 Stock Option and Performance Incentive Plan to increase the number of shares available for issuance under the plan by 4,800,000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5.</w:t>
            </w:r>
          </w:p>
        </w:tc>
        <w:tc>
          <w:tcPr>
            <w:tcW w:w="9932" w:type="dxa"/>
            <w:tcBorders/>
            <w:vAlign w:val="center"/>
          </w:tcPr>
          <w:p>
            <w:pPr>
              <w:pStyle w:val="TableContents"/>
              <w:bidi w:val="0"/>
              <w:spacing w:before="0" w:after="0"/>
              <w:jc w:val="left"/>
              <w:rPr>
                <w:rFonts w:ascii="arial" w:hAnsi="arial"/>
                <w:sz w:val="18"/>
              </w:rPr>
            </w:pPr>
            <w:r>
              <w:rPr>
                <w:rFonts w:ascii="arial" w:hAnsi="arial"/>
                <w:sz w:val="18"/>
              </w:rPr>
              <w:t xml:space="preserve">To ratify the appointment of Ernst &amp; Young LLP as our independent registered public accounting firm for fiscal year 2024;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6.</w:t>
            </w:r>
          </w:p>
        </w:tc>
        <w:tc>
          <w:tcPr>
            <w:tcW w:w="9932" w:type="dxa"/>
            <w:tcBorders/>
            <w:vAlign w:val="center"/>
          </w:tcPr>
          <w:p>
            <w:pPr>
              <w:pStyle w:val="TableContents"/>
              <w:bidi w:val="0"/>
              <w:spacing w:before="0" w:after="0"/>
              <w:jc w:val="left"/>
              <w:rPr>
                <w:rFonts w:ascii="arial" w:hAnsi="arial"/>
                <w:sz w:val="18"/>
              </w:rPr>
            </w:pPr>
            <w:r>
              <w:rPr>
                <w:rFonts w:ascii="arial" w:hAnsi="arial"/>
                <w:sz w:val="18"/>
              </w:rPr>
              <w:t xml:space="preserve">To transact such other business as may properly come before the meeting and any adjournments or postponements thereof. </w:t>
            </w:r>
          </w:p>
        </w:tc>
      </w:tr>
    </w:tbl>
    <w:p>
      <w:pPr>
        <w:pStyle w:val="TextBody"/>
        <w:bidi w:val="0"/>
        <w:spacing w:before="160" w:after="0"/>
        <w:jc w:val="left"/>
        <w:rPr>
          <w:rFonts w:ascii="arial" w:hAnsi="arial"/>
          <w:sz w:val="18"/>
        </w:rPr>
      </w:pPr>
      <w:r>
        <w:rPr>
          <w:rFonts w:ascii="arial" w:hAnsi="arial"/>
          <w:sz w:val="18"/>
        </w:rPr>
        <w:t xml:space="preserve">Each of these proposals is described more fully in the accompanying Proxy Statement. Only holders of record of VS&amp;Co common stock at the close of business on April 15, 2024 are entitled to notice of, and to vote at, the 2024 Annual Meeting and any adjournments or postponements thereof. </w:t>
      </w:r>
    </w:p>
    <w:p>
      <w:pPr>
        <w:pStyle w:val="TextBody"/>
        <w:bidi w:val="0"/>
        <w:spacing w:before="360" w:after="0"/>
        <w:jc w:val="left"/>
        <w:rPr>
          <w:rFonts w:ascii="arial" w:hAnsi="arial"/>
          <w:sz w:val="30"/>
        </w:rPr>
      </w:pPr>
      <w:r>
        <w:rPr>
          <w:rFonts w:ascii="arial" w:hAnsi="arial"/>
          <w:sz w:val="30"/>
        </w:rPr>
        <w:t xml:space="preserve">Important Notice Regarding the Availability of Proxy Materials for the Stockholders Meeting to be held on June 13, 2024 </w:t>
      </w:r>
    </w:p>
    <w:p>
      <w:pPr>
        <w:pStyle w:val="TextBody"/>
        <w:bidi w:val="0"/>
        <w:spacing w:before="120" w:after="0"/>
        <w:jc w:val="left"/>
        <w:rPr>
          <w:rFonts w:ascii="arial" w:hAnsi="arial"/>
          <w:sz w:val="18"/>
        </w:rPr>
      </w:pPr>
      <w:r>
        <w:rPr>
          <w:rFonts w:ascii="arial" w:hAnsi="arial"/>
          <w:sz w:val="18"/>
        </w:rPr>
        <w:t xml:space="preserve">We will be utilizing Securities and Exchange Commission (“SEC”) rules that allow us to make the Proxy Statement, our Annual Report, and other proxy materials available on the Internet as the primary means of furnishing the proxy materials to stockholders. Rather than mailing stockholders a paper copy of our proxy materials, on or about May 3, 2024, we will mail to stockholders a Notice of Internet Availability of Proxy Materials containing instructions on how to gain online access, free of charge, to our proxy materials. This notice will also include information on how to request a printed or emailed set of proxy materials. The Proxy Statement, our Annual Report on Form 10-K for the fiscal year ended February 3, 2024, and the Notice of Annual Meeting of Stockholders are available at </w:t>
      </w:r>
      <w:r>
        <w:rPr>
          <w:rFonts w:ascii="arial" w:hAnsi="arial"/>
          <w:i/>
          <w:sz w:val="18"/>
        </w:rPr>
        <w:t>www.proxydocs.com/VSCO.</w:t>
      </w:r>
      <w:r>
        <w:rPr>
          <w:rFonts w:ascii="arial" w:hAnsi="arial"/>
          <w:sz w:val="18"/>
        </w:rPr>
        <w:t xml:space="preserve"> </w:t>
      </w:r>
    </w:p>
    <w:p>
      <w:pPr>
        <w:pStyle w:val="TextBody"/>
        <w:bidi w:val="0"/>
        <w:spacing w:before="0" w:after="0"/>
        <w:jc w:val="left"/>
        <w:rPr/>
      </w:pPr>
      <w:r>
        <w:rPr/>
        <w:t> </w:t>
      </w:r>
    </w:p>
    <w:tbl>
      <w:tblPr>
        <w:tblW w:w="2837" w:type="dxa"/>
        <w:jc w:val="left"/>
        <w:tblInd w:w="0" w:type="dxa"/>
        <w:tblLayout w:type="fixed"/>
        <w:tblCellMar>
          <w:top w:w="0" w:type="dxa"/>
          <w:left w:w="0" w:type="dxa"/>
          <w:bottom w:w="0" w:type="dxa"/>
          <w:right w:w="0" w:type="dxa"/>
        </w:tblCellMar>
      </w:tblPr>
      <w:tblGrid>
        <w:gridCol w:w="292"/>
        <w:gridCol w:w="60"/>
        <w:gridCol w:w="38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7" descr=""/>
                          <pic:cNvPicPr>
                            <a:picLocks noChangeAspect="1" noChangeArrowheads="1"/>
                          </pic:cNvPicPr>
                        </pic:nvPicPr>
                        <pic:blipFill>
                          <a:blip r:embed="rId8"/>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color w:val="F7ACBA"/>
              </w:rPr>
            </w:pPr>
            <w:r>
              <w:rPr>
                <w:color w:val="F7ACBA"/>
              </w:rPr>
              <w:t> </w:t>
            </w:r>
            <w:r>
              <w:rPr>
                <w:b/>
                <w:color w:val="F7ACBA"/>
              </w:rPr>
              <w:t>1 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sz w:val="30"/>
        </w:rPr>
      </w:pPr>
      <w:r>
        <w:rPr>
          <w:rFonts w:ascii="arial" w:hAnsi="arial"/>
          <w:sz w:val="30"/>
        </w:rPr>
        <w:t xml:space="preserve">How to Vote Your Shares </w:t>
      </w:r>
    </w:p>
    <w:p>
      <w:pPr>
        <w:pStyle w:val="TextBody"/>
        <w:bidi w:val="0"/>
        <w:spacing w:before="120" w:after="0"/>
        <w:jc w:val="left"/>
        <w:rPr>
          <w:rFonts w:ascii="arial" w:hAnsi="arial"/>
          <w:sz w:val="18"/>
        </w:rPr>
      </w:pPr>
      <w:r>
        <w:rPr>
          <w:rFonts w:ascii="arial" w:hAnsi="arial"/>
          <w:sz w:val="18"/>
        </w:rPr>
        <w:t xml:space="preserve">Your vote is important. Please read the accompanying Proxy Statement and vote right away using any of the following methods: </w:t>
      </w:r>
    </w:p>
    <w:p>
      <w:pPr>
        <w:pStyle w:val="TextBody"/>
        <w:bidi w:val="0"/>
        <w:spacing w:before="0" w:after="0"/>
        <w:jc w:val="left"/>
        <w:rPr/>
      </w:pPr>
      <w:r>
        <w:rPr/>
        <w:t> </w:t>
      </w:r>
    </w:p>
    <w:tbl>
      <w:tblPr>
        <w:tblW w:w="6700" w:type="dxa"/>
        <w:jc w:val="left"/>
        <w:tblInd w:w="0" w:type="dxa"/>
        <w:tblLayout w:type="fixed"/>
        <w:tblCellMar>
          <w:top w:w="0" w:type="dxa"/>
          <w:left w:w="0" w:type="dxa"/>
          <w:bottom w:w="0" w:type="dxa"/>
          <w:right w:w="0" w:type="dxa"/>
        </w:tblCellMar>
      </w:tblPr>
      <w:tblGrid>
        <w:gridCol w:w="2105"/>
        <w:gridCol w:w="4595"/>
      </w:tblGrid>
      <w:tr>
        <w:trPr/>
        <w:tc>
          <w:tcPr>
            <w:tcW w:w="2105" w:type="dxa"/>
            <w:tcBorders/>
            <w:vAlign w:val="center"/>
          </w:tcPr>
          <w:p>
            <w:pPr>
              <w:pStyle w:val="TableContents"/>
              <w:bidi w:val="0"/>
              <w:spacing w:before="0" w:after="20"/>
              <w:jc w:val="left"/>
              <w:rPr>
                <w:rFonts w:ascii="arial" w:hAnsi="arial"/>
                <w:b/>
                <w:color w:val="F7ACBA"/>
                <w:sz w:val="18"/>
              </w:rPr>
            </w:pPr>
            <w:r>
              <w:rPr>
                <w:rFonts w:ascii="arial" w:hAnsi="arial"/>
                <w:b/>
                <w:color w:val="F7ACBA"/>
                <w:sz w:val="18"/>
              </w:rPr>
              <w:t xml:space="preserve">Stockholders of Record </w:t>
            </w:r>
          </w:p>
        </w:tc>
        <w:tc>
          <w:tcPr>
            <w:tcW w:w="4595" w:type="dxa"/>
            <w:tcBorders/>
            <w:vAlign w:val="center"/>
          </w:tcPr>
          <w:p>
            <w:pPr>
              <w:pStyle w:val="TableContents"/>
              <w:bidi w:val="0"/>
              <w:spacing w:before="0" w:after="283"/>
              <w:jc w:val="left"/>
              <w:rPr/>
            </w:pPr>
            <w:r>
              <w:rPr/>
              <w:t xml:space="preserve">Vote by Internet at </w:t>
            </w:r>
            <w:r>
              <w:rPr>
                <w:i/>
              </w:rPr>
              <w:t>www.proxydocs.com/VSCO</w:t>
            </w:r>
            <w:r>
              <w:rPr/>
              <w:t xml:space="preserve"> </w:t>
            </w:r>
          </w:p>
        </w:tc>
      </w:tr>
    </w:tbl>
    <w:p>
      <w:pPr>
        <w:pStyle w:val="TextBody"/>
        <w:bidi w:val="0"/>
        <w:spacing w:before="120" w:after="0"/>
        <w:jc w:val="left"/>
        <w:rPr>
          <w:rFonts w:ascii="arial" w:hAnsi="arial"/>
          <w:sz w:val="18"/>
        </w:rPr>
      </w:pPr>
      <w:r>
        <w:rPr>
          <w:rFonts w:ascii="arial" w:hAnsi="arial"/>
          <w:sz w:val="18"/>
        </w:rPr>
        <w:t xml:space="preserve">Vote by Telephone at 1-866-977-5067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Vote by Mail by signing and returning your proxy card (if you received a Notice of Internet Availability of Proxy Materials, you will first need to request a printed set of proxy materials to vote using this method)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81"/>
        <w:gridCol w:w="8524"/>
      </w:tblGrid>
      <w:tr>
        <w:trPr/>
        <w:tc>
          <w:tcPr>
            <w:tcW w:w="1681" w:type="dxa"/>
            <w:tcBorders/>
            <w:vAlign w:val="center"/>
          </w:tcPr>
          <w:p>
            <w:pPr>
              <w:pStyle w:val="TableContents"/>
              <w:bidi w:val="0"/>
              <w:spacing w:before="0" w:after="20"/>
              <w:jc w:val="left"/>
              <w:rPr>
                <w:rFonts w:ascii="arial" w:hAnsi="arial"/>
                <w:b/>
                <w:color w:val="F7ACBA"/>
                <w:sz w:val="18"/>
              </w:rPr>
            </w:pPr>
            <w:r>
              <w:rPr>
                <w:rFonts w:ascii="arial" w:hAnsi="arial"/>
                <w:b/>
                <w:color w:val="F7ACBA"/>
                <w:sz w:val="18"/>
              </w:rPr>
              <w:t xml:space="preserve">Beneficial Stockholders </w:t>
            </w:r>
          </w:p>
        </w:tc>
        <w:tc>
          <w:tcPr>
            <w:tcW w:w="8524" w:type="dxa"/>
            <w:tcBorders/>
            <w:vAlign w:val="center"/>
          </w:tcPr>
          <w:p>
            <w:pPr>
              <w:pStyle w:val="TableContents"/>
              <w:bidi w:val="0"/>
              <w:spacing w:before="0" w:after="283"/>
              <w:jc w:val="left"/>
              <w:rPr/>
            </w:pPr>
            <w:r>
              <w:rPr/>
              <w:t xml:space="preserve">If you are a beneficial owner, you will receive instructions from your bank, broker, or other nominee that you will need to follow in order to vote your shares. </w:t>
            </w:r>
          </w:p>
        </w:tc>
      </w:tr>
    </w:tbl>
    <w:p>
      <w:pPr>
        <w:pStyle w:val="TextBody"/>
        <w:bidi w:val="0"/>
        <w:spacing w:before="360" w:after="0"/>
        <w:jc w:val="left"/>
        <w:rPr>
          <w:rFonts w:ascii="arial" w:hAnsi="arial"/>
          <w:sz w:val="30"/>
        </w:rPr>
      </w:pPr>
      <w:r>
        <w:rPr>
          <w:rFonts w:ascii="arial" w:hAnsi="arial"/>
          <w:sz w:val="30"/>
        </w:rPr>
        <w:t xml:space="preserve">Attending the Meeting </w:t>
      </w:r>
    </w:p>
    <w:p>
      <w:pPr>
        <w:pStyle w:val="TextBody"/>
        <w:bidi w:val="0"/>
        <w:spacing w:before="120" w:after="0"/>
        <w:jc w:val="left"/>
        <w:rPr>
          <w:rFonts w:ascii="arial" w:hAnsi="arial"/>
          <w:sz w:val="18"/>
        </w:rPr>
      </w:pPr>
      <w:r>
        <w:rPr>
          <w:rFonts w:ascii="arial" w:hAnsi="arial"/>
          <w:sz w:val="18"/>
        </w:rPr>
        <w:t xml:space="preserve">In an effort to encourage all of our stockholders to attend the 2024 Annual Meeting virtually from any location convenient to them, as well as reduce the expense and environmental impact of traveling to an in-person meeting, the 2024 Annual Meeting will be conducted exclusively online via live audio webcast. Stockholders will not be able to attend the 2024 Annual Meeting in person. </w:t>
      </w:r>
    </w:p>
    <w:p>
      <w:pPr>
        <w:pStyle w:val="TextBody"/>
        <w:bidi w:val="0"/>
        <w:spacing w:before="120" w:after="0"/>
        <w:jc w:val="left"/>
        <w:rPr>
          <w:rFonts w:ascii="arial" w:hAnsi="arial"/>
          <w:sz w:val="18"/>
        </w:rPr>
      </w:pPr>
      <w:r>
        <w:rPr>
          <w:rFonts w:ascii="arial" w:hAnsi="arial"/>
          <w:sz w:val="18"/>
        </w:rPr>
        <w:t xml:space="preserve">To participate in the 2024 Annual Meeting, please visit </w:t>
      </w:r>
      <w:r>
        <w:rPr>
          <w:rFonts w:ascii="arial" w:hAnsi="arial"/>
          <w:i/>
          <w:sz w:val="18"/>
        </w:rPr>
        <w:t>www.proxydocs.com/VSCO</w:t>
      </w:r>
      <w:r>
        <w:rPr>
          <w:rFonts w:ascii="arial" w:hAnsi="arial"/>
          <w:sz w:val="18"/>
        </w:rPr>
        <w:t xml:space="preserve">. In order to attend, you must register in advance at </w:t>
      </w:r>
      <w:r>
        <w:rPr>
          <w:rFonts w:ascii="arial" w:hAnsi="arial"/>
          <w:i/>
          <w:sz w:val="18"/>
        </w:rPr>
        <w:t>www.proxydocs.com/VSCO</w:t>
      </w:r>
      <w:r>
        <w:rPr>
          <w:rFonts w:ascii="arial" w:hAnsi="arial"/>
          <w:sz w:val="18"/>
        </w:rPr>
        <w:t xml:space="preserve"> using the 12 digit control number found on your Notice of Internet Availability of Proxy Materials or your proxy or voting instruction card. Upon completing your registration, you will receive further instructions via email, including information about your unique link that will allow you access to the meeting and to vote and submit questions during the meeting. </w:t>
      </w:r>
    </w:p>
    <w:p>
      <w:pPr>
        <w:pStyle w:val="TextBody"/>
        <w:bidi w:val="0"/>
        <w:spacing w:before="120" w:after="0"/>
        <w:jc w:val="left"/>
        <w:rPr>
          <w:rFonts w:ascii="arial" w:hAnsi="arial"/>
          <w:sz w:val="18"/>
        </w:rPr>
      </w:pPr>
      <w:r>
        <w:rPr>
          <w:rFonts w:ascii="arial" w:hAnsi="arial"/>
          <w:sz w:val="18"/>
        </w:rPr>
        <w:t xml:space="preserve">Stockholders will be able to listen, vote, examine our stockholder list, and submit questions during the virtual meeting. Whether or not you plan to attend the 2024 Annual Meeting, please vote your shares as soon as possible to ensure they are represented at the meeting. </w:t>
      </w:r>
    </w:p>
    <w:p>
      <w:pPr>
        <w:pStyle w:val="TextBody"/>
        <w:bidi w:val="0"/>
        <w:spacing w:before="120" w:after="0"/>
        <w:jc w:val="left"/>
        <w:rPr>
          <w:rFonts w:ascii="arial" w:hAnsi="arial"/>
          <w:sz w:val="18"/>
        </w:rPr>
      </w:pPr>
      <w:r>
        <w:rPr>
          <w:rFonts w:ascii="arial" w:hAnsi="arial"/>
          <w:sz w:val="18"/>
        </w:rPr>
        <w:t xml:space="preserve">By Order of the Board of Directors, </w:t>
      </w:r>
    </w:p>
    <w:p>
      <w:pPr>
        <w:pStyle w:val="TextBody"/>
        <w:bidi w:val="0"/>
        <w:spacing w:before="0" w:after="0"/>
        <w:jc w:val="left"/>
        <w:rPr/>
      </w:pPr>
      <w:r>
        <w:rPr/>
        <w:drawing>
          <wp:inline distT="0" distB="0" distL="0" distR="0">
            <wp:extent cx="87630" cy="22860"/>
            <wp:effectExtent l="0" t="0" r="0" b="0"/>
            <wp:docPr id="1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 descr=""/>
                    <pic:cNvPicPr>
                      <a:picLocks noChangeAspect="1" noChangeArrowheads="1"/>
                    </pic:cNvPicPr>
                  </pic:nvPicPr>
                  <pic:blipFill>
                    <a:blip r:embed="rId9"/>
                    <a:stretch>
                      <a:fillRect/>
                    </a:stretch>
                  </pic:blipFill>
                  <pic:spPr bwMode="auto">
                    <a:xfrm>
                      <a:off x="0" y="0"/>
                      <a:ext cx="87630" cy="22860"/>
                    </a:xfrm>
                    <a:prstGeom prst="rect">
                      <a:avLst/>
                    </a:prstGeom>
                  </pic:spPr>
                </pic:pic>
              </a:graphicData>
            </a:graphic>
          </wp:inline>
        </w:drawing>
      </w:r>
      <w:r>
        <w:rPr/>
        <w:t xml:space="preserve"> </w:t>
      </w:r>
    </w:p>
    <w:p>
      <w:pPr>
        <w:pStyle w:val="TextBody"/>
        <w:bidi w:val="0"/>
        <w:spacing w:before="120" w:after="0"/>
        <w:jc w:val="left"/>
        <w:rPr>
          <w:rFonts w:ascii="arial" w:hAnsi="arial"/>
          <w:sz w:val="18"/>
        </w:rPr>
      </w:pPr>
      <w:r>
        <w:rPr>
          <w:rFonts w:ascii="arial" w:hAnsi="arial"/>
          <w:sz w:val="18"/>
        </w:rPr>
        <w:t xml:space="preserve">Donna James </w:t>
      </w:r>
    </w:p>
    <w:p>
      <w:pPr>
        <w:pStyle w:val="TextBody"/>
        <w:bidi w:val="0"/>
        <w:spacing w:before="0" w:after="0"/>
        <w:jc w:val="left"/>
        <w:rPr>
          <w:rFonts w:ascii="arial" w:hAnsi="arial"/>
          <w:sz w:val="18"/>
        </w:rPr>
      </w:pPr>
      <w:r>
        <w:rPr>
          <w:rFonts w:ascii="arial" w:hAnsi="arial"/>
          <w:sz w:val="18"/>
        </w:rPr>
        <w:t xml:space="preserve">Chair of the Board </w:t>
      </w:r>
    </w:p>
    <w:p>
      <w:pPr>
        <w:pStyle w:val="TextBody"/>
        <w:bidi w:val="0"/>
        <w:spacing w:before="120" w:after="0"/>
        <w:jc w:val="left"/>
        <w:rPr>
          <w:rFonts w:ascii="arial" w:hAnsi="arial"/>
          <w:sz w:val="18"/>
        </w:rPr>
      </w:pPr>
      <w:r>
        <w:rPr>
          <w:rFonts w:ascii="arial" w:hAnsi="arial"/>
          <w:sz w:val="18"/>
        </w:rPr>
        <w:t xml:space="preserve">May 3, 2024 </w:t>
      </w:r>
    </w:p>
    <w:p>
      <w:pPr>
        <w:pStyle w:val="TextBody"/>
        <w:bidi w:val="0"/>
        <w:spacing w:before="0" w:after="0"/>
        <w:jc w:val="left"/>
        <w:rPr/>
      </w:pPr>
      <w:r>
        <w:rPr/>
        <w:t> </w:t>
      </w:r>
    </w:p>
    <w:tbl>
      <w:tblPr>
        <w:tblW w:w="2837" w:type="dxa"/>
        <w:jc w:val="left"/>
        <w:tblInd w:w="0" w:type="dxa"/>
        <w:tblLayout w:type="fixed"/>
        <w:tblCellMar>
          <w:top w:w="0" w:type="dxa"/>
          <w:left w:w="0" w:type="dxa"/>
          <w:bottom w:w="0" w:type="dxa"/>
          <w:right w:w="0" w:type="dxa"/>
        </w:tblCellMar>
      </w:tblPr>
      <w:tblGrid>
        <w:gridCol w:w="292"/>
        <w:gridCol w:w="60"/>
        <w:gridCol w:w="38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9" descr=""/>
                          <pic:cNvPicPr>
                            <a:picLocks noChangeAspect="1" noChangeArrowheads="1"/>
                          </pic:cNvPicPr>
                        </pic:nvPicPr>
                        <pic:blipFill>
                          <a:blip r:embed="rId10"/>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color w:val="F7ACBA"/>
              </w:rPr>
            </w:pPr>
            <w:r>
              <w:rPr>
                <w:color w:val="F7ACBA"/>
              </w:rPr>
              <w:t> </w:t>
            </w:r>
            <w:r>
              <w:rPr>
                <w:b/>
                <w:color w:val="F7ACBA"/>
              </w:rPr>
              <w:t>2 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center"/>
        <w:rPr>
          <w:rFonts w:ascii="Times New Roman" w:hAnsi="Times New Roman"/>
          <w:i/>
          <w:sz w:val="36"/>
        </w:rPr>
      </w:pPr>
      <w:r>
        <w:rPr>
          <w:rFonts w:ascii="Times New Roman" w:hAnsi="Times New Roman"/>
          <w:i/>
          <w:sz w:val="36"/>
        </w:rPr>
        <w:t xml:space="preserve">Safe Harbor Statement </w:t>
      </w:r>
    </w:p>
    <w:p>
      <w:pPr>
        <w:pStyle w:val="TextBody"/>
        <w:bidi w:val="0"/>
        <w:spacing w:before="0" w:after="0"/>
        <w:jc w:val="center"/>
        <w:rPr>
          <w:rFonts w:ascii="Times New Roman" w:hAnsi="Times New Roman"/>
          <w:b/>
          <w:sz w:val="60"/>
        </w:rPr>
      </w:pPr>
      <w:r>
        <w:rPr>
          <w:rFonts w:ascii="Times New Roman" w:hAnsi="Times New Roman"/>
          <w:b/>
          <w:sz w:val="60"/>
        </w:rPr>
        <w:t xml:space="preserve">UNDER THE PRIVATE SECURITIES LITIGATION REFORM ACT OF 1995 </w:t>
      </w:r>
    </w:p>
    <w:p>
      <w:pPr>
        <w:pStyle w:val="TextBody"/>
        <w:bidi w:val="0"/>
        <w:spacing w:before="0" w:after="0"/>
        <w:jc w:val="left"/>
        <w:rPr/>
      </w:pPr>
      <w:r>
        <w:rPr/>
        <w:t> </w:t>
      </w:r>
    </w:p>
    <w:p>
      <w:pPr>
        <w:pStyle w:val="TextBody"/>
        <w:pBdr>
          <w:bottom w:val="single" w:sz="2" w:space="1" w:color="000000"/>
        </w:pBdr>
        <w:bidi w:val="0"/>
        <w:spacing w:lineRule="atLeast" w:line="142" w:before="0" w:after="40"/>
        <w:jc w:val="center"/>
        <w:rPr/>
      </w:pPr>
      <w:r>
        <w:rPr/>
        <w:t> </w:t>
      </w:r>
    </w:p>
    <w:p>
      <w:pPr>
        <w:pStyle w:val="TextBody"/>
        <w:bidi w:val="0"/>
        <w:spacing w:before="480" w:after="0"/>
        <w:jc w:val="left"/>
        <w:rPr>
          <w:rFonts w:ascii="arial" w:hAnsi="arial"/>
          <w:sz w:val="18"/>
        </w:rPr>
      </w:pPr>
      <w:r>
        <w:rPr>
          <w:rFonts w:ascii="arial" w:hAnsi="arial"/>
          <w:sz w:val="18"/>
        </w:rPr>
        <w:t xml:space="preserve">We caution that any forward-looking statements (as such term is defined in the U.S. Private Securities Litigation Reform Act of 1995) contained in this Proxy Statement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and any future performance or financial results expressed or implied by such forward-looking statements are not guarantees of future performance. Forward-looking statements include, without limitation, statements regarding our future operating results, the implementation and impact of our strategic plans, and our ability to meet environmental, social, and governance goals. Words such as “estimate,” “commit,” “will,” “target,” “goal,” “project,” “plan,” “believe,” “seek,” “strive,” “expect,” “anticipate,” “intend,” “continue,” “potential” and any similar expressions are intended to identify forward-looking statements. Risks associated with the following factors, among others, could affect our results of operations and financial performance and cause actual results to differ materially from those expressed or implied in any forward-looking statements: </w:t>
      </w:r>
    </w:p>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75"/>
        <w:gridCol w:w="110"/>
        <w:gridCol w:w="60"/>
        <w:gridCol w:w="9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jc w:val="left"/>
              <w:rPr>
                <w:rFonts w:ascii="arial" w:hAnsi="arial"/>
                <w:sz w:val="18"/>
              </w:rPr>
            </w:pPr>
            <w:r>
              <w:rPr>
                <w:rFonts w:ascii="arial" w:hAnsi="arial"/>
                <w:sz w:val="18"/>
              </w:rPr>
              <w:t xml:space="preserve">we may not realize all of the expected benefits of the spin-off from Bath &amp; Body Works, Inc. (f/k/a L Brands, Inc.); </w:t>
            </w:r>
          </w:p>
        </w:tc>
      </w:tr>
    </w:tbl>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75"/>
        <w:gridCol w:w="110"/>
        <w:gridCol w:w="60"/>
        <w:gridCol w:w="9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jc w:val="left"/>
              <w:rPr>
                <w:rFonts w:ascii="arial" w:hAnsi="arial"/>
                <w:sz w:val="18"/>
              </w:rPr>
            </w:pPr>
            <w:r>
              <w:rPr>
                <w:rFonts w:ascii="arial" w:hAnsi="arial"/>
                <w:sz w:val="18"/>
              </w:rPr>
              <w:t xml:space="preserve">general economic conditions, inflation and changes in consumer confidence and consumer spending patterns;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market disruptions including pandemics or significant health hazards, severe weather conditions, natural disasters, terrorist activities, financial crises, political crises or other major events, or the prospect of these events; </w:t>
            </w:r>
          </w:p>
        </w:tc>
      </w:tr>
    </w:tbl>
    <w:p>
      <w:pPr>
        <w:pStyle w:val="TextBody"/>
        <w:bidi w:val="0"/>
        <w:spacing w:before="0" w:after="0"/>
        <w:jc w:val="left"/>
        <w:rPr/>
      </w:pPr>
      <w:r>
        <w:rPr/>
        <w:t> </w:t>
      </w:r>
    </w:p>
    <w:tbl>
      <w:tblPr>
        <w:tblW w:w="4750" w:type="dxa"/>
        <w:jc w:val="left"/>
        <w:tblInd w:w="0" w:type="dxa"/>
        <w:tblLayout w:type="fixed"/>
        <w:tblCellMar>
          <w:top w:w="0" w:type="dxa"/>
          <w:left w:w="0" w:type="dxa"/>
          <w:bottom w:w="0" w:type="dxa"/>
          <w:right w:w="0" w:type="dxa"/>
        </w:tblCellMar>
      </w:tblPr>
      <w:tblGrid>
        <w:gridCol w:w="75"/>
        <w:gridCol w:w="110"/>
        <w:gridCol w:w="60"/>
        <w:gridCol w:w="4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0"/>
              <w:jc w:val="left"/>
              <w:rPr>
                <w:rFonts w:ascii="arial" w:hAnsi="arial"/>
                <w:sz w:val="18"/>
              </w:rPr>
            </w:pPr>
            <w:r>
              <w:rPr>
                <w:rFonts w:ascii="arial" w:hAnsi="arial"/>
                <w:sz w:val="18"/>
              </w:rPr>
              <w:t xml:space="preserve">our ability to successfully implement our strategic plan; </w:t>
            </w:r>
          </w:p>
        </w:tc>
      </w:tr>
    </w:tbl>
    <w:p>
      <w:pPr>
        <w:pStyle w:val="TextBody"/>
        <w:bidi w:val="0"/>
        <w:spacing w:before="0" w:after="0"/>
        <w:jc w:val="left"/>
        <w:rPr/>
      </w:pPr>
      <w:r>
        <w:rPr/>
        <w:t> </w:t>
      </w:r>
    </w:p>
    <w:tbl>
      <w:tblPr>
        <w:tblW w:w="6595" w:type="dxa"/>
        <w:jc w:val="left"/>
        <w:tblInd w:w="0" w:type="dxa"/>
        <w:tblLayout w:type="fixed"/>
        <w:tblCellMar>
          <w:top w:w="0" w:type="dxa"/>
          <w:left w:w="0" w:type="dxa"/>
          <w:bottom w:w="0" w:type="dxa"/>
          <w:right w:w="0" w:type="dxa"/>
        </w:tblCellMar>
      </w:tblPr>
      <w:tblGrid>
        <w:gridCol w:w="75"/>
        <w:gridCol w:w="110"/>
        <w:gridCol w:w="60"/>
        <w:gridCol w:w="6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6350" w:type="dxa"/>
            <w:tcBorders/>
            <w:vAlign w:val="center"/>
          </w:tcPr>
          <w:p>
            <w:pPr>
              <w:pStyle w:val="TableContents"/>
              <w:bidi w:val="0"/>
              <w:spacing w:before="0" w:after="0"/>
              <w:jc w:val="left"/>
              <w:rPr>
                <w:rFonts w:ascii="arial" w:hAnsi="arial"/>
                <w:sz w:val="18"/>
              </w:rPr>
            </w:pPr>
            <w:r>
              <w:rPr>
                <w:rFonts w:ascii="arial" w:hAnsi="arial"/>
                <w:sz w:val="18"/>
              </w:rPr>
              <w:t xml:space="preserve">difficulties arising from turnover in company leadership or other key positions; </w:t>
            </w:r>
          </w:p>
        </w:tc>
      </w:tr>
    </w:tbl>
    <w:p>
      <w:pPr>
        <w:pStyle w:val="TextBody"/>
        <w:bidi w:val="0"/>
        <w:spacing w:before="0" w:after="0"/>
        <w:jc w:val="left"/>
        <w:rPr/>
      </w:pPr>
      <w:r>
        <w:rPr/>
        <w:t> </w:t>
      </w:r>
    </w:p>
    <w:tbl>
      <w:tblPr>
        <w:tblW w:w="7825" w:type="dxa"/>
        <w:jc w:val="left"/>
        <w:tblInd w:w="0" w:type="dxa"/>
        <w:tblLayout w:type="fixed"/>
        <w:tblCellMar>
          <w:top w:w="0" w:type="dxa"/>
          <w:left w:w="0" w:type="dxa"/>
          <w:bottom w:w="0" w:type="dxa"/>
          <w:right w:w="0" w:type="dxa"/>
        </w:tblCellMar>
      </w:tblPr>
      <w:tblGrid>
        <w:gridCol w:w="75"/>
        <w:gridCol w:w="110"/>
        <w:gridCol w:w="60"/>
        <w:gridCol w:w="75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7580" w:type="dxa"/>
            <w:tcBorders/>
            <w:vAlign w:val="center"/>
          </w:tcPr>
          <w:p>
            <w:pPr>
              <w:pStyle w:val="TableContents"/>
              <w:bidi w:val="0"/>
              <w:spacing w:before="0" w:after="0"/>
              <w:jc w:val="left"/>
              <w:rPr>
                <w:rFonts w:ascii="arial" w:hAnsi="arial"/>
                <w:sz w:val="18"/>
              </w:rPr>
            </w:pPr>
            <w:r>
              <w:rPr>
                <w:rFonts w:ascii="arial" w:hAnsi="arial"/>
                <w:sz w:val="18"/>
              </w:rPr>
              <w:t xml:space="preserve">our ability to attract, develop and retain qualified associates and manage labor-related costs; </w:t>
            </w:r>
          </w:p>
        </w:tc>
      </w:tr>
    </w:tbl>
    <w:p>
      <w:pPr>
        <w:pStyle w:val="TextBody"/>
        <w:bidi w:val="0"/>
        <w:spacing w:before="0" w:after="0"/>
        <w:jc w:val="left"/>
        <w:rPr/>
      </w:pPr>
      <w:r>
        <w:rPr/>
        <w:t> </w:t>
      </w:r>
    </w:p>
    <w:tbl>
      <w:tblPr>
        <w:tblW w:w="8905" w:type="dxa"/>
        <w:jc w:val="left"/>
        <w:tblInd w:w="0" w:type="dxa"/>
        <w:tblLayout w:type="fixed"/>
        <w:tblCellMar>
          <w:top w:w="0" w:type="dxa"/>
          <w:left w:w="0" w:type="dxa"/>
          <w:bottom w:w="0" w:type="dxa"/>
          <w:right w:w="0" w:type="dxa"/>
        </w:tblCellMar>
      </w:tblPr>
      <w:tblGrid>
        <w:gridCol w:w="75"/>
        <w:gridCol w:w="110"/>
        <w:gridCol w:w="60"/>
        <w:gridCol w:w="8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8660" w:type="dxa"/>
            <w:tcBorders/>
            <w:vAlign w:val="center"/>
          </w:tcPr>
          <w:p>
            <w:pPr>
              <w:pStyle w:val="TableContents"/>
              <w:bidi w:val="0"/>
              <w:spacing w:before="0" w:after="0"/>
              <w:jc w:val="left"/>
              <w:rPr>
                <w:rFonts w:ascii="arial" w:hAnsi="arial"/>
                <w:sz w:val="18"/>
              </w:rPr>
            </w:pPr>
            <w:r>
              <w:rPr>
                <w:rFonts w:ascii="arial" w:hAnsi="arial"/>
                <w:sz w:val="18"/>
              </w:rPr>
              <w:t xml:space="preserve">our dependence on traffic to our stores and the availability of suitable store locations on satisfactory terms; </w:t>
            </w:r>
          </w:p>
        </w:tc>
      </w:tr>
    </w:tbl>
    <w:p>
      <w:pPr>
        <w:pStyle w:val="TextBody"/>
        <w:bidi w:val="0"/>
        <w:spacing w:before="0" w:after="0"/>
        <w:jc w:val="left"/>
        <w:rPr/>
      </w:pPr>
      <w:r>
        <w:rPr/>
        <w:t> </w:t>
      </w:r>
    </w:p>
    <w:tbl>
      <w:tblPr>
        <w:tblW w:w="6685" w:type="dxa"/>
        <w:jc w:val="left"/>
        <w:tblInd w:w="0" w:type="dxa"/>
        <w:tblLayout w:type="fixed"/>
        <w:tblCellMar>
          <w:top w:w="0" w:type="dxa"/>
          <w:left w:w="0" w:type="dxa"/>
          <w:bottom w:w="0" w:type="dxa"/>
          <w:right w:w="0" w:type="dxa"/>
        </w:tblCellMar>
      </w:tblPr>
      <w:tblGrid>
        <w:gridCol w:w="75"/>
        <w:gridCol w:w="110"/>
        <w:gridCol w:w="60"/>
        <w:gridCol w:w="6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6440" w:type="dxa"/>
            <w:tcBorders/>
            <w:vAlign w:val="center"/>
          </w:tcPr>
          <w:p>
            <w:pPr>
              <w:pStyle w:val="TableContents"/>
              <w:bidi w:val="0"/>
              <w:spacing w:before="0" w:after="0"/>
              <w:jc w:val="left"/>
              <w:rPr>
                <w:rFonts w:ascii="arial" w:hAnsi="arial"/>
                <w:sz w:val="18"/>
              </w:rPr>
            </w:pPr>
            <w:r>
              <w:rPr>
                <w:rFonts w:ascii="arial" w:hAnsi="arial"/>
                <w:sz w:val="18"/>
              </w:rPr>
              <w:t xml:space="preserve">our ability to successfully operate and expand internationally and related risks; </w:t>
            </w:r>
          </w:p>
        </w:tc>
      </w:tr>
    </w:tbl>
    <w:p>
      <w:pPr>
        <w:pStyle w:val="TextBody"/>
        <w:bidi w:val="0"/>
        <w:spacing w:before="0" w:after="0"/>
        <w:jc w:val="left"/>
        <w:rPr/>
      </w:pPr>
      <w:r>
        <w:rPr/>
        <w:t> </w:t>
      </w:r>
    </w:p>
    <w:tbl>
      <w:tblPr>
        <w:tblW w:w="8605" w:type="dxa"/>
        <w:jc w:val="left"/>
        <w:tblInd w:w="0" w:type="dxa"/>
        <w:tblLayout w:type="fixed"/>
        <w:tblCellMar>
          <w:top w:w="0" w:type="dxa"/>
          <w:left w:w="0" w:type="dxa"/>
          <w:bottom w:w="0" w:type="dxa"/>
          <w:right w:w="0" w:type="dxa"/>
        </w:tblCellMar>
      </w:tblPr>
      <w:tblGrid>
        <w:gridCol w:w="75"/>
        <w:gridCol w:w="110"/>
        <w:gridCol w:w="60"/>
        <w:gridCol w:w="8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8360" w:type="dxa"/>
            <w:tcBorders/>
            <w:vAlign w:val="center"/>
          </w:tcPr>
          <w:p>
            <w:pPr>
              <w:pStyle w:val="TableContents"/>
              <w:bidi w:val="0"/>
              <w:spacing w:before="0" w:after="0"/>
              <w:jc w:val="left"/>
              <w:rPr>
                <w:rFonts w:ascii="arial" w:hAnsi="arial"/>
                <w:sz w:val="18"/>
              </w:rPr>
            </w:pPr>
            <w:r>
              <w:rPr>
                <w:rFonts w:ascii="arial" w:hAnsi="arial"/>
                <w:sz w:val="18"/>
              </w:rPr>
              <w:t xml:space="preserve">the operations and performance of our franchisees, licensees, wholesalers, and joint venture partners; </w:t>
            </w:r>
          </w:p>
        </w:tc>
      </w:tr>
    </w:tbl>
    <w:p>
      <w:pPr>
        <w:pStyle w:val="TextBody"/>
        <w:bidi w:val="0"/>
        <w:spacing w:before="0" w:after="0"/>
        <w:jc w:val="left"/>
        <w:rPr/>
      </w:pPr>
      <w:r>
        <w:rPr/>
        <w:t> </w:t>
      </w:r>
    </w:p>
    <w:tbl>
      <w:tblPr>
        <w:tblW w:w="6175" w:type="dxa"/>
        <w:jc w:val="left"/>
        <w:tblInd w:w="0" w:type="dxa"/>
        <w:tblLayout w:type="fixed"/>
        <w:tblCellMar>
          <w:top w:w="0" w:type="dxa"/>
          <w:left w:w="0" w:type="dxa"/>
          <w:bottom w:w="0" w:type="dxa"/>
          <w:right w:w="0" w:type="dxa"/>
        </w:tblCellMar>
      </w:tblPr>
      <w:tblGrid>
        <w:gridCol w:w="75"/>
        <w:gridCol w:w="110"/>
        <w:gridCol w:w="60"/>
        <w:gridCol w:w="5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0"/>
              <w:jc w:val="left"/>
              <w:rPr>
                <w:rFonts w:ascii="arial" w:hAnsi="arial"/>
                <w:sz w:val="18"/>
              </w:rPr>
            </w:pPr>
            <w:r>
              <w:rPr>
                <w:rFonts w:ascii="arial" w:hAnsi="arial"/>
                <w:sz w:val="18"/>
              </w:rPr>
              <w:t xml:space="preserve">our ability to successfully operate and grow our direct channel business; </w:t>
            </w:r>
          </w:p>
        </w:tc>
      </w:tr>
    </w:tbl>
    <w:p>
      <w:pPr>
        <w:pStyle w:val="TextBody"/>
        <w:bidi w:val="0"/>
        <w:spacing w:before="0" w:after="0"/>
        <w:jc w:val="left"/>
        <w:rPr/>
      </w:pPr>
      <w:r>
        <w:rPr/>
        <w:t> </w:t>
      </w:r>
    </w:p>
    <w:tbl>
      <w:tblPr>
        <w:tblW w:w="6340" w:type="dxa"/>
        <w:jc w:val="left"/>
        <w:tblInd w:w="0" w:type="dxa"/>
        <w:tblLayout w:type="fixed"/>
        <w:tblCellMar>
          <w:top w:w="0" w:type="dxa"/>
          <w:left w:w="0" w:type="dxa"/>
          <w:bottom w:w="0" w:type="dxa"/>
          <w:right w:w="0" w:type="dxa"/>
        </w:tblCellMar>
      </w:tblPr>
      <w:tblGrid>
        <w:gridCol w:w="75"/>
        <w:gridCol w:w="110"/>
        <w:gridCol w:w="60"/>
        <w:gridCol w:w="60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6095" w:type="dxa"/>
            <w:tcBorders/>
            <w:vAlign w:val="center"/>
          </w:tcPr>
          <w:p>
            <w:pPr>
              <w:pStyle w:val="TableContents"/>
              <w:bidi w:val="0"/>
              <w:spacing w:before="0" w:after="0"/>
              <w:jc w:val="left"/>
              <w:rPr>
                <w:rFonts w:ascii="arial" w:hAnsi="arial"/>
                <w:sz w:val="18"/>
              </w:rPr>
            </w:pPr>
            <w:r>
              <w:rPr>
                <w:rFonts w:ascii="arial" w:hAnsi="arial"/>
                <w:sz w:val="18"/>
              </w:rPr>
              <w:t xml:space="preserve">our ability to protect our reputation and the image and value of our brands; </w:t>
            </w:r>
          </w:p>
        </w:tc>
      </w:tr>
    </w:tbl>
    <w:p>
      <w:pPr>
        <w:pStyle w:val="TextBody"/>
        <w:bidi w:val="0"/>
        <w:spacing w:before="0" w:after="0"/>
        <w:jc w:val="left"/>
        <w:rPr/>
      </w:pPr>
      <w:r>
        <w:rPr/>
        <w:t> </w:t>
      </w:r>
    </w:p>
    <w:tbl>
      <w:tblPr>
        <w:tblW w:w="7210" w:type="dxa"/>
        <w:jc w:val="left"/>
        <w:tblInd w:w="0" w:type="dxa"/>
        <w:tblLayout w:type="fixed"/>
        <w:tblCellMar>
          <w:top w:w="0" w:type="dxa"/>
          <w:left w:w="0" w:type="dxa"/>
          <w:bottom w:w="0" w:type="dxa"/>
          <w:right w:w="0" w:type="dxa"/>
        </w:tblCellMar>
      </w:tblPr>
      <w:tblGrid>
        <w:gridCol w:w="75"/>
        <w:gridCol w:w="110"/>
        <w:gridCol w:w="60"/>
        <w:gridCol w:w="69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6965" w:type="dxa"/>
            <w:tcBorders/>
            <w:vAlign w:val="center"/>
          </w:tcPr>
          <w:p>
            <w:pPr>
              <w:pStyle w:val="TableContents"/>
              <w:bidi w:val="0"/>
              <w:spacing w:before="0" w:after="0"/>
              <w:jc w:val="left"/>
              <w:rPr>
                <w:rFonts w:ascii="arial" w:hAnsi="arial"/>
                <w:sz w:val="18"/>
              </w:rPr>
            </w:pPr>
            <w:r>
              <w:rPr>
                <w:rFonts w:ascii="arial" w:hAnsi="arial"/>
                <w:sz w:val="18"/>
              </w:rPr>
              <w:t xml:space="preserve">our ability to attract customers with marketing, advertising and promotional programs; </w:t>
            </w:r>
          </w:p>
        </w:tc>
      </w:tr>
    </w:tbl>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75"/>
        <w:gridCol w:w="110"/>
        <w:gridCol w:w="60"/>
        <w:gridCol w:w="72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7280" w:type="dxa"/>
            <w:tcBorders/>
            <w:vAlign w:val="center"/>
          </w:tcPr>
          <w:p>
            <w:pPr>
              <w:pStyle w:val="TableContents"/>
              <w:bidi w:val="0"/>
              <w:spacing w:before="0" w:after="0"/>
              <w:jc w:val="left"/>
              <w:rPr>
                <w:rFonts w:ascii="arial" w:hAnsi="arial"/>
                <w:sz w:val="18"/>
              </w:rPr>
            </w:pPr>
            <w:r>
              <w:rPr>
                <w:rFonts w:ascii="arial" w:hAnsi="arial"/>
                <w:sz w:val="18"/>
              </w:rPr>
              <w:t xml:space="preserve">the highly competitive nature of the retail industry and the segments in which we operate;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consumer acceptance of our products and our ability to manage the life cycle of our brands, remain current with fashion trends, and develop and launch new merchandise, product lines and brands successfully; </w:t>
            </w:r>
          </w:p>
        </w:tc>
      </w:tr>
    </w:tbl>
    <w:p>
      <w:pPr>
        <w:pStyle w:val="TextBody"/>
        <w:bidi w:val="0"/>
        <w:spacing w:before="0" w:after="0"/>
        <w:jc w:val="left"/>
        <w:rPr/>
      </w:pPr>
      <w:r>
        <w:rPr/>
        <w:t> </w:t>
      </w:r>
    </w:p>
    <w:tbl>
      <w:tblPr>
        <w:tblW w:w="9550" w:type="dxa"/>
        <w:jc w:val="left"/>
        <w:tblInd w:w="0" w:type="dxa"/>
        <w:tblLayout w:type="fixed"/>
        <w:tblCellMar>
          <w:top w:w="0" w:type="dxa"/>
          <w:left w:w="0" w:type="dxa"/>
          <w:bottom w:w="0" w:type="dxa"/>
          <w:right w:w="0" w:type="dxa"/>
        </w:tblCellMar>
      </w:tblPr>
      <w:tblGrid>
        <w:gridCol w:w="75"/>
        <w:gridCol w:w="110"/>
        <w:gridCol w:w="60"/>
        <w:gridCol w:w="9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9305" w:type="dxa"/>
            <w:tcBorders/>
            <w:vAlign w:val="center"/>
          </w:tcPr>
          <w:p>
            <w:pPr>
              <w:pStyle w:val="TableContents"/>
              <w:bidi w:val="0"/>
              <w:spacing w:before="0" w:after="0"/>
              <w:jc w:val="left"/>
              <w:rPr>
                <w:rFonts w:ascii="arial" w:hAnsi="arial"/>
                <w:sz w:val="18"/>
              </w:rPr>
            </w:pPr>
            <w:r>
              <w:rPr>
                <w:rFonts w:ascii="arial" w:hAnsi="arial"/>
                <w:sz w:val="18"/>
              </w:rPr>
              <w:t xml:space="preserve">our ability to realize the potential benefits and synergies sought with the acquisition of AdoreMe, Inc. (“Adore 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our ability to incorporate artificial intelligence into our business operations successfully and ethically while managing associated risks; </w:t>
            </w:r>
          </w:p>
        </w:tc>
      </w:tr>
    </w:tbl>
    <w:p>
      <w:pPr>
        <w:pStyle w:val="TextBody"/>
        <w:bidi w:val="0"/>
        <w:spacing w:before="0" w:after="0"/>
        <w:jc w:val="left"/>
        <w:rPr/>
      </w:pPr>
      <w:r>
        <w:rPr/>
        <w:t> </w:t>
      </w:r>
    </w:p>
    <w:tbl>
      <w:tblPr>
        <w:tblW w:w="2837" w:type="dxa"/>
        <w:jc w:val="left"/>
        <w:tblInd w:w="0" w:type="dxa"/>
        <w:tblLayout w:type="fixed"/>
        <w:tblCellMar>
          <w:top w:w="0" w:type="dxa"/>
          <w:left w:w="0" w:type="dxa"/>
          <w:bottom w:w="0" w:type="dxa"/>
          <w:right w:w="0" w:type="dxa"/>
        </w:tblCellMar>
      </w:tblPr>
      <w:tblGrid>
        <w:gridCol w:w="292"/>
        <w:gridCol w:w="60"/>
        <w:gridCol w:w="38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 descr=""/>
                          <pic:cNvPicPr>
                            <a:picLocks noChangeAspect="1" noChangeArrowheads="1"/>
                          </pic:cNvPicPr>
                        </pic:nvPicPr>
                        <pic:blipFill>
                          <a:blip r:embed="rId11"/>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color w:val="F7ACBA"/>
              </w:rPr>
            </w:pPr>
            <w:r>
              <w:rPr>
                <w:color w:val="F7ACBA"/>
              </w:rPr>
              <w:t> </w:t>
            </w:r>
            <w:r>
              <w:rPr>
                <w:b/>
                <w:color w:val="F7ACBA"/>
              </w:rPr>
              <w:t>1 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tbl>
      <w:tblPr>
        <w:tblW w:w="9985" w:type="dxa"/>
        <w:jc w:val="left"/>
        <w:tblInd w:w="0" w:type="dxa"/>
        <w:tblLayout w:type="fixed"/>
        <w:tblCellMar>
          <w:top w:w="0" w:type="dxa"/>
          <w:left w:w="0" w:type="dxa"/>
          <w:bottom w:w="0" w:type="dxa"/>
          <w:right w:w="0" w:type="dxa"/>
        </w:tblCellMar>
      </w:tblPr>
      <w:tblGrid>
        <w:gridCol w:w="75"/>
        <w:gridCol w:w="110"/>
        <w:gridCol w:w="60"/>
        <w:gridCol w:w="97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9740" w:type="dxa"/>
            <w:tcBorders/>
            <w:vAlign w:val="center"/>
          </w:tcPr>
          <w:p>
            <w:pPr>
              <w:pStyle w:val="TableContents"/>
              <w:bidi w:val="0"/>
              <w:spacing w:before="0" w:after="0"/>
              <w:jc w:val="left"/>
              <w:rPr>
                <w:rFonts w:ascii="arial" w:hAnsi="arial"/>
                <w:sz w:val="18"/>
              </w:rPr>
            </w:pPr>
            <w:r>
              <w:rPr>
                <w:rFonts w:ascii="arial" w:hAnsi="arial"/>
                <w:sz w:val="18"/>
              </w:rPr>
              <w:t xml:space="preserve">our ability to source materials and produce, distribute and sell merchandise on a global basis, including risks related to: </w:t>
            </w:r>
          </w:p>
        </w:tc>
      </w:tr>
    </w:tbl>
    <w:p>
      <w:pPr>
        <w:pStyle w:val="TextBody"/>
        <w:bidi w:val="0"/>
        <w:spacing w:before="0" w:after="0"/>
        <w:jc w:val="left"/>
        <w:rPr/>
      </w:pPr>
      <w:r>
        <w:rPr/>
        <w:t> </w:t>
      </w:r>
    </w:p>
    <w:tbl>
      <w:tblPr>
        <w:tblW w:w="3865" w:type="dxa"/>
        <w:jc w:val="left"/>
        <w:tblInd w:w="0" w:type="dxa"/>
        <w:tblLayout w:type="fixed"/>
        <w:tblCellMar>
          <w:top w:w="0" w:type="dxa"/>
          <w:left w:w="0" w:type="dxa"/>
          <w:bottom w:w="0" w:type="dxa"/>
          <w:right w:w="0" w:type="dxa"/>
        </w:tblCellMar>
      </w:tblPr>
      <w:tblGrid>
        <w:gridCol w:w="75"/>
        <w:gridCol w:w="110"/>
        <w:gridCol w:w="60"/>
        <w:gridCol w:w="36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0"/>
              <w:jc w:val="left"/>
              <w:rPr>
                <w:rFonts w:ascii="arial" w:hAnsi="arial"/>
                <w:sz w:val="18"/>
              </w:rPr>
            </w:pPr>
            <w:r>
              <w:rPr>
                <w:rFonts w:ascii="arial" w:hAnsi="arial"/>
                <w:sz w:val="18"/>
              </w:rPr>
              <w:t xml:space="preserve">political instability and geopolitical conflicts; </w:t>
            </w:r>
          </w:p>
        </w:tc>
      </w:tr>
    </w:tbl>
    <w:p>
      <w:pPr>
        <w:pStyle w:val="TextBody"/>
        <w:bidi w:val="0"/>
        <w:spacing w:before="0" w:after="0"/>
        <w:jc w:val="left"/>
        <w:rPr/>
      </w:pPr>
      <w:r>
        <w:rPr/>
        <w:t> </w:t>
      </w:r>
    </w:p>
    <w:tbl>
      <w:tblPr>
        <w:tblW w:w="4000" w:type="dxa"/>
        <w:jc w:val="left"/>
        <w:tblInd w:w="0" w:type="dxa"/>
        <w:tblLayout w:type="fixed"/>
        <w:tblCellMar>
          <w:top w:w="0" w:type="dxa"/>
          <w:left w:w="0" w:type="dxa"/>
          <w:bottom w:w="0" w:type="dxa"/>
          <w:right w:w="0" w:type="dxa"/>
        </w:tblCellMar>
      </w:tblPr>
      <w:tblGrid>
        <w:gridCol w:w="75"/>
        <w:gridCol w:w="110"/>
        <w:gridCol w:w="60"/>
        <w:gridCol w:w="37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0"/>
              <w:jc w:val="left"/>
              <w:rPr>
                <w:rFonts w:ascii="arial" w:hAnsi="arial"/>
                <w:sz w:val="18"/>
              </w:rPr>
            </w:pPr>
            <w:r>
              <w:rPr>
                <w:rFonts w:ascii="arial" w:hAnsi="arial"/>
                <w:sz w:val="18"/>
              </w:rPr>
              <w:t xml:space="preserve">environmental hazards and natural disasters; </w:t>
            </w:r>
          </w:p>
        </w:tc>
      </w:tr>
    </w:tbl>
    <w:p>
      <w:pPr>
        <w:pStyle w:val="TextBody"/>
        <w:bidi w:val="0"/>
        <w:spacing w:before="0" w:after="0"/>
        <w:jc w:val="left"/>
        <w:rPr/>
      </w:pPr>
      <w:r>
        <w:rPr/>
        <w:t> </w:t>
      </w:r>
    </w:p>
    <w:tbl>
      <w:tblPr>
        <w:tblW w:w="3760" w:type="dxa"/>
        <w:jc w:val="left"/>
        <w:tblInd w:w="0" w:type="dxa"/>
        <w:tblLayout w:type="fixed"/>
        <w:tblCellMar>
          <w:top w:w="0" w:type="dxa"/>
          <w:left w:w="0" w:type="dxa"/>
          <w:bottom w:w="0" w:type="dxa"/>
          <w:right w:w="0" w:type="dxa"/>
        </w:tblCellMar>
      </w:tblPr>
      <w:tblGrid>
        <w:gridCol w:w="75"/>
        <w:gridCol w:w="110"/>
        <w:gridCol w:w="60"/>
        <w:gridCol w:w="35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0"/>
              <w:jc w:val="left"/>
              <w:rPr>
                <w:rFonts w:ascii="arial" w:hAnsi="arial"/>
                <w:sz w:val="18"/>
              </w:rPr>
            </w:pPr>
            <w:r>
              <w:rPr>
                <w:rFonts w:ascii="arial" w:hAnsi="arial"/>
                <w:sz w:val="18"/>
              </w:rPr>
              <w:t xml:space="preserve">significant health hazards and pandemics; </w:t>
            </w:r>
          </w:p>
        </w:tc>
      </w:tr>
    </w:tbl>
    <w:p>
      <w:pPr>
        <w:pStyle w:val="TextBody"/>
        <w:bidi w:val="0"/>
        <w:spacing w:before="0" w:after="0"/>
        <w:jc w:val="left"/>
        <w:rPr/>
      </w:pPr>
      <w:r>
        <w:rPr/>
        <w:t> </w:t>
      </w:r>
    </w:p>
    <w:tbl>
      <w:tblPr>
        <w:tblW w:w="7150" w:type="dxa"/>
        <w:jc w:val="left"/>
        <w:tblInd w:w="0" w:type="dxa"/>
        <w:tblLayout w:type="fixed"/>
        <w:tblCellMar>
          <w:top w:w="0" w:type="dxa"/>
          <w:left w:w="0" w:type="dxa"/>
          <w:bottom w:w="0" w:type="dxa"/>
          <w:right w:w="0" w:type="dxa"/>
        </w:tblCellMar>
      </w:tblPr>
      <w:tblGrid>
        <w:gridCol w:w="75"/>
        <w:gridCol w:w="110"/>
        <w:gridCol w:w="60"/>
        <w:gridCol w:w="6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6905" w:type="dxa"/>
            <w:tcBorders/>
            <w:vAlign w:val="center"/>
          </w:tcPr>
          <w:p>
            <w:pPr>
              <w:pStyle w:val="TableContents"/>
              <w:bidi w:val="0"/>
              <w:spacing w:before="0" w:after="0"/>
              <w:jc w:val="left"/>
              <w:rPr>
                <w:rFonts w:ascii="arial" w:hAnsi="arial"/>
                <w:sz w:val="18"/>
              </w:rPr>
            </w:pPr>
            <w:r>
              <w:rPr>
                <w:rFonts w:ascii="arial" w:hAnsi="arial"/>
                <w:sz w:val="18"/>
              </w:rPr>
              <w:t xml:space="preserve">delays or disruptions in shipping and transportation and related pricing impacts; and </w:t>
            </w:r>
          </w:p>
        </w:tc>
      </w:tr>
    </w:tbl>
    <w:p>
      <w:pPr>
        <w:pStyle w:val="TextBody"/>
        <w:bidi w:val="0"/>
        <w:spacing w:before="0" w:after="0"/>
        <w:jc w:val="left"/>
        <w:rPr/>
      </w:pPr>
      <w:r>
        <w:rPr/>
        <w:t> </w:t>
      </w:r>
    </w:p>
    <w:tbl>
      <w:tblPr>
        <w:tblW w:w="2935" w:type="dxa"/>
        <w:jc w:val="left"/>
        <w:tblInd w:w="0" w:type="dxa"/>
        <w:tblLayout w:type="fixed"/>
        <w:tblCellMar>
          <w:top w:w="0" w:type="dxa"/>
          <w:left w:w="0" w:type="dxa"/>
          <w:bottom w:w="0" w:type="dxa"/>
          <w:right w:w="0" w:type="dxa"/>
        </w:tblCellMar>
      </w:tblPr>
      <w:tblGrid>
        <w:gridCol w:w="75"/>
        <w:gridCol w:w="110"/>
        <w:gridCol w:w="60"/>
        <w:gridCol w:w="26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2690" w:type="dxa"/>
            <w:tcBorders/>
            <w:vAlign w:val="center"/>
          </w:tcPr>
          <w:p>
            <w:pPr>
              <w:pStyle w:val="TableContents"/>
              <w:bidi w:val="0"/>
              <w:spacing w:before="0" w:after="0"/>
              <w:jc w:val="left"/>
              <w:rPr>
                <w:rFonts w:ascii="arial" w:hAnsi="arial"/>
                <w:sz w:val="18"/>
              </w:rPr>
            </w:pPr>
            <w:r>
              <w:rPr>
                <w:rFonts w:ascii="arial" w:hAnsi="arial"/>
                <w:sz w:val="18"/>
              </w:rPr>
              <w:t xml:space="preserve">disruption due to labor disputes; </w:t>
            </w:r>
          </w:p>
        </w:tc>
      </w:tr>
    </w:tbl>
    <w:p>
      <w:pPr>
        <w:pStyle w:val="TextBody"/>
        <w:bidi w:val="0"/>
        <w:spacing w:before="0" w:after="0"/>
        <w:jc w:val="left"/>
        <w:rPr/>
      </w:pPr>
      <w:r>
        <w:rPr/>
        <w:t> </w:t>
      </w:r>
    </w:p>
    <w:tbl>
      <w:tblPr>
        <w:tblW w:w="8755" w:type="dxa"/>
        <w:jc w:val="left"/>
        <w:tblInd w:w="0" w:type="dxa"/>
        <w:tblLayout w:type="fixed"/>
        <w:tblCellMar>
          <w:top w:w="0" w:type="dxa"/>
          <w:left w:w="0" w:type="dxa"/>
          <w:bottom w:w="0" w:type="dxa"/>
          <w:right w:w="0" w:type="dxa"/>
        </w:tblCellMar>
      </w:tblPr>
      <w:tblGrid>
        <w:gridCol w:w="75"/>
        <w:gridCol w:w="110"/>
        <w:gridCol w:w="60"/>
        <w:gridCol w:w="85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8510" w:type="dxa"/>
            <w:tcBorders/>
            <w:vAlign w:val="center"/>
          </w:tcPr>
          <w:p>
            <w:pPr>
              <w:pStyle w:val="TableContents"/>
              <w:bidi w:val="0"/>
              <w:spacing w:before="0" w:after="0"/>
              <w:jc w:val="left"/>
              <w:rPr>
                <w:rFonts w:ascii="arial" w:hAnsi="arial"/>
                <w:sz w:val="18"/>
              </w:rPr>
            </w:pPr>
            <w:r>
              <w:rPr>
                <w:rFonts w:ascii="arial" w:hAnsi="arial"/>
                <w:sz w:val="18"/>
              </w:rPr>
              <w:t xml:space="preserve">our geographic concentration of production and distribution facilities in central Ohio and Southeast Asia;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the ability of our vendors to manufacture and deliver products in a timely manner, meet quality standards and comply with applicable laws and regulations; </w:t>
            </w:r>
          </w:p>
        </w:tc>
      </w:tr>
    </w:tbl>
    <w:p>
      <w:pPr>
        <w:pStyle w:val="TextBody"/>
        <w:bidi w:val="0"/>
        <w:spacing w:before="0" w:after="0"/>
        <w:jc w:val="left"/>
        <w:rPr/>
      </w:pPr>
      <w:r>
        <w:rPr/>
        <w:t> </w:t>
      </w:r>
    </w:p>
    <w:tbl>
      <w:tblPr>
        <w:tblW w:w="4645" w:type="dxa"/>
        <w:jc w:val="left"/>
        <w:tblInd w:w="0" w:type="dxa"/>
        <w:tblLayout w:type="fixed"/>
        <w:tblCellMar>
          <w:top w:w="0" w:type="dxa"/>
          <w:left w:w="0" w:type="dxa"/>
          <w:bottom w:w="0" w:type="dxa"/>
          <w:right w:w="0" w:type="dxa"/>
        </w:tblCellMar>
      </w:tblPr>
      <w:tblGrid>
        <w:gridCol w:w="75"/>
        <w:gridCol w:w="110"/>
        <w:gridCol w:w="60"/>
        <w:gridCol w:w="4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0"/>
              <w:jc w:val="left"/>
              <w:rPr>
                <w:rFonts w:ascii="arial" w:hAnsi="arial"/>
                <w:sz w:val="18"/>
              </w:rPr>
            </w:pPr>
            <w:r>
              <w:rPr>
                <w:rFonts w:ascii="arial" w:hAnsi="arial"/>
                <w:sz w:val="18"/>
              </w:rPr>
              <w:t xml:space="preserve">fluctuations in freight, product input and energy costs;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our and our third-party service providers’ ability to implement and maintain information technology systems and to protect associated data and system availability; </w:t>
            </w:r>
          </w:p>
        </w:tc>
      </w:tr>
    </w:tbl>
    <w:p>
      <w:pPr>
        <w:pStyle w:val="TextBody"/>
        <w:bidi w:val="0"/>
        <w:spacing w:before="0" w:after="0"/>
        <w:jc w:val="left"/>
        <w:rPr/>
      </w:pPr>
      <w:r>
        <w:rPr/>
        <w:t> </w:t>
      </w:r>
    </w:p>
    <w:tbl>
      <w:tblPr>
        <w:tblW w:w="7975" w:type="dxa"/>
        <w:jc w:val="left"/>
        <w:tblInd w:w="0" w:type="dxa"/>
        <w:tblLayout w:type="fixed"/>
        <w:tblCellMar>
          <w:top w:w="0" w:type="dxa"/>
          <w:left w:w="0" w:type="dxa"/>
          <w:bottom w:w="0" w:type="dxa"/>
          <w:right w:w="0" w:type="dxa"/>
        </w:tblCellMar>
      </w:tblPr>
      <w:tblGrid>
        <w:gridCol w:w="75"/>
        <w:gridCol w:w="110"/>
        <w:gridCol w:w="60"/>
        <w:gridCol w:w="7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7730" w:type="dxa"/>
            <w:tcBorders/>
            <w:vAlign w:val="center"/>
          </w:tcPr>
          <w:p>
            <w:pPr>
              <w:pStyle w:val="TableContents"/>
              <w:bidi w:val="0"/>
              <w:spacing w:before="0" w:after="0"/>
              <w:jc w:val="left"/>
              <w:rPr>
                <w:rFonts w:ascii="arial" w:hAnsi="arial"/>
                <w:sz w:val="18"/>
              </w:rPr>
            </w:pPr>
            <w:r>
              <w:rPr>
                <w:rFonts w:ascii="arial" w:hAnsi="arial"/>
                <w:sz w:val="18"/>
              </w:rPr>
              <w:t xml:space="preserve">our ability to maintain the security of customer, associate, third-party and company information; </w:t>
            </w:r>
          </w:p>
        </w:tc>
      </w:tr>
    </w:tbl>
    <w:p>
      <w:pPr>
        <w:pStyle w:val="TextBody"/>
        <w:bidi w:val="0"/>
        <w:spacing w:before="0" w:after="0"/>
        <w:jc w:val="left"/>
        <w:rPr/>
      </w:pPr>
      <w:r>
        <w:rPr/>
        <w:t> </w:t>
      </w:r>
    </w:p>
    <w:tbl>
      <w:tblPr>
        <w:tblW w:w="1945" w:type="dxa"/>
        <w:jc w:val="left"/>
        <w:tblInd w:w="0" w:type="dxa"/>
        <w:tblLayout w:type="fixed"/>
        <w:tblCellMar>
          <w:top w:w="0" w:type="dxa"/>
          <w:left w:w="0" w:type="dxa"/>
          <w:bottom w:w="0" w:type="dxa"/>
          <w:right w:w="0" w:type="dxa"/>
        </w:tblCellMar>
      </w:tblPr>
      <w:tblGrid>
        <w:gridCol w:w="75"/>
        <w:gridCol w:w="110"/>
        <w:gridCol w:w="60"/>
        <w:gridCol w:w="17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0"/>
              <w:jc w:val="left"/>
              <w:rPr>
                <w:rFonts w:ascii="arial" w:hAnsi="arial"/>
                <w:sz w:val="18"/>
              </w:rPr>
            </w:pPr>
            <w:r>
              <w:rPr>
                <w:rFonts w:ascii="arial" w:hAnsi="arial"/>
                <w:sz w:val="18"/>
              </w:rPr>
              <w:t xml:space="preserve">stock price volatility; </w:t>
            </w:r>
          </w:p>
        </w:tc>
      </w:tr>
    </w:tbl>
    <w:p>
      <w:pPr>
        <w:pStyle w:val="TextBody"/>
        <w:bidi w:val="0"/>
        <w:spacing w:before="0" w:after="0"/>
        <w:jc w:val="left"/>
        <w:rPr/>
      </w:pPr>
      <w:r>
        <w:rPr/>
        <w:t> </w:t>
      </w:r>
    </w:p>
    <w:tbl>
      <w:tblPr>
        <w:tblW w:w="2710" w:type="dxa"/>
        <w:jc w:val="left"/>
        <w:tblInd w:w="0" w:type="dxa"/>
        <w:tblLayout w:type="fixed"/>
        <w:tblCellMar>
          <w:top w:w="0" w:type="dxa"/>
          <w:left w:w="0" w:type="dxa"/>
          <w:bottom w:w="0" w:type="dxa"/>
          <w:right w:w="0" w:type="dxa"/>
        </w:tblCellMar>
      </w:tblPr>
      <w:tblGrid>
        <w:gridCol w:w="75"/>
        <w:gridCol w:w="110"/>
        <w:gridCol w:w="60"/>
        <w:gridCol w:w="24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0"/>
              <w:jc w:val="left"/>
              <w:rPr>
                <w:rFonts w:ascii="arial" w:hAnsi="arial"/>
                <w:sz w:val="18"/>
              </w:rPr>
            </w:pPr>
            <w:r>
              <w:rPr>
                <w:rFonts w:ascii="arial" w:hAnsi="arial"/>
                <w:sz w:val="18"/>
              </w:rPr>
              <w:t xml:space="preserve">shareholder activism matters; </w:t>
            </w:r>
          </w:p>
        </w:tc>
      </w:tr>
    </w:tbl>
    <w:p>
      <w:pPr>
        <w:pStyle w:val="TextBody"/>
        <w:bidi w:val="0"/>
        <w:spacing w:before="0" w:after="0"/>
        <w:jc w:val="left"/>
        <w:rPr/>
      </w:pPr>
      <w:r>
        <w:rPr/>
        <w:t> </w:t>
      </w:r>
    </w:p>
    <w:tbl>
      <w:tblPr>
        <w:tblW w:w="3430" w:type="dxa"/>
        <w:jc w:val="left"/>
        <w:tblInd w:w="0" w:type="dxa"/>
        <w:tblLayout w:type="fixed"/>
        <w:tblCellMar>
          <w:top w:w="0" w:type="dxa"/>
          <w:left w:w="0" w:type="dxa"/>
          <w:bottom w:w="0" w:type="dxa"/>
          <w:right w:w="0" w:type="dxa"/>
        </w:tblCellMar>
      </w:tblPr>
      <w:tblGrid>
        <w:gridCol w:w="75"/>
        <w:gridCol w:w="110"/>
        <w:gridCol w:w="60"/>
        <w:gridCol w:w="31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0"/>
              <w:jc w:val="left"/>
              <w:rPr>
                <w:rFonts w:ascii="arial" w:hAnsi="arial"/>
                <w:sz w:val="18"/>
              </w:rPr>
            </w:pPr>
            <w:r>
              <w:rPr>
                <w:rFonts w:ascii="arial" w:hAnsi="arial"/>
                <w:sz w:val="18"/>
              </w:rPr>
              <w:t xml:space="preserve">our ability to maintain our credit rating; </w:t>
            </w:r>
          </w:p>
        </w:tc>
      </w:tr>
    </w:tbl>
    <w:p>
      <w:pPr>
        <w:pStyle w:val="TextBody"/>
        <w:bidi w:val="0"/>
        <w:spacing w:before="0" w:after="0"/>
        <w:jc w:val="left"/>
        <w:rPr/>
      </w:pPr>
      <w:r>
        <w:rPr/>
        <w:t> </w:t>
      </w:r>
    </w:p>
    <w:tbl>
      <w:tblPr>
        <w:tblW w:w="4720" w:type="dxa"/>
        <w:jc w:val="left"/>
        <w:tblInd w:w="0" w:type="dxa"/>
        <w:tblLayout w:type="fixed"/>
        <w:tblCellMar>
          <w:top w:w="0" w:type="dxa"/>
          <w:left w:w="0" w:type="dxa"/>
          <w:bottom w:w="0" w:type="dxa"/>
          <w:right w:w="0" w:type="dxa"/>
        </w:tblCellMar>
      </w:tblPr>
      <w:tblGrid>
        <w:gridCol w:w="75"/>
        <w:gridCol w:w="110"/>
        <w:gridCol w:w="60"/>
        <w:gridCol w:w="44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0"/>
              <w:jc w:val="left"/>
              <w:rPr>
                <w:rFonts w:ascii="arial" w:hAnsi="arial"/>
                <w:sz w:val="18"/>
              </w:rPr>
            </w:pPr>
            <w:r>
              <w:rPr>
                <w:rFonts w:ascii="arial" w:hAnsi="arial"/>
                <w:sz w:val="18"/>
              </w:rPr>
              <w:t xml:space="preserve">our ability to comply with regulatory requirements; and </w:t>
            </w:r>
          </w:p>
        </w:tc>
      </w:tr>
    </w:tbl>
    <w:p>
      <w:pPr>
        <w:pStyle w:val="TextBody"/>
        <w:bidi w:val="0"/>
        <w:spacing w:before="0" w:after="0"/>
        <w:jc w:val="left"/>
        <w:rPr/>
      </w:pPr>
      <w:r>
        <w:rPr/>
        <w:t> </w:t>
      </w:r>
    </w:p>
    <w:tbl>
      <w:tblPr>
        <w:tblW w:w="3955" w:type="dxa"/>
        <w:jc w:val="left"/>
        <w:tblInd w:w="0" w:type="dxa"/>
        <w:tblLayout w:type="fixed"/>
        <w:tblCellMar>
          <w:top w:w="0" w:type="dxa"/>
          <w:left w:w="0" w:type="dxa"/>
          <w:bottom w:w="0" w:type="dxa"/>
          <w:right w:w="0" w:type="dxa"/>
        </w:tblCellMar>
      </w:tblPr>
      <w:tblGrid>
        <w:gridCol w:w="75"/>
        <w:gridCol w:w="110"/>
        <w:gridCol w:w="60"/>
        <w:gridCol w:w="37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3710" w:type="dxa"/>
            <w:tcBorders/>
            <w:vAlign w:val="center"/>
          </w:tcPr>
          <w:p>
            <w:pPr>
              <w:pStyle w:val="TableContents"/>
              <w:bidi w:val="0"/>
              <w:spacing w:before="0" w:after="0"/>
              <w:jc w:val="left"/>
              <w:rPr>
                <w:rFonts w:ascii="arial" w:hAnsi="arial"/>
                <w:sz w:val="18"/>
              </w:rPr>
            </w:pPr>
            <w:r>
              <w:rPr>
                <w:rFonts w:ascii="arial" w:hAnsi="arial"/>
                <w:sz w:val="18"/>
              </w:rPr>
              <w:t xml:space="preserve">legal, tax, trade and other regulatory matters. </w:t>
            </w:r>
          </w:p>
        </w:tc>
      </w:tr>
    </w:tbl>
    <w:p>
      <w:pPr>
        <w:pStyle w:val="TextBody"/>
        <w:bidi w:val="0"/>
        <w:spacing w:before="120" w:after="0"/>
        <w:jc w:val="left"/>
        <w:rPr>
          <w:rFonts w:ascii="arial" w:hAnsi="arial"/>
          <w:sz w:val="18"/>
        </w:rPr>
      </w:pPr>
      <w:r>
        <w:rPr>
          <w:rFonts w:ascii="arial" w:hAnsi="arial"/>
          <w:sz w:val="18"/>
        </w:rPr>
        <w:t xml:space="preserve">Except as may be required by law, we assume no obligation and do not intend to make publicly available any update or other revisions to any of the forward-looking statements contained in this Proxy Statement to reflect circumstances existing after the date of this report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our Annual Report on Form 10-K filed with the SEC on March 22, 2024. </w:t>
      </w:r>
    </w:p>
    <w:p>
      <w:pPr>
        <w:pStyle w:val="TextBody"/>
        <w:bidi w:val="0"/>
        <w:spacing w:before="360" w:after="0"/>
        <w:jc w:val="left"/>
        <w:rPr>
          <w:rFonts w:ascii="arial" w:hAnsi="arial"/>
          <w:sz w:val="30"/>
        </w:rPr>
      </w:pPr>
      <w:r>
        <w:rPr>
          <w:rFonts w:ascii="arial" w:hAnsi="arial"/>
          <w:sz w:val="30"/>
        </w:rPr>
        <w:t xml:space="preserve">References </w:t>
      </w:r>
    </w:p>
    <w:p>
      <w:pPr>
        <w:pStyle w:val="TextBody"/>
        <w:bidi w:val="0"/>
        <w:spacing w:before="120" w:after="0"/>
        <w:jc w:val="left"/>
        <w:rPr/>
      </w:pPr>
      <w:r>
        <w:rPr/>
        <w:t>“</w:t>
      </w:r>
      <w:r>
        <w:rPr>
          <w:rFonts w:ascii="arial" w:hAnsi="arial"/>
          <w:sz w:val="18"/>
        </w:rPr>
        <w:t xml:space="preserve">VS&amp;Co,” “the Company,” “we,” “us,” and “our” refers to Victoria’s Secret &amp; Co. together with its subsidiaries unless the context otherwise requires. Our fiscal year ends on the Saturday nearest to January 31. As used herein, “2023” and “fiscal 2023” refer to the 53-week period ended February 3, 2024, “2022” and “fiscal 2022” refer to the 52-week period ended January 28, 2023, and “2021” and “fiscal 2021” refer to the 52-week period ended January 29, 2022. </w:t>
      </w:r>
    </w:p>
    <w:p>
      <w:pPr>
        <w:pStyle w:val="TextBody"/>
        <w:bidi w:val="0"/>
        <w:spacing w:before="360" w:after="0"/>
        <w:jc w:val="left"/>
        <w:rPr>
          <w:rFonts w:ascii="arial" w:hAnsi="arial"/>
          <w:sz w:val="30"/>
        </w:rPr>
      </w:pPr>
      <w:r>
        <w:rPr>
          <w:rFonts w:ascii="arial" w:hAnsi="arial"/>
          <w:sz w:val="30"/>
        </w:rPr>
        <w:t xml:space="preserve">Non-GAAP Financial Measures </w:t>
      </w:r>
    </w:p>
    <w:p>
      <w:pPr>
        <w:pStyle w:val="TextBody"/>
        <w:bidi w:val="0"/>
        <w:spacing w:before="120" w:after="0"/>
        <w:jc w:val="left"/>
        <w:rPr>
          <w:rFonts w:ascii="arial" w:hAnsi="arial"/>
          <w:sz w:val="18"/>
        </w:rPr>
      </w:pPr>
      <w:r>
        <w:rPr>
          <w:rFonts w:ascii="arial" w:hAnsi="arial"/>
          <w:sz w:val="18"/>
        </w:rPr>
        <w:t xml:space="preserve">In addition to our results provided in accordance with U.S. generally accepted accounting principles (“GAAP”), this Proxy Statement provides non-GAAP financial measures that present gross profit rate, general, administrative, and store operating expenses, operating income, operating income rate, net income per diluted share and free cash flow in fiscal 2023 and fiscal 2022 on an adjusted basis, which remove certain non-recurring, infrequent or unusual items that we believe are not indicative of the results of our ongoing operations due to their size and nature. The intangible asset amortization excluded from these non-GAAP financial measures is excluded because the amortization, unlike the related revenue, is not affected by operations of any particular period unless an intangible asset becomes impaired or the estimated useful life of an intangible asset is </w:t>
      </w:r>
    </w:p>
    <w:p>
      <w:pPr>
        <w:pStyle w:val="TextBody"/>
        <w:bidi w:val="0"/>
        <w:spacing w:before="0" w:after="0"/>
        <w:jc w:val="left"/>
        <w:rPr/>
      </w:pPr>
      <w:r>
        <w:rPr/>
        <w:t> </w:t>
      </w:r>
    </w:p>
    <w:tbl>
      <w:tblPr>
        <w:tblW w:w="2837" w:type="dxa"/>
        <w:jc w:val="left"/>
        <w:tblInd w:w="0" w:type="dxa"/>
        <w:tblLayout w:type="fixed"/>
        <w:tblCellMar>
          <w:top w:w="0" w:type="dxa"/>
          <w:left w:w="0" w:type="dxa"/>
          <w:bottom w:w="0" w:type="dxa"/>
          <w:right w:w="0" w:type="dxa"/>
        </w:tblCellMar>
      </w:tblPr>
      <w:tblGrid>
        <w:gridCol w:w="292"/>
        <w:gridCol w:w="60"/>
        <w:gridCol w:w="38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1" descr=""/>
                          <pic:cNvPicPr>
                            <a:picLocks noChangeAspect="1" noChangeArrowheads="1"/>
                          </pic:cNvPicPr>
                        </pic:nvPicPr>
                        <pic:blipFill>
                          <a:blip r:embed="rId12"/>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color w:val="F7ACBA"/>
              </w:rPr>
            </w:pPr>
            <w:r>
              <w:rPr>
                <w:color w:val="F7ACBA"/>
              </w:rPr>
              <w:t> </w:t>
            </w:r>
            <w:r>
              <w:rPr>
                <w:b/>
                <w:color w:val="F7ACBA"/>
              </w:rPr>
              <w:t>2 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revised. We use adjusted financial information as key performance measures of our results of operations for the purpose of evaluating performance internally. These non-GAAP measurements are not intended to replace the presentation of our financial results in accordance with GAAP. Instead, we believe that the presentation of adjusted financial information provides additional information to investors to facilitate the comparison of past and present operations. Further, our definition of non-GAAP financial measures may differ from similarly titled measures used by other companies. Please see Appendix A of this Proxy Statement for additional detail regarding these non-GAAP financial measures and a reconciliation between each non-GAAP financial measure and the most directly comparable GAAP financial measure. </w:t>
      </w:r>
    </w:p>
    <w:p>
      <w:pPr>
        <w:pStyle w:val="TextBody"/>
        <w:bidi w:val="0"/>
        <w:spacing w:before="0" w:after="0"/>
        <w:jc w:val="left"/>
        <w:rPr/>
      </w:pPr>
      <w:r>
        <w:rPr/>
        <w:t> </w:t>
      </w:r>
    </w:p>
    <w:p>
      <w:pPr>
        <w:pStyle w:val="TextBody"/>
        <w:bidi w:val="0"/>
        <w:spacing w:before="0" w:after="0"/>
        <w:jc w:val="center"/>
        <w:rPr/>
      </w:pPr>
      <w:r>
        <w:rPr/>
        <w:drawing>
          <wp:inline distT="0" distB="0" distL="0" distR="0">
            <wp:extent cx="1567180" cy="1254125"/>
            <wp:effectExtent l="0" t="0" r="0" b="0"/>
            <wp:docPr id="1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2" descr=""/>
                    <pic:cNvPicPr>
                      <a:picLocks noChangeAspect="1" noChangeArrowheads="1"/>
                    </pic:cNvPicPr>
                  </pic:nvPicPr>
                  <pic:blipFill>
                    <a:blip r:embed="rId13"/>
                    <a:stretch>
                      <a:fillRect/>
                    </a:stretch>
                  </pic:blipFill>
                  <pic:spPr bwMode="auto">
                    <a:xfrm>
                      <a:off x="0" y="0"/>
                      <a:ext cx="1567180" cy="12541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tbl>
      <w:tblPr>
        <w:tblW w:w="2837" w:type="dxa"/>
        <w:jc w:val="left"/>
        <w:tblInd w:w="0" w:type="dxa"/>
        <w:tblLayout w:type="fixed"/>
        <w:tblCellMar>
          <w:top w:w="0" w:type="dxa"/>
          <w:left w:w="0" w:type="dxa"/>
          <w:bottom w:w="0" w:type="dxa"/>
          <w:right w:w="0" w:type="dxa"/>
        </w:tblCellMar>
      </w:tblPr>
      <w:tblGrid>
        <w:gridCol w:w="292"/>
        <w:gridCol w:w="60"/>
        <w:gridCol w:w="38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3" descr=""/>
                          <pic:cNvPicPr>
                            <a:picLocks noChangeAspect="1" noChangeArrowheads="1"/>
                          </pic:cNvPicPr>
                        </pic:nvPicPr>
                        <pic:blipFill>
                          <a:blip r:embed="rId14"/>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color w:val="F7ACBA"/>
              </w:rPr>
            </w:pPr>
            <w:r>
              <w:rPr>
                <w:color w:val="F7ACBA"/>
              </w:rPr>
              <w:t> </w:t>
            </w:r>
            <w:r>
              <w:rPr>
                <w:b/>
                <w:color w:val="F7ACBA"/>
              </w:rPr>
              <w:t>3 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center"/>
        <w:rPr>
          <w:rFonts w:ascii="Times New Roman" w:hAnsi="Times New Roman"/>
          <w:i/>
          <w:sz w:val="36"/>
        </w:rPr>
      </w:pPr>
      <w:bookmarkStart w:id="2" w:name="toc"/>
      <w:bookmarkEnd w:id="2"/>
      <w:r>
        <w:rPr>
          <w:rFonts w:ascii="Times New Roman" w:hAnsi="Times New Roman"/>
          <w:i/>
          <w:sz w:val="36"/>
        </w:rPr>
        <w:t xml:space="preserve">Table of </w:t>
      </w:r>
    </w:p>
    <w:p>
      <w:pPr>
        <w:pStyle w:val="TextBody"/>
        <w:bidi w:val="0"/>
        <w:spacing w:before="0" w:after="0"/>
        <w:jc w:val="center"/>
        <w:rPr>
          <w:rFonts w:ascii="Times New Roman" w:hAnsi="Times New Roman"/>
          <w:b/>
          <w:sz w:val="100"/>
        </w:rPr>
      </w:pPr>
      <w:r>
        <w:rPr>
          <w:rFonts w:ascii="Times New Roman" w:hAnsi="Times New Roman"/>
          <w:b/>
          <w:sz w:val="100"/>
        </w:rPr>
        <w:t xml:space="preserve">CONTENTS </w:t>
      </w:r>
    </w:p>
    <w:p>
      <w:pPr>
        <w:pStyle w:val="TextBody"/>
        <w:bidi w:val="0"/>
        <w:spacing w:before="0" w:after="0"/>
        <w:jc w:val="left"/>
        <w:rPr/>
      </w:pPr>
      <w:r>
        <w:rPr/>
        <w:t> </w:t>
      </w:r>
    </w:p>
    <w:p>
      <w:pPr>
        <w:pStyle w:val="TextBody"/>
        <w:pBdr>
          <w:bottom w:val="single" w:sz="2" w:space="1" w:color="000000"/>
        </w:pBdr>
        <w:bidi w:val="0"/>
        <w:spacing w:lineRule="atLeast" w:line="142" w:before="0" w:after="40"/>
        <w:jc w:val="center"/>
        <w:rPr/>
      </w:pPr>
      <w:r>
        <w:rPr/>
        <w:t> </w:t>
      </w:r>
    </w:p>
    <w:p>
      <w:pPr>
        <w:pStyle w:val="TextBody"/>
        <w:bidi w:val="0"/>
        <w:spacing w:before="0" w:after="0"/>
        <w:jc w:val="left"/>
        <w:rPr/>
      </w:pPr>
      <w:r>
        <w:rPr/>
        <w:t> </w:t>
      </w:r>
    </w:p>
    <w:p>
      <w:pPr>
        <w:pStyle w:val="TextBody"/>
        <w:bidi w:val="0"/>
        <w:jc w:val="left"/>
        <w:rPr/>
      </w:pPr>
      <w:r>
        <w:rPr/>
        <w:t> </w:t>
      </w:r>
      <w:r>
        <w:br w:type="page"/>
      </w:r>
      <w:r>
        <mc:AlternateContent>
          <mc:Choice Requires="wps">
            <w:drawing>
              <wp:anchor behindDoc="0" distT="0" distB="0" distL="0" distR="0" simplePos="0" locked="0" layoutInCell="1" allowOverlap="1" relativeHeight="182">
                <wp:simplePos x="0" y="0"/>
                <wp:positionH relativeFrom="column">
                  <wp:align>left</wp:align>
                </wp:positionH>
                <wp:positionV relativeFrom="line">
                  <wp:posOffset>635</wp:posOffset>
                </wp:positionV>
                <wp:extent cx="2008505" cy="9972040"/>
                <wp:effectExtent l="0" t="0" r="0" b="0"/>
                <wp:wrapSquare wrapText="right"/>
                <wp:docPr id="20" name="Frame7"/>
                <a:graphic xmlns:a="http://schemas.openxmlformats.org/drawingml/2006/main">
                  <a:graphicData uri="http://schemas.microsoft.com/office/word/2010/wordprocessingShape">
                    <wps:wsp>
                      <wps:cNvSpPr txBox="1"/>
                      <wps:spPr>
                        <a:xfrm>
                          <a:off x="0" y="0"/>
                          <a:ext cx="2008505" cy="9972040"/>
                        </a:xfrm>
                        <a:prstGeom prst="rect"/>
                        <a:solidFill>
                          <a:srgbClr val="FFFFFF"/>
                        </a:solidFill>
                      </wps:spPr>
                      <wps:txbx>
                        <w:txbxContent>
                          <w:tbl>
                            <w:tblPr>
                              <w:tblW w:w="4548" w:type="dxa"/>
                              <w:jc w:val="left"/>
                              <w:tblInd w:w="0" w:type="dxa"/>
                              <w:tblLayout w:type="fixed"/>
                              <w:tblCellMar>
                                <w:top w:w="0" w:type="dxa"/>
                                <w:left w:w="0" w:type="dxa"/>
                                <w:bottom w:w="0" w:type="dxa"/>
                                <w:right w:w="0" w:type="dxa"/>
                              </w:tblCellMar>
                            </w:tblPr>
                            <w:tblGrid>
                              <w:gridCol w:w="288"/>
                              <w:gridCol w:w="63"/>
                              <w:gridCol w:w="4197"/>
                            </w:tblGrid>
                            <w:tr>
                              <w:trPr/>
                              <w:tc>
                                <w:tcPr>
                                  <w:tcW w:w="28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4197" w:type="dxa"/>
                                  <w:tcBorders/>
                                  <w:vAlign w:val="center"/>
                                </w:tcPr>
                                <w:p>
                                  <w:pPr>
                                    <w:pStyle w:val="TableContents"/>
                                    <w:bidi w:val="0"/>
                                    <w:spacing w:before="0" w:after="283"/>
                                    <w:jc w:val="left"/>
                                    <w:rPr>
                                      <w:sz w:val="4"/>
                                      <w:szCs w:val="4"/>
                                    </w:rPr>
                                  </w:pPr>
                                  <w:r>
                                    <w:rPr>
                                      <w:sz w:val="4"/>
                                      <w:szCs w:val="4"/>
                                    </w:rPr>
                                  </w:r>
                                </w:p>
                              </w:tc>
                            </w:tr>
                            <w:tr>
                              <w:trPr/>
                              <w:tc>
                                <w:tcPr>
                                  <w:tcW w:w="4548" w:type="dxa"/>
                                  <w:gridSpan w:val="3"/>
                                  <w:tcBorders/>
                                  <w:vAlign w:val="center"/>
                                </w:tcPr>
                                <w:p>
                                  <w:pPr>
                                    <w:pStyle w:val="TableContents"/>
                                    <w:bidi w:val="0"/>
                                    <w:spacing w:before="0" w:after="283"/>
                                    <w:jc w:val="left"/>
                                    <w:rPr>
                                      <w:rFonts w:ascii="Times New Roman" w:hAnsi="Times New Roman"/>
                                      <w:i/>
                                      <w:color w:val="F7ACBA"/>
                                      <w:sz w:val="50"/>
                                    </w:rPr>
                                  </w:pPr>
                                  <w:r>
                                    <w:rPr>
                                      <w:rFonts w:ascii="Times New Roman" w:hAnsi="Times New Roman"/>
                                      <w:i/>
                                      <w:color w:val="F7ACBA"/>
                                      <w:sz w:val="50"/>
                                    </w:rPr>
                                    <w:t>1</w:t>
                                  </w:r>
                                </w:p>
                              </w:tc>
                            </w:tr>
                            <w:tr>
                              <w:trPr/>
                              <w:tc>
                                <w:tcPr>
                                  <w:tcW w:w="4548" w:type="dxa"/>
                                  <w:gridSpan w:val="3"/>
                                  <w:tcBorders/>
                                  <w:vAlign w:val="center"/>
                                </w:tcPr>
                                <w:p>
                                  <w:pPr>
                                    <w:pStyle w:val="TableContents"/>
                                    <w:bidi w:val="0"/>
                                    <w:spacing w:before="0" w:after="283"/>
                                    <w:jc w:val="left"/>
                                    <w:rPr/>
                                  </w:pPr>
                                  <w:hyperlink w:anchor="toc540996_1">
                                    <w:r>
                                      <w:rPr>
                                        <w:rStyle w:val="InternetLink"/>
                                        <w:b/>
                                      </w:rPr>
                                      <w:t>Proxy Summary</w:t>
                                    </w:r>
                                  </w:hyperlink>
                                </w:p>
                              </w:tc>
                            </w:tr>
                            <w:tr>
                              <w:trPr/>
                              <w:tc>
                                <w:tcPr>
                                  <w:tcW w:w="4548" w:type="dxa"/>
                                  <w:gridSpan w:val="3"/>
                                  <w:tcBorders/>
                                  <w:vAlign w:val="center"/>
                                </w:tcPr>
                                <w:p>
                                  <w:pPr>
                                    <w:pStyle w:val="TableContents"/>
                                    <w:bidi w:val="0"/>
                                    <w:spacing w:before="0" w:after="283"/>
                                    <w:jc w:val="left"/>
                                    <w:rPr>
                                      <w:sz w:val="4"/>
                                      <w:szCs w:val="4"/>
                                    </w:rPr>
                                  </w:pPr>
                                  <w:r>
                                    <w:rPr>
                                      <w:sz w:val="4"/>
                                      <w:szCs w:val="4"/>
                                    </w:rPr>
                                  </w:r>
                                </w:p>
                              </w:tc>
                            </w:tr>
                            <w:tr>
                              <w:trPr/>
                              <w:tc>
                                <w:tcPr>
                                  <w:tcW w:w="4548" w:type="dxa"/>
                                  <w:gridSpan w:val="3"/>
                                  <w:tcBorders/>
                                  <w:vAlign w:val="center"/>
                                </w:tcPr>
                                <w:p>
                                  <w:pPr>
                                    <w:pStyle w:val="TableContents"/>
                                    <w:bidi w:val="0"/>
                                    <w:spacing w:before="0" w:after="283"/>
                                    <w:jc w:val="left"/>
                                    <w:rPr>
                                      <w:rFonts w:ascii="Times New Roman" w:hAnsi="Times New Roman"/>
                                      <w:i/>
                                      <w:color w:val="F7ACBA"/>
                                      <w:sz w:val="50"/>
                                    </w:rPr>
                                  </w:pPr>
                                  <w:r>
                                    <w:rPr>
                                      <w:rFonts w:ascii="Times New Roman" w:hAnsi="Times New Roman"/>
                                      <w:i/>
                                      <w:color w:val="F7ACBA"/>
                                      <w:sz w:val="50"/>
                                    </w:rPr>
                                    <w:t>8</w:t>
                                  </w:r>
                                </w:p>
                              </w:tc>
                            </w:tr>
                            <w:tr>
                              <w:trPr/>
                              <w:tc>
                                <w:tcPr>
                                  <w:tcW w:w="4548" w:type="dxa"/>
                                  <w:gridSpan w:val="3"/>
                                  <w:tcBorders/>
                                  <w:vAlign w:val="center"/>
                                </w:tcPr>
                                <w:p>
                                  <w:pPr>
                                    <w:pStyle w:val="TableContents"/>
                                    <w:bidi w:val="0"/>
                                    <w:spacing w:before="0" w:after="283"/>
                                    <w:jc w:val="left"/>
                                    <w:rPr/>
                                  </w:pPr>
                                  <w:hyperlink w:anchor="toc540996_2">
                                    <w:r>
                                      <w:rPr>
                                        <w:rStyle w:val="InternetLink"/>
                                        <w:b/>
                                      </w:rPr>
                                      <w:t>PROPOSAL ONE:</w:t>
                                      <w:br/>
                                      <w:t xml:space="preserve">Election of Directors </w:t>
                                    </w:r>
                                  </w:hyperlink>
                                </w:p>
                              </w:tc>
                            </w:tr>
                            <w:tr>
                              <w:trPr/>
                              <w:tc>
                                <w:tcPr>
                                  <w:tcW w:w="288" w:type="dxa"/>
                                  <w:tcBorders/>
                                  <w:vAlign w:val="center"/>
                                </w:tcPr>
                                <w:p>
                                  <w:pPr>
                                    <w:pStyle w:val="TableContents"/>
                                    <w:bidi w:val="0"/>
                                    <w:spacing w:before="0" w:after="283"/>
                                    <w:jc w:val="left"/>
                                    <w:rPr>
                                      <w:sz w:val="4"/>
                                      <w:szCs w:val="4"/>
                                    </w:rPr>
                                  </w:pPr>
                                  <w:r>
                                    <w:rPr>
                                      <w:sz w:val="4"/>
                                      <w:szCs w:val="4"/>
                                    </w:rPr>
                                  </w:r>
                                </w:p>
                              </w:tc>
                              <w:tc>
                                <w:tcPr>
                                  <w:tcW w:w="4260" w:type="dxa"/>
                                  <w:gridSpan w:val="2"/>
                                  <w:tcBorders/>
                                  <w:vAlign w:val="center"/>
                                </w:tcPr>
                                <w:p>
                                  <w:pPr>
                                    <w:pStyle w:val="TableContents"/>
                                    <w:bidi w:val="0"/>
                                    <w:spacing w:before="0" w:after="283"/>
                                    <w:jc w:val="left"/>
                                    <w:rPr>
                                      <w:sz w:val="4"/>
                                      <w:szCs w:val="4"/>
                                    </w:rPr>
                                  </w:pPr>
                                  <w:r>
                                    <w:rPr>
                                      <w:sz w:val="4"/>
                                      <w:szCs w:val="4"/>
                                    </w:rPr>
                                  </w:r>
                                </w:p>
                              </w:tc>
                            </w:tr>
                            <w:tr>
                              <w:trPr/>
                              <w:tc>
                                <w:tcPr>
                                  <w:tcW w:w="288" w:type="dxa"/>
                                  <w:tcBorders/>
                                  <w:vAlign w:val="center"/>
                                </w:tcPr>
                                <w:p>
                                  <w:pPr>
                                    <w:pStyle w:val="TableContents"/>
                                    <w:bidi w:val="0"/>
                                    <w:spacing w:before="0" w:after="283"/>
                                    <w:jc w:val="right"/>
                                    <w:rPr/>
                                  </w:pPr>
                                  <w:r>
                                    <w:rPr/>
                                    <w:t>9</w:t>
                                  </w:r>
                                </w:p>
                              </w:tc>
                              <w:tc>
                                <w:tcPr>
                                  <w:tcW w:w="63" w:type="dxa"/>
                                  <w:tcBorders/>
                                  <w:vAlign w:val="center"/>
                                </w:tcPr>
                                <w:p>
                                  <w:pPr>
                                    <w:pStyle w:val="TableContents"/>
                                    <w:bidi w:val="0"/>
                                    <w:spacing w:before="0" w:after="283"/>
                                    <w:jc w:val="left"/>
                                    <w:rPr/>
                                  </w:pPr>
                                  <w:r>
                                    <w:rPr/>
                                    <w:t> </w:t>
                                  </w:r>
                                </w:p>
                              </w:tc>
                              <w:tc>
                                <w:tcPr>
                                  <w:tcW w:w="4197" w:type="dxa"/>
                                  <w:tcBorders/>
                                  <w:vAlign w:val="center"/>
                                </w:tcPr>
                                <w:p>
                                  <w:pPr>
                                    <w:pStyle w:val="TableContents"/>
                                    <w:bidi w:val="0"/>
                                    <w:spacing w:before="0" w:after="0"/>
                                    <w:jc w:val="left"/>
                                    <w:rPr/>
                                  </w:pPr>
                                  <w:hyperlink w:anchor="toc540996_3">
                                    <w:r>
                                      <w:rPr>
                                        <w:rStyle w:val="InternetLink"/>
                                        <w:rFonts w:ascii="arial" w:hAnsi="arial"/>
                                        <w:sz w:val="20"/>
                                      </w:rPr>
                                      <w:t xml:space="preserve">Director Nominees </w:t>
                                    </w:r>
                                  </w:hyperlink>
                                </w:p>
                              </w:tc>
                            </w:tr>
                            <w:tr>
                              <w:trPr/>
                              <w:tc>
                                <w:tcPr>
                                  <w:tcW w:w="4548" w:type="dxa"/>
                                  <w:gridSpan w:val="3"/>
                                  <w:tcBorders/>
                                  <w:vAlign w:val="center"/>
                                </w:tcPr>
                                <w:p>
                                  <w:pPr>
                                    <w:pStyle w:val="TableContents"/>
                                    <w:bidi w:val="0"/>
                                    <w:spacing w:before="0" w:after="283"/>
                                    <w:jc w:val="left"/>
                                    <w:rPr>
                                      <w:sz w:val="4"/>
                                      <w:szCs w:val="4"/>
                                    </w:rPr>
                                  </w:pPr>
                                  <w:r>
                                    <w:rPr>
                                      <w:sz w:val="4"/>
                                      <w:szCs w:val="4"/>
                                    </w:rPr>
                                  </w:r>
                                </w:p>
                              </w:tc>
                            </w:tr>
                            <w:tr>
                              <w:trPr/>
                              <w:tc>
                                <w:tcPr>
                                  <w:tcW w:w="4548" w:type="dxa"/>
                                  <w:gridSpan w:val="3"/>
                                  <w:tcBorders/>
                                  <w:vAlign w:val="center"/>
                                </w:tcPr>
                                <w:p>
                                  <w:pPr>
                                    <w:pStyle w:val="TableContents"/>
                                    <w:bidi w:val="0"/>
                                    <w:spacing w:before="0" w:after="283"/>
                                    <w:jc w:val="left"/>
                                    <w:rPr>
                                      <w:rFonts w:ascii="Times New Roman" w:hAnsi="Times New Roman"/>
                                      <w:i/>
                                      <w:color w:val="F7ACBA"/>
                                      <w:sz w:val="50"/>
                                    </w:rPr>
                                  </w:pPr>
                                  <w:r>
                                    <w:rPr>
                                      <w:rFonts w:ascii="Times New Roman" w:hAnsi="Times New Roman"/>
                                      <w:i/>
                                      <w:color w:val="F7ACBA"/>
                                      <w:sz w:val="50"/>
                                    </w:rPr>
                                    <w:t>18</w:t>
                                  </w:r>
                                </w:p>
                              </w:tc>
                            </w:tr>
                            <w:tr>
                              <w:trPr/>
                              <w:tc>
                                <w:tcPr>
                                  <w:tcW w:w="4548" w:type="dxa"/>
                                  <w:gridSpan w:val="3"/>
                                  <w:tcBorders/>
                                  <w:vAlign w:val="center"/>
                                </w:tcPr>
                                <w:p>
                                  <w:pPr>
                                    <w:pStyle w:val="TableContents"/>
                                    <w:bidi w:val="0"/>
                                    <w:spacing w:before="0" w:after="283"/>
                                    <w:jc w:val="left"/>
                                    <w:rPr/>
                                  </w:pPr>
                                  <w:hyperlink w:anchor="toc540996_4">
                                    <w:r>
                                      <w:rPr>
                                        <w:rStyle w:val="InternetLink"/>
                                        <w:b/>
                                      </w:rPr>
                                      <w:t xml:space="preserve">Corporate Governance </w:t>
                                    </w:r>
                                  </w:hyperlink>
                                </w:p>
                              </w:tc>
                            </w:tr>
                            <w:tr>
                              <w:trPr/>
                              <w:tc>
                                <w:tcPr>
                                  <w:tcW w:w="288" w:type="dxa"/>
                                  <w:tcBorders/>
                                  <w:vAlign w:val="center"/>
                                </w:tcPr>
                                <w:p>
                                  <w:pPr>
                                    <w:pStyle w:val="TableContents"/>
                                    <w:bidi w:val="0"/>
                                    <w:spacing w:before="0" w:after="283"/>
                                    <w:jc w:val="left"/>
                                    <w:rPr>
                                      <w:sz w:val="4"/>
                                      <w:szCs w:val="4"/>
                                    </w:rPr>
                                  </w:pPr>
                                  <w:r>
                                    <w:rPr>
                                      <w:sz w:val="4"/>
                                      <w:szCs w:val="4"/>
                                    </w:rPr>
                                  </w:r>
                                </w:p>
                              </w:tc>
                              <w:tc>
                                <w:tcPr>
                                  <w:tcW w:w="4260" w:type="dxa"/>
                                  <w:gridSpan w:val="2"/>
                                  <w:tcBorders/>
                                  <w:vAlign w:val="center"/>
                                </w:tcPr>
                                <w:p>
                                  <w:pPr>
                                    <w:pStyle w:val="TableContents"/>
                                    <w:bidi w:val="0"/>
                                    <w:spacing w:before="0" w:after="283"/>
                                    <w:jc w:val="left"/>
                                    <w:rPr>
                                      <w:sz w:val="4"/>
                                      <w:szCs w:val="4"/>
                                    </w:rPr>
                                  </w:pPr>
                                  <w:r>
                                    <w:rPr>
                                      <w:sz w:val="4"/>
                                      <w:szCs w:val="4"/>
                                    </w:rPr>
                                  </w:r>
                                </w:p>
                              </w:tc>
                            </w:tr>
                            <w:tr>
                              <w:trPr/>
                              <w:tc>
                                <w:tcPr>
                                  <w:tcW w:w="288" w:type="dxa"/>
                                  <w:tcBorders/>
                                  <w:vAlign w:val="center"/>
                                </w:tcPr>
                                <w:p>
                                  <w:pPr>
                                    <w:pStyle w:val="TableContents"/>
                                    <w:bidi w:val="0"/>
                                    <w:spacing w:before="0" w:after="283"/>
                                    <w:jc w:val="right"/>
                                    <w:rPr/>
                                  </w:pPr>
                                  <w:r>
                                    <w:rPr/>
                                    <w:t>18</w:t>
                                  </w:r>
                                </w:p>
                              </w:tc>
                              <w:tc>
                                <w:tcPr>
                                  <w:tcW w:w="63" w:type="dxa"/>
                                  <w:tcBorders/>
                                  <w:vAlign w:val="center"/>
                                </w:tcPr>
                                <w:p>
                                  <w:pPr>
                                    <w:pStyle w:val="TableContents"/>
                                    <w:bidi w:val="0"/>
                                    <w:spacing w:before="0" w:after="283"/>
                                    <w:jc w:val="left"/>
                                    <w:rPr/>
                                  </w:pPr>
                                  <w:r>
                                    <w:rPr/>
                                    <w:t> </w:t>
                                  </w:r>
                                </w:p>
                              </w:tc>
                              <w:tc>
                                <w:tcPr>
                                  <w:tcW w:w="4197" w:type="dxa"/>
                                  <w:tcBorders/>
                                  <w:vAlign w:val="center"/>
                                </w:tcPr>
                                <w:p>
                                  <w:pPr>
                                    <w:pStyle w:val="TableContents"/>
                                    <w:bidi w:val="0"/>
                                    <w:spacing w:before="0" w:after="0"/>
                                    <w:jc w:val="left"/>
                                    <w:rPr/>
                                  </w:pPr>
                                  <w:hyperlink w:anchor="toc540996_5">
                                    <w:r>
                                      <w:rPr>
                                        <w:rStyle w:val="InternetLink"/>
                                        <w:rFonts w:ascii="arial" w:hAnsi="arial"/>
                                        <w:sz w:val="20"/>
                                      </w:rPr>
                                      <w:t>Role of the Board</w:t>
                                    </w:r>
                                  </w:hyperlink>
                                </w:p>
                              </w:tc>
                            </w:tr>
                            <w:tr>
                              <w:trPr/>
                              <w:tc>
                                <w:tcPr>
                                  <w:tcW w:w="288" w:type="dxa"/>
                                  <w:tcBorders/>
                                  <w:vAlign w:val="center"/>
                                </w:tcPr>
                                <w:p>
                                  <w:pPr>
                                    <w:pStyle w:val="TableContents"/>
                                    <w:bidi w:val="0"/>
                                    <w:spacing w:before="0" w:after="283"/>
                                    <w:jc w:val="left"/>
                                    <w:rPr>
                                      <w:sz w:val="4"/>
                                      <w:szCs w:val="4"/>
                                    </w:rPr>
                                  </w:pPr>
                                  <w:r>
                                    <w:rPr>
                                      <w:sz w:val="4"/>
                                      <w:szCs w:val="4"/>
                                    </w:rPr>
                                  </w:r>
                                </w:p>
                              </w:tc>
                              <w:tc>
                                <w:tcPr>
                                  <w:tcW w:w="4260" w:type="dxa"/>
                                  <w:gridSpan w:val="2"/>
                                  <w:tcBorders/>
                                  <w:vAlign w:val="center"/>
                                </w:tcPr>
                                <w:p>
                                  <w:pPr>
                                    <w:pStyle w:val="TableContents"/>
                                    <w:bidi w:val="0"/>
                                    <w:spacing w:before="0" w:after="283"/>
                                    <w:jc w:val="left"/>
                                    <w:rPr>
                                      <w:sz w:val="4"/>
                                      <w:szCs w:val="4"/>
                                    </w:rPr>
                                  </w:pPr>
                                  <w:r>
                                    <w:rPr>
                                      <w:sz w:val="4"/>
                                      <w:szCs w:val="4"/>
                                    </w:rPr>
                                  </w:r>
                                </w:p>
                              </w:tc>
                            </w:tr>
                            <w:tr>
                              <w:trPr/>
                              <w:tc>
                                <w:tcPr>
                                  <w:tcW w:w="288" w:type="dxa"/>
                                  <w:tcBorders/>
                                  <w:vAlign w:val="center"/>
                                </w:tcPr>
                                <w:p>
                                  <w:pPr>
                                    <w:pStyle w:val="TableContents"/>
                                    <w:bidi w:val="0"/>
                                    <w:spacing w:before="0" w:after="283"/>
                                    <w:jc w:val="right"/>
                                    <w:rPr/>
                                  </w:pPr>
                                  <w:r>
                                    <w:rPr/>
                                    <w:t>20</w:t>
                                  </w:r>
                                </w:p>
                              </w:tc>
                              <w:tc>
                                <w:tcPr>
                                  <w:tcW w:w="63" w:type="dxa"/>
                                  <w:tcBorders/>
                                  <w:vAlign w:val="center"/>
                                </w:tcPr>
                                <w:p>
                                  <w:pPr>
                                    <w:pStyle w:val="TableContents"/>
                                    <w:bidi w:val="0"/>
                                    <w:spacing w:before="0" w:after="283"/>
                                    <w:jc w:val="left"/>
                                    <w:rPr/>
                                  </w:pPr>
                                  <w:r>
                                    <w:rPr/>
                                    <w:t> </w:t>
                                  </w:r>
                                </w:p>
                              </w:tc>
                              <w:tc>
                                <w:tcPr>
                                  <w:tcW w:w="4197" w:type="dxa"/>
                                  <w:tcBorders/>
                                  <w:vAlign w:val="center"/>
                                </w:tcPr>
                                <w:p>
                                  <w:pPr>
                                    <w:pStyle w:val="TableContents"/>
                                    <w:bidi w:val="0"/>
                                    <w:spacing w:before="0" w:after="0"/>
                                    <w:jc w:val="left"/>
                                    <w:rPr/>
                                  </w:pPr>
                                  <w:hyperlink w:anchor="toc540996_6">
                                    <w:r>
                                      <w:rPr>
                                        <w:rStyle w:val="InternetLink"/>
                                        <w:rFonts w:ascii="arial" w:hAnsi="arial"/>
                                        <w:sz w:val="20"/>
                                      </w:rPr>
                                      <w:t>Board Composition</w:t>
                                    </w:r>
                                  </w:hyperlink>
                                </w:p>
                              </w:tc>
                            </w:tr>
                            <w:tr>
                              <w:trPr/>
                              <w:tc>
                                <w:tcPr>
                                  <w:tcW w:w="288" w:type="dxa"/>
                                  <w:tcBorders/>
                                  <w:vAlign w:val="center"/>
                                </w:tcPr>
                                <w:p>
                                  <w:pPr>
                                    <w:pStyle w:val="TableContents"/>
                                    <w:bidi w:val="0"/>
                                    <w:spacing w:before="0" w:after="283"/>
                                    <w:jc w:val="left"/>
                                    <w:rPr>
                                      <w:sz w:val="4"/>
                                      <w:szCs w:val="4"/>
                                    </w:rPr>
                                  </w:pPr>
                                  <w:r>
                                    <w:rPr>
                                      <w:sz w:val="4"/>
                                      <w:szCs w:val="4"/>
                                    </w:rPr>
                                  </w:r>
                                </w:p>
                              </w:tc>
                              <w:tc>
                                <w:tcPr>
                                  <w:tcW w:w="4260" w:type="dxa"/>
                                  <w:gridSpan w:val="2"/>
                                  <w:tcBorders/>
                                  <w:vAlign w:val="center"/>
                                </w:tcPr>
                                <w:p>
                                  <w:pPr>
                                    <w:pStyle w:val="TableContents"/>
                                    <w:bidi w:val="0"/>
                                    <w:spacing w:before="0" w:after="283"/>
                                    <w:jc w:val="left"/>
                                    <w:rPr>
                                      <w:sz w:val="4"/>
                                      <w:szCs w:val="4"/>
                                    </w:rPr>
                                  </w:pPr>
                                  <w:r>
                                    <w:rPr>
                                      <w:sz w:val="4"/>
                                      <w:szCs w:val="4"/>
                                    </w:rPr>
                                  </w:r>
                                </w:p>
                              </w:tc>
                            </w:tr>
                            <w:tr>
                              <w:trPr/>
                              <w:tc>
                                <w:tcPr>
                                  <w:tcW w:w="288" w:type="dxa"/>
                                  <w:tcBorders/>
                                  <w:vAlign w:val="center"/>
                                </w:tcPr>
                                <w:p>
                                  <w:pPr>
                                    <w:pStyle w:val="TableContents"/>
                                    <w:bidi w:val="0"/>
                                    <w:spacing w:before="0" w:after="283"/>
                                    <w:jc w:val="right"/>
                                    <w:rPr/>
                                  </w:pPr>
                                  <w:r>
                                    <w:rPr/>
                                    <w:t>25</w:t>
                                  </w:r>
                                </w:p>
                              </w:tc>
                              <w:tc>
                                <w:tcPr>
                                  <w:tcW w:w="63" w:type="dxa"/>
                                  <w:tcBorders/>
                                  <w:vAlign w:val="center"/>
                                </w:tcPr>
                                <w:p>
                                  <w:pPr>
                                    <w:pStyle w:val="TableContents"/>
                                    <w:bidi w:val="0"/>
                                    <w:spacing w:before="0" w:after="283"/>
                                    <w:jc w:val="left"/>
                                    <w:rPr/>
                                  </w:pPr>
                                  <w:r>
                                    <w:rPr/>
                                    <w:t> </w:t>
                                  </w:r>
                                </w:p>
                              </w:tc>
                              <w:tc>
                                <w:tcPr>
                                  <w:tcW w:w="4197" w:type="dxa"/>
                                  <w:tcBorders/>
                                  <w:vAlign w:val="center"/>
                                </w:tcPr>
                                <w:p>
                                  <w:pPr>
                                    <w:pStyle w:val="TableContents"/>
                                    <w:bidi w:val="0"/>
                                    <w:spacing w:before="0" w:after="0"/>
                                    <w:jc w:val="left"/>
                                    <w:rPr/>
                                  </w:pPr>
                                  <w:hyperlink w:anchor="toc540996_7">
                                    <w:r>
                                      <w:rPr>
                                        <w:rStyle w:val="InternetLink"/>
                                        <w:rFonts w:ascii="arial" w:hAnsi="arial"/>
                                        <w:sz w:val="20"/>
                                      </w:rPr>
                                      <w:t>Board Policies and Practices</w:t>
                                    </w:r>
                                  </w:hyperlink>
                                </w:p>
                              </w:tc>
                            </w:tr>
                            <w:tr>
                              <w:trPr/>
                              <w:tc>
                                <w:tcPr>
                                  <w:tcW w:w="288" w:type="dxa"/>
                                  <w:tcBorders/>
                                  <w:vAlign w:val="center"/>
                                </w:tcPr>
                                <w:p>
                                  <w:pPr>
                                    <w:pStyle w:val="TableContents"/>
                                    <w:bidi w:val="0"/>
                                    <w:spacing w:before="0" w:after="283"/>
                                    <w:jc w:val="left"/>
                                    <w:rPr>
                                      <w:sz w:val="4"/>
                                      <w:szCs w:val="4"/>
                                    </w:rPr>
                                  </w:pPr>
                                  <w:r>
                                    <w:rPr>
                                      <w:sz w:val="4"/>
                                      <w:szCs w:val="4"/>
                                    </w:rPr>
                                  </w:r>
                                </w:p>
                              </w:tc>
                              <w:tc>
                                <w:tcPr>
                                  <w:tcW w:w="4260" w:type="dxa"/>
                                  <w:gridSpan w:val="2"/>
                                  <w:tcBorders/>
                                  <w:vAlign w:val="center"/>
                                </w:tcPr>
                                <w:p>
                                  <w:pPr>
                                    <w:pStyle w:val="TableContents"/>
                                    <w:bidi w:val="0"/>
                                    <w:spacing w:before="0" w:after="283"/>
                                    <w:jc w:val="left"/>
                                    <w:rPr>
                                      <w:sz w:val="4"/>
                                      <w:szCs w:val="4"/>
                                    </w:rPr>
                                  </w:pPr>
                                  <w:r>
                                    <w:rPr>
                                      <w:sz w:val="4"/>
                                      <w:szCs w:val="4"/>
                                    </w:rPr>
                                  </w:r>
                                </w:p>
                              </w:tc>
                            </w:tr>
                            <w:tr>
                              <w:trPr/>
                              <w:tc>
                                <w:tcPr>
                                  <w:tcW w:w="288" w:type="dxa"/>
                                  <w:tcBorders/>
                                  <w:vAlign w:val="center"/>
                                </w:tcPr>
                                <w:p>
                                  <w:pPr>
                                    <w:pStyle w:val="TableContents"/>
                                    <w:bidi w:val="0"/>
                                    <w:spacing w:before="0" w:after="283"/>
                                    <w:jc w:val="right"/>
                                    <w:rPr/>
                                  </w:pPr>
                                  <w:r>
                                    <w:rPr/>
                                    <w:t>27</w:t>
                                  </w:r>
                                </w:p>
                              </w:tc>
                              <w:tc>
                                <w:tcPr>
                                  <w:tcW w:w="63" w:type="dxa"/>
                                  <w:tcBorders/>
                                  <w:vAlign w:val="center"/>
                                </w:tcPr>
                                <w:p>
                                  <w:pPr>
                                    <w:pStyle w:val="TableContents"/>
                                    <w:bidi w:val="0"/>
                                    <w:spacing w:before="0" w:after="283"/>
                                    <w:jc w:val="left"/>
                                    <w:rPr/>
                                  </w:pPr>
                                  <w:r>
                                    <w:rPr/>
                                    <w:t> </w:t>
                                  </w:r>
                                </w:p>
                              </w:tc>
                              <w:tc>
                                <w:tcPr>
                                  <w:tcW w:w="4197" w:type="dxa"/>
                                  <w:tcBorders/>
                                  <w:vAlign w:val="center"/>
                                </w:tcPr>
                                <w:p>
                                  <w:pPr>
                                    <w:pStyle w:val="TableContents"/>
                                    <w:bidi w:val="0"/>
                                    <w:spacing w:before="0" w:after="0"/>
                                    <w:jc w:val="left"/>
                                    <w:rPr/>
                                  </w:pPr>
                                  <w:hyperlink w:anchor="toc540996_8">
                                    <w:r>
                                      <w:rPr>
                                        <w:rStyle w:val="InternetLink"/>
                                        <w:rFonts w:ascii="arial" w:hAnsi="arial"/>
                                        <w:sz w:val="20"/>
                                      </w:rPr>
                                      <w:t>Board Committees</w:t>
                                    </w:r>
                                  </w:hyperlink>
                                </w:p>
                              </w:tc>
                            </w:tr>
                            <w:tr>
                              <w:trPr/>
                              <w:tc>
                                <w:tcPr>
                                  <w:tcW w:w="288" w:type="dxa"/>
                                  <w:tcBorders/>
                                  <w:vAlign w:val="center"/>
                                </w:tcPr>
                                <w:p>
                                  <w:pPr>
                                    <w:pStyle w:val="TableContents"/>
                                    <w:bidi w:val="0"/>
                                    <w:spacing w:before="0" w:after="283"/>
                                    <w:jc w:val="left"/>
                                    <w:rPr>
                                      <w:sz w:val="4"/>
                                      <w:szCs w:val="4"/>
                                    </w:rPr>
                                  </w:pPr>
                                  <w:r>
                                    <w:rPr>
                                      <w:sz w:val="4"/>
                                      <w:szCs w:val="4"/>
                                    </w:rPr>
                                  </w:r>
                                </w:p>
                              </w:tc>
                              <w:tc>
                                <w:tcPr>
                                  <w:tcW w:w="4260" w:type="dxa"/>
                                  <w:gridSpan w:val="2"/>
                                  <w:tcBorders/>
                                  <w:vAlign w:val="center"/>
                                </w:tcPr>
                                <w:p>
                                  <w:pPr>
                                    <w:pStyle w:val="TableContents"/>
                                    <w:bidi w:val="0"/>
                                    <w:spacing w:before="0" w:after="283"/>
                                    <w:jc w:val="left"/>
                                    <w:rPr>
                                      <w:sz w:val="4"/>
                                      <w:szCs w:val="4"/>
                                    </w:rPr>
                                  </w:pPr>
                                  <w:r>
                                    <w:rPr>
                                      <w:sz w:val="4"/>
                                      <w:szCs w:val="4"/>
                                    </w:rPr>
                                  </w:r>
                                </w:p>
                              </w:tc>
                            </w:tr>
                            <w:tr>
                              <w:trPr/>
                              <w:tc>
                                <w:tcPr>
                                  <w:tcW w:w="288" w:type="dxa"/>
                                  <w:tcBorders/>
                                  <w:vAlign w:val="center"/>
                                </w:tcPr>
                                <w:p>
                                  <w:pPr>
                                    <w:pStyle w:val="TableContents"/>
                                    <w:bidi w:val="0"/>
                                    <w:spacing w:before="0" w:after="283"/>
                                    <w:jc w:val="right"/>
                                    <w:rPr/>
                                  </w:pPr>
                                  <w:r>
                                    <w:rPr/>
                                    <w:t>30</w:t>
                                  </w:r>
                                </w:p>
                              </w:tc>
                              <w:tc>
                                <w:tcPr>
                                  <w:tcW w:w="63" w:type="dxa"/>
                                  <w:tcBorders/>
                                  <w:vAlign w:val="center"/>
                                </w:tcPr>
                                <w:p>
                                  <w:pPr>
                                    <w:pStyle w:val="TableContents"/>
                                    <w:bidi w:val="0"/>
                                    <w:spacing w:before="0" w:after="283"/>
                                    <w:jc w:val="left"/>
                                    <w:rPr/>
                                  </w:pPr>
                                  <w:r>
                                    <w:rPr/>
                                    <w:t> </w:t>
                                  </w:r>
                                </w:p>
                              </w:tc>
                              <w:tc>
                                <w:tcPr>
                                  <w:tcW w:w="4197" w:type="dxa"/>
                                  <w:tcBorders/>
                                  <w:vAlign w:val="center"/>
                                </w:tcPr>
                                <w:p>
                                  <w:pPr>
                                    <w:pStyle w:val="TableContents"/>
                                    <w:bidi w:val="0"/>
                                    <w:spacing w:before="0" w:after="0"/>
                                    <w:jc w:val="left"/>
                                    <w:rPr/>
                                  </w:pPr>
                                  <w:hyperlink w:anchor="toc540996_9">
                                    <w:r>
                                      <w:rPr>
                                        <w:rStyle w:val="InternetLink"/>
                                        <w:rFonts w:ascii="arial" w:hAnsi="arial"/>
                                        <w:sz w:val="20"/>
                                      </w:rPr>
                                      <w:t>Corporate Governance Policies and Practices</w:t>
                                    </w:r>
                                  </w:hyperlink>
                                </w:p>
                              </w:tc>
                            </w:tr>
                            <w:tr>
                              <w:trPr/>
                              <w:tc>
                                <w:tcPr>
                                  <w:tcW w:w="288" w:type="dxa"/>
                                  <w:tcBorders/>
                                  <w:vAlign w:val="center"/>
                                </w:tcPr>
                                <w:p>
                                  <w:pPr>
                                    <w:pStyle w:val="TableContents"/>
                                    <w:bidi w:val="0"/>
                                    <w:spacing w:before="0" w:after="283"/>
                                    <w:jc w:val="left"/>
                                    <w:rPr>
                                      <w:sz w:val="4"/>
                                      <w:szCs w:val="4"/>
                                    </w:rPr>
                                  </w:pPr>
                                  <w:r>
                                    <w:rPr>
                                      <w:sz w:val="4"/>
                                      <w:szCs w:val="4"/>
                                    </w:rPr>
                                  </w:r>
                                </w:p>
                              </w:tc>
                              <w:tc>
                                <w:tcPr>
                                  <w:tcW w:w="4260" w:type="dxa"/>
                                  <w:gridSpan w:val="2"/>
                                  <w:tcBorders/>
                                  <w:vAlign w:val="center"/>
                                </w:tcPr>
                                <w:p>
                                  <w:pPr>
                                    <w:pStyle w:val="TableContents"/>
                                    <w:bidi w:val="0"/>
                                    <w:spacing w:before="0" w:after="283"/>
                                    <w:jc w:val="left"/>
                                    <w:rPr>
                                      <w:sz w:val="4"/>
                                      <w:szCs w:val="4"/>
                                    </w:rPr>
                                  </w:pPr>
                                  <w:r>
                                    <w:rPr>
                                      <w:sz w:val="4"/>
                                      <w:szCs w:val="4"/>
                                    </w:rPr>
                                  </w:r>
                                </w:p>
                              </w:tc>
                            </w:tr>
                            <w:tr>
                              <w:trPr/>
                              <w:tc>
                                <w:tcPr>
                                  <w:tcW w:w="288" w:type="dxa"/>
                                  <w:tcBorders/>
                                  <w:vAlign w:val="center"/>
                                </w:tcPr>
                                <w:p>
                                  <w:pPr>
                                    <w:pStyle w:val="TableContents"/>
                                    <w:bidi w:val="0"/>
                                    <w:spacing w:before="0" w:after="283"/>
                                    <w:jc w:val="right"/>
                                    <w:rPr/>
                                  </w:pPr>
                                  <w:r>
                                    <w:rPr/>
                                    <w:t>32</w:t>
                                  </w:r>
                                </w:p>
                              </w:tc>
                              <w:tc>
                                <w:tcPr>
                                  <w:tcW w:w="63" w:type="dxa"/>
                                  <w:tcBorders/>
                                  <w:vAlign w:val="center"/>
                                </w:tcPr>
                                <w:p>
                                  <w:pPr>
                                    <w:pStyle w:val="TableContents"/>
                                    <w:bidi w:val="0"/>
                                    <w:spacing w:before="0" w:after="283"/>
                                    <w:jc w:val="left"/>
                                    <w:rPr/>
                                  </w:pPr>
                                  <w:r>
                                    <w:rPr/>
                                    <w:t> </w:t>
                                  </w:r>
                                </w:p>
                              </w:tc>
                              <w:tc>
                                <w:tcPr>
                                  <w:tcW w:w="4197" w:type="dxa"/>
                                  <w:tcBorders/>
                                  <w:vAlign w:val="center"/>
                                </w:tcPr>
                                <w:p>
                                  <w:pPr>
                                    <w:pStyle w:val="TableContents"/>
                                    <w:bidi w:val="0"/>
                                    <w:spacing w:before="0" w:after="0"/>
                                    <w:jc w:val="left"/>
                                    <w:rPr/>
                                  </w:pPr>
                                  <w:hyperlink w:anchor="toc540996_10">
                                    <w:r>
                                      <w:rPr>
                                        <w:rStyle w:val="InternetLink"/>
                                        <w:rFonts w:ascii="arial" w:hAnsi="arial"/>
                                        <w:sz w:val="20"/>
                                      </w:rPr>
                                      <w:t>Related Party Transactions</w:t>
                                    </w:r>
                                  </w:hyperlink>
                                </w:p>
                              </w:tc>
                            </w:tr>
                            <w:tr>
                              <w:trPr/>
                              <w:tc>
                                <w:tcPr>
                                  <w:tcW w:w="4548" w:type="dxa"/>
                                  <w:gridSpan w:val="3"/>
                                  <w:tcBorders/>
                                  <w:vAlign w:val="center"/>
                                </w:tcPr>
                                <w:p>
                                  <w:pPr>
                                    <w:pStyle w:val="TableContents"/>
                                    <w:bidi w:val="0"/>
                                    <w:spacing w:before="0" w:after="283"/>
                                    <w:jc w:val="left"/>
                                    <w:rPr>
                                      <w:sz w:val="4"/>
                                      <w:szCs w:val="4"/>
                                    </w:rPr>
                                  </w:pPr>
                                  <w:r>
                                    <w:rPr>
                                      <w:sz w:val="4"/>
                                      <w:szCs w:val="4"/>
                                    </w:rPr>
                                  </w:r>
                                </w:p>
                              </w:tc>
                            </w:tr>
                            <w:tr>
                              <w:trPr/>
                              <w:tc>
                                <w:tcPr>
                                  <w:tcW w:w="4548" w:type="dxa"/>
                                  <w:gridSpan w:val="3"/>
                                  <w:tcBorders/>
                                  <w:vAlign w:val="center"/>
                                </w:tcPr>
                                <w:p>
                                  <w:pPr>
                                    <w:pStyle w:val="TableContents"/>
                                    <w:bidi w:val="0"/>
                                    <w:spacing w:before="0" w:after="283"/>
                                    <w:jc w:val="left"/>
                                    <w:rPr>
                                      <w:rFonts w:ascii="Times New Roman" w:hAnsi="Times New Roman"/>
                                      <w:i/>
                                      <w:color w:val="F7ACBA"/>
                                      <w:sz w:val="50"/>
                                    </w:rPr>
                                  </w:pPr>
                                  <w:r>
                                    <w:rPr>
                                      <w:rFonts w:ascii="Times New Roman" w:hAnsi="Times New Roman"/>
                                      <w:i/>
                                      <w:color w:val="F7ACBA"/>
                                      <w:sz w:val="50"/>
                                    </w:rPr>
                                    <w:t>33</w:t>
                                  </w:r>
                                </w:p>
                              </w:tc>
                            </w:tr>
                            <w:tr>
                              <w:trPr/>
                              <w:tc>
                                <w:tcPr>
                                  <w:tcW w:w="4548" w:type="dxa"/>
                                  <w:gridSpan w:val="3"/>
                                  <w:tcBorders/>
                                  <w:vAlign w:val="center"/>
                                </w:tcPr>
                                <w:p>
                                  <w:pPr>
                                    <w:pStyle w:val="TableContents"/>
                                    <w:bidi w:val="0"/>
                                    <w:spacing w:before="0" w:after="283"/>
                                    <w:jc w:val="left"/>
                                    <w:rPr/>
                                  </w:pPr>
                                  <w:hyperlink w:anchor="toc540996_10a">
                                    <w:r>
                                      <w:rPr>
                                        <w:rStyle w:val="InternetLink"/>
                                        <w:rFonts w:ascii="arial" w:hAnsi="arial"/>
                                        <w:b/>
                                        <w:sz w:val="22"/>
                                      </w:rPr>
                                      <w:t>PROPOSAL TWO:</w:t>
                                      <w:br/>
                                      <w:t xml:space="preserve">Amendment to Certificate of Incorporation </w:t>
                                    </w:r>
                                  </w:hyperlink>
                                </w:p>
                              </w:tc>
                            </w:tr>
                            <w:tr>
                              <w:trPr/>
                              <w:tc>
                                <w:tcPr>
                                  <w:tcW w:w="4548" w:type="dxa"/>
                                  <w:gridSpan w:val="3"/>
                                  <w:tcBorders/>
                                  <w:vAlign w:val="center"/>
                                </w:tcPr>
                                <w:p>
                                  <w:pPr>
                                    <w:pStyle w:val="TableContents"/>
                                    <w:bidi w:val="0"/>
                                    <w:spacing w:before="0" w:after="283"/>
                                    <w:jc w:val="left"/>
                                    <w:rPr>
                                      <w:sz w:val="4"/>
                                      <w:szCs w:val="4"/>
                                    </w:rPr>
                                  </w:pPr>
                                  <w:r>
                                    <w:rPr>
                                      <w:sz w:val="4"/>
                                      <w:szCs w:val="4"/>
                                    </w:rPr>
                                  </w:r>
                                </w:p>
                              </w:tc>
                            </w:tr>
                            <w:tr>
                              <w:trPr/>
                              <w:tc>
                                <w:tcPr>
                                  <w:tcW w:w="4548" w:type="dxa"/>
                                  <w:gridSpan w:val="3"/>
                                  <w:tcBorders/>
                                  <w:vAlign w:val="center"/>
                                </w:tcPr>
                                <w:p>
                                  <w:pPr>
                                    <w:pStyle w:val="TableContents"/>
                                    <w:bidi w:val="0"/>
                                    <w:spacing w:before="0" w:after="283"/>
                                    <w:jc w:val="left"/>
                                    <w:rPr>
                                      <w:i/>
                                      <w:color w:val="F7ACBA"/>
                                      <w:sz w:val="50"/>
                                    </w:rPr>
                                  </w:pPr>
                                  <w:r>
                                    <w:rPr>
                                      <w:i/>
                                      <w:color w:val="F7ACBA"/>
                                      <w:sz w:val="50"/>
                                    </w:rPr>
                                    <w:t>35</w:t>
                                  </w:r>
                                </w:p>
                              </w:tc>
                            </w:tr>
                            <w:tr>
                              <w:trPr/>
                              <w:tc>
                                <w:tcPr>
                                  <w:tcW w:w="4548" w:type="dxa"/>
                                  <w:gridSpan w:val="3"/>
                                  <w:tcBorders/>
                                  <w:vAlign w:val="center"/>
                                </w:tcPr>
                                <w:p>
                                  <w:pPr>
                                    <w:pStyle w:val="TableContents"/>
                                    <w:bidi w:val="0"/>
                                    <w:spacing w:before="0" w:after="283"/>
                                    <w:jc w:val="left"/>
                                    <w:rPr/>
                                  </w:pPr>
                                  <w:hyperlink w:anchor="toc540996_11">
                                    <w:r>
                                      <w:rPr>
                                        <w:rStyle w:val="InternetLink"/>
                                        <w:rFonts w:ascii="arial" w:hAnsi="arial"/>
                                        <w:b/>
                                        <w:sz w:val="22"/>
                                      </w:rPr>
                                      <w:t xml:space="preserve">ESG at VS&amp;Co </w:t>
                                    </w:r>
                                  </w:hyperlink>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31000</wp14:pctWidth>
                </wp14:sizeRelH>
              </wp:anchor>
            </w:drawing>
          </mc:Choice>
          <mc:Fallback>
            <w:pict>
              <v:rect style="position:absolute;rotation:-0;width:158.15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4548" w:type="dxa"/>
                        <w:jc w:val="left"/>
                        <w:tblInd w:w="0" w:type="dxa"/>
                        <w:tblLayout w:type="fixed"/>
                        <w:tblCellMar>
                          <w:top w:w="0" w:type="dxa"/>
                          <w:left w:w="0" w:type="dxa"/>
                          <w:bottom w:w="0" w:type="dxa"/>
                          <w:right w:w="0" w:type="dxa"/>
                        </w:tblCellMar>
                      </w:tblPr>
                      <w:tblGrid>
                        <w:gridCol w:w="288"/>
                        <w:gridCol w:w="63"/>
                        <w:gridCol w:w="4197"/>
                      </w:tblGrid>
                      <w:tr>
                        <w:trPr/>
                        <w:tc>
                          <w:tcPr>
                            <w:tcW w:w="28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4197" w:type="dxa"/>
                            <w:tcBorders/>
                            <w:vAlign w:val="center"/>
                          </w:tcPr>
                          <w:p>
                            <w:pPr>
                              <w:pStyle w:val="TableContents"/>
                              <w:bidi w:val="0"/>
                              <w:spacing w:before="0" w:after="283"/>
                              <w:jc w:val="left"/>
                              <w:rPr>
                                <w:sz w:val="4"/>
                                <w:szCs w:val="4"/>
                              </w:rPr>
                            </w:pPr>
                            <w:r>
                              <w:rPr>
                                <w:sz w:val="4"/>
                                <w:szCs w:val="4"/>
                              </w:rPr>
                            </w:r>
                          </w:p>
                        </w:tc>
                      </w:tr>
                      <w:tr>
                        <w:trPr/>
                        <w:tc>
                          <w:tcPr>
                            <w:tcW w:w="4548" w:type="dxa"/>
                            <w:gridSpan w:val="3"/>
                            <w:tcBorders/>
                            <w:vAlign w:val="center"/>
                          </w:tcPr>
                          <w:p>
                            <w:pPr>
                              <w:pStyle w:val="TableContents"/>
                              <w:bidi w:val="0"/>
                              <w:spacing w:before="0" w:after="283"/>
                              <w:jc w:val="left"/>
                              <w:rPr>
                                <w:rFonts w:ascii="Times New Roman" w:hAnsi="Times New Roman"/>
                                <w:i/>
                                <w:color w:val="F7ACBA"/>
                                <w:sz w:val="50"/>
                              </w:rPr>
                            </w:pPr>
                            <w:r>
                              <w:rPr>
                                <w:rFonts w:ascii="Times New Roman" w:hAnsi="Times New Roman"/>
                                <w:i/>
                                <w:color w:val="F7ACBA"/>
                                <w:sz w:val="50"/>
                              </w:rPr>
                              <w:t>1</w:t>
                            </w:r>
                          </w:p>
                        </w:tc>
                      </w:tr>
                      <w:tr>
                        <w:trPr/>
                        <w:tc>
                          <w:tcPr>
                            <w:tcW w:w="4548" w:type="dxa"/>
                            <w:gridSpan w:val="3"/>
                            <w:tcBorders/>
                            <w:vAlign w:val="center"/>
                          </w:tcPr>
                          <w:p>
                            <w:pPr>
                              <w:pStyle w:val="TableContents"/>
                              <w:bidi w:val="0"/>
                              <w:spacing w:before="0" w:after="283"/>
                              <w:jc w:val="left"/>
                              <w:rPr/>
                            </w:pPr>
                            <w:hyperlink w:anchor="toc540996_1">
                              <w:r>
                                <w:rPr>
                                  <w:rStyle w:val="InternetLink"/>
                                  <w:b/>
                                </w:rPr>
                                <w:t>Proxy Summary</w:t>
                              </w:r>
                            </w:hyperlink>
                          </w:p>
                        </w:tc>
                      </w:tr>
                      <w:tr>
                        <w:trPr/>
                        <w:tc>
                          <w:tcPr>
                            <w:tcW w:w="4548" w:type="dxa"/>
                            <w:gridSpan w:val="3"/>
                            <w:tcBorders/>
                            <w:vAlign w:val="center"/>
                          </w:tcPr>
                          <w:p>
                            <w:pPr>
                              <w:pStyle w:val="TableContents"/>
                              <w:bidi w:val="0"/>
                              <w:spacing w:before="0" w:after="283"/>
                              <w:jc w:val="left"/>
                              <w:rPr>
                                <w:sz w:val="4"/>
                                <w:szCs w:val="4"/>
                              </w:rPr>
                            </w:pPr>
                            <w:r>
                              <w:rPr>
                                <w:sz w:val="4"/>
                                <w:szCs w:val="4"/>
                              </w:rPr>
                            </w:r>
                          </w:p>
                        </w:tc>
                      </w:tr>
                      <w:tr>
                        <w:trPr/>
                        <w:tc>
                          <w:tcPr>
                            <w:tcW w:w="4548" w:type="dxa"/>
                            <w:gridSpan w:val="3"/>
                            <w:tcBorders/>
                            <w:vAlign w:val="center"/>
                          </w:tcPr>
                          <w:p>
                            <w:pPr>
                              <w:pStyle w:val="TableContents"/>
                              <w:bidi w:val="0"/>
                              <w:spacing w:before="0" w:after="283"/>
                              <w:jc w:val="left"/>
                              <w:rPr>
                                <w:rFonts w:ascii="Times New Roman" w:hAnsi="Times New Roman"/>
                                <w:i/>
                                <w:color w:val="F7ACBA"/>
                                <w:sz w:val="50"/>
                              </w:rPr>
                            </w:pPr>
                            <w:r>
                              <w:rPr>
                                <w:rFonts w:ascii="Times New Roman" w:hAnsi="Times New Roman"/>
                                <w:i/>
                                <w:color w:val="F7ACBA"/>
                                <w:sz w:val="50"/>
                              </w:rPr>
                              <w:t>8</w:t>
                            </w:r>
                          </w:p>
                        </w:tc>
                      </w:tr>
                      <w:tr>
                        <w:trPr/>
                        <w:tc>
                          <w:tcPr>
                            <w:tcW w:w="4548" w:type="dxa"/>
                            <w:gridSpan w:val="3"/>
                            <w:tcBorders/>
                            <w:vAlign w:val="center"/>
                          </w:tcPr>
                          <w:p>
                            <w:pPr>
                              <w:pStyle w:val="TableContents"/>
                              <w:bidi w:val="0"/>
                              <w:spacing w:before="0" w:after="283"/>
                              <w:jc w:val="left"/>
                              <w:rPr/>
                            </w:pPr>
                            <w:hyperlink w:anchor="toc540996_2">
                              <w:r>
                                <w:rPr>
                                  <w:rStyle w:val="InternetLink"/>
                                  <w:b/>
                                </w:rPr>
                                <w:t>PROPOSAL ONE:</w:t>
                                <w:br/>
                                <w:t xml:space="preserve">Election of Directors </w:t>
                              </w:r>
                            </w:hyperlink>
                          </w:p>
                        </w:tc>
                      </w:tr>
                      <w:tr>
                        <w:trPr/>
                        <w:tc>
                          <w:tcPr>
                            <w:tcW w:w="288" w:type="dxa"/>
                            <w:tcBorders/>
                            <w:vAlign w:val="center"/>
                          </w:tcPr>
                          <w:p>
                            <w:pPr>
                              <w:pStyle w:val="TableContents"/>
                              <w:bidi w:val="0"/>
                              <w:spacing w:before="0" w:after="283"/>
                              <w:jc w:val="left"/>
                              <w:rPr>
                                <w:sz w:val="4"/>
                                <w:szCs w:val="4"/>
                              </w:rPr>
                            </w:pPr>
                            <w:r>
                              <w:rPr>
                                <w:sz w:val="4"/>
                                <w:szCs w:val="4"/>
                              </w:rPr>
                            </w:r>
                          </w:p>
                        </w:tc>
                        <w:tc>
                          <w:tcPr>
                            <w:tcW w:w="4260" w:type="dxa"/>
                            <w:gridSpan w:val="2"/>
                            <w:tcBorders/>
                            <w:vAlign w:val="center"/>
                          </w:tcPr>
                          <w:p>
                            <w:pPr>
                              <w:pStyle w:val="TableContents"/>
                              <w:bidi w:val="0"/>
                              <w:spacing w:before="0" w:after="283"/>
                              <w:jc w:val="left"/>
                              <w:rPr>
                                <w:sz w:val="4"/>
                                <w:szCs w:val="4"/>
                              </w:rPr>
                            </w:pPr>
                            <w:r>
                              <w:rPr>
                                <w:sz w:val="4"/>
                                <w:szCs w:val="4"/>
                              </w:rPr>
                            </w:r>
                          </w:p>
                        </w:tc>
                      </w:tr>
                      <w:tr>
                        <w:trPr/>
                        <w:tc>
                          <w:tcPr>
                            <w:tcW w:w="288" w:type="dxa"/>
                            <w:tcBorders/>
                            <w:vAlign w:val="center"/>
                          </w:tcPr>
                          <w:p>
                            <w:pPr>
                              <w:pStyle w:val="TableContents"/>
                              <w:bidi w:val="0"/>
                              <w:spacing w:before="0" w:after="283"/>
                              <w:jc w:val="right"/>
                              <w:rPr/>
                            </w:pPr>
                            <w:r>
                              <w:rPr/>
                              <w:t>9</w:t>
                            </w:r>
                          </w:p>
                        </w:tc>
                        <w:tc>
                          <w:tcPr>
                            <w:tcW w:w="63" w:type="dxa"/>
                            <w:tcBorders/>
                            <w:vAlign w:val="center"/>
                          </w:tcPr>
                          <w:p>
                            <w:pPr>
                              <w:pStyle w:val="TableContents"/>
                              <w:bidi w:val="0"/>
                              <w:spacing w:before="0" w:after="283"/>
                              <w:jc w:val="left"/>
                              <w:rPr/>
                            </w:pPr>
                            <w:r>
                              <w:rPr/>
                              <w:t> </w:t>
                            </w:r>
                          </w:p>
                        </w:tc>
                        <w:tc>
                          <w:tcPr>
                            <w:tcW w:w="4197" w:type="dxa"/>
                            <w:tcBorders/>
                            <w:vAlign w:val="center"/>
                          </w:tcPr>
                          <w:p>
                            <w:pPr>
                              <w:pStyle w:val="TableContents"/>
                              <w:bidi w:val="0"/>
                              <w:spacing w:before="0" w:after="0"/>
                              <w:jc w:val="left"/>
                              <w:rPr/>
                            </w:pPr>
                            <w:hyperlink w:anchor="toc540996_3">
                              <w:r>
                                <w:rPr>
                                  <w:rStyle w:val="InternetLink"/>
                                  <w:rFonts w:ascii="arial" w:hAnsi="arial"/>
                                  <w:sz w:val="20"/>
                                </w:rPr>
                                <w:t xml:space="preserve">Director Nominees </w:t>
                              </w:r>
                            </w:hyperlink>
                          </w:p>
                        </w:tc>
                      </w:tr>
                      <w:tr>
                        <w:trPr/>
                        <w:tc>
                          <w:tcPr>
                            <w:tcW w:w="4548" w:type="dxa"/>
                            <w:gridSpan w:val="3"/>
                            <w:tcBorders/>
                            <w:vAlign w:val="center"/>
                          </w:tcPr>
                          <w:p>
                            <w:pPr>
                              <w:pStyle w:val="TableContents"/>
                              <w:bidi w:val="0"/>
                              <w:spacing w:before="0" w:after="283"/>
                              <w:jc w:val="left"/>
                              <w:rPr>
                                <w:sz w:val="4"/>
                                <w:szCs w:val="4"/>
                              </w:rPr>
                            </w:pPr>
                            <w:r>
                              <w:rPr>
                                <w:sz w:val="4"/>
                                <w:szCs w:val="4"/>
                              </w:rPr>
                            </w:r>
                          </w:p>
                        </w:tc>
                      </w:tr>
                      <w:tr>
                        <w:trPr/>
                        <w:tc>
                          <w:tcPr>
                            <w:tcW w:w="4548" w:type="dxa"/>
                            <w:gridSpan w:val="3"/>
                            <w:tcBorders/>
                            <w:vAlign w:val="center"/>
                          </w:tcPr>
                          <w:p>
                            <w:pPr>
                              <w:pStyle w:val="TableContents"/>
                              <w:bidi w:val="0"/>
                              <w:spacing w:before="0" w:after="283"/>
                              <w:jc w:val="left"/>
                              <w:rPr>
                                <w:rFonts w:ascii="Times New Roman" w:hAnsi="Times New Roman"/>
                                <w:i/>
                                <w:color w:val="F7ACBA"/>
                                <w:sz w:val="50"/>
                              </w:rPr>
                            </w:pPr>
                            <w:r>
                              <w:rPr>
                                <w:rFonts w:ascii="Times New Roman" w:hAnsi="Times New Roman"/>
                                <w:i/>
                                <w:color w:val="F7ACBA"/>
                                <w:sz w:val="50"/>
                              </w:rPr>
                              <w:t>18</w:t>
                            </w:r>
                          </w:p>
                        </w:tc>
                      </w:tr>
                      <w:tr>
                        <w:trPr/>
                        <w:tc>
                          <w:tcPr>
                            <w:tcW w:w="4548" w:type="dxa"/>
                            <w:gridSpan w:val="3"/>
                            <w:tcBorders/>
                            <w:vAlign w:val="center"/>
                          </w:tcPr>
                          <w:p>
                            <w:pPr>
                              <w:pStyle w:val="TableContents"/>
                              <w:bidi w:val="0"/>
                              <w:spacing w:before="0" w:after="283"/>
                              <w:jc w:val="left"/>
                              <w:rPr/>
                            </w:pPr>
                            <w:hyperlink w:anchor="toc540996_4">
                              <w:r>
                                <w:rPr>
                                  <w:rStyle w:val="InternetLink"/>
                                  <w:b/>
                                </w:rPr>
                                <w:t xml:space="preserve">Corporate Governance </w:t>
                              </w:r>
                            </w:hyperlink>
                          </w:p>
                        </w:tc>
                      </w:tr>
                      <w:tr>
                        <w:trPr/>
                        <w:tc>
                          <w:tcPr>
                            <w:tcW w:w="288" w:type="dxa"/>
                            <w:tcBorders/>
                            <w:vAlign w:val="center"/>
                          </w:tcPr>
                          <w:p>
                            <w:pPr>
                              <w:pStyle w:val="TableContents"/>
                              <w:bidi w:val="0"/>
                              <w:spacing w:before="0" w:after="283"/>
                              <w:jc w:val="left"/>
                              <w:rPr>
                                <w:sz w:val="4"/>
                                <w:szCs w:val="4"/>
                              </w:rPr>
                            </w:pPr>
                            <w:r>
                              <w:rPr>
                                <w:sz w:val="4"/>
                                <w:szCs w:val="4"/>
                              </w:rPr>
                            </w:r>
                          </w:p>
                        </w:tc>
                        <w:tc>
                          <w:tcPr>
                            <w:tcW w:w="4260" w:type="dxa"/>
                            <w:gridSpan w:val="2"/>
                            <w:tcBorders/>
                            <w:vAlign w:val="center"/>
                          </w:tcPr>
                          <w:p>
                            <w:pPr>
                              <w:pStyle w:val="TableContents"/>
                              <w:bidi w:val="0"/>
                              <w:spacing w:before="0" w:after="283"/>
                              <w:jc w:val="left"/>
                              <w:rPr>
                                <w:sz w:val="4"/>
                                <w:szCs w:val="4"/>
                              </w:rPr>
                            </w:pPr>
                            <w:r>
                              <w:rPr>
                                <w:sz w:val="4"/>
                                <w:szCs w:val="4"/>
                              </w:rPr>
                            </w:r>
                          </w:p>
                        </w:tc>
                      </w:tr>
                      <w:tr>
                        <w:trPr/>
                        <w:tc>
                          <w:tcPr>
                            <w:tcW w:w="288" w:type="dxa"/>
                            <w:tcBorders/>
                            <w:vAlign w:val="center"/>
                          </w:tcPr>
                          <w:p>
                            <w:pPr>
                              <w:pStyle w:val="TableContents"/>
                              <w:bidi w:val="0"/>
                              <w:spacing w:before="0" w:after="283"/>
                              <w:jc w:val="right"/>
                              <w:rPr/>
                            </w:pPr>
                            <w:r>
                              <w:rPr/>
                              <w:t>18</w:t>
                            </w:r>
                          </w:p>
                        </w:tc>
                        <w:tc>
                          <w:tcPr>
                            <w:tcW w:w="63" w:type="dxa"/>
                            <w:tcBorders/>
                            <w:vAlign w:val="center"/>
                          </w:tcPr>
                          <w:p>
                            <w:pPr>
                              <w:pStyle w:val="TableContents"/>
                              <w:bidi w:val="0"/>
                              <w:spacing w:before="0" w:after="283"/>
                              <w:jc w:val="left"/>
                              <w:rPr/>
                            </w:pPr>
                            <w:r>
                              <w:rPr/>
                              <w:t> </w:t>
                            </w:r>
                          </w:p>
                        </w:tc>
                        <w:tc>
                          <w:tcPr>
                            <w:tcW w:w="4197" w:type="dxa"/>
                            <w:tcBorders/>
                            <w:vAlign w:val="center"/>
                          </w:tcPr>
                          <w:p>
                            <w:pPr>
                              <w:pStyle w:val="TableContents"/>
                              <w:bidi w:val="0"/>
                              <w:spacing w:before="0" w:after="0"/>
                              <w:jc w:val="left"/>
                              <w:rPr/>
                            </w:pPr>
                            <w:hyperlink w:anchor="toc540996_5">
                              <w:r>
                                <w:rPr>
                                  <w:rStyle w:val="InternetLink"/>
                                  <w:rFonts w:ascii="arial" w:hAnsi="arial"/>
                                  <w:sz w:val="20"/>
                                </w:rPr>
                                <w:t>Role of the Board</w:t>
                              </w:r>
                            </w:hyperlink>
                          </w:p>
                        </w:tc>
                      </w:tr>
                      <w:tr>
                        <w:trPr/>
                        <w:tc>
                          <w:tcPr>
                            <w:tcW w:w="288" w:type="dxa"/>
                            <w:tcBorders/>
                            <w:vAlign w:val="center"/>
                          </w:tcPr>
                          <w:p>
                            <w:pPr>
                              <w:pStyle w:val="TableContents"/>
                              <w:bidi w:val="0"/>
                              <w:spacing w:before="0" w:after="283"/>
                              <w:jc w:val="left"/>
                              <w:rPr>
                                <w:sz w:val="4"/>
                                <w:szCs w:val="4"/>
                              </w:rPr>
                            </w:pPr>
                            <w:r>
                              <w:rPr>
                                <w:sz w:val="4"/>
                                <w:szCs w:val="4"/>
                              </w:rPr>
                            </w:r>
                          </w:p>
                        </w:tc>
                        <w:tc>
                          <w:tcPr>
                            <w:tcW w:w="4260" w:type="dxa"/>
                            <w:gridSpan w:val="2"/>
                            <w:tcBorders/>
                            <w:vAlign w:val="center"/>
                          </w:tcPr>
                          <w:p>
                            <w:pPr>
                              <w:pStyle w:val="TableContents"/>
                              <w:bidi w:val="0"/>
                              <w:spacing w:before="0" w:after="283"/>
                              <w:jc w:val="left"/>
                              <w:rPr>
                                <w:sz w:val="4"/>
                                <w:szCs w:val="4"/>
                              </w:rPr>
                            </w:pPr>
                            <w:r>
                              <w:rPr>
                                <w:sz w:val="4"/>
                                <w:szCs w:val="4"/>
                              </w:rPr>
                            </w:r>
                          </w:p>
                        </w:tc>
                      </w:tr>
                      <w:tr>
                        <w:trPr/>
                        <w:tc>
                          <w:tcPr>
                            <w:tcW w:w="288" w:type="dxa"/>
                            <w:tcBorders/>
                            <w:vAlign w:val="center"/>
                          </w:tcPr>
                          <w:p>
                            <w:pPr>
                              <w:pStyle w:val="TableContents"/>
                              <w:bidi w:val="0"/>
                              <w:spacing w:before="0" w:after="283"/>
                              <w:jc w:val="right"/>
                              <w:rPr/>
                            </w:pPr>
                            <w:r>
                              <w:rPr/>
                              <w:t>20</w:t>
                            </w:r>
                          </w:p>
                        </w:tc>
                        <w:tc>
                          <w:tcPr>
                            <w:tcW w:w="63" w:type="dxa"/>
                            <w:tcBorders/>
                            <w:vAlign w:val="center"/>
                          </w:tcPr>
                          <w:p>
                            <w:pPr>
                              <w:pStyle w:val="TableContents"/>
                              <w:bidi w:val="0"/>
                              <w:spacing w:before="0" w:after="283"/>
                              <w:jc w:val="left"/>
                              <w:rPr/>
                            </w:pPr>
                            <w:r>
                              <w:rPr/>
                              <w:t> </w:t>
                            </w:r>
                          </w:p>
                        </w:tc>
                        <w:tc>
                          <w:tcPr>
                            <w:tcW w:w="4197" w:type="dxa"/>
                            <w:tcBorders/>
                            <w:vAlign w:val="center"/>
                          </w:tcPr>
                          <w:p>
                            <w:pPr>
                              <w:pStyle w:val="TableContents"/>
                              <w:bidi w:val="0"/>
                              <w:spacing w:before="0" w:after="0"/>
                              <w:jc w:val="left"/>
                              <w:rPr/>
                            </w:pPr>
                            <w:hyperlink w:anchor="toc540996_6">
                              <w:r>
                                <w:rPr>
                                  <w:rStyle w:val="InternetLink"/>
                                  <w:rFonts w:ascii="arial" w:hAnsi="arial"/>
                                  <w:sz w:val="20"/>
                                </w:rPr>
                                <w:t>Board Composition</w:t>
                              </w:r>
                            </w:hyperlink>
                          </w:p>
                        </w:tc>
                      </w:tr>
                      <w:tr>
                        <w:trPr/>
                        <w:tc>
                          <w:tcPr>
                            <w:tcW w:w="288" w:type="dxa"/>
                            <w:tcBorders/>
                            <w:vAlign w:val="center"/>
                          </w:tcPr>
                          <w:p>
                            <w:pPr>
                              <w:pStyle w:val="TableContents"/>
                              <w:bidi w:val="0"/>
                              <w:spacing w:before="0" w:after="283"/>
                              <w:jc w:val="left"/>
                              <w:rPr>
                                <w:sz w:val="4"/>
                                <w:szCs w:val="4"/>
                              </w:rPr>
                            </w:pPr>
                            <w:r>
                              <w:rPr>
                                <w:sz w:val="4"/>
                                <w:szCs w:val="4"/>
                              </w:rPr>
                            </w:r>
                          </w:p>
                        </w:tc>
                        <w:tc>
                          <w:tcPr>
                            <w:tcW w:w="4260" w:type="dxa"/>
                            <w:gridSpan w:val="2"/>
                            <w:tcBorders/>
                            <w:vAlign w:val="center"/>
                          </w:tcPr>
                          <w:p>
                            <w:pPr>
                              <w:pStyle w:val="TableContents"/>
                              <w:bidi w:val="0"/>
                              <w:spacing w:before="0" w:after="283"/>
                              <w:jc w:val="left"/>
                              <w:rPr>
                                <w:sz w:val="4"/>
                                <w:szCs w:val="4"/>
                              </w:rPr>
                            </w:pPr>
                            <w:r>
                              <w:rPr>
                                <w:sz w:val="4"/>
                                <w:szCs w:val="4"/>
                              </w:rPr>
                            </w:r>
                          </w:p>
                        </w:tc>
                      </w:tr>
                      <w:tr>
                        <w:trPr/>
                        <w:tc>
                          <w:tcPr>
                            <w:tcW w:w="288" w:type="dxa"/>
                            <w:tcBorders/>
                            <w:vAlign w:val="center"/>
                          </w:tcPr>
                          <w:p>
                            <w:pPr>
                              <w:pStyle w:val="TableContents"/>
                              <w:bidi w:val="0"/>
                              <w:spacing w:before="0" w:after="283"/>
                              <w:jc w:val="right"/>
                              <w:rPr/>
                            </w:pPr>
                            <w:r>
                              <w:rPr/>
                              <w:t>25</w:t>
                            </w:r>
                          </w:p>
                        </w:tc>
                        <w:tc>
                          <w:tcPr>
                            <w:tcW w:w="63" w:type="dxa"/>
                            <w:tcBorders/>
                            <w:vAlign w:val="center"/>
                          </w:tcPr>
                          <w:p>
                            <w:pPr>
                              <w:pStyle w:val="TableContents"/>
                              <w:bidi w:val="0"/>
                              <w:spacing w:before="0" w:after="283"/>
                              <w:jc w:val="left"/>
                              <w:rPr/>
                            </w:pPr>
                            <w:r>
                              <w:rPr/>
                              <w:t> </w:t>
                            </w:r>
                          </w:p>
                        </w:tc>
                        <w:tc>
                          <w:tcPr>
                            <w:tcW w:w="4197" w:type="dxa"/>
                            <w:tcBorders/>
                            <w:vAlign w:val="center"/>
                          </w:tcPr>
                          <w:p>
                            <w:pPr>
                              <w:pStyle w:val="TableContents"/>
                              <w:bidi w:val="0"/>
                              <w:spacing w:before="0" w:after="0"/>
                              <w:jc w:val="left"/>
                              <w:rPr/>
                            </w:pPr>
                            <w:hyperlink w:anchor="toc540996_7">
                              <w:r>
                                <w:rPr>
                                  <w:rStyle w:val="InternetLink"/>
                                  <w:rFonts w:ascii="arial" w:hAnsi="arial"/>
                                  <w:sz w:val="20"/>
                                </w:rPr>
                                <w:t>Board Policies and Practices</w:t>
                              </w:r>
                            </w:hyperlink>
                          </w:p>
                        </w:tc>
                      </w:tr>
                      <w:tr>
                        <w:trPr/>
                        <w:tc>
                          <w:tcPr>
                            <w:tcW w:w="288" w:type="dxa"/>
                            <w:tcBorders/>
                            <w:vAlign w:val="center"/>
                          </w:tcPr>
                          <w:p>
                            <w:pPr>
                              <w:pStyle w:val="TableContents"/>
                              <w:bidi w:val="0"/>
                              <w:spacing w:before="0" w:after="283"/>
                              <w:jc w:val="left"/>
                              <w:rPr>
                                <w:sz w:val="4"/>
                                <w:szCs w:val="4"/>
                              </w:rPr>
                            </w:pPr>
                            <w:r>
                              <w:rPr>
                                <w:sz w:val="4"/>
                                <w:szCs w:val="4"/>
                              </w:rPr>
                            </w:r>
                          </w:p>
                        </w:tc>
                        <w:tc>
                          <w:tcPr>
                            <w:tcW w:w="4260" w:type="dxa"/>
                            <w:gridSpan w:val="2"/>
                            <w:tcBorders/>
                            <w:vAlign w:val="center"/>
                          </w:tcPr>
                          <w:p>
                            <w:pPr>
                              <w:pStyle w:val="TableContents"/>
                              <w:bidi w:val="0"/>
                              <w:spacing w:before="0" w:after="283"/>
                              <w:jc w:val="left"/>
                              <w:rPr>
                                <w:sz w:val="4"/>
                                <w:szCs w:val="4"/>
                              </w:rPr>
                            </w:pPr>
                            <w:r>
                              <w:rPr>
                                <w:sz w:val="4"/>
                                <w:szCs w:val="4"/>
                              </w:rPr>
                            </w:r>
                          </w:p>
                        </w:tc>
                      </w:tr>
                      <w:tr>
                        <w:trPr/>
                        <w:tc>
                          <w:tcPr>
                            <w:tcW w:w="288" w:type="dxa"/>
                            <w:tcBorders/>
                            <w:vAlign w:val="center"/>
                          </w:tcPr>
                          <w:p>
                            <w:pPr>
                              <w:pStyle w:val="TableContents"/>
                              <w:bidi w:val="0"/>
                              <w:spacing w:before="0" w:after="283"/>
                              <w:jc w:val="right"/>
                              <w:rPr/>
                            </w:pPr>
                            <w:r>
                              <w:rPr/>
                              <w:t>27</w:t>
                            </w:r>
                          </w:p>
                        </w:tc>
                        <w:tc>
                          <w:tcPr>
                            <w:tcW w:w="63" w:type="dxa"/>
                            <w:tcBorders/>
                            <w:vAlign w:val="center"/>
                          </w:tcPr>
                          <w:p>
                            <w:pPr>
                              <w:pStyle w:val="TableContents"/>
                              <w:bidi w:val="0"/>
                              <w:spacing w:before="0" w:after="283"/>
                              <w:jc w:val="left"/>
                              <w:rPr/>
                            </w:pPr>
                            <w:r>
                              <w:rPr/>
                              <w:t> </w:t>
                            </w:r>
                          </w:p>
                        </w:tc>
                        <w:tc>
                          <w:tcPr>
                            <w:tcW w:w="4197" w:type="dxa"/>
                            <w:tcBorders/>
                            <w:vAlign w:val="center"/>
                          </w:tcPr>
                          <w:p>
                            <w:pPr>
                              <w:pStyle w:val="TableContents"/>
                              <w:bidi w:val="0"/>
                              <w:spacing w:before="0" w:after="0"/>
                              <w:jc w:val="left"/>
                              <w:rPr/>
                            </w:pPr>
                            <w:hyperlink w:anchor="toc540996_8">
                              <w:r>
                                <w:rPr>
                                  <w:rStyle w:val="InternetLink"/>
                                  <w:rFonts w:ascii="arial" w:hAnsi="arial"/>
                                  <w:sz w:val="20"/>
                                </w:rPr>
                                <w:t>Board Committees</w:t>
                              </w:r>
                            </w:hyperlink>
                          </w:p>
                        </w:tc>
                      </w:tr>
                      <w:tr>
                        <w:trPr/>
                        <w:tc>
                          <w:tcPr>
                            <w:tcW w:w="288" w:type="dxa"/>
                            <w:tcBorders/>
                            <w:vAlign w:val="center"/>
                          </w:tcPr>
                          <w:p>
                            <w:pPr>
                              <w:pStyle w:val="TableContents"/>
                              <w:bidi w:val="0"/>
                              <w:spacing w:before="0" w:after="283"/>
                              <w:jc w:val="left"/>
                              <w:rPr>
                                <w:sz w:val="4"/>
                                <w:szCs w:val="4"/>
                              </w:rPr>
                            </w:pPr>
                            <w:r>
                              <w:rPr>
                                <w:sz w:val="4"/>
                                <w:szCs w:val="4"/>
                              </w:rPr>
                            </w:r>
                          </w:p>
                        </w:tc>
                        <w:tc>
                          <w:tcPr>
                            <w:tcW w:w="4260" w:type="dxa"/>
                            <w:gridSpan w:val="2"/>
                            <w:tcBorders/>
                            <w:vAlign w:val="center"/>
                          </w:tcPr>
                          <w:p>
                            <w:pPr>
                              <w:pStyle w:val="TableContents"/>
                              <w:bidi w:val="0"/>
                              <w:spacing w:before="0" w:after="283"/>
                              <w:jc w:val="left"/>
                              <w:rPr>
                                <w:sz w:val="4"/>
                                <w:szCs w:val="4"/>
                              </w:rPr>
                            </w:pPr>
                            <w:r>
                              <w:rPr>
                                <w:sz w:val="4"/>
                                <w:szCs w:val="4"/>
                              </w:rPr>
                            </w:r>
                          </w:p>
                        </w:tc>
                      </w:tr>
                      <w:tr>
                        <w:trPr/>
                        <w:tc>
                          <w:tcPr>
                            <w:tcW w:w="288" w:type="dxa"/>
                            <w:tcBorders/>
                            <w:vAlign w:val="center"/>
                          </w:tcPr>
                          <w:p>
                            <w:pPr>
                              <w:pStyle w:val="TableContents"/>
                              <w:bidi w:val="0"/>
                              <w:spacing w:before="0" w:after="283"/>
                              <w:jc w:val="right"/>
                              <w:rPr/>
                            </w:pPr>
                            <w:r>
                              <w:rPr/>
                              <w:t>30</w:t>
                            </w:r>
                          </w:p>
                        </w:tc>
                        <w:tc>
                          <w:tcPr>
                            <w:tcW w:w="63" w:type="dxa"/>
                            <w:tcBorders/>
                            <w:vAlign w:val="center"/>
                          </w:tcPr>
                          <w:p>
                            <w:pPr>
                              <w:pStyle w:val="TableContents"/>
                              <w:bidi w:val="0"/>
                              <w:spacing w:before="0" w:after="283"/>
                              <w:jc w:val="left"/>
                              <w:rPr/>
                            </w:pPr>
                            <w:r>
                              <w:rPr/>
                              <w:t> </w:t>
                            </w:r>
                          </w:p>
                        </w:tc>
                        <w:tc>
                          <w:tcPr>
                            <w:tcW w:w="4197" w:type="dxa"/>
                            <w:tcBorders/>
                            <w:vAlign w:val="center"/>
                          </w:tcPr>
                          <w:p>
                            <w:pPr>
                              <w:pStyle w:val="TableContents"/>
                              <w:bidi w:val="0"/>
                              <w:spacing w:before="0" w:after="0"/>
                              <w:jc w:val="left"/>
                              <w:rPr/>
                            </w:pPr>
                            <w:hyperlink w:anchor="toc540996_9">
                              <w:r>
                                <w:rPr>
                                  <w:rStyle w:val="InternetLink"/>
                                  <w:rFonts w:ascii="arial" w:hAnsi="arial"/>
                                  <w:sz w:val="20"/>
                                </w:rPr>
                                <w:t>Corporate Governance Policies and Practices</w:t>
                              </w:r>
                            </w:hyperlink>
                          </w:p>
                        </w:tc>
                      </w:tr>
                      <w:tr>
                        <w:trPr/>
                        <w:tc>
                          <w:tcPr>
                            <w:tcW w:w="288" w:type="dxa"/>
                            <w:tcBorders/>
                            <w:vAlign w:val="center"/>
                          </w:tcPr>
                          <w:p>
                            <w:pPr>
                              <w:pStyle w:val="TableContents"/>
                              <w:bidi w:val="0"/>
                              <w:spacing w:before="0" w:after="283"/>
                              <w:jc w:val="left"/>
                              <w:rPr>
                                <w:sz w:val="4"/>
                                <w:szCs w:val="4"/>
                              </w:rPr>
                            </w:pPr>
                            <w:r>
                              <w:rPr>
                                <w:sz w:val="4"/>
                                <w:szCs w:val="4"/>
                              </w:rPr>
                            </w:r>
                          </w:p>
                        </w:tc>
                        <w:tc>
                          <w:tcPr>
                            <w:tcW w:w="4260" w:type="dxa"/>
                            <w:gridSpan w:val="2"/>
                            <w:tcBorders/>
                            <w:vAlign w:val="center"/>
                          </w:tcPr>
                          <w:p>
                            <w:pPr>
                              <w:pStyle w:val="TableContents"/>
                              <w:bidi w:val="0"/>
                              <w:spacing w:before="0" w:after="283"/>
                              <w:jc w:val="left"/>
                              <w:rPr>
                                <w:sz w:val="4"/>
                                <w:szCs w:val="4"/>
                              </w:rPr>
                            </w:pPr>
                            <w:r>
                              <w:rPr>
                                <w:sz w:val="4"/>
                                <w:szCs w:val="4"/>
                              </w:rPr>
                            </w:r>
                          </w:p>
                        </w:tc>
                      </w:tr>
                      <w:tr>
                        <w:trPr/>
                        <w:tc>
                          <w:tcPr>
                            <w:tcW w:w="288" w:type="dxa"/>
                            <w:tcBorders/>
                            <w:vAlign w:val="center"/>
                          </w:tcPr>
                          <w:p>
                            <w:pPr>
                              <w:pStyle w:val="TableContents"/>
                              <w:bidi w:val="0"/>
                              <w:spacing w:before="0" w:after="283"/>
                              <w:jc w:val="right"/>
                              <w:rPr/>
                            </w:pPr>
                            <w:r>
                              <w:rPr/>
                              <w:t>32</w:t>
                            </w:r>
                          </w:p>
                        </w:tc>
                        <w:tc>
                          <w:tcPr>
                            <w:tcW w:w="63" w:type="dxa"/>
                            <w:tcBorders/>
                            <w:vAlign w:val="center"/>
                          </w:tcPr>
                          <w:p>
                            <w:pPr>
                              <w:pStyle w:val="TableContents"/>
                              <w:bidi w:val="0"/>
                              <w:spacing w:before="0" w:after="283"/>
                              <w:jc w:val="left"/>
                              <w:rPr/>
                            </w:pPr>
                            <w:r>
                              <w:rPr/>
                              <w:t> </w:t>
                            </w:r>
                          </w:p>
                        </w:tc>
                        <w:tc>
                          <w:tcPr>
                            <w:tcW w:w="4197" w:type="dxa"/>
                            <w:tcBorders/>
                            <w:vAlign w:val="center"/>
                          </w:tcPr>
                          <w:p>
                            <w:pPr>
                              <w:pStyle w:val="TableContents"/>
                              <w:bidi w:val="0"/>
                              <w:spacing w:before="0" w:after="0"/>
                              <w:jc w:val="left"/>
                              <w:rPr/>
                            </w:pPr>
                            <w:hyperlink w:anchor="toc540996_10">
                              <w:r>
                                <w:rPr>
                                  <w:rStyle w:val="InternetLink"/>
                                  <w:rFonts w:ascii="arial" w:hAnsi="arial"/>
                                  <w:sz w:val="20"/>
                                </w:rPr>
                                <w:t>Related Party Transactions</w:t>
                              </w:r>
                            </w:hyperlink>
                          </w:p>
                        </w:tc>
                      </w:tr>
                      <w:tr>
                        <w:trPr/>
                        <w:tc>
                          <w:tcPr>
                            <w:tcW w:w="4548" w:type="dxa"/>
                            <w:gridSpan w:val="3"/>
                            <w:tcBorders/>
                            <w:vAlign w:val="center"/>
                          </w:tcPr>
                          <w:p>
                            <w:pPr>
                              <w:pStyle w:val="TableContents"/>
                              <w:bidi w:val="0"/>
                              <w:spacing w:before="0" w:after="283"/>
                              <w:jc w:val="left"/>
                              <w:rPr>
                                <w:sz w:val="4"/>
                                <w:szCs w:val="4"/>
                              </w:rPr>
                            </w:pPr>
                            <w:r>
                              <w:rPr>
                                <w:sz w:val="4"/>
                                <w:szCs w:val="4"/>
                              </w:rPr>
                            </w:r>
                          </w:p>
                        </w:tc>
                      </w:tr>
                      <w:tr>
                        <w:trPr/>
                        <w:tc>
                          <w:tcPr>
                            <w:tcW w:w="4548" w:type="dxa"/>
                            <w:gridSpan w:val="3"/>
                            <w:tcBorders/>
                            <w:vAlign w:val="center"/>
                          </w:tcPr>
                          <w:p>
                            <w:pPr>
                              <w:pStyle w:val="TableContents"/>
                              <w:bidi w:val="0"/>
                              <w:spacing w:before="0" w:after="283"/>
                              <w:jc w:val="left"/>
                              <w:rPr>
                                <w:rFonts w:ascii="Times New Roman" w:hAnsi="Times New Roman"/>
                                <w:i/>
                                <w:color w:val="F7ACBA"/>
                                <w:sz w:val="50"/>
                              </w:rPr>
                            </w:pPr>
                            <w:r>
                              <w:rPr>
                                <w:rFonts w:ascii="Times New Roman" w:hAnsi="Times New Roman"/>
                                <w:i/>
                                <w:color w:val="F7ACBA"/>
                                <w:sz w:val="50"/>
                              </w:rPr>
                              <w:t>33</w:t>
                            </w:r>
                          </w:p>
                        </w:tc>
                      </w:tr>
                      <w:tr>
                        <w:trPr/>
                        <w:tc>
                          <w:tcPr>
                            <w:tcW w:w="4548" w:type="dxa"/>
                            <w:gridSpan w:val="3"/>
                            <w:tcBorders/>
                            <w:vAlign w:val="center"/>
                          </w:tcPr>
                          <w:p>
                            <w:pPr>
                              <w:pStyle w:val="TableContents"/>
                              <w:bidi w:val="0"/>
                              <w:spacing w:before="0" w:after="283"/>
                              <w:jc w:val="left"/>
                              <w:rPr/>
                            </w:pPr>
                            <w:hyperlink w:anchor="toc540996_10a">
                              <w:r>
                                <w:rPr>
                                  <w:rStyle w:val="InternetLink"/>
                                  <w:rFonts w:ascii="arial" w:hAnsi="arial"/>
                                  <w:b/>
                                  <w:sz w:val="22"/>
                                </w:rPr>
                                <w:t>PROPOSAL TWO:</w:t>
                                <w:br/>
                                <w:t xml:space="preserve">Amendment to Certificate of Incorporation </w:t>
                              </w:r>
                            </w:hyperlink>
                          </w:p>
                        </w:tc>
                      </w:tr>
                      <w:tr>
                        <w:trPr/>
                        <w:tc>
                          <w:tcPr>
                            <w:tcW w:w="4548" w:type="dxa"/>
                            <w:gridSpan w:val="3"/>
                            <w:tcBorders/>
                            <w:vAlign w:val="center"/>
                          </w:tcPr>
                          <w:p>
                            <w:pPr>
                              <w:pStyle w:val="TableContents"/>
                              <w:bidi w:val="0"/>
                              <w:spacing w:before="0" w:after="283"/>
                              <w:jc w:val="left"/>
                              <w:rPr>
                                <w:sz w:val="4"/>
                                <w:szCs w:val="4"/>
                              </w:rPr>
                            </w:pPr>
                            <w:r>
                              <w:rPr>
                                <w:sz w:val="4"/>
                                <w:szCs w:val="4"/>
                              </w:rPr>
                            </w:r>
                          </w:p>
                        </w:tc>
                      </w:tr>
                      <w:tr>
                        <w:trPr/>
                        <w:tc>
                          <w:tcPr>
                            <w:tcW w:w="4548" w:type="dxa"/>
                            <w:gridSpan w:val="3"/>
                            <w:tcBorders/>
                            <w:vAlign w:val="center"/>
                          </w:tcPr>
                          <w:p>
                            <w:pPr>
                              <w:pStyle w:val="TableContents"/>
                              <w:bidi w:val="0"/>
                              <w:spacing w:before="0" w:after="283"/>
                              <w:jc w:val="left"/>
                              <w:rPr>
                                <w:i/>
                                <w:color w:val="F7ACBA"/>
                                <w:sz w:val="50"/>
                              </w:rPr>
                            </w:pPr>
                            <w:r>
                              <w:rPr>
                                <w:i/>
                                <w:color w:val="F7ACBA"/>
                                <w:sz w:val="50"/>
                              </w:rPr>
                              <w:t>35</w:t>
                            </w:r>
                          </w:p>
                        </w:tc>
                      </w:tr>
                      <w:tr>
                        <w:trPr/>
                        <w:tc>
                          <w:tcPr>
                            <w:tcW w:w="4548" w:type="dxa"/>
                            <w:gridSpan w:val="3"/>
                            <w:tcBorders/>
                            <w:vAlign w:val="center"/>
                          </w:tcPr>
                          <w:p>
                            <w:pPr>
                              <w:pStyle w:val="TableContents"/>
                              <w:bidi w:val="0"/>
                              <w:spacing w:before="0" w:after="283"/>
                              <w:jc w:val="left"/>
                              <w:rPr/>
                            </w:pPr>
                            <w:hyperlink w:anchor="toc540996_11">
                              <w:r>
                                <w:rPr>
                                  <w:rStyle w:val="InternetLink"/>
                                  <w:rFonts w:ascii="arial" w:hAnsi="arial"/>
                                  <w:b/>
                                  <w:sz w:val="22"/>
                                </w:rPr>
                                <w:t xml:space="preserve">ESG at VS&amp;Co </w:t>
                              </w:r>
                            </w:hyperlink>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83">
                <wp:simplePos x="0" y="0"/>
                <wp:positionH relativeFrom="column">
                  <wp:align>left</wp:align>
                </wp:positionH>
                <wp:positionV relativeFrom="line">
                  <wp:posOffset>635</wp:posOffset>
                </wp:positionV>
                <wp:extent cx="2073275" cy="8820150"/>
                <wp:effectExtent l="0" t="0" r="0" b="0"/>
                <wp:wrapSquare wrapText="right"/>
                <wp:docPr id="21" name="Frame8"/>
                <a:graphic xmlns:a="http://schemas.openxmlformats.org/drawingml/2006/main">
                  <a:graphicData uri="http://schemas.microsoft.com/office/word/2010/wordprocessingShape">
                    <wps:wsp>
                      <wps:cNvSpPr txBox="1"/>
                      <wps:spPr>
                        <a:xfrm>
                          <a:off x="0" y="0"/>
                          <a:ext cx="2073275" cy="8820150"/>
                        </a:xfrm>
                        <a:prstGeom prst="rect"/>
                        <a:solidFill>
                          <a:srgbClr val="FFFFFF"/>
                        </a:solidFill>
                      </wps:spPr>
                      <wps:txbx>
                        <w:txbxContent>
                          <w:tbl>
                            <w:tblPr>
                              <w:tblW w:w="6978" w:type="dxa"/>
                              <w:jc w:val="left"/>
                              <w:tblInd w:w="0" w:type="dxa"/>
                              <w:tblLayout w:type="fixed"/>
                              <w:tblCellMar>
                                <w:top w:w="0" w:type="dxa"/>
                                <w:left w:w="0" w:type="dxa"/>
                                <w:bottom w:w="0" w:type="dxa"/>
                                <w:right w:w="0" w:type="dxa"/>
                              </w:tblCellMar>
                            </w:tblPr>
                            <w:tblGrid>
                              <w:gridCol w:w="515"/>
                              <w:gridCol w:w="112"/>
                              <w:gridCol w:w="6351"/>
                            </w:tblGrid>
                            <w:tr>
                              <w:trPr/>
                              <w:tc>
                                <w:tcPr>
                                  <w:tcW w:w="51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6351" w:type="dxa"/>
                                  <w:tcBorders/>
                                  <w:vAlign w:val="center"/>
                                </w:tcPr>
                                <w:p>
                                  <w:pPr>
                                    <w:pStyle w:val="TableContents"/>
                                    <w:bidi w:val="0"/>
                                    <w:spacing w:before="0" w:after="283"/>
                                    <w:jc w:val="left"/>
                                    <w:rPr>
                                      <w:sz w:val="4"/>
                                      <w:szCs w:val="4"/>
                                    </w:rPr>
                                  </w:pPr>
                                  <w:r>
                                    <w:rPr>
                                      <w:sz w:val="4"/>
                                      <w:szCs w:val="4"/>
                                    </w:rPr>
                                  </w:r>
                                </w:p>
                              </w:tc>
                            </w:tr>
                            <w:tr>
                              <w:trPr/>
                              <w:tc>
                                <w:tcPr>
                                  <w:tcW w:w="6978" w:type="dxa"/>
                                  <w:gridSpan w:val="3"/>
                                  <w:tcBorders/>
                                  <w:vAlign w:val="center"/>
                                </w:tcPr>
                                <w:p>
                                  <w:pPr>
                                    <w:pStyle w:val="TableContents"/>
                                    <w:bidi w:val="0"/>
                                    <w:spacing w:before="0" w:after="283"/>
                                    <w:jc w:val="left"/>
                                    <w:rPr>
                                      <w:i/>
                                      <w:color w:val="F7ACBA"/>
                                      <w:sz w:val="50"/>
                                    </w:rPr>
                                  </w:pPr>
                                  <w:r>
                                    <w:rPr>
                                      <w:i/>
                                      <w:color w:val="F7ACBA"/>
                                      <w:sz w:val="50"/>
                                    </w:rPr>
                                    <w:t>39</w:t>
                                  </w:r>
                                </w:p>
                              </w:tc>
                            </w:tr>
                            <w:tr>
                              <w:trPr/>
                              <w:tc>
                                <w:tcPr>
                                  <w:tcW w:w="6978" w:type="dxa"/>
                                  <w:gridSpan w:val="3"/>
                                  <w:tcBorders/>
                                  <w:vAlign w:val="center"/>
                                </w:tcPr>
                                <w:p>
                                  <w:pPr>
                                    <w:pStyle w:val="TableContents"/>
                                    <w:bidi w:val="0"/>
                                    <w:spacing w:before="0" w:after="283"/>
                                    <w:jc w:val="left"/>
                                    <w:rPr/>
                                  </w:pPr>
                                  <w:hyperlink w:anchor="toc540996_12">
                                    <w:r>
                                      <w:rPr>
                                        <w:rStyle w:val="InternetLink"/>
                                        <w:rFonts w:ascii="arial" w:hAnsi="arial"/>
                                        <w:b/>
                                        <w:sz w:val="22"/>
                                      </w:rPr>
                                      <w:t>Human Capital</w:t>
                                      <w:br/>
                                      <w:t xml:space="preserve">Management </w:t>
                                    </w:r>
                                  </w:hyperlink>
                                </w:p>
                              </w:tc>
                            </w:tr>
                            <w:tr>
                              <w:trPr/>
                              <w:tc>
                                <w:tcPr>
                                  <w:tcW w:w="6978" w:type="dxa"/>
                                  <w:gridSpan w:val="3"/>
                                  <w:tcBorders/>
                                  <w:vAlign w:val="center"/>
                                </w:tcPr>
                                <w:p>
                                  <w:pPr>
                                    <w:pStyle w:val="TableContents"/>
                                    <w:bidi w:val="0"/>
                                    <w:spacing w:before="0" w:after="283"/>
                                    <w:jc w:val="left"/>
                                    <w:rPr>
                                      <w:sz w:val="4"/>
                                      <w:szCs w:val="4"/>
                                    </w:rPr>
                                  </w:pPr>
                                  <w:r>
                                    <w:rPr>
                                      <w:sz w:val="4"/>
                                      <w:szCs w:val="4"/>
                                    </w:rPr>
                                  </w:r>
                                </w:p>
                              </w:tc>
                            </w:tr>
                            <w:tr>
                              <w:trPr/>
                              <w:tc>
                                <w:tcPr>
                                  <w:tcW w:w="6978" w:type="dxa"/>
                                  <w:gridSpan w:val="3"/>
                                  <w:tcBorders/>
                                  <w:vAlign w:val="center"/>
                                </w:tcPr>
                                <w:p>
                                  <w:pPr>
                                    <w:pStyle w:val="TableContents"/>
                                    <w:bidi w:val="0"/>
                                    <w:spacing w:before="0" w:after="283"/>
                                    <w:jc w:val="left"/>
                                    <w:rPr>
                                      <w:i/>
                                      <w:color w:val="F7ACBA"/>
                                      <w:sz w:val="50"/>
                                    </w:rPr>
                                  </w:pPr>
                                  <w:r>
                                    <w:rPr>
                                      <w:i/>
                                      <w:color w:val="F7ACBA"/>
                                      <w:sz w:val="50"/>
                                    </w:rPr>
                                    <w:t>44</w:t>
                                  </w:r>
                                </w:p>
                              </w:tc>
                            </w:tr>
                            <w:tr>
                              <w:trPr/>
                              <w:tc>
                                <w:tcPr>
                                  <w:tcW w:w="6978" w:type="dxa"/>
                                  <w:gridSpan w:val="3"/>
                                  <w:tcBorders/>
                                  <w:vAlign w:val="center"/>
                                </w:tcPr>
                                <w:p>
                                  <w:pPr>
                                    <w:pStyle w:val="TableContents"/>
                                    <w:bidi w:val="0"/>
                                    <w:spacing w:before="0" w:after="283"/>
                                    <w:jc w:val="left"/>
                                    <w:rPr/>
                                  </w:pPr>
                                  <w:hyperlink w:anchor="toc540996_13">
                                    <w:r>
                                      <w:rPr>
                                        <w:rStyle w:val="InternetLink"/>
                                        <w:rFonts w:ascii="arial" w:hAnsi="arial"/>
                                        <w:b/>
                                        <w:sz w:val="22"/>
                                      </w:rPr>
                                      <w:t xml:space="preserve">Director Compensation </w:t>
                                    </w:r>
                                  </w:hyperlink>
                                </w:p>
                              </w:tc>
                            </w:tr>
                            <w:tr>
                              <w:trPr/>
                              <w:tc>
                                <w:tcPr>
                                  <w:tcW w:w="6978" w:type="dxa"/>
                                  <w:gridSpan w:val="3"/>
                                  <w:tcBorders/>
                                  <w:vAlign w:val="center"/>
                                </w:tcPr>
                                <w:p>
                                  <w:pPr>
                                    <w:pStyle w:val="TableContents"/>
                                    <w:bidi w:val="0"/>
                                    <w:spacing w:before="0" w:after="283"/>
                                    <w:jc w:val="left"/>
                                    <w:rPr>
                                      <w:sz w:val="4"/>
                                      <w:szCs w:val="4"/>
                                    </w:rPr>
                                  </w:pPr>
                                  <w:r>
                                    <w:rPr>
                                      <w:sz w:val="4"/>
                                      <w:szCs w:val="4"/>
                                    </w:rPr>
                                  </w:r>
                                </w:p>
                              </w:tc>
                            </w:tr>
                            <w:tr>
                              <w:trPr/>
                              <w:tc>
                                <w:tcPr>
                                  <w:tcW w:w="6978" w:type="dxa"/>
                                  <w:gridSpan w:val="3"/>
                                  <w:tcBorders/>
                                  <w:vAlign w:val="center"/>
                                </w:tcPr>
                                <w:p>
                                  <w:pPr>
                                    <w:pStyle w:val="TableContents"/>
                                    <w:bidi w:val="0"/>
                                    <w:spacing w:before="0" w:after="283"/>
                                    <w:jc w:val="left"/>
                                    <w:rPr>
                                      <w:i/>
                                      <w:color w:val="F7ACBA"/>
                                      <w:sz w:val="50"/>
                                    </w:rPr>
                                  </w:pPr>
                                  <w:r>
                                    <w:rPr>
                                      <w:i/>
                                      <w:color w:val="F7ACBA"/>
                                      <w:sz w:val="50"/>
                                    </w:rPr>
                                    <w:t>46</w:t>
                                  </w:r>
                                </w:p>
                              </w:tc>
                            </w:tr>
                            <w:tr>
                              <w:trPr/>
                              <w:tc>
                                <w:tcPr>
                                  <w:tcW w:w="6978" w:type="dxa"/>
                                  <w:gridSpan w:val="3"/>
                                  <w:tcBorders/>
                                  <w:vAlign w:val="center"/>
                                </w:tcPr>
                                <w:p>
                                  <w:pPr>
                                    <w:pStyle w:val="TableContents"/>
                                    <w:bidi w:val="0"/>
                                    <w:spacing w:before="0" w:after="283"/>
                                    <w:jc w:val="left"/>
                                    <w:rPr/>
                                  </w:pPr>
                                  <w:hyperlink w:anchor="toc540996_14">
                                    <w:r>
                                      <w:rPr>
                                        <w:rStyle w:val="InternetLink"/>
                                        <w:rFonts w:ascii="arial" w:hAnsi="arial"/>
                                        <w:b/>
                                        <w:sz w:val="22"/>
                                      </w:rPr>
                                      <w:t xml:space="preserve">Compensation Discussion and Analysis </w:t>
                                    </w:r>
                                  </w:hyperlink>
                                </w:p>
                              </w:tc>
                            </w:tr>
                            <w:tr>
                              <w:trPr/>
                              <w:tc>
                                <w:tcPr>
                                  <w:tcW w:w="515" w:type="dxa"/>
                                  <w:tcBorders/>
                                  <w:vAlign w:val="center"/>
                                </w:tcPr>
                                <w:p>
                                  <w:pPr>
                                    <w:pStyle w:val="TableContents"/>
                                    <w:bidi w:val="0"/>
                                    <w:spacing w:before="0" w:after="283"/>
                                    <w:jc w:val="left"/>
                                    <w:rPr>
                                      <w:sz w:val="4"/>
                                      <w:szCs w:val="4"/>
                                    </w:rPr>
                                  </w:pPr>
                                  <w:r>
                                    <w:rPr>
                                      <w:sz w:val="4"/>
                                      <w:szCs w:val="4"/>
                                    </w:rPr>
                                  </w:r>
                                </w:p>
                              </w:tc>
                              <w:tc>
                                <w:tcPr>
                                  <w:tcW w:w="6463" w:type="dxa"/>
                                  <w:gridSpan w:val="2"/>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right"/>
                                    <w:rPr/>
                                  </w:pPr>
                                  <w:r>
                                    <w:rPr/>
                                    <w:t>51</w:t>
                                  </w:r>
                                </w:p>
                              </w:tc>
                              <w:tc>
                                <w:tcPr>
                                  <w:tcW w:w="112" w:type="dxa"/>
                                  <w:tcBorders/>
                                  <w:vAlign w:val="center"/>
                                </w:tcPr>
                                <w:p>
                                  <w:pPr>
                                    <w:pStyle w:val="TableContents"/>
                                    <w:bidi w:val="0"/>
                                    <w:spacing w:before="0" w:after="283"/>
                                    <w:jc w:val="left"/>
                                    <w:rPr/>
                                  </w:pPr>
                                  <w:r>
                                    <w:rPr/>
                                    <w:t> </w:t>
                                  </w:r>
                                </w:p>
                              </w:tc>
                              <w:tc>
                                <w:tcPr>
                                  <w:tcW w:w="6351" w:type="dxa"/>
                                  <w:tcBorders/>
                                  <w:vAlign w:val="center"/>
                                </w:tcPr>
                                <w:p>
                                  <w:pPr>
                                    <w:pStyle w:val="TableContents"/>
                                    <w:bidi w:val="0"/>
                                    <w:spacing w:before="0" w:after="0"/>
                                    <w:jc w:val="left"/>
                                    <w:rPr/>
                                  </w:pPr>
                                  <w:hyperlink w:anchor="toc540996_15">
                                    <w:r>
                                      <w:rPr>
                                        <w:rStyle w:val="InternetLink"/>
                                        <w:rFonts w:ascii="arial" w:hAnsi="arial"/>
                                        <w:sz w:val="20"/>
                                      </w:rPr>
                                      <w:t>Compensation Governance Processes</w:t>
                                    </w:r>
                                  </w:hyperlink>
                                </w:p>
                              </w:tc>
                            </w:tr>
                            <w:tr>
                              <w:trPr/>
                              <w:tc>
                                <w:tcPr>
                                  <w:tcW w:w="515" w:type="dxa"/>
                                  <w:tcBorders/>
                                  <w:vAlign w:val="center"/>
                                </w:tcPr>
                                <w:p>
                                  <w:pPr>
                                    <w:pStyle w:val="TableContents"/>
                                    <w:bidi w:val="0"/>
                                    <w:spacing w:before="0" w:after="283"/>
                                    <w:jc w:val="left"/>
                                    <w:rPr>
                                      <w:sz w:val="4"/>
                                      <w:szCs w:val="4"/>
                                    </w:rPr>
                                  </w:pPr>
                                  <w:r>
                                    <w:rPr>
                                      <w:sz w:val="4"/>
                                      <w:szCs w:val="4"/>
                                    </w:rPr>
                                  </w:r>
                                </w:p>
                              </w:tc>
                              <w:tc>
                                <w:tcPr>
                                  <w:tcW w:w="6463" w:type="dxa"/>
                                  <w:gridSpan w:val="2"/>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right"/>
                                    <w:rPr/>
                                  </w:pPr>
                                  <w:r>
                                    <w:rPr/>
                                    <w:t>53</w:t>
                                  </w:r>
                                </w:p>
                              </w:tc>
                              <w:tc>
                                <w:tcPr>
                                  <w:tcW w:w="112" w:type="dxa"/>
                                  <w:tcBorders/>
                                  <w:vAlign w:val="center"/>
                                </w:tcPr>
                                <w:p>
                                  <w:pPr>
                                    <w:pStyle w:val="TableContents"/>
                                    <w:bidi w:val="0"/>
                                    <w:spacing w:before="0" w:after="283"/>
                                    <w:jc w:val="left"/>
                                    <w:rPr/>
                                  </w:pPr>
                                  <w:r>
                                    <w:rPr/>
                                    <w:t> </w:t>
                                  </w:r>
                                </w:p>
                              </w:tc>
                              <w:tc>
                                <w:tcPr>
                                  <w:tcW w:w="6351" w:type="dxa"/>
                                  <w:tcBorders/>
                                  <w:vAlign w:val="center"/>
                                </w:tcPr>
                                <w:p>
                                  <w:pPr>
                                    <w:pStyle w:val="TableContents"/>
                                    <w:bidi w:val="0"/>
                                    <w:spacing w:before="0" w:after="0"/>
                                    <w:jc w:val="left"/>
                                    <w:rPr/>
                                  </w:pPr>
                                  <w:hyperlink w:anchor="toc540996_16">
                                    <w:r>
                                      <w:rPr>
                                        <w:rStyle w:val="InternetLink"/>
                                        <w:rFonts w:ascii="arial" w:hAnsi="arial"/>
                                        <w:sz w:val="20"/>
                                      </w:rPr>
                                      <w:t>NEO Compensation Components</w:t>
                                    </w:r>
                                  </w:hyperlink>
                                </w:p>
                              </w:tc>
                            </w:tr>
                            <w:tr>
                              <w:trPr/>
                              <w:tc>
                                <w:tcPr>
                                  <w:tcW w:w="515" w:type="dxa"/>
                                  <w:tcBorders/>
                                  <w:vAlign w:val="center"/>
                                </w:tcPr>
                                <w:p>
                                  <w:pPr>
                                    <w:pStyle w:val="TableContents"/>
                                    <w:bidi w:val="0"/>
                                    <w:spacing w:before="0" w:after="283"/>
                                    <w:jc w:val="left"/>
                                    <w:rPr>
                                      <w:sz w:val="4"/>
                                      <w:szCs w:val="4"/>
                                    </w:rPr>
                                  </w:pPr>
                                  <w:r>
                                    <w:rPr>
                                      <w:sz w:val="4"/>
                                      <w:szCs w:val="4"/>
                                    </w:rPr>
                                  </w:r>
                                </w:p>
                              </w:tc>
                              <w:tc>
                                <w:tcPr>
                                  <w:tcW w:w="6463" w:type="dxa"/>
                                  <w:gridSpan w:val="2"/>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right"/>
                                    <w:rPr/>
                                  </w:pPr>
                                  <w:r>
                                    <w:rPr/>
                                    <w:t>57</w:t>
                                  </w:r>
                                </w:p>
                              </w:tc>
                              <w:tc>
                                <w:tcPr>
                                  <w:tcW w:w="112" w:type="dxa"/>
                                  <w:tcBorders/>
                                  <w:vAlign w:val="center"/>
                                </w:tcPr>
                                <w:p>
                                  <w:pPr>
                                    <w:pStyle w:val="TableContents"/>
                                    <w:bidi w:val="0"/>
                                    <w:spacing w:before="0" w:after="283"/>
                                    <w:jc w:val="left"/>
                                    <w:rPr/>
                                  </w:pPr>
                                  <w:r>
                                    <w:rPr/>
                                    <w:t> </w:t>
                                  </w:r>
                                </w:p>
                              </w:tc>
                              <w:tc>
                                <w:tcPr>
                                  <w:tcW w:w="6351" w:type="dxa"/>
                                  <w:tcBorders/>
                                  <w:vAlign w:val="center"/>
                                </w:tcPr>
                                <w:p>
                                  <w:pPr>
                                    <w:pStyle w:val="TableContents"/>
                                    <w:bidi w:val="0"/>
                                    <w:spacing w:before="0" w:after="0"/>
                                    <w:jc w:val="left"/>
                                    <w:rPr/>
                                  </w:pPr>
                                  <w:hyperlink w:anchor="toc540996_17">
                                    <w:r>
                                      <w:rPr>
                                        <w:rStyle w:val="InternetLink"/>
                                        <w:rFonts w:ascii="arial" w:hAnsi="arial"/>
                                        <w:sz w:val="20"/>
                                      </w:rPr>
                                      <w:t>Compensation Governance</w:t>
                                    </w:r>
                                  </w:hyperlink>
                                </w:p>
                              </w:tc>
                            </w:tr>
                            <w:tr>
                              <w:trPr/>
                              <w:tc>
                                <w:tcPr>
                                  <w:tcW w:w="515" w:type="dxa"/>
                                  <w:tcBorders/>
                                  <w:vAlign w:val="center"/>
                                </w:tcPr>
                                <w:p>
                                  <w:pPr>
                                    <w:pStyle w:val="TableContents"/>
                                    <w:bidi w:val="0"/>
                                    <w:spacing w:before="0" w:after="283"/>
                                    <w:jc w:val="left"/>
                                    <w:rPr>
                                      <w:sz w:val="4"/>
                                      <w:szCs w:val="4"/>
                                    </w:rPr>
                                  </w:pPr>
                                  <w:r>
                                    <w:rPr>
                                      <w:sz w:val="4"/>
                                      <w:szCs w:val="4"/>
                                    </w:rPr>
                                  </w:r>
                                </w:p>
                              </w:tc>
                              <w:tc>
                                <w:tcPr>
                                  <w:tcW w:w="6463" w:type="dxa"/>
                                  <w:gridSpan w:val="2"/>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right"/>
                                    <w:rPr/>
                                  </w:pPr>
                                  <w:r>
                                    <w:rPr/>
                                    <w:t>59</w:t>
                                  </w:r>
                                </w:p>
                              </w:tc>
                              <w:tc>
                                <w:tcPr>
                                  <w:tcW w:w="112" w:type="dxa"/>
                                  <w:tcBorders/>
                                  <w:vAlign w:val="center"/>
                                </w:tcPr>
                                <w:p>
                                  <w:pPr>
                                    <w:pStyle w:val="TableContents"/>
                                    <w:bidi w:val="0"/>
                                    <w:spacing w:before="0" w:after="283"/>
                                    <w:jc w:val="left"/>
                                    <w:rPr/>
                                  </w:pPr>
                                  <w:r>
                                    <w:rPr/>
                                    <w:t> </w:t>
                                  </w:r>
                                </w:p>
                              </w:tc>
                              <w:tc>
                                <w:tcPr>
                                  <w:tcW w:w="6351" w:type="dxa"/>
                                  <w:tcBorders/>
                                  <w:vAlign w:val="center"/>
                                </w:tcPr>
                                <w:p>
                                  <w:pPr>
                                    <w:pStyle w:val="TableContents"/>
                                    <w:bidi w:val="0"/>
                                    <w:spacing w:before="0" w:after="0"/>
                                    <w:jc w:val="left"/>
                                    <w:rPr/>
                                  </w:pPr>
                                  <w:hyperlink w:anchor="toc540996_21a">
                                    <w:r>
                                      <w:rPr>
                                        <w:rStyle w:val="InternetLink"/>
                                        <w:rFonts w:ascii="arial" w:hAnsi="arial"/>
                                        <w:sz w:val="20"/>
                                      </w:rPr>
                                      <w:t xml:space="preserve">Compensation Committee Report </w:t>
                                    </w:r>
                                  </w:hyperlink>
                                </w:p>
                              </w:tc>
                            </w:tr>
                            <w:tr>
                              <w:trPr/>
                              <w:tc>
                                <w:tcPr>
                                  <w:tcW w:w="515" w:type="dxa"/>
                                  <w:tcBorders/>
                                  <w:vAlign w:val="center"/>
                                </w:tcPr>
                                <w:p>
                                  <w:pPr>
                                    <w:pStyle w:val="TableContents"/>
                                    <w:bidi w:val="0"/>
                                    <w:spacing w:before="0" w:after="283"/>
                                    <w:jc w:val="left"/>
                                    <w:rPr>
                                      <w:sz w:val="4"/>
                                      <w:szCs w:val="4"/>
                                    </w:rPr>
                                  </w:pPr>
                                  <w:r>
                                    <w:rPr>
                                      <w:sz w:val="4"/>
                                      <w:szCs w:val="4"/>
                                    </w:rPr>
                                  </w:r>
                                </w:p>
                              </w:tc>
                              <w:tc>
                                <w:tcPr>
                                  <w:tcW w:w="6463" w:type="dxa"/>
                                  <w:gridSpan w:val="2"/>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right"/>
                                    <w:rPr/>
                                  </w:pPr>
                                  <w:r>
                                    <w:rPr/>
                                    <w:t>60</w:t>
                                  </w:r>
                                </w:p>
                              </w:tc>
                              <w:tc>
                                <w:tcPr>
                                  <w:tcW w:w="112" w:type="dxa"/>
                                  <w:tcBorders/>
                                  <w:vAlign w:val="center"/>
                                </w:tcPr>
                                <w:p>
                                  <w:pPr>
                                    <w:pStyle w:val="TableContents"/>
                                    <w:bidi w:val="0"/>
                                    <w:spacing w:before="0" w:after="283"/>
                                    <w:jc w:val="left"/>
                                    <w:rPr/>
                                  </w:pPr>
                                  <w:r>
                                    <w:rPr/>
                                    <w:t> </w:t>
                                  </w:r>
                                </w:p>
                              </w:tc>
                              <w:tc>
                                <w:tcPr>
                                  <w:tcW w:w="6351" w:type="dxa"/>
                                  <w:tcBorders/>
                                  <w:vAlign w:val="center"/>
                                </w:tcPr>
                                <w:p>
                                  <w:pPr>
                                    <w:pStyle w:val="TableContents"/>
                                    <w:bidi w:val="0"/>
                                    <w:spacing w:before="0" w:after="0"/>
                                    <w:jc w:val="left"/>
                                    <w:rPr/>
                                  </w:pPr>
                                  <w:hyperlink w:anchor="toc540996_18">
                                    <w:r>
                                      <w:rPr>
                                        <w:rStyle w:val="InternetLink"/>
                                        <w:rFonts w:ascii="arial" w:hAnsi="arial"/>
                                        <w:sz w:val="20"/>
                                      </w:rPr>
                                      <w:t>Executive Compensation Tables</w:t>
                                    </w:r>
                                  </w:hyperlink>
                                </w:p>
                              </w:tc>
                            </w:tr>
                            <w:tr>
                              <w:trPr/>
                              <w:tc>
                                <w:tcPr>
                                  <w:tcW w:w="515" w:type="dxa"/>
                                  <w:tcBorders/>
                                  <w:vAlign w:val="center"/>
                                </w:tcPr>
                                <w:p>
                                  <w:pPr>
                                    <w:pStyle w:val="TableContents"/>
                                    <w:bidi w:val="0"/>
                                    <w:spacing w:before="0" w:after="283"/>
                                    <w:jc w:val="left"/>
                                    <w:rPr>
                                      <w:sz w:val="4"/>
                                      <w:szCs w:val="4"/>
                                    </w:rPr>
                                  </w:pPr>
                                  <w:r>
                                    <w:rPr>
                                      <w:sz w:val="4"/>
                                      <w:szCs w:val="4"/>
                                    </w:rPr>
                                  </w:r>
                                </w:p>
                              </w:tc>
                              <w:tc>
                                <w:tcPr>
                                  <w:tcW w:w="6463" w:type="dxa"/>
                                  <w:gridSpan w:val="2"/>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right"/>
                                    <w:rPr/>
                                  </w:pPr>
                                  <w:r>
                                    <w:rPr/>
                                    <w:t>70</w:t>
                                  </w:r>
                                </w:p>
                              </w:tc>
                              <w:tc>
                                <w:tcPr>
                                  <w:tcW w:w="112" w:type="dxa"/>
                                  <w:tcBorders/>
                                  <w:vAlign w:val="center"/>
                                </w:tcPr>
                                <w:p>
                                  <w:pPr>
                                    <w:pStyle w:val="TableContents"/>
                                    <w:bidi w:val="0"/>
                                    <w:spacing w:before="0" w:after="283"/>
                                    <w:jc w:val="left"/>
                                    <w:rPr/>
                                  </w:pPr>
                                  <w:r>
                                    <w:rPr/>
                                    <w:t> </w:t>
                                  </w:r>
                                </w:p>
                              </w:tc>
                              <w:tc>
                                <w:tcPr>
                                  <w:tcW w:w="6351" w:type="dxa"/>
                                  <w:tcBorders/>
                                  <w:vAlign w:val="center"/>
                                </w:tcPr>
                                <w:p>
                                  <w:pPr>
                                    <w:pStyle w:val="TableContents"/>
                                    <w:bidi w:val="0"/>
                                    <w:spacing w:before="0" w:after="0"/>
                                    <w:jc w:val="left"/>
                                    <w:rPr/>
                                  </w:pPr>
                                  <w:hyperlink w:anchor="toc540996_19">
                                    <w:r>
                                      <w:rPr>
                                        <w:rStyle w:val="InternetLink"/>
                                        <w:rFonts w:ascii="arial" w:hAnsi="arial"/>
                                        <w:sz w:val="20"/>
                                      </w:rPr>
                                      <w:t>CEO Pay Ratio</w:t>
                                    </w:r>
                                  </w:hyperlink>
                                </w:p>
                              </w:tc>
                            </w:tr>
                            <w:tr>
                              <w:trPr/>
                              <w:tc>
                                <w:tcPr>
                                  <w:tcW w:w="515" w:type="dxa"/>
                                  <w:tcBorders/>
                                  <w:vAlign w:val="center"/>
                                </w:tcPr>
                                <w:p>
                                  <w:pPr>
                                    <w:pStyle w:val="TableContents"/>
                                    <w:bidi w:val="0"/>
                                    <w:spacing w:before="0" w:after="283"/>
                                    <w:jc w:val="left"/>
                                    <w:rPr>
                                      <w:sz w:val="4"/>
                                      <w:szCs w:val="4"/>
                                    </w:rPr>
                                  </w:pPr>
                                  <w:r>
                                    <w:rPr>
                                      <w:sz w:val="4"/>
                                      <w:szCs w:val="4"/>
                                    </w:rPr>
                                  </w:r>
                                </w:p>
                              </w:tc>
                              <w:tc>
                                <w:tcPr>
                                  <w:tcW w:w="6463" w:type="dxa"/>
                                  <w:gridSpan w:val="2"/>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right"/>
                                    <w:rPr/>
                                  </w:pPr>
                                  <w:r>
                                    <w:rPr/>
                                    <w:t>71</w:t>
                                  </w:r>
                                </w:p>
                              </w:tc>
                              <w:tc>
                                <w:tcPr>
                                  <w:tcW w:w="112" w:type="dxa"/>
                                  <w:tcBorders/>
                                  <w:vAlign w:val="center"/>
                                </w:tcPr>
                                <w:p>
                                  <w:pPr>
                                    <w:pStyle w:val="TableContents"/>
                                    <w:bidi w:val="0"/>
                                    <w:spacing w:before="0" w:after="283"/>
                                    <w:jc w:val="left"/>
                                    <w:rPr/>
                                  </w:pPr>
                                  <w:r>
                                    <w:rPr/>
                                    <w:t> </w:t>
                                  </w:r>
                                </w:p>
                              </w:tc>
                              <w:tc>
                                <w:tcPr>
                                  <w:tcW w:w="6351" w:type="dxa"/>
                                  <w:tcBorders/>
                                  <w:vAlign w:val="center"/>
                                </w:tcPr>
                                <w:p>
                                  <w:pPr>
                                    <w:pStyle w:val="TableContents"/>
                                    <w:bidi w:val="0"/>
                                    <w:spacing w:before="0" w:after="0"/>
                                    <w:jc w:val="left"/>
                                    <w:rPr/>
                                  </w:pPr>
                                  <w:hyperlink w:anchor="toc540996_20">
                                    <w:r>
                                      <w:rPr>
                                        <w:rStyle w:val="InternetLink"/>
                                        <w:rFonts w:ascii="arial" w:hAnsi="arial"/>
                                        <w:sz w:val="20"/>
                                      </w:rPr>
                                      <w:t>Pay Versus Performance</w:t>
                                    </w:r>
                                  </w:hyperlink>
                                </w:p>
                              </w:tc>
                            </w:tr>
                            <w:tr>
                              <w:trPr/>
                              <w:tc>
                                <w:tcPr>
                                  <w:tcW w:w="6978" w:type="dxa"/>
                                  <w:gridSpan w:val="3"/>
                                  <w:tcBorders/>
                                  <w:vAlign w:val="center"/>
                                </w:tcPr>
                                <w:p>
                                  <w:pPr>
                                    <w:pStyle w:val="TableContents"/>
                                    <w:bidi w:val="0"/>
                                    <w:spacing w:before="0" w:after="283"/>
                                    <w:jc w:val="left"/>
                                    <w:rPr>
                                      <w:sz w:val="4"/>
                                      <w:szCs w:val="4"/>
                                    </w:rPr>
                                  </w:pPr>
                                  <w:r>
                                    <w:rPr>
                                      <w:sz w:val="4"/>
                                      <w:szCs w:val="4"/>
                                    </w:rPr>
                                  </w:r>
                                </w:p>
                              </w:tc>
                            </w:tr>
                            <w:tr>
                              <w:trPr/>
                              <w:tc>
                                <w:tcPr>
                                  <w:tcW w:w="6978" w:type="dxa"/>
                                  <w:gridSpan w:val="3"/>
                                  <w:tcBorders/>
                                  <w:vAlign w:val="center"/>
                                </w:tcPr>
                                <w:p>
                                  <w:pPr>
                                    <w:pStyle w:val="TableContents"/>
                                    <w:bidi w:val="0"/>
                                    <w:spacing w:before="0" w:after="283"/>
                                    <w:jc w:val="left"/>
                                    <w:rPr>
                                      <w:i/>
                                      <w:color w:val="F7ACBA"/>
                                      <w:sz w:val="50"/>
                                    </w:rPr>
                                  </w:pPr>
                                  <w:r>
                                    <w:rPr>
                                      <w:i/>
                                      <w:color w:val="F7ACBA"/>
                                      <w:sz w:val="50"/>
                                    </w:rPr>
                                    <w:t>75</w:t>
                                  </w:r>
                                </w:p>
                              </w:tc>
                            </w:tr>
                            <w:tr>
                              <w:trPr/>
                              <w:tc>
                                <w:tcPr>
                                  <w:tcW w:w="6978" w:type="dxa"/>
                                  <w:gridSpan w:val="3"/>
                                  <w:tcBorders/>
                                  <w:vAlign w:val="center"/>
                                </w:tcPr>
                                <w:p>
                                  <w:pPr>
                                    <w:pStyle w:val="TableContents"/>
                                    <w:bidi w:val="0"/>
                                    <w:spacing w:before="0" w:after="283"/>
                                    <w:jc w:val="left"/>
                                    <w:rPr/>
                                  </w:pPr>
                                  <w:hyperlink w:anchor="toc540996_22">
                                    <w:r>
                                      <w:rPr>
                                        <w:rStyle w:val="InternetLink"/>
                                        <w:rFonts w:ascii="arial" w:hAnsi="arial"/>
                                        <w:b/>
                                        <w:sz w:val="22"/>
                                      </w:rPr>
                                      <w:t>PROPOSAL THREE:</w:t>
                                      <w:br/>
                                      <w:t xml:space="preserve">Advisory Approval of Compensation of Named Executive Officers </w:t>
                                    </w:r>
                                  </w:hyperlink>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32000</wp14:pctWidth>
                </wp14:sizeRelH>
              </wp:anchor>
            </w:drawing>
          </mc:Choice>
          <mc:Fallback>
            <w:pict>
              <v:rect style="position:absolute;rotation:-0;width:163.25pt;height:694.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6978" w:type="dxa"/>
                        <w:jc w:val="left"/>
                        <w:tblInd w:w="0" w:type="dxa"/>
                        <w:tblLayout w:type="fixed"/>
                        <w:tblCellMar>
                          <w:top w:w="0" w:type="dxa"/>
                          <w:left w:w="0" w:type="dxa"/>
                          <w:bottom w:w="0" w:type="dxa"/>
                          <w:right w:w="0" w:type="dxa"/>
                        </w:tblCellMar>
                      </w:tblPr>
                      <w:tblGrid>
                        <w:gridCol w:w="515"/>
                        <w:gridCol w:w="112"/>
                        <w:gridCol w:w="6351"/>
                      </w:tblGrid>
                      <w:tr>
                        <w:trPr/>
                        <w:tc>
                          <w:tcPr>
                            <w:tcW w:w="51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6351" w:type="dxa"/>
                            <w:tcBorders/>
                            <w:vAlign w:val="center"/>
                          </w:tcPr>
                          <w:p>
                            <w:pPr>
                              <w:pStyle w:val="TableContents"/>
                              <w:bidi w:val="0"/>
                              <w:spacing w:before="0" w:after="283"/>
                              <w:jc w:val="left"/>
                              <w:rPr>
                                <w:sz w:val="4"/>
                                <w:szCs w:val="4"/>
                              </w:rPr>
                            </w:pPr>
                            <w:r>
                              <w:rPr>
                                <w:sz w:val="4"/>
                                <w:szCs w:val="4"/>
                              </w:rPr>
                            </w:r>
                          </w:p>
                        </w:tc>
                      </w:tr>
                      <w:tr>
                        <w:trPr/>
                        <w:tc>
                          <w:tcPr>
                            <w:tcW w:w="6978" w:type="dxa"/>
                            <w:gridSpan w:val="3"/>
                            <w:tcBorders/>
                            <w:vAlign w:val="center"/>
                          </w:tcPr>
                          <w:p>
                            <w:pPr>
                              <w:pStyle w:val="TableContents"/>
                              <w:bidi w:val="0"/>
                              <w:spacing w:before="0" w:after="283"/>
                              <w:jc w:val="left"/>
                              <w:rPr>
                                <w:i/>
                                <w:color w:val="F7ACBA"/>
                                <w:sz w:val="50"/>
                              </w:rPr>
                            </w:pPr>
                            <w:r>
                              <w:rPr>
                                <w:i/>
                                <w:color w:val="F7ACBA"/>
                                <w:sz w:val="50"/>
                              </w:rPr>
                              <w:t>39</w:t>
                            </w:r>
                          </w:p>
                        </w:tc>
                      </w:tr>
                      <w:tr>
                        <w:trPr/>
                        <w:tc>
                          <w:tcPr>
                            <w:tcW w:w="6978" w:type="dxa"/>
                            <w:gridSpan w:val="3"/>
                            <w:tcBorders/>
                            <w:vAlign w:val="center"/>
                          </w:tcPr>
                          <w:p>
                            <w:pPr>
                              <w:pStyle w:val="TableContents"/>
                              <w:bidi w:val="0"/>
                              <w:spacing w:before="0" w:after="283"/>
                              <w:jc w:val="left"/>
                              <w:rPr/>
                            </w:pPr>
                            <w:hyperlink w:anchor="toc540996_12">
                              <w:r>
                                <w:rPr>
                                  <w:rStyle w:val="InternetLink"/>
                                  <w:rFonts w:ascii="arial" w:hAnsi="arial"/>
                                  <w:b/>
                                  <w:sz w:val="22"/>
                                </w:rPr>
                                <w:t>Human Capital</w:t>
                                <w:br/>
                                <w:t xml:space="preserve">Management </w:t>
                              </w:r>
                            </w:hyperlink>
                          </w:p>
                        </w:tc>
                      </w:tr>
                      <w:tr>
                        <w:trPr/>
                        <w:tc>
                          <w:tcPr>
                            <w:tcW w:w="6978" w:type="dxa"/>
                            <w:gridSpan w:val="3"/>
                            <w:tcBorders/>
                            <w:vAlign w:val="center"/>
                          </w:tcPr>
                          <w:p>
                            <w:pPr>
                              <w:pStyle w:val="TableContents"/>
                              <w:bidi w:val="0"/>
                              <w:spacing w:before="0" w:after="283"/>
                              <w:jc w:val="left"/>
                              <w:rPr>
                                <w:sz w:val="4"/>
                                <w:szCs w:val="4"/>
                              </w:rPr>
                            </w:pPr>
                            <w:r>
                              <w:rPr>
                                <w:sz w:val="4"/>
                                <w:szCs w:val="4"/>
                              </w:rPr>
                            </w:r>
                          </w:p>
                        </w:tc>
                      </w:tr>
                      <w:tr>
                        <w:trPr/>
                        <w:tc>
                          <w:tcPr>
                            <w:tcW w:w="6978" w:type="dxa"/>
                            <w:gridSpan w:val="3"/>
                            <w:tcBorders/>
                            <w:vAlign w:val="center"/>
                          </w:tcPr>
                          <w:p>
                            <w:pPr>
                              <w:pStyle w:val="TableContents"/>
                              <w:bidi w:val="0"/>
                              <w:spacing w:before="0" w:after="283"/>
                              <w:jc w:val="left"/>
                              <w:rPr>
                                <w:i/>
                                <w:color w:val="F7ACBA"/>
                                <w:sz w:val="50"/>
                              </w:rPr>
                            </w:pPr>
                            <w:r>
                              <w:rPr>
                                <w:i/>
                                <w:color w:val="F7ACBA"/>
                                <w:sz w:val="50"/>
                              </w:rPr>
                              <w:t>44</w:t>
                            </w:r>
                          </w:p>
                        </w:tc>
                      </w:tr>
                      <w:tr>
                        <w:trPr/>
                        <w:tc>
                          <w:tcPr>
                            <w:tcW w:w="6978" w:type="dxa"/>
                            <w:gridSpan w:val="3"/>
                            <w:tcBorders/>
                            <w:vAlign w:val="center"/>
                          </w:tcPr>
                          <w:p>
                            <w:pPr>
                              <w:pStyle w:val="TableContents"/>
                              <w:bidi w:val="0"/>
                              <w:spacing w:before="0" w:after="283"/>
                              <w:jc w:val="left"/>
                              <w:rPr/>
                            </w:pPr>
                            <w:hyperlink w:anchor="toc540996_13">
                              <w:r>
                                <w:rPr>
                                  <w:rStyle w:val="InternetLink"/>
                                  <w:rFonts w:ascii="arial" w:hAnsi="arial"/>
                                  <w:b/>
                                  <w:sz w:val="22"/>
                                </w:rPr>
                                <w:t xml:space="preserve">Director Compensation </w:t>
                              </w:r>
                            </w:hyperlink>
                          </w:p>
                        </w:tc>
                      </w:tr>
                      <w:tr>
                        <w:trPr/>
                        <w:tc>
                          <w:tcPr>
                            <w:tcW w:w="6978" w:type="dxa"/>
                            <w:gridSpan w:val="3"/>
                            <w:tcBorders/>
                            <w:vAlign w:val="center"/>
                          </w:tcPr>
                          <w:p>
                            <w:pPr>
                              <w:pStyle w:val="TableContents"/>
                              <w:bidi w:val="0"/>
                              <w:spacing w:before="0" w:after="283"/>
                              <w:jc w:val="left"/>
                              <w:rPr>
                                <w:sz w:val="4"/>
                                <w:szCs w:val="4"/>
                              </w:rPr>
                            </w:pPr>
                            <w:r>
                              <w:rPr>
                                <w:sz w:val="4"/>
                                <w:szCs w:val="4"/>
                              </w:rPr>
                            </w:r>
                          </w:p>
                        </w:tc>
                      </w:tr>
                      <w:tr>
                        <w:trPr/>
                        <w:tc>
                          <w:tcPr>
                            <w:tcW w:w="6978" w:type="dxa"/>
                            <w:gridSpan w:val="3"/>
                            <w:tcBorders/>
                            <w:vAlign w:val="center"/>
                          </w:tcPr>
                          <w:p>
                            <w:pPr>
                              <w:pStyle w:val="TableContents"/>
                              <w:bidi w:val="0"/>
                              <w:spacing w:before="0" w:after="283"/>
                              <w:jc w:val="left"/>
                              <w:rPr>
                                <w:i/>
                                <w:color w:val="F7ACBA"/>
                                <w:sz w:val="50"/>
                              </w:rPr>
                            </w:pPr>
                            <w:r>
                              <w:rPr>
                                <w:i/>
                                <w:color w:val="F7ACBA"/>
                                <w:sz w:val="50"/>
                              </w:rPr>
                              <w:t>46</w:t>
                            </w:r>
                          </w:p>
                        </w:tc>
                      </w:tr>
                      <w:tr>
                        <w:trPr/>
                        <w:tc>
                          <w:tcPr>
                            <w:tcW w:w="6978" w:type="dxa"/>
                            <w:gridSpan w:val="3"/>
                            <w:tcBorders/>
                            <w:vAlign w:val="center"/>
                          </w:tcPr>
                          <w:p>
                            <w:pPr>
                              <w:pStyle w:val="TableContents"/>
                              <w:bidi w:val="0"/>
                              <w:spacing w:before="0" w:after="283"/>
                              <w:jc w:val="left"/>
                              <w:rPr/>
                            </w:pPr>
                            <w:hyperlink w:anchor="toc540996_14">
                              <w:r>
                                <w:rPr>
                                  <w:rStyle w:val="InternetLink"/>
                                  <w:rFonts w:ascii="arial" w:hAnsi="arial"/>
                                  <w:b/>
                                  <w:sz w:val="22"/>
                                </w:rPr>
                                <w:t xml:space="preserve">Compensation Discussion and Analysis </w:t>
                              </w:r>
                            </w:hyperlink>
                          </w:p>
                        </w:tc>
                      </w:tr>
                      <w:tr>
                        <w:trPr/>
                        <w:tc>
                          <w:tcPr>
                            <w:tcW w:w="515" w:type="dxa"/>
                            <w:tcBorders/>
                            <w:vAlign w:val="center"/>
                          </w:tcPr>
                          <w:p>
                            <w:pPr>
                              <w:pStyle w:val="TableContents"/>
                              <w:bidi w:val="0"/>
                              <w:spacing w:before="0" w:after="283"/>
                              <w:jc w:val="left"/>
                              <w:rPr>
                                <w:sz w:val="4"/>
                                <w:szCs w:val="4"/>
                              </w:rPr>
                            </w:pPr>
                            <w:r>
                              <w:rPr>
                                <w:sz w:val="4"/>
                                <w:szCs w:val="4"/>
                              </w:rPr>
                            </w:r>
                          </w:p>
                        </w:tc>
                        <w:tc>
                          <w:tcPr>
                            <w:tcW w:w="6463" w:type="dxa"/>
                            <w:gridSpan w:val="2"/>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right"/>
                              <w:rPr/>
                            </w:pPr>
                            <w:r>
                              <w:rPr/>
                              <w:t>51</w:t>
                            </w:r>
                          </w:p>
                        </w:tc>
                        <w:tc>
                          <w:tcPr>
                            <w:tcW w:w="112" w:type="dxa"/>
                            <w:tcBorders/>
                            <w:vAlign w:val="center"/>
                          </w:tcPr>
                          <w:p>
                            <w:pPr>
                              <w:pStyle w:val="TableContents"/>
                              <w:bidi w:val="0"/>
                              <w:spacing w:before="0" w:after="283"/>
                              <w:jc w:val="left"/>
                              <w:rPr/>
                            </w:pPr>
                            <w:r>
                              <w:rPr/>
                              <w:t> </w:t>
                            </w:r>
                          </w:p>
                        </w:tc>
                        <w:tc>
                          <w:tcPr>
                            <w:tcW w:w="6351" w:type="dxa"/>
                            <w:tcBorders/>
                            <w:vAlign w:val="center"/>
                          </w:tcPr>
                          <w:p>
                            <w:pPr>
                              <w:pStyle w:val="TableContents"/>
                              <w:bidi w:val="0"/>
                              <w:spacing w:before="0" w:after="0"/>
                              <w:jc w:val="left"/>
                              <w:rPr/>
                            </w:pPr>
                            <w:hyperlink w:anchor="toc540996_15">
                              <w:r>
                                <w:rPr>
                                  <w:rStyle w:val="InternetLink"/>
                                  <w:rFonts w:ascii="arial" w:hAnsi="arial"/>
                                  <w:sz w:val="20"/>
                                </w:rPr>
                                <w:t>Compensation Governance Processes</w:t>
                              </w:r>
                            </w:hyperlink>
                          </w:p>
                        </w:tc>
                      </w:tr>
                      <w:tr>
                        <w:trPr/>
                        <w:tc>
                          <w:tcPr>
                            <w:tcW w:w="515" w:type="dxa"/>
                            <w:tcBorders/>
                            <w:vAlign w:val="center"/>
                          </w:tcPr>
                          <w:p>
                            <w:pPr>
                              <w:pStyle w:val="TableContents"/>
                              <w:bidi w:val="0"/>
                              <w:spacing w:before="0" w:after="283"/>
                              <w:jc w:val="left"/>
                              <w:rPr>
                                <w:sz w:val="4"/>
                                <w:szCs w:val="4"/>
                              </w:rPr>
                            </w:pPr>
                            <w:r>
                              <w:rPr>
                                <w:sz w:val="4"/>
                                <w:szCs w:val="4"/>
                              </w:rPr>
                            </w:r>
                          </w:p>
                        </w:tc>
                        <w:tc>
                          <w:tcPr>
                            <w:tcW w:w="6463" w:type="dxa"/>
                            <w:gridSpan w:val="2"/>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right"/>
                              <w:rPr/>
                            </w:pPr>
                            <w:r>
                              <w:rPr/>
                              <w:t>53</w:t>
                            </w:r>
                          </w:p>
                        </w:tc>
                        <w:tc>
                          <w:tcPr>
                            <w:tcW w:w="112" w:type="dxa"/>
                            <w:tcBorders/>
                            <w:vAlign w:val="center"/>
                          </w:tcPr>
                          <w:p>
                            <w:pPr>
                              <w:pStyle w:val="TableContents"/>
                              <w:bidi w:val="0"/>
                              <w:spacing w:before="0" w:after="283"/>
                              <w:jc w:val="left"/>
                              <w:rPr/>
                            </w:pPr>
                            <w:r>
                              <w:rPr/>
                              <w:t> </w:t>
                            </w:r>
                          </w:p>
                        </w:tc>
                        <w:tc>
                          <w:tcPr>
                            <w:tcW w:w="6351" w:type="dxa"/>
                            <w:tcBorders/>
                            <w:vAlign w:val="center"/>
                          </w:tcPr>
                          <w:p>
                            <w:pPr>
                              <w:pStyle w:val="TableContents"/>
                              <w:bidi w:val="0"/>
                              <w:spacing w:before="0" w:after="0"/>
                              <w:jc w:val="left"/>
                              <w:rPr/>
                            </w:pPr>
                            <w:hyperlink w:anchor="toc540996_16">
                              <w:r>
                                <w:rPr>
                                  <w:rStyle w:val="InternetLink"/>
                                  <w:rFonts w:ascii="arial" w:hAnsi="arial"/>
                                  <w:sz w:val="20"/>
                                </w:rPr>
                                <w:t>NEO Compensation Components</w:t>
                              </w:r>
                            </w:hyperlink>
                          </w:p>
                        </w:tc>
                      </w:tr>
                      <w:tr>
                        <w:trPr/>
                        <w:tc>
                          <w:tcPr>
                            <w:tcW w:w="515" w:type="dxa"/>
                            <w:tcBorders/>
                            <w:vAlign w:val="center"/>
                          </w:tcPr>
                          <w:p>
                            <w:pPr>
                              <w:pStyle w:val="TableContents"/>
                              <w:bidi w:val="0"/>
                              <w:spacing w:before="0" w:after="283"/>
                              <w:jc w:val="left"/>
                              <w:rPr>
                                <w:sz w:val="4"/>
                                <w:szCs w:val="4"/>
                              </w:rPr>
                            </w:pPr>
                            <w:r>
                              <w:rPr>
                                <w:sz w:val="4"/>
                                <w:szCs w:val="4"/>
                              </w:rPr>
                            </w:r>
                          </w:p>
                        </w:tc>
                        <w:tc>
                          <w:tcPr>
                            <w:tcW w:w="6463" w:type="dxa"/>
                            <w:gridSpan w:val="2"/>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right"/>
                              <w:rPr/>
                            </w:pPr>
                            <w:r>
                              <w:rPr/>
                              <w:t>57</w:t>
                            </w:r>
                          </w:p>
                        </w:tc>
                        <w:tc>
                          <w:tcPr>
                            <w:tcW w:w="112" w:type="dxa"/>
                            <w:tcBorders/>
                            <w:vAlign w:val="center"/>
                          </w:tcPr>
                          <w:p>
                            <w:pPr>
                              <w:pStyle w:val="TableContents"/>
                              <w:bidi w:val="0"/>
                              <w:spacing w:before="0" w:after="283"/>
                              <w:jc w:val="left"/>
                              <w:rPr/>
                            </w:pPr>
                            <w:r>
                              <w:rPr/>
                              <w:t> </w:t>
                            </w:r>
                          </w:p>
                        </w:tc>
                        <w:tc>
                          <w:tcPr>
                            <w:tcW w:w="6351" w:type="dxa"/>
                            <w:tcBorders/>
                            <w:vAlign w:val="center"/>
                          </w:tcPr>
                          <w:p>
                            <w:pPr>
                              <w:pStyle w:val="TableContents"/>
                              <w:bidi w:val="0"/>
                              <w:spacing w:before="0" w:after="0"/>
                              <w:jc w:val="left"/>
                              <w:rPr/>
                            </w:pPr>
                            <w:hyperlink w:anchor="toc540996_17">
                              <w:r>
                                <w:rPr>
                                  <w:rStyle w:val="InternetLink"/>
                                  <w:rFonts w:ascii="arial" w:hAnsi="arial"/>
                                  <w:sz w:val="20"/>
                                </w:rPr>
                                <w:t>Compensation Governance</w:t>
                              </w:r>
                            </w:hyperlink>
                          </w:p>
                        </w:tc>
                      </w:tr>
                      <w:tr>
                        <w:trPr/>
                        <w:tc>
                          <w:tcPr>
                            <w:tcW w:w="515" w:type="dxa"/>
                            <w:tcBorders/>
                            <w:vAlign w:val="center"/>
                          </w:tcPr>
                          <w:p>
                            <w:pPr>
                              <w:pStyle w:val="TableContents"/>
                              <w:bidi w:val="0"/>
                              <w:spacing w:before="0" w:after="283"/>
                              <w:jc w:val="left"/>
                              <w:rPr>
                                <w:sz w:val="4"/>
                                <w:szCs w:val="4"/>
                              </w:rPr>
                            </w:pPr>
                            <w:r>
                              <w:rPr>
                                <w:sz w:val="4"/>
                                <w:szCs w:val="4"/>
                              </w:rPr>
                            </w:r>
                          </w:p>
                        </w:tc>
                        <w:tc>
                          <w:tcPr>
                            <w:tcW w:w="6463" w:type="dxa"/>
                            <w:gridSpan w:val="2"/>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right"/>
                              <w:rPr/>
                            </w:pPr>
                            <w:r>
                              <w:rPr/>
                              <w:t>59</w:t>
                            </w:r>
                          </w:p>
                        </w:tc>
                        <w:tc>
                          <w:tcPr>
                            <w:tcW w:w="112" w:type="dxa"/>
                            <w:tcBorders/>
                            <w:vAlign w:val="center"/>
                          </w:tcPr>
                          <w:p>
                            <w:pPr>
                              <w:pStyle w:val="TableContents"/>
                              <w:bidi w:val="0"/>
                              <w:spacing w:before="0" w:after="283"/>
                              <w:jc w:val="left"/>
                              <w:rPr/>
                            </w:pPr>
                            <w:r>
                              <w:rPr/>
                              <w:t> </w:t>
                            </w:r>
                          </w:p>
                        </w:tc>
                        <w:tc>
                          <w:tcPr>
                            <w:tcW w:w="6351" w:type="dxa"/>
                            <w:tcBorders/>
                            <w:vAlign w:val="center"/>
                          </w:tcPr>
                          <w:p>
                            <w:pPr>
                              <w:pStyle w:val="TableContents"/>
                              <w:bidi w:val="0"/>
                              <w:spacing w:before="0" w:after="0"/>
                              <w:jc w:val="left"/>
                              <w:rPr/>
                            </w:pPr>
                            <w:hyperlink w:anchor="toc540996_21a">
                              <w:r>
                                <w:rPr>
                                  <w:rStyle w:val="InternetLink"/>
                                  <w:rFonts w:ascii="arial" w:hAnsi="arial"/>
                                  <w:sz w:val="20"/>
                                </w:rPr>
                                <w:t xml:space="preserve">Compensation Committee Report </w:t>
                              </w:r>
                            </w:hyperlink>
                          </w:p>
                        </w:tc>
                      </w:tr>
                      <w:tr>
                        <w:trPr/>
                        <w:tc>
                          <w:tcPr>
                            <w:tcW w:w="515" w:type="dxa"/>
                            <w:tcBorders/>
                            <w:vAlign w:val="center"/>
                          </w:tcPr>
                          <w:p>
                            <w:pPr>
                              <w:pStyle w:val="TableContents"/>
                              <w:bidi w:val="0"/>
                              <w:spacing w:before="0" w:after="283"/>
                              <w:jc w:val="left"/>
                              <w:rPr>
                                <w:sz w:val="4"/>
                                <w:szCs w:val="4"/>
                              </w:rPr>
                            </w:pPr>
                            <w:r>
                              <w:rPr>
                                <w:sz w:val="4"/>
                                <w:szCs w:val="4"/>
                              </w:rPr>
                            </w:r>
                          </w:p>
                        </w:tc>
                        <w:tc>
                          <w:tcPr>
                            <w:tcW w:w="6463" w:type="dxa"/>
                            <w:gridSpan w:val="2"/>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right"/>
                              <w:rPr/>
                            </w:pPr>
                            <w:r>
                              <w:rPr/>
                              <w:t>60</w:t>
                            </w:r>
                          </w:p>
                        </w:tc>
                        <w:tc>
                          <w:tcPr>
                            <w:tcW w:w="112" w:type="dxa"/>
                            <w:tcBorders/>
                            <w:vAlign w:val="center"/>
                          </w:tcPr>
                          <w:p>
                            <w:pPr>
                              <w:pStyle w:val="TableContents"/>
                              <w:bidi w:val="0"/>
                              <w:spacing w:before="0" w:after="283"/>
                              <w:jc w:val="left"/>
                              <w:rPr/>
                            </w:pPr>
                            <w:r>
                              <w:rPr/>
                              <w:t> </w:t>
                            </w:r>
                          </w:p>
                        </w:tc>
                        <w:tc>
                          <w:tcPr>
                            <w:tcW w:w="6351" w:type="dxa"/>
                            <w:tcBorders/>
                            <w:vAlign w:val="center"/>
                          </w:tcPr>
                          <w:p>
                            <w:pPr>
                              <w:pStyle w:val="TableContents"/>
                              <w:bidi w:val="0"/>
                              <w:spacing w:before="0" w:after="0"/>
                              <w:jc w:val="left"/>
                              <w:rPr/>
                            </w:pPr>
                            <w:hyperlink w:anchor="toc540996_18">
                              <w:r>
                                <w:rPr>
                                  <w:rStyle w:val="InternetLink"/>
                                  <w:rFonts w:ascii="arial" w:hAnsi="arial"/>
                                  <w:sz w:val="20"/>
                                </w:rPr>
                                <w:t>Executive Compensation Tables</w:t>
                              </w:r>
                            </w:hyperlink>
                          </w:p>
                        </w:tc>
                      </w:tr>
                      <w:tr>
                        <w:trPr/>
                        <w:tc>
                          <w:tcPr>
                            <w:tcW w:w="515" w:type="dxa"/>
                            <w:tcBorders/>
                            <w:vAlign w:val="center"/>
                          </w:tcPr>
                          <w:p>
                            <w:pPr>
                              <w:pStyle w:val="TableContents"/>
                              <w:bidi w:val="0"/>
                              <w:spacing w:before="0" w:after="283"/>
                              <w:jc w:val="left"/>
                              <w:rPr>
                                <w:sz w:val="4"/>
                                <w:szCs w:val="4"/>
                              </w:rPr>
                            </w:pPr>
                            <w:r>
                              <w:rPr>
                                <w:sz w:val="4"/>
                                <w:szCs w:val="4"/>
                              </w:rPr>
                            </w:r>
                          </w:p>
                        </w:tc>
                        <w:tc>
                          <w:tcPr>
                            <w:tcW w:w="6463" w:type="dxa"/>
                            <w:gridSpan w:val="2"/>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right"/>
                              <w:rPr/>
                            </w:pPr>
                            <w:r>
                              <w:rPr/>
                              <w:t>70</w:t>
                            </w:r>
                          </w:p>
                        </w:tc>
                        <w:tc>
                          <w:tcPr>
                            <w:tcW w:w="112" w:type="dxa"/>
                            <w:tcBorders/>
                            <w:vAlign w:val="center"/>
                          </w:tcPr>
                          <w:p>
                            <w:pPr>
                              <w:pStyle w:val="TableContents"/>
                              <w:bidi w:val="0"/>
                              <w:spacing w:before="0" w:after="283"/>
                              <w:jc w:val="left"/>
                              <w:rPr/>
                            </w:pPr>
                            <w:r>
                              <w:rPr/>
                              <w:t> </w:t>
                            </w:r>
                          </w:p>
                        </w:tc>
                        <w:tc>
                          <w:tcPr>
                            <w:tcW w:w="6351" w:type="dxa"/>
                            <w:tcBorders/>
                            <w:vAlign w:val="center"/>
                          </w:tcPr>
                          <w:p>
                            <w:pPr>
                              <w:pStyle w:val="TableContents"/>
                              <w:bidi w:val="0"/>
                              <w:spacing w:before="0" w:after="0"/>
                              <w:jc w:val="left"/>
                              <w:rPr/>
                            </w:pPr>
                            <w:hyperlink w:anchor="toc540996_19">
                              <w:r>
                                <w:rPr>
                                  <w:rStyle w:val="InternetLink"/>
                                  <w:rFonts w:ascii="arial" w:hAnsi="arial"/>
                                  <w:sz w:val="20"/>
                                </w:rPr>
                                <w:t>CEO Pay Ratio</w:t>
                              </w:r>
                            </w:hyperlink>
                          </w:p>
                        </w:tc>
                      </w:tr>
                      <w:tr>
                        <w:trPr/>
                        <w:tc>
                          <w:tcPr>
                            <w:tcW w:w="515" w:type="dxa"/>
                            <w:tcBorders/>
                            <w:vAlign w:val="center"/>
                          </w:tcPr>
                          <w:p>
                            <w:pPr>
                              <w:pStyle w:val="TableContents"/>
                              <w:bidi w:val="0"/>
                              <w:spacing w:before="0" w:after="283"/>
                              <w:jc w:val="left"/>
                              <w:rPr>
                                <w:sz w:val="4"/>
                                <w:szCs w:val="4"/>
                              </w:rPr>
                            </w:pPr>
                            <w:r>
                              <w:rPr>
                                <w:sz w:val="4"/>
                                <w:szCs w:val="4"/>
                              </w:rPr>
                            </w:r>
                          </w:p>
                        </w:tc>
                        <w:tc>
                          <w:tcPr>
                            <w:tcW w:w="6463" w:type="dxa"/>
                            <w:gridSpan w:val="2"/>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spacing w:before="0" w:after="283"/>
                              <w:jc w:val="right"/>
                              <w:rPr/>
                            </w:pPr>
                            <w:r>
                              <w:rPr/>
                              <w:t>71</w:t>
                            </w:r>
                          </w:p>
                        </w:tc>
                        <w:tc>
                          <w:tcPr>
                            <w:tcW w:w="112" w:type="dxa"/>
                            <w:tcBorders/>
                            <w:vAlign w:val="center"/>
                          </w:tcPr>
                          <w:p>
                            <w:pPr>
                              <w:pStyle w:val="TableContents"/>
                              <w:bidi w:val="0"/>
                              <w:spacing w:before="0" w:after="283"/>
                              <w:jc w:val="left"/>
                              <w:rPr/>
                            </w:pPr>
                            <w:r>
                              <w:rPr/>
                              <w:t> </w:t>
                            </w:r>
                          </w:p>
                        </w:tc>
                        <w:tc>
                          <w:tcPr>
                            <w:tcW w:w="6351" w:type="dxa"/>
                            <w:tcBorders/>
                            <w:vAlign w:val="center"/>
                          </w:tcPr>
                          <w:p>
                            <w:pPr>
                              <w:pStyle w:val="TableContents"/>
                              <w:bidi w:val="0"/>
                              <w:spacing w:before="0" w:after="0"/>
                              <w:jc w:val="left"/>
                              <w:rPr/>
                            </w:pPr>
                            <w:hyperlink w:anchor="toc540996_20">
                              <w:r>
                                <w:rPr>
                                  <w:rStyle w:val="InternetLink"/>
                                  <w:rFonts w:ascii="arial" w:hAnsi="arial"/>
                                  <w:sz w:val="20"/>
                                </w:rPr>
                                <w:t>Pay Versus Performance</w:t>
                              </w:r>
                            </w:hyperlink>
                          </w:p>
                        </w:tc>
                      </w:tr>
                      <w:tr>
                        <w:trPr/>
                        <w:tc>
                          <w:tcPr>
                            <w:tcW w:w="6978" w:type="dxa"/>
                            <w:gridSpan w:val="3"/>
                            <w:tcBorders/>
                            <w:vAlign w:val="center"/>
                          </w:tcPr>
                          <w:p>
                            <w:pPr>
                              <w:pStyle w:val="TableContents"/>
                              <w:bidi w:val="0"/>
                              <w:spacing w:before="0" w:after="283"/>
                              <w:jc w:val="left"/>
                              <w:rPr>
                                <w:sz w:val="4"/>
                                <w:szCs w:val="4"/>
                              </w:rPr>
                            </w:pPr>
                            <w:r>
                              <w:rPr>
                                <w:sz w:val="4"/>
                                <w:szCs w:val="4"/>
                              </w:rPr>
                            </w:r>
                          </w:p>
                        </w:tc>
                      </w:tr>
                      <w:tr>
                        <w:trPr/>
                        <w:tc>
                          <w:tcPr>
                            <w:tcW w:w="6978" w:type="dxa"/>
                            <w:gridSpan w:val="3"/>
                            <w:tcBorders/>
                            <w:vAlign w:val="center"/>
                          </w:tcPr>
                          <w:p>
                            <w:pPr>
                              <w:pStyle w:val="TableContents"/>
                              <w:bidi w:val="0"/>
                              <w:spacing w:before="0" w:after="283"/>
                              <w:jc w:val="left"/>
                              <w:rPr>
                                <w:i/>
                                <w:color w:val="F7ACBA"/>
                                <w:sz w:val="50"/>
                              </w:rPr>
                            </w:pPr>
                            <w:r>
                              <w:rPr>
                                <w:i/>
                                <w:color w:val="F7ACBA"/>
                                <w:sz w:val="50"/>
                              </w:rPr>
                              <w:t>75</w:t>
                            </w:r>
                          </w:p>
                        </w:tc>
                      </w:tr>
                      <w:tr>
                        <w:trPr/>
                        <w:tc>
                          <w:tcPr>
                            <w:tcW w:w="6978" w:type="dxa"/>
                            <w:gridSpan w:val="3"/>
                            <w:tcBorders/>
                            <w:vAlign w:val="center"/>
                          </w:tcPr>
                          <w:p>
                            <w:pPr>
                              <w:pStyle w:val="TableContents"/>
                              <w:bidi w:val="0"/>
                              <w:spacing w:before="0" w:after="283"/>
                              <w:jc w:val="left"/>
                              <w:rPr/>
                            </w:pPr>
                            <w:hyperlink w:anchor="toc540996_22">
                              <w:r>
                                <w:rPr>
                                  <w:rStyle w:val="InternetLink"/>
                                  <w:rFonts w:ascii="arial" w:hAnsi="arial"/>
                                  <w:b/>
                                  <w:sz w:val="22"/>
                                </w:rPr>
                                <w:t>PROPOSAL THREE:</w:t>
                                <w:br/>
                                <w:t xml:space="preserve">Advisory Approval of Compensation of Named Executive Officers </w:t>
                              </w:r>
                            </w:hyperlink>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84">
                <wp:simplePos x="0" y="0"/>
                <wp:positionH relativeFrom="column">
                  <wp:align>left</wp:align>
                </wp:positionH>
                <wp:positionV relativeFrom="line">
                  <wp:posOffset>635</wp:posOffset>
                </wp:positionV>
                <wp:extent cx="2008505" cy="7591425"/>
                <wp:effectExtent l="0" t="0" r="0" b="0"/>
                <wp:wrapSquare wrapText="right"/>
                <wp:docPr id="22" name="Frame9"/>
                <a:graphic xmlns:a="http://schemas.openxmlformats.org/drawingml/2006/main">
                  <a:graphicData uri="http://schemas.microsoft.com/office/word/2010/wordprocessingShape">
                    <wps:wsp>
                      <wps:cNvSpPr txBox="1"/>
                      <wps:spPr>
                        <a:xfrm>
                          <a:off x="0" y="0"/>
                          <a:ext cx="2008505" cy="7591425"/>
                        </a:xfrm>
                        <a:prstGeom prst="rect"/>
                        <a:solidFill>
                          <a:srgbClr val="FFFFFF"/>
                        </a:solidFill>
                      </wps:spPr>
                      <wps:txbx>
                        <w:txbxContent>
                          <w:tbl>
                            <w:tblPr>
                              <w:tblW w:w="8373" w:type="dxa"/>
                              <w:jc w:val="left"/>
                              <w:tblInd w:w="0" w:type="dxa"/>
                              <w:tblLayout w:type="fixed"/>
                              <w:tblCellMar>
                                <w:top w:w="0" w:type="dxa"/>
                                <w:left w:w="0" w:type="dxa"/>
                                <w:bottom w:w="0" w:type="dxa"/>
                                <w:right w:w="0" w:type="dxa"/>
                              </w:tblCellMar>
                            </w:tblPr>
                            <w:tblGrid>
                              <w:gridCol w:w="3198"/>
                              <w:gridCol w:w="1939"/>
                              <w:gridCol w:w="3236"/>
                            </w:tblGrid>
                            <w:tr>
                              <w:trPr/>
                              <w:tc>
                                <w:tcPr>
                                  <w:tcW w:w="3198"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3236" w:type="dxa"/>
                                  <w:tcBorders/>
                                  <w:vAlign w:val="center"/>
                                </w:tcPr>
                                <w:p>
                                  <w:pPr>
                                    <w:pStyle w:val="TableContents"/>
                                    <w:bidi w:val="0"/>
                                    <w:spacing w:before="0" w:after="283"/>
                                    <w:jc w:val="left"/>
                                    <w:rPr>
                                      <w:sz w:val="4"/>
                                      <w:szCs w:val="4"/>
                                    </w:rPr>
                                  </w:pPr>
                                  <w:r>
                                    <w:rPr>
                                      <w:sz w:val="4"/>
                                      <w:szCs w:val="4"/>
                                    </w:rPr>
                                  </w:r>
                                </w:p>
                              </w:tc>
                            </w:tr>
                            <w:tr>
                              <w:trPr/>
                              <w:tc>
                                <w:tcPr>
                                  <w:tcW w:w="8373" w:type="dxa"/>
                                  <w:gridSpan w:val="3"/>
                                  <w:tcBorders/>
                                  <w:vAlign w:val="center"/>
                                </w:tcPr>
                                <w:p>
                                  <w:pPr>
                                    <w:pStyle w:val="TableContents"/>
                                    <w:bidi w:val="0"/>
                                    <w:spacing w:before="0" w:after="283"/>
                                    <w:jc w:val="left"/>
                                    <w:rPr>
                                      <w:sz w:val="4"/>
                                      <w:szCs w:val="4"/>
                                    </w:rPr>
                                  </w:pPr>
                                  <w:r>
                                    <w:rPr>
                                      <w:sz w:val="4"/>
                                      <w:szCs w:val="4"/>
                                    </w:rPr>
                                  </w:r>
                                </w:p>
                              </w:tc>
                            </w:tr>
                            <w:tr>
                              <w:trPr/>
                              <w:tc>
                                <w:tcPr>
                                  <w:tcW w:w="8373" w:type="dxa"/>
                                  <w:gridSpan w:val="3"/>
                                  <w:tcBorders/>
                                  <w:vAlign w:val="center"/>
                                </w:tcPr>
                                <w:p>
                                  <w:pPr>
                                    <w:pStyle w:val="TableContents"/>
                                    <w:bidi w:val="0"/>
                                    <w:spacing w:before="0" w:after="283"/>
                                    <w:jc w:val="left"/>
                                    <w:rPr>
                                      <w:i/>
                                      <w:color w:val="F7ACBA"/>
                                      <w:sz w:val="50"/>
                                    </w:rPr>
                                  </w:pPr>
                                  <w:r>
                                    <w:rPr>
                                      <w:i/>
                                      <w:color w:val="F7ACBA"/>
                                      <w:sz w:val="50"/>
                                    </w:rPr>
                                    <w:t>76</w:t>
                                  </w:r>
                                </w:p>
                              </w:tc>
                            </w:tr>
                            <w:tr>
                              <w:trPr/>
                              <w:tc>
                                <w:tcPr>
                                  <w:tcW w:w="8373" w:type="dxa"/>
                                  <w:gridSpan w:val="3"/>
                                  <w:tcBorders/>
                                  <w:vAlign w:val="center"/>
                                </w:tcPr>
                                <w:p>
                                  <w:pPr>
                                    <w:pStyle w:val="TableContents"/>
                                    <w:bidi w:val="0"/>
                                    <w:spacing w:before="0" w:after="283"/>
                                    <w:jc w:val="left"/>
                                    <w:rPr/>
                                  </w:pPr>
                                  <w:hyperlink w:anchor="toc540996_22a">
                                    <w:r>
                                      <w:rPr>
                                        <w:rStyle w:val="InternetLink"/>
                                        <w:rFonts w:ascii="arial" w:hAnsi="arial"/>
                                        <w:b/>
                                        <w:sz w:val="22"/>
                                      </w:rPr>
                                      <w:t>PROPOSAL FOUR:</w:t>
                                      <w:br/>
                                      <w:t xml:space="preserve">Amendment to VS 2021 Stock Plan </w:t>
                                    </w:r>
                                  </w:hyperlink>
                                </w:p>
                              </w:tc>
                            </w:tr>
                            <w:tr>
                              <w:trPr/>
                              <w:tc>
                                <w:tcPr>
                                  <w:tcW w:w="8373" w:type="dxa"/>
                                  <w:gridSpan w:val="3"/>
                                  <w:tcBorders/>
                                  <w:vAlign w:val="center"/>
                                </w:tcPr>
                                <w:p>
                                  <w:pPr>
                                    <w:pStyle w:val="TableContents"/>
                                    <w:bidi w:val="0"/>
                                    <w:spacing w:before="0" w:after="283"/>
                                    <w:jc w:val="left"/>
                                    <w:rPr>
                                      <w:sz w:val="4"/>
                                      <w:szCs w:val="4"/>
                                    </w:rPr>
                                  </w:pPr>
                                  <w:r>
                                    <w:rPr>
                                      <w:sz w:val="4"/>
                                      <w:szCs w:val="4"/>
                                    </w:rPr>
                                  </w:r>
                                </w:p>
                              </w:tc>
                            </w:tr>
                            <w:tr>
                              <w:trPr/>
                              <w:tc>
                                <w:tcPr>
                                  <w:tcW w:w="8373" w:type="dxa"/>
                                  <w:gridSpan w:val="3"/>
                                  <w:tcBorders/>
                                  <w:vAlign w:val="center"/>
                                </w:tcPr>
                                <w:p>
                                  <w:pPr>
                                    <w:pStyle w:val="TableContents"/>
                                    <w:bidi w:val="0"/>
                                    <w:spacing w:before="0" w:after="283"/>
                                    <w:jc w:val="left"/>
                                    <w:rPr>
                                      <w:i/>
                                      <w:color w:val="F7ACBA"/>
                                      <w:sz w:val="50"/>
                                    </w:rPr>
                                  </w:pPr>
                                  <w:r>
                                    <w:rPr>
                                      <w:i/>
                                      <w:color w:val="F7ACBA"/>
                                      <w:sz w:val="50"/>
                                    </w:rPr>
                                    <w:t>86</w:t>
                                  </w:r>
                                </w:p>
                              </w:tc>
                            </w:tr>
                            <w:tr>
                              <w:trPr/>
                              <w:tc>
                                <w:tcPr>
                                  <w:tcW w:w="8373" w:type="dxa"/>
                                  <w:gridSpan w:val="3"/>
                                  <w:tcBorders/>
                                  <w:vAlign w:val="center"/>
                                </w:tcPr>
                                <w:p>
                                  <w:pPr>
                                    <w:pStyle w:val="TableContents"/>
                                    <w:bidi w:val="0"/>
                                    <w:spacing w:before="0" w:after="283"/>
                                    <w:jc w:val="left"/>
                                    <w:rPr/>
                                  </w:pPr>
                                  <w:hyperlink w:anchor="toc540996_23">
                                    <w:r>
                                      <w:rPr>
                                        <w:rStyle w:val="InternetLink"/>
                                        <w:rFonts w:ascii="arial" w:hAnsi="arial"/>
                                        <w:b/>
                                        <w:sz w:val="22"/>
                                      </w:rPr>
                                      <w:t>Beneficial Ownership</w:t>
                                      <w:br/>
                                      <w:t xml:space="preserve">of Shares </w:t>
                                    </w:r>
                                  </w:hyperlink>
                                </w:p>
                              </w:tc>
                            </w:tr>
                            <w:tr>
                              <w:trPr/>
                              <w:tc>
                                <w:tcPr>
                                  <w:tcW w:w="8373" w:type="dxa"/>
                                  <w:gridSpan w:val="3"/>
                                  <w:tcBorders/>
                                  <w:vAlign w:val="center"/>
                                </w:tcPr>
                                <w:p>
                                  <w:pPr>
                                    <w:pStyle w:val="TableContents"/>
                                    <w:bidi w:val="0"/>
                                    <w:spacing w:before="0" w:after="283"/>
                                    <w:jc w:val="left"/>
                                    <w:rPr>
                                      <w:sz w:val="4"/>
                                      <w:szCs w:val="4"/>
                                    </w:rPr>
                                  </w:pPr>
                                  <w:r>
                                    <w:rPr>
                                      <w:sz w:val="4"/>
                                      <w:szCs w:val="4"/>
                                    </w:rPr>
                                  </w:r>
                                </w:p>
                              </w:tc>
                            </w:tr>
                            <w:tr>
                              <w:trPr/>
                              <w:tc>
                                <w:tcPr>
                                  <w:tcW w:w="8373" w:type="dxa"/>
                                  <w:gridSpan w:val="3"/>
                                  <w:tcBorders/>
                                  <w:vAlign w:val="center"/>
                                </w:tcPr>
                                <w:p>
                                  <w:pPr>
                                    <w:pStyle w:val="TableContents"/>
                                    <w:bidi w:val="0"/>
                                    <w:spacing w:before="0" w:after="283"/>
                                    <w:jc w:val="left"/>
                                    <w:rPr>
                                      <w:i/>
                                      <w:color w:val="F7ACBA"/>
                                      <w:sz w:val="50"/>
                                    </w:rPr>
                                  </w:pPr>
                                  <w:r>
                                    <w:rPr>
                                      <w:i/>
                                      <w:color w:val="F7ACBA"/>
                                      <w:sz w:val="50"/>
                                    </w:rPr>
                                    <w:t>88</w:t>
                                  </w:r>
                                </w:p>
                              </w:tc>
                            </w:tr>
                            <w:tr>
                              <w:trPr/>
                              <w:tc>
                                <w:tcPr>
                                  <w:tcW w:w="8373" w:type="dxa"/>
                                  <w:gridSpan w:val="3"/>
                                  <w:tcBorders/>
                                  <w:vAlign w:val="center"/>
                                </w:tcPr>
                                <w:p>
                                  <w:pPr>
                                    <w:pStyle w:val="TableContents"/>
                                    <w:bidi w:val="0"/>
                                    <w:spacing w:before="0" w:after="283"/>
                                    <w:jc w:val="left"/>
                                    <w:rPr/>
                                  </w:pPr>
                                  <w:hyperlink w:anchor="toc540996_24">
                                    <w:r>
                                      <w:rPr>
                                        <w:rStyle w:val="InternetLink"/>
                                        <w:rFonts w:ascii="arial" w:hAnsi="arial"/>
                                        <w:b/>
                                        <w:sz w:val="22"/>
                                      </w:rPr>
                                      <w:t xml:space="preserve">Audit Committee Matters </w:t>
                                    </w:r>
                                  </w:hyperlink>
                                </w:p>
                              </w:tc>
                            </w:tr>
                            <w:tr>
                              <w:trPr/>
                              <w:tc>
                                <w:tcPr>
                                  <w:tcW w:w="8373" w:type="dxa"/>
                                  <w:gridSpan w:val="3"/>
                                  <w:tcBorders/>
                                  <w:vAlign w:val="center"/>
                                </w:tcPr>
                                <w:p>
                                  <w:pPr>
                                    <w:pStyle w:val="TableContents"/>
                                    <w:bidi w:val="0"/>
                                    <w:spacing w:before="0" w:after="283"/>
                                    <w:jc w:val="left"/>
                                    <w:rPr>
                                      <w:sz w:val="4"/>
                                      <w:szCs w:val="4"/>
                                    </w:rPr>
                                  </w:pPr>
                                  <w:r>
                                    <w:rPr>
                                      <w:sz w:val="4"/>
                                      <w:szCs w:val="4"/>
                                    </w:rPr>
                                  </w:r>
                                </w:p>
                              </w:tc>
                            </w:tr>
                            <w:tr>
                              <w:trPr/>
                              <w:tc>
                                <w:tcPr>
                                  <w:tcW w:w="8373" w:type="dxa"/>
                                  <w:gridSpan w:val="3"/>
                                  <w:tcBorders/>
                                  <w:vAlign w:val="center"/>
                                </w:tcPr>
                                <w:p>
                                  <w:pPr>
                                    <w:pStyle w:val="TableContents"/>
                                    <w:bidi w:val="0"/>
                                    <w:spacing w:before="0" w:after="283"/>
                                    <w:jc w:val="left"/>
                                    <w:rPr>
                                      <w:i/>
                                      <w:color w:val="F7ACBA"/>
                                      <w:sz w:val="50"/>
                                    </w:rPr>
                                  </w:pPr>
                                  <w:r>
                                    <w:rPr>
                                      <w:i/>
                                      <w:color w:val="F7ACBA"/>
                                      <w:sz w:val="50"/>
                                    </w:rPr>
                                    <w:t>89</w:t>
                                  </w:r>
                                </w:p>
                              </w:tc>
                            </w:tr>
                            <w:tr>
                              <w:trPr/>
                              <w:tc>
                                <w:tcPr>
                                  <w:tcW w:w="8373" w:type="dxa"/>
                                  <w:gridSpan w:val="3"/>
                                  <w:tcBorders/>
                                  <w:vAlign w:val="center"/>
                                </w:tcPr>
                                <w:p>
                                  <w:pPr>
                                    <w:pStyle w:val="TableContents"/>
                                    <w:bidi w:val="0"/>
                                    <w:spacing w:before="0" w:after="283"/>
                                    <w:jc w:val="left"/>
                                    <w:rPr/>
                                  </w:pPr>
                                  <w:hyperlink w:anchor="toc540996_25">
                                    <w:r>
                                      <w:rPr>
                                        <w:rStyle w:val="InternetLink"/>
                                        <w:rFonts w:ascii="arial" w:hAnsi="arial"/>
                                        <w:b/>
                                        <w:sz w:val="22"/>
                                      </w:rPr>
                                      <w:t>PROPOSAL FIVE:</w:t>
                                      <w:br/>
                                      <w:t xml:space="preserve">Ratification of Appointment of Independent Registered Public Accounting Firm </w:t>
                                    </w:r>
                                  </w:hyperlink>
                                </w:p>
                              </w:tc>
                            </w:tr>
                            <w:tr>
                              <w:trPr/>
                              <w:tc>
                                <w:tcPr>
                                  <w:tcW w:w="8373" w:type="dxa"/>
                                  <w:gridSpan w:val="3"/>
                                  <w:tcBorders/>
                                  <w:vAlign w:val="center"/>
                                </w:tcPr>
                                <w:p>
                                  <w:pPr>
                                    <w:pStyle w:val="TableContents"/>
                                    <w:bidi w:val="0"/>
                                    <w:spacing w:before="0" w:after="283"/>
                                    <w:jc w:val="left"/>
                                    <w:rPr>
                                      <w:sz w:val="4"/>
                                      <w:szCs w:val="4"/>
                                    </w:rPr>
                                  </w:pPr>
                                  <w:r>
                                    <w:rPr>
                                      <w:sz w:val="4"/>
                                      <w:szCs w:val="4"/>
                                    </w:rPr>
                                  </w:r>
                                </w:p>
                              </w:tc>
                            </w:tr>
                            <w:tr>
                              <w:trPr/>
                              <w:tc>
                                <w:tcPr>
                                  <w:tcW w:w="8373" w:type="dxa"/>
                                  <w:gridSpan w:val="3"/>
                                  <w:tcBorders/>
                                  <w:vAlign w:val="center"/>
                                </w:tcPr>
                                <w:p>
                                  <w:pPr>
                                    <w:pStyle w:val="TableContents"/>
                                    <w:bidi w:val="0"/>
                                    <w:spacing w:before="0" w:after="283"/>
                                    <w:jc w:val="left"/>
                                    <w:rPr>
                                      <w:i/>
                                      <w:color w:val="F7ACBA"/>
                                      <w:sz w:val="50"/>
                                    </w:rPr>
                                  </w:pPr>
                                  <w:r>
                                    <w:rPr>
                                      <w:i/>
                                      <w:color w:val="F7ACBA"/>
                                      <w:sz w:val="50"/>
                                    </w:rPr>
                                    <w:t>91</w:t>
                                  </w:r>
                                </w:p>
                              </w:tc>
                            </w:tr>
                            <w:tr>
                              <w:trPr/>
                              <w:tc>
                                <w:tcPr>
                                  <w:tcW w:w="8373" w:type="dxa"/>
                                  <w:gridSpan w:val="3"/>
                                  <w:tcBorders/>
                                  <w:vAlign w:val="center"/>
                                </w:tcPr>
                                <w:p>
                                  <w:pPr>
                                    <w:pStyle w:val="TableContents"/>
                                    <w:bidi w:val="0"/>
                                    <w:spacing w:before="0" w:after="283"/>
                                    <w:jc w:val="left"/>
                                    <w:rPr/>
                                  </w:pPr>
                                  <w:hyperlink w:anchor="toc540996_26">
                                    <w:r>
                                      <w:rPr>
                                        <w:rStyle w:val="InternetLink"/>
                                        <w:rFonts w:ascii="arial" w:hAnsi="arial"/>
                                        <w:b/>
                                        <w:sz w:val="22"/>
                                      </w:rPr>
                                      <w:t>Stockholder Proposals for</w:t>
                                      <w:br/>
                                      <w:t xml:space="preserve">the 2025 Annual Meeting </w:t>
                                    </w:r>
                                  </w:hyperlink>
                                </w:p>
                              </w:tc>
                            </w:tr>
                            <w:tr>
                              <w:trPr/>
                              <w:tc>
                                <w:tcPr>
                                  <w:tcW w:w="8373" w:type="dxa"/>
                                  <w:gridSpan w:val="3"/>
                                  <w:tcBorders/>
                                  <w:vAlign w:val="center"/>
                                </w:tcPr>
                                <w:p>
                                  <w:pPr>
                                    <w:pStyle w:val="TableContents"/>
                                    <w:bidi w:val="0"/>
                                    <w:spacing w:before="0" w:after="283"/>
                                    <w:jc w:val="left"/>
                                    <w:rPr>
                                      <w:sz w:val="4"/>
                                      <w:szCs w:val="4"/>
                                    </w:rPr>
                                  </w:pPr>
                                  <w:r>
                                    <w:rPr>
                                      <w:sz w:val="4"/>
                                      <w:szCs w:val="4"/>
                                    </w:rPr>
                                  </w:r>
                                </w:p>
                              </w:tc>
                            </w:tr>
                            <w:tr>
                              <w:trPr/>
                              <w:tc>
                                <w:tcPr>
                                  <w:tcW w:w="8373" w:type="dxa"/>
                                  <w:gridSpan w:val="3"/>
                                  <w:tcBorders/>
                                  <w:vAlign w:val="center"/>
                                </w:tcPr>
                                <w:p>
                                  <w:pPr>
                                    <w:pStyle w:val="TableContents"/>
                                    <w:bidi w:val="0"/>
                                    <w:spacing w:before="0" w:after="283"/>
                                    <w:jc w:val="left"/>
                                    <w:rPr>
                                      <w:i/>
                                      <w:color w:val="F7ACBA"/>
                                      <w:sz w:val="50"/>
                                    </w:rPr>
                                  </w:pPr>
                                  <w:r>
                                    <w:rPr>
                                      <w:i/>
                                      <w:color w:val="F7ACBA"/>
                                      <w:sz w:val="50"/>
                                    </w:rPr>
                                    <w:t>92</w:t>
                                  </w:r>
                                </w:p>
                              </w:tc>
                            </w:tr>
                            <w:tr>
                              <w:trPr/>
                              <w:tc>
                                <w:tcPr>
                                  <w:tcW w:w="8373" w:type="dxa"/>
                                  <w:gridSpan w:val="3"/>
                                  <w:tcBorders/>
                                  <w:vAlign w:val="center"/>
                                </w:tcPr>
                                <w:p>
                                  <w:pPr>
                                    <w:pStyle w:val="TableContents"/>
                                    <w:bidi w:val="0"/>
                                    <w:spacing w:before="0" w:after="283"/>
                                    <w:jc w:val="left"/>
                                    <w:rPr/>
                                  </w:pPr>
                                  <w:hyperlink w:anchor="toc540996_27">
                                    <w:r>
                                      <w:rPr>
                                        <w:rStyle w:val="InternetLink"/>
                                        <w:rFonts w:ascii="arial" w:hAnsi="arial"/>
                                        <w:b/>
                                        <w:sz w:val="22"/>
                                      </w:rPr>
                                      <w:t xml:space="preserve">Questions and Answers </w:t>
                                    </w:r>
                                  </w:hyperlink>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31000</wp14:pctWidth>
                </wp14:sizeRelH>
              </wp:anchor>
            </w:drawing>
          </mc:Choice>
          <mc:Fallback>
            <w:pict>
              <v:rect style="position:absolute;rotation:-0;width:158.15pt;height:597.7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8373" w:type="dxa"/>
                        <w:jc w:val="left"/>
                        <w:tblInd w:w="0" w:type="dxa"/>
                        <w:tblLayout w:type="fixed"/>
                        <w:tblCellMar>
                          <w:top w:w="0" w:type="dxa"/>
                          <w:left w:w="0" w:type="dxa"/>
                          <w:bottom w:w="0" w:type="dxa"/>
                          <w:right w:w="0" w:type="dxa"/>
                        </w:tblCellMar>
                      </w:tblPr>
                      <w:tblGrid>
                        <w:gridCol w:w="3198"/>
                        <w:gridCol w:w="1939"/>
                        <w:gridCol w:w="3236"/>
                      </w:tblGrid>
                      <w:tr>
                        <w:trPr/>
                        <w:tc>
                          <w:tcPr>
                            <w:tcW w:w="3198"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3236" w:type="dxa"/>
                            <w:tcBorders/>
                            <w:vAlign w:val="center"/>
                          </w:tcPr>
                          <w:p>
                            <w:pPr>
                              <w:pStyle w:val="TableContents"/>
                              <w:bidi w:val="0"/>
                              <w:spacing w:before="0" w:after="283"/>
                              <w:jc w:val="left"/>
                              <w:rPr>
                                <w:sz w:val="4"/>
                                <w:szCs w:val="4"/>
                              </w:rPr>
                            </w:pPr>
                            <w:r>
                              <w:rPr>
                                <w:sz w:val="4"/>
                                <w:szCs w:val="4"/>
                              </w:rPr>
                            </w:r>
                          </w:p>
                        </w:tc>
                      </w:tr>
                      <w:tr>
                        <w:trPr/>
                        <w:tc>
                          <w:tcPr>
                            <w:tcW w:w="8373" w:type="dxa"/>
                            <w:gridSpan w:val="3"/>
                            <w:tcBorders/>
                            <w:vAlign w:val="center"/>
                          </w:tcPr>
                          <w:p>
                            <w:pPr>
                              <w:pStyle w:val="TableContents"/>
                              <w:bidi w:val="0"/>
                              <w:spacing w:before="0" w:after="283"/>
                              <w:jc w:val="left"/>
                              <w:rPr>
                                <w:sz w:val="4"/>
                                <w:szCs w:val="4"/>
                              </w:rPr>
                            </w:pPr>
                            <w:r>
                              <w:rPr>
                                <w:sz w:val="4"/>
                                <w:szCs w:val="4"/>
                              </w:rPr>
                            </w:r>
                          </w:p>
                        </w:tc>
                      </w:tr>
                      <w:tr>
                        <w:trPr/>
                        <w:tc>
                          <w:tcPr>
                            <w:tcW w:w="8373" w:type="dxa"/>
                            <w:gridSpan w:val="3"/>
                            <w:tcBorders/>
                            <w:vAlign w:val="center"/>
                          </w:tcPr>
                          <w:p>
                            <w:pPr>
                              <w:pStyle w:val="TableContents"/>
                              <w:bidi w:val="0"/>
                              <w:spacing w:before="0" w:after="283"/>
                              <w:jc w:val="left"/>
                              <w:rPr>
                                <w:i/>
                                <w:color w:val="F7ACBA"/>
                                <w:sz w:val="50"/>
                              </w:rPr>
                            </w:pPr>
                            <w:r>
                              <w:rPr>
                                <w:i/>
                                <w:color w:val="F7ACBA"/>
                                <w:sz w:val="50"/>
                              </w:rPr>
                              <w:t>76</w:t>
                            </w:r>
                          </w:p>
                        </w:tc>
                      </w:tr>
                      <w:tr>
                        <w:trPr/>
                        <w:tc>
                          <w:tcPr>
                            <w:tcW w:w="8373" w:type="dxa"/>
                            <w:gridSpan w:val="3"/>
                            <w:tcBorders/>
                            <w:vAlign w:val="center"/>
                          </w:tcPr>
                          <w:p>
                            <w:pPr>
                              <w:pStyle w:val="TableContents"/>
                              <w:bidi w:val="0"/>
                              <w:spacing w:before="0" w:after="283"/>
                              <w:jc w:val="left"/>
                              <w:rPr/>
                            </w:pPr>
                            <w:hyperlink w:anchor="toc540996_22a">
                              <w:r>
                                <w:rPr>
                                  <w:rStyle w:val="InternetLink"/>
                                  <w:rFonts w:ascii="arial" w:hAnsi="arial"/>
                                  <w:b/>
                                  <w:sz w:val="22"/>
                                </w:rPr>
                                <w:t>PROPOSAL FOUR:</w:t>
                                <w:br/>
                                <w:t xml:space="preserve">Amendment to VS 2021 Stock Plan </w:t>
                              </w:r>
                            </w:hyperlink>
                          </w:p>
                        </w:tc>
                      </w:tr>
                      <w:tr>
                        <w:trPr/>
                        <w:tc>
                          <w:tcPr>
                            <w:tcW w:w="8373" w:type="dxa"/>
                            <w:gridSpan w:val="3"/>
                            <w:tcBorders/>
                            <w:vAlign w:val="center"/>
                          </w:tcPr>
                          <w:p>
                            <w:pPr>
                              <w:pStyle w:val="TableContents"/>
                              <w:bidi w:val="0"/>
                              <w:spacing w:before="0" w:after="283"/>
                              <w:jc w:val="left"/>
                              <w:rPr>
                                <w:sz w:val="4"/>
                                <w:szCs w:val="4"/>
                              </w:rPr>
                            </w:pPr>
                            <w:r>
                              <w:rPr>
                                <w:sz w:val="4"/>
                                <w:szCs w:val="4"/>
                              </w:rPr>
                            </w:r>
                          </w:p>
                        </w:tc>
                      </w:tr>
                      <w:tr>
                        <w:trPr/>
                        <w:tc>
                          <w:tcPr>
                            <w:tcW w:w="8373" w:type="dxa"/>
                            <w:gridSpan w:val="3"/>
                            <w:tcBorders/>
                            <w:vAlign w:val="center"/>
                          </w:tcPr>
                          <w:p>
                            <w:pPr>
                              <w:pStyle w:val="TableContents"/>
                              <w:bidi w:val="0"/>
                              <w:spacing w:before="0" w:after="283"/>
                              <w:jc w:val="left"/>
                              <w:rPr>
                                <w:i/>
                                <w:color w:val="F7ACBA"/>
                                <w:sz w:val="50"/>
                              </w:rPr>
                            </w:pPr>
                            <w:r>
                              <w:rPr>
                                <w:i/>
                                <w:color w:val="F7ACBA"/>
                                <w:sz w:val="50"/>
                              </w:rPr>
                              <w:t>86</w:t>
                            </w:r>
                          </w:p>
                        </w:tc>
                      </w:tr>
                      <w:tr>
                        <w:trPr/>
                        <w:tc>
                          <w:tcPr>
                            <w:tcW w:w="8373" w:type="dxa"/>
                            <w:gridSpan w:val="3"/>
                            <w:tcBorders/>
                            <w:vAlign w:val="center"/>
                          </w:tcPr>
                          <w:p>
                            <w:pPr>
                              <w:pStyle w:val="TableContents"/>
                              <w:bidi w:val="0"/>
                              <w:spacing w:before="0" w:after="283"/>
                              <w:jc w:val="left"/>
                              <w:rPr/>
                            </w:pPr>
                            <w:hyperlink w:anchor="toc540996_23">
                              <w:r>
                                <w:rPr>
                                  <w:rStyle w:val="InternetLink"/>
                                  <w:rFonts w:ascii="arial" w:hAnsi="arial"/>
                                  <w:b/>
                                  <w:sz w:val="22"/>
                                </w:rPr>
                                <w:t>Beneficial Ownership</w:t>
                                <w:br/>
                                <w:t xml:space="preserve">of Shares </w:t>
                              </w:r>
                            </w:hyperlink>
                          </w:p>
                        </w:tc>
                      </w:tr>
                      <w:tr>
                        <w:trPr/>
                        <w:tc>
                          <w:tcPr>
                            <w:tcW w:w="8373" w:type="dxa"/>
                            <w:gridSpan w:val="3"/>
                            <w:tcBorders/>
                            <w:vAlign w:val="center"/>
                          </w:tcPr>
                          <w:p>
                            <w:pPr>
                              <w:pStyle w:val="TableContents"/>
                              <w:bidi w:val="0"/>
                              <w:spacing w:before="0" w:after="283"/>
                              <w:jc w:val="left"/>
                              <w:rPr>
                                <w:sz w:val="4"/>
                                <w:szCs w:val="4"/>
                              </w:rPr>
                            </w:pPr>
                            <w:r>
                              <w:rPr>
                                <w:sz w:val="4"/>
                                <w:szCs w:val="4"/>
                              </w:rPr>
                            </w:r>
                          </w:p>
                        </w:tc>
                      </w:tr>
                      <w:tr>
                        <w:trPr/>
                        <w:tc>
                          <w:tcPr>
                            <w:tcW w:w="8373" w:type="dxa"/>
                            <w:gridSpan w:val="3"/>
                            <w:tcBorders/>
                            <w:vAlign w:val="center"/>
                          </w:tcPr>
                          <w:p>
                            <w:pPr>
                              <w:pStyle w:val="TableContents"/>
                              <w:bidi w:val="0"/>
                              <w:spacing w:before="0" w:after="283"/>
                              <w:jc w:val="left"/>
                              <w:rPr>
                                <w:i/>
                                <w:color w:val="F7ACBA"/>
                                <w:sz w:val="50"/>
                              </w:rPr>
                            </w:pPr>
                            <w:r>
                              <w:rPr>
                                <w:i/>
                                <w:color w:val="F7ACBA"/>
                                <w:sz w:val="50"/>
                              </w:rPr>
                              <w:t>88</w:t>
                            </w:r>
                          </w:p>
                        </w:tc>
                      </w:tr>
                      <w:tr>
                        <w:trPr/>
                        <w:tc>
                          <w:tcPr>
                            <w:tcW w:w="8373" w:type="dxa"/>
                            <w:gridSpan w:val="3"/>
                            <w:tcBorders/>
                            <w:vAlign w:val="center"/>
                          </w:tcPr>
                          <w:p>
                            <w:pPr>
                              <w:pStyle w:val="TableContents"/>
                              <w:bidi w:val="0"/>
                              <w:spacing w:before="0" w:after="283"/>
                              <w:jc w:val="left"/>
                              <w:rPr/>
                            </w:pPr>
                            <w:hyperlink w:anchor="toc540996_24">
                              <w:r>
                                <w:rPr>
                                  <w:rStyle w:val="InternetLink"/>
                                  <w:rFonts w:ascii="arial" w:hAnsi="arial"/>
                                  <w:b/>
                                  <w:sz w:val="22"/>
                                </w:rPr>
                                <w:t xml:space="preserve">Audit Committee Matters </w:t>
                              </w:r>
                            </w:hyperlink>
                          </w:p>
                        </w:tc>
                      </w:tr>
                      <w:tr>
                        <w:trPr/>
                        <w:tc>
                          <w:tcPr>
                            <w:tcW w:w="8373" w:type="dxa"/>
                            <w:gridSpan w:val="3"/>
                            <w:tcBorders/>
                            <w:vAlign w:val="center"/>
                          </w:tcPr>
                          <w:p>
                            <w:pPr>
                              <w:pStyle w:val="TableContents"/>
                              <w:bidi w:val="0"/>
                              <w:spacing w:before="0" w:after="283"/>
                              <w:jc w:val="left"/>
                              <w:rPr>
                                <w:sz w:val="4"/>
                                <w:szCs w:val="4"/>
                              </w:rPr>
                            </w:pPr>
                            <w:r>
                              <w:rPr>
                                <w:sz w:val="4"/>
                                <w:szCs w:val="4"/>
                              </w:rPr>
                            </w:r>
                          </w:p>
                        </w:tc>
                      </w:tr>
                      <w:tr>
                        <w:trPr/>
                        <w:tc>
                          <w:tcPr>
                            <w:tcW w:w="8373" w:type="dxa"/>
                            <w:gridSpan w:val="3"/>
                            <w:tcBorders/>
                            <w:vAlign w:val="center"/>
                          </w:tcPr>
                          <w:p>
                            <w:pPr>
                              <w:pStyle w:val="TableContents"/>
                              <w:bidi w:val="0"/>
                              <w:spacing w:before="0" w:after="283"/>
                              <w:jc w:val="left"/>
                              <w:rPr>
                                <w:i/>
                                <w:color w:val="F7ACBA"/>
                                <w:sz w:val="50"/>
                              </w:rPr>
                            </w:pPr>
                            <w:r>
                              <w:rPr>
                                <w:i/>
                                <w:color w:val="F7ACBA"/>
                                <w:sz w:val="50"/>
                              </w:rPr>
                              <w:t>89</w:t>
                            </w:r>
                          </w:p>
                        </w:tc>
                      </w:tr>
                      <w:tr>
                        <w:trPr/>
                        <w:tc>
                          <w:tcPr>
                            <w:tcW w:w="8373" w:type="dxa"/>
                            <w:gridSpan w:val="3"/>
                            <w:tcBorders/>
                            <w:vAlign w:val="center"/>
                          </w:tcPr>
                          <w:p>
                            <w:pPr>
                              <w:pStyle w:val="TableContents"/>
                              <w:bidi w:val="0"/>
                              <w:spacing w:before="0" w:after="283"/>
                              <w:jc w:val="left"/>
                              <w:rPr/>
                            </w:pPr>
                            <w:hyperlink w:anchor="toc540996_25">
                              <w:r>
                                <w:rPr>
                                  <w:rStyle w:val="InternetLink"/>
                                  <w:rFonts w:ascii="arial" w:hAnsi="arial"/>
                                  <w:b/>
                                  <w:sz w:val="22"/>
                                </w:rPr>
                                <w:t>PROPOSAL FIVE:</w:t>
                                <w:br/>
                                <w:t xml:space="preserve">Ratification of Appointment of Independent Registered Public Accounting Firm </w:t>
                              </w:r>
                            </w:hyperlink>
                          </w:p>
                        </w:tc>
                      </w:tr>
                      <w:tr>
                        <w:trPr/>
                        <w:tc>
                          <w:tcPr>
                            <w:tcW w:w="8373" w:type="dxa"/>
                            <w:gridSpan w:val="3"/>
                            <w:tcBorders/>
                            <w:vAlign w:val="center"/>
                          </w:tcPr>
                          <w:p>
                            <w:pPr>
                              <w:pStyle w:val="TableContents"/>
                              <w:bidi w:val="0"/>
                              <w:spacing w:before="0" w:after="283"/>
                              <w:jc w:val="left"/>
                              <w:rPr>
                                <w:sz w:val="4"/>
                                <w:szCs w:val="4"/>
                              </w:rPr>
                            </w:pPr>
                            <w:r>
                              <w:rPr>
                                <w:sz w:val="4"/>
                                <w:szCs w:val="4"/>
                              </w:rPr>
                            </w:r>
                          </w:p>
                        </w:tc>
                      </w:tr>
                      <w:tr>
                        <w:trPr/>
                        <w:tc>
                          <w:tcPr>
                            <w:tcW w:w="8373" w:type="dxa"/>
                            <w:gridSpan w:val="3"/>
                            <w:tcBorders/>
                            <w:vAlign w:val="center"/>
                          </w:tcPr>
                          <w:p>
                            <w:pPr>
                              <w:pStyle w:val="TableContents"/>
                              <w:bidi w:val="0"/>
                              <w:spacing w:before="0" w:after="283"/>
                              <w:jc w:val="left"/>
                              <w:rPr>
                                <w:i/>
                                <w:color w:val="F7ACBA"/>
                                <w:sz w:val="50"/>
                              </w:rPr>
                            </w:pPr>
                            <w:r>
                              <w:rPr>
                                <w:i/>
                                <w:color w:val="F7ACBA"/>
                                <w:sz w:val="50"/>
                              </w:rPr>
                              <w:t>91</w:t>
                            </w:r>
                          </w:p>
                        </w:tc>
                      </w:tr>
                      <w:tr>
                        <w:trPr/>
                        <w:tc>
                          <w:tcPr>
                            <w:tcW w:w="8373" w:type="dxa"/>
                            <w:gridSpan w:val="3"/>
                            <w:tcBorders/>
                            <w:vAlign w:val="center"/>
                          </w:tcPr>
                          <w:p>
                            <w:pPr>
                              <w:pStyle w:val="TableContents"/>
                              <w:bidi w:val="0"/>
                              <w:spacing w:before="0" w:after="283"/>
                              <w:jc w:val="left"/>
                              <w:rPr/>
                            </w:pPr>
                            <w:hyperlink w:anchor="toc540996_26">
                              <w:r>
                                <w:rPr>
                                  <w:rStyle w:val="InternetLink"/>
                                  <w:rFonts w:ascii="arial" w:hAnsi="arial"/>
                                  <w:b/>
                                  <w:sz w:val="22"/>
                                </w:rPr>
                                <w:t>Stockholder Proposals for</w:t>
                                <w:br/>
                                <w:t xml:space="preserve">the 2025 Annual Meeting </w:t>
                              </w:r>
                            </w:hyperlink>
                          </w:p>
                        </w:tc>
                      </w:tr>
                      <w:tr>
                        <w:trPr/>
                        <w:tc>
                          <w:tcPr>
                            <w:tcW w:w="8373" w:type="dxa"/>
                            <w:gridSpan w:val="3"/>
                            <w:tcBorders/>
                            <w:vAlign w:val="center"/>
                          </w:tcPr>
                          <w:p>
                            <w:pPr>
                              <w:pStyle w:val="TableContents"/>
                              <w:bidi w:val="0"/>
                              <w:spacing w:before="0" w:after="283"/>
                              <w:jc w:val="left"/>
                              <w:rPr>
                                <w:sz w:val="4"/>
                                <w:szCs w:val="4"/>
                              </w:rPr>
                            </w:pPr>
                            <w:r>
                              <w:rPr>
                                <w:sz w:val="4"/>
                                <w:szCs w:val="4"/>
                              </w:rPr>
                            </w:r>
                          </w:p>
                        </w:tc>
                      </w:tr>
                      <w:tr>
                        <w:trPr/>
                        <w:tc>
                          <w:tcPr>
                            <w:tcW w:w="8373" w:type="dxa"/>
                            <w:gridSpan w:val="3"/>
                            <w:tcBorders/>
                            <w:vAlign w:val="center"/>
                          </w:tcPr>
                          <w:p>
                            <w:pPr>
                              <w:pStyle w:val="TableContents"/>
                              <w:bidi w:val="0"/>
                              <w:spacing w:before="0" w:after="283"/>
                              <w:jc w:val="left"/>
                              <w:rPr>
                                <w:i/>
                                <w:color w:val="F7ACBA"/>
                                <w:sz w:val="50"/>
                              </w:rPr>
                            </w:pPr>
                            <w:r>
                              <w:rPr>
                                <w:i/>
                                <w:color w:val="F7ACBA"/>
                                <w:sz w:val="50"/>
                              </w:rPr>
                              <w:t>92</w:t>
                            </w:r>
                          </w:p>
                        </w:tc>
                      </w:tr>
                      <w:tr>
                        <w:trPr/>
                        <w:tc>
                          <w:tcPr>
                            <w:tcW w:w="8373" w:type="dxa"/>
                            <w:gridSpan w:val="3"/>
                            <w:tcBorders/>
                            <w:vAlign w:val="center"/>
                          </w:tcPr>
                          <w:p>
                            <w:pPr>
                              <w:pStyle w:val="TableContents"/>
                              <w:bidi w:val="0"/>
                              <w:spacing w:before="0" w:after="283"/>
                              <w:jc w:val="left"/>
                              <w:rPr/>
                            </w:pPr>
                            <w:hyperlink w:anchor="toc540996_27">
                              <w:r>
                                <w:rPr>
                                  <w:rStyle w:val="InternetLink"/>
                                  <w:rFonts w:ascii="arial" w:hAnsi="arial"/>
                                  <w:b/>
                                  <w:sz w:val="22"/>
                                </w:rPr>
                                <w:t xml:space="preserve">Questions and Answers </w:t>
                              </w:r>
                            </w:hyperlink>
                          </w:p>
                        </w:tc>
                      </w:tr>
                    </w:tbl>
                    <w:p>
                      <w:pPr>
                        <w:pStyle w:val="TextBody"/>
                        <w:bidi w:val="0"/>
                        <w:spacing w:before="0" w:after="283"/>
                        <w:jc w:val="left"/>
                        <w:rPr/>
                      </w:pPr>
                      <w:r>
                        <w:rPr/>
                      </w:r>
                    </w:p>
                  </w:txbxContent>
                </v:textbox>
                <w10:wrap type="square" side="right"/>
              </v:rect>
            </w:pict>
          </mc:Fallback>
        </mc:AlternateContent>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PROXY SUMMARY </w:t>
      </w:r>
    </w:p>
    <w:p>
      <w:pPr>
        <w:pStyle w:val="TextBody"/>
        <w:bidi w:val="0"/>
        <w:spacing w:before="0" w:after="0"/>
        <w:jc w:val="left"/>
        <w:rPr/>
      </w:pPr>
      <w:r>
        <w:rPr/>
        <w:t> </w:t>
      </w:r>
    </w:p>
    <w:p>
      <w:pPr>
        <w:pStyle w:val="TextBody"/>
        <w:bidi w:val="0"/>
        <w:spacing w:before="0" w:after="0"/>
        <w:jc w:val="center"/>
        <w:rPr>
          <w:rFonts w:ascii="Times New Roman" w:hAnsi="Times New Roman"/>
          <w:b/>
          <w:sz w:val="60"/>
        </w:rPr>
      </w:pPr>
      <w:bookmarkStart w:id="3" w:name="toc540996_1"/>
      <w:bookmarkEnd w:id="3"/>
      <w:r>
        <w:rPr>
          <w:rFonts w:ascii="Times New Roman" w:hAnsi="Times New Roman"/>
          <w:b/>
          <w:sz w:val="60"/>
        </w:rPr>
        <w:t xml:space="preserve">PROXY SUMMARY </w:t>
      </w:r>
    </w:p>
    <w:p>
      <w:pPr>
        <w:pStyle w:val="TextBody"/>
        <w:bidi w:val="0"/>
        <w:spacing w:before="0" w:after="0"/>
        <w:jc w:val="left"/>
        <w:rPr/>
      </w:pPr>
      <w:r>
        <w:rPr/>
        <w:t> </w:t>
      </w:r>
    </w:p>
    <w:p>
      <w:pPr>
        <w:pStyle w:val="TextBody"/>
        <w:pBdr>
          <w:bottom w:val="single" w:sz="2" w:space="1" w:color="000000"/>
        </w:pBdr>
        <w:bidi w:val="0"/>
        <w:spacing w:lineRule="atLeast" w:line="142" w:before="0" w:after="40"/>
        <w:jc w:val="center"/>
        <w:rPr/>
      </w:pPr>
      <w:r>
        <w:rPr/>
        <w:t> </w:t>
      </w:r>
    </w:p>
    <w:p>
      <w:pPr>
        <w:pStyle w:val="TextBody"/>
        <w:bidi w:val="0"/>
        <w:spacing w:before="480" w:after="0"/>
        <w:jc w:val="left"/>
        <w:rPr>
          <w:rFonts w:ascii="arial" w:hAnsi="arial"/>
          <w:sz w:val="18"/>
        </w:rPr>
      </w:pPr>
      <w:r>
        <w:rPr>
          <w:rFonts w:ascii="arial" w:hAnsi="arial"/>
          <w:sz w:val="18"/>
        </w:rPr>
        <w:t xml:space="preserve">This summary highlights information contained elsewhere in this Proxy Statement. It does not contain all the information you should consider. We urge you to read the entire Proxy Statement carefully before voting. </w:t>
      </w:r>
    </w:p>
    <w:p>
      <w:pPr>
        <w:pStyle w:val="TextBody"/>
        <w:bidi w:val="0"/>
        <w:spacing w:before="360" w:after="0"/>
        <w:jc w:val="left"/>
        <w:rPr>
          <w:rFonts w:ascii="arial" w:hAnsi="arial"/>
          <w:sz w:val="30"/>
        </w:rPr>
      </w:pPr>
      <w:r>
        <w:rPr>
          <w:rFonts w:ascii="arial" w:hAnsi="arial"/>
          <w:sz w:val="30"/>
        </w:rPr>
        <w:t xml:space="preserve">Proxy Statement </w:t>
      </w:r>
    </w:p>
    <w:p>
      <w:pPr>
        <w:pStyle w:val="TextBody"/>
        <w:bidi w:val="0"/>
        <w:spacing w:before="120" w:after="0"/>
        <w:jc w:val="left"/>
        <w:rPr>
          <w:rFonts w:ascii="arial" w:hAnsi="arial"/>
          <w:sz w:val="18"/>
        </w:rPr>
      </w:pPr>
      <w:r>
        <w:rPr>
          <w:rFonts w:ascii="arial" w:hAnsi="arial"/>
          <w:sz w:val="18"/>
        </w:rPr>
        <w:t xml:space="preserve">This Proxy Statement is furnished to stockholders of Victoria’s Secret &amp; Co. in connection with the solicitation of proxies by the VS&amp;Co Board of Directors (the “Board”) for use at the annual meeting of VS&amp;Co stockholders to be held on June 13, 2024 (the “2024 Annual Meeting”) and any adjournments or postponements thereof. This Proxy Statement is dated as of May 3, 2024 and is first being sent or otherwise made available to stockholders of record on or about May 3, 2024. </w:t>
      </w:r>
    </w:p>
    <w:p>
      <w:pPr>
        <w:pStyle w:val="TextBody"/>
        <w:bidi w:val="0"/>
        <w:spacing w:before="120" w:after="0"/>
        <w:jc w:val="left"/>
        <w:rPr>
          <w:rFonts w:ascii="arial" w:hAnsi="arial"/>
          <w:sz w:val="18"/>
        </w:rPr>
      </w:pPr>
      <w:r>
        <w:rPr>
          <w:rFonts w:ascii="arial" w:hAnsi="arial"/>
          <w:sz w:val="18"/>
        </w:rPr>
        <w:t xml:space="preserve">The Notice of Internet Availability of Proxy Materials (the “Notice”) directs stockholders to a website where they can access our proxy materials, including this Proxy Statement, the Notice of Annual Meeting of Stockholders, and our Annual Report on Form 10-K for the fiscal year ended February 3, 2024 (the “2023 Annual Report”). This Proxy Statement, the Notice of Annual Meeting of Stockholders, and the 2023 Annual Report are available at </w:t>
      </w:r>
      <w:r>
        <w:rPr>
          <w:rFonts w:ascii="arial" w:hAnsi="arial"/>
          <w:i/>
          <w:sz w:val="18"/>
        </w:rPr>
        <w:t>www.proxydocs.com/VSCO</w:t>
      </w:r>
      <w:r>
        <w:rPr>
          <w:rFonts w:ascii="arial" w:hAnsi="arial"/>
          <w:sz w:val="18"/>
        </w:rPr>
        <w:t xml:space="preserve">. If you would prefer to receive a printed or electronic set of our proxy materials, please follow the instructions set forth in the Notice. </w:t>
      </w:r>
    </w:p>
    <w:p>
      <w:pPr>
        <w:pStyle w:val="TextBody"/>
        <w:bidi w:val="0"/>
        <w:spacing w:before="360" w:after="0"/>
        <w:jc w:val="center"/>
        <w:rPr>
          <w:rFonts w:ascii="arial" w:hAnsi="arial"/>
          <w:sz w:val="30"/>
        </w:rPr>
      </w:pPr>
      <w:r>
        <w:rPr>
          <w:rFonts w:ascii="arial" w:hAnsi="arial"/>
          <w:sz w:val="30"/>
        </w:rPr>
        <w:t xml:space="preserve">ANNUAL MEETING INFORMATION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2"/>
        <w:gridCol w:w="60"/>
        <w:gridCol w:w="1991"/>
        <w:gridCol w:w="128"/>
        <w:gridCol w:w="831"/>
        <w:gridCol w:w="257"/>
        <w:gridCol w:w="3172"/>
        <w:gridCol w:w="128"/>
        <w:gridCol w:w="831"/>
        <w:gridCol w:w="257"/>
        <w:gridCol w:w="2468"/>
      </w:tblGrid>
      <w:tr>
        <w:trPr/>
        <w:tc>
          <w:tcPr>
            <w:tcW w:w="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17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r>
      <w:tr>
        <w:trPr/>
        <w:tc>
          <w:tcPr>
            <w:tcW w:w="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91" w:type="dxa"/>
            <w:tcBorders/>
            <w:vAlign w:val="center"/>
          </w:tcPr>
          <w:p>
            <w:pPr>
              <w:pStyle w:val="TableContents"/>
              <w:bidi w:val="0"/>
              <w:spacing w:before="0" w:after="0"/>
              <w:jc w:val="center"/>
              <w:rPr/>
            </w:pPr>
            <w:r>
              <w:rPr/>
              <w:drawing>
                <wp:inline distT="0" distB="0" distL="0" distR="0">
                  <wp:extent cx="36830" cy="36195"/>
                  <wp:effectExtent l="0" t="0" r="0" b="0"/>
                  <wp:docPr id="2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4" descr=""/>
                          <pic:cNvPicPr>
                            <a:picLocks noChangeAspect="1" noChangeArrowheads="1"/>
                          </pic:cNvPicPr>
                        </pic:nvPicPr>
                        <pic:blipFill>
                          <a:blip r:embed="rId15"/>
                          <a:stretch>
                            <a:fillRect/>
                          </a:stretch>
                        </pic:blipFill>
                        <pic:spPr bwMode="auto">
                          <a:xfrm>
                            <a:off x="0" y="0"/>
                            <a:ext cx="36830" cy="36195"/>
                          </a:xfrm>
                          <a:prstGeom prst="rect">
                            <a:avLst/>
                          </a:prstGeom>
                        </pic:spPr>
                      </pic:pic>
                    </a:graphicData>
                  </a:graphic>
                </wp:inline>
              </w:drawing>
            </w:r>
            <w:r>
              <w:rPr/>
              <w:t xml:space="preserve"> </w:t>
            </w:r>
          </w:p>
          <w:p>
            <w:pPr>
              <w:pStyle w:val="TableContents"/>
              <w:bidi w:val="0"/>
              <w:spacing w:before="0" w:after="20"/>
              <w:jc w:val="left"/>
              <w:rPr/>
            </w:pPr>
            <w:r>
              <w:rPr/>
              <w:t> </w:t>
            </w:r>
          </w:p>
        </w:tc>
        <w:tc>
          <w:tcPr>
            <w:tcW w:w="128"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  </w:t>
            </w:r>
          </w:p>
        </w:tc>
        <w:tc>
          <w:tcPr>
            <w:tcW w:w="3172" w:type="dxa"/>
            <w:tcBorders/>
            <w:vAlign w:val="center"/>
          </w:tcPr>
          <w:p>
            <w:pPr>
              <w:pStyle w:val="TableContents"/>
              <w:bidi w:val="0"/>
              <w:spacing w:before="0" w:after="0"/>
              <w:jc w:val="center"/>
              <w:rPr/>
            </w:pPr>
            <w:r>
              <w:rPr/>
              <w:drawing>
                <wp:inline distT="0" distB="0" distL="0" distR="0">
                  <wp:extent cx="35560" cy="35560"/>
                  <wp:effectExtent l="0" t="0" r="0" b="0"/>
                  <wp:docPr id="2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5" descr=""/>
                          <pic:cNvPicPr>
                            <a:picLocks noChangeAspect="1" noChangeArrowheads="1"/>
                          </pic:cNvPicPr>
                        </pic:nvPicPr>
                        <pic:blipFill>
                          <a:blip r:embed="rId16"/>
                          <a:stretch>
                            <a:fillRect/>
                          </a:stretch>
                        </pic:blipFill>
                        <pic:spPr bwMode="auto">
                          <a:xfrm>
                            <a:off x="0" y="0"/>
                            <a:ext cx="35560" cy="35560"/>
                          </a:xfrm>
                          <a:prstGeom prst="rect">
                            <a:avLst/>
                          </a:prstGeom>
                        </pic:spPr>
                      </pic:pic>
                    </a:graphicData>
                  </a:graphic>
                </wp:inline>
              </w:drawing>
            </w:r>
            <w:r>
              <w:rPr/>
              <w:t xml:space="preserve"> </w:t>
            </w:r>
          </w:p>
          <w:p>
            <w:pPr>
              <w:pStyle w:val="TableContents"/>
              <w:bidi w:val="0"/>
              <w:spacing w:before="0" w:after="20"/>
              <w:jc w:val="left"/>
              <w:rPr/>
            </w:pPr>
            <w:r>
              <w:rPr/>
              <w:t> </w:t>
            </w:r>
          </w:p>
        </w:tc>
        <w:tc>
          <w:tcPr>
            <w:tcW w:w="128"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  </w:t>
            </w:r>
          </w:p>
        </w:tc>
        <w:tc>
          <w:tcPr>
            <w:tcW w:w="2468" w:type="dxa"/>
            <w:tcBorders/>
            <w:vAlign w:val="center"/>
          </w:tcPr>
          <w:p>
            <w:pPr>
              <w:pStyle w:val="TableContents"/>
              <w:bidi w:val="0"/>
              <w:spacing w:before="0" w:after="0"/>
              <w:jc w:val="center"/>
              <w:rPr/>
            </w:pPr>
            <w:r>
              <w:rPr/>
              <w:drawing>
                <wp:inline distT="0" distB="0" distL="0" distR="0">
                  <wp:extent cx="38100" cy="33655"/>
                  <wp:effectExtent l="0" t="0" r="0" b="0"/>
                  <wp:docPr id="2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6" descr=""/>
                          <pic:cNvPicPr>
                            <a:picLocks noChangeAspect="1" noChangeArrowheads="1"/>
                          </pic:cNvPicPr>
                        </pic:nvPicPr>
                        <pic:blipFill>
                          <a:blip r:embed="rId17"/>
                          <a:stretch>
                            <a:fillRect/>
                          </a:stretch>
                        </pic:blipFill>
                        <pic:spPr bwMode="auto">
                          <a:xfrm>
                            <a:off x="0" y="0"/>
                            <a:ext cx="38100" cy="3365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82"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991" w:type="dxa"/>
            <w:tcBorders>
              <w:bottom w:val="single" w:sz="6" w:space="0" w:color="000000"/>
            </w:tcBorders>
            <w:tcMar>
              <w:bottom w:w="40" w:type="dxa"/>
            </w:tcMar>
            <w:vAlign w:val="center"/>
          </w:tcPr>
          <w:p>
            <w:pPr>
              <w:pStyle w:val="TableContents"/>
              <w:bidi w:val="0"/>
              <w:spacing w:before="0" w:after="0"/>
              <w:jc w:val="center"/>
              <w:rPr>
                <w:rFonts w:ascii="arial" w:hAnsi="arial"/>
                <w:b/>
                <w:sz w:val="18"/>
              </w:rPr>
            </w:pPr>
            <w:r>
              <w:rPr>
                <w:rFonts w:ascii="arial" w:hAnsi="arial"/>
                <w:b/>
                <w:sz w:val="18"/>
              </w:rPr>
              <w:t>June 13, 2024</w:t>
            </w:r>
          </w:p>
        </w:tc>
        <w:tc>
          <w:tcPr>
            <w:tcW w:w="128"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left"/>
              <w:rPr/>
            </w:pPr>
            <w:r>
              <w:rPr/>
              <w:t>    </w:t>
            </w:r>
          </w:p>
        </w:tc>
        <w:tc>
          <w:tcPr>
            <w:tcW w:w="257" w:type="dxa"/>
            <w:tcBorders>
              <w:bottom w:val="single" w:sz="6" w:space="0" w:color="000000"/>
            </w:tcBorders>
            <w:tcMar>
              <w:bottom w:w="28" w:type="dxa"/>
            </w:tcMar>
            <w:vAlign w:val="center"/>
          </w:tcPr>
          <w:p>
            <w:pPr>
              <w:pStyle w:val="TableContents"/>
              <w:bidi w:val="0"/>
              <w:spacing w:before="0" w:after="283"/>
              <w:jc w:val="left"/>
              <w:rPr/>
            </w:pPr>
            <w:r>
              <w:rPr/>
              <w:t>  </w:t>
            </w:r>
          </w:p>
        </w:tc>
        <w:tc>
          <w:tcPr>
            <w:tcW w:w="3172" w:type="dxa"/>
            <w:tcBorders>
              <w:bottom w:val="single" w:sz="6" w:space="0" w:color="000000"/>
            </w:tcBorders>
            <w:tcMar>
              <w:bottom w:w="40" w:type="dxa"/>
            </w:tcMar>
            <w:vAlign w:val="center"/>
          </w:tcPr>
          <w:p>
            <w:pPr>
              <w:pStyle w:val="TableContents"/>
              <w:bidi w:val="0"/>
              <w:spacing w:before="0" w:after="0"/>
              <w:jc w:val="center"/>
              <w:rPr>
                <w:rFonts w:ascii="arial" w:hAnsi="arial"/>
                <w:b/>
                <w:sz w:val="18"/>
              </w:rPr>
            </w:pPr>
            <w:r>
              <w:rPr>
                <w:rFonts w:ascii="arial" w:hAnsi="arial"/>
                <w:b/>
                <w:sz w:val="18"/>
              </w:rPr>
              <w:t>8:30 a.m. Eastern Time</w:t>
            </w:r>
          </w:p>
        </w:tc>
        <w:tc>
          <w:tcPr>
            <w:tcW w:w="128"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left"/>
              <w:rPr/>
            </w:pPr>
            <w:r>
              <w:rPr/>
              <w:t>    </w:t>
            </w:r>
          </w:p>
        </w:tc>
        <w:tc>
          <w:tcPr>
            <w:tcW w:w="257" w:type="dxa"/>
            <w:tcBorders>
              <w:bottom w:val="single" w:sz="6" w:space="0" w:color="000000"/>
            </w:tcBorders>
            <w:tcMar>
              <w:bottom w:w="28" w:type="dxa"/>
            </w:tcMar>
            <w:vAlign w:val="center"/>
          </w:tcPr>
          <w:p>
            <w:pPr>
              <w:pStyle w:val="TableContents"/>
              <w:bidi w:val="0"/>
              <w:spacing w:before="0" w:after="283"/>
              <w:jc w:val="left"/>
              <w:rPr/>
            </w:pPr>
            <w:r>
              <w:rPr/>
              <w:t>  </w:t>
            </w:r>
          </w:p>
        </w:tc>
        <w:tc>
          <w:tcPr>
            <w:tcW w:w="2468" w:type="dxa"/>
            <w:tcBorders>
              <w:bottom w:val="single" w:sz="6" w:space="0" w:color="000000"/>
            </w:tcBorders>
            <w:tcMar>
              <w:bottom w:w="40" w:type="dxa"/>
            </w:tcMar>
            <w:vAlign w:val="center"/>
          </w:tcPr>
          <w:p>
            <w:pPr>
              <w:pStyle w:val="TableContents"/>
              <w:bidi w:val="0"/>
              <w:spacing w:before="0" w:after="0"/>
              <w:jc w:val="center"/>
              <w:rPr>
                <w:rFonts w:ascii="arial" w:hAnsi="arial"/>
                <w:b/>
                <w:sz w:val="18"/>
              </w:rPr>
            </w:pPr>
            <w:r>
              <w:rPr>
                <w:rFonts w:ascii="arial" w:hAnsi="arial"/>
                <w:b/>
                <w:sz w:val="18"/>
              </w:rPr>
              <w:t>April 15, 2024</w:t>
            </w:r>
          </w:p>
        </w:tc>
      </w:tr>
      <w:tr>
        <w:trPr/>
        <w:tc>
          <w:tcPr>
            <w:tcW w:w="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991" w:type="dxa"/>
            <w:tcBorders/>
            <w:vAlign w:val="center"/>
          </w:tcPr>
          <w:p>
            <w:pPr>
              <w:pStyle w:val="TableContents"/>
              <w:bidi w:val="0"/>
              <w:spacing w:before="0" w:after="0"/>
              <w:jc w:val="center"/>
              <w:rPr>
                <w:rFonts w:ascii="arial" w:hAnsi="arial"/>
                <w:sz w:val="18"/>
              </w:rPr>
            </w:pPr>
            <w:r>
              <w:rPr>
                <w:rFonts w:ascii="arial" w:hAnsi="arial"/>
                <w:sz w:val="18"/>
              </w:rPr>
              <w:t>DATE</w:t>
            </w:r>
          </w:p>
        </w:tc>
        <w:tc>
          <w:tcPr>
            <w:tcW w:w="128"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  </w:t>
            </w:r>
          </w:p>
        </w:tc>
        <w:tc>
          <w:tcPr>
            <w:tcW w:w="3172" w:type="dxa"/>
            <w:tcBorders/>
            <w:vAlign w:val="center"/>
          </w:tcPr>
          <w:p>
            <w:pPr>
              <w:pStyle w:val="TableContents"/>
              <w:bidi w:val="0"/>
              <w:spacing w:before="0" w:after="0"/>
              <w:jc w:val="center"/>
              <w:rPr>
                <w:rFonts w:ascii="arial" w:hAnsi="arial"/>
                <w:sz w:val="18"/>
              </w:rPr>
            </w:pPr>
            <w:r>
              <w:rPr>
                <w:rFonts w:ascii="arial" w:hAnsi="arial"/>
                <w:sz w:val="18"/>
              </w:rPr>
              <w:t>TIME</w:t>
            </w:r>
          </w:p>
        </w:tc>
        <w:tc>
          <w:tcPr>
            <w:tcW w:w="128" w:type="dxa"/>
            <w:tcBorders/>
            <w:vAlign w:val="center"/>
          </w:tcPr>
          <w:p>
            <w:pPr>
              <w:pStyle w:val="TableContents"/>
              <w:bidi w:val="0"/>
              <w:spacing w:before="0" w:after="283"/>
              <w:jc w:val="left"/>
              <w:rPr/>
            </w:pPr>
            <w:r>
              <w:rPr/>
              <w:t> </w:t>
            </w:r>
          </w:p>
        </w:tc>
        <w:tc>
          <w:tcPr>
            <w:tcW w:w="83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  </w:t>
            </w:r>
          </w:p>
        </w:tc>
        <w:tc>
          <w:tcPr>
            <w:tcW w:w="2468" w:type="dxa"/>
            <w:tcBorders/>
            <w:vAlign w:val="center"/>
          </w:tcPr>
          <w:p>
            <w:pPr>
              <w:pStyle w:val="TableContents"/>
              <w:bidi w:val="0"/>
              <w:spacing w:before="0" w:after="0"/>
              <w:jc w:val="center"/>
              <w:rPr>
                <w:rFonts w:ascii="arial" w:hAnsi="arial"/>
                <w:sz w:val="18"/>
              </w:rPr>
            </w:pPr>
            <w:r>
              <w:rPr>
                <w:rFonts w:ascii="arial" w:hAnsi="arial"/>
                <w:sz w:val="18"/>
              </w:rPr>
              <w:t>RECORD DATE</w:t>
            </w:r>
          </w:p>
        </w:tc>
      </w:tr>
      <w:tr>
        <w:trPr/>
        <w:tc>
          <w:tcPr>
            <w:tcW w:w="82"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pPr>
            <w:r>
              <w:rPr/>
              <w:drawing>
                <wp:inline distT="0" distB="0" distL="0" distR="0">
                  <wp:extent cx="29210" cy="41910"/>
                  <wp:effectExtent l="0" t="0" r="0" b="0"/>
                  <wp:docPr id="2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7" descr=""/>
                          <pic:cNvPicPr>
                            <a:picLocks noChangeAspect="1" noChangeArrowheads="1"/>
                          </pic:cNvPicPr>
                        </pic:nvPicPr>
                        <pic:blipFill>
                          <a:blip r:embed="rId18"/>
                          <a:stretch>
                            <a:fillRect/>
                          </a:stretch>
                        </pic:blipFill>
                        <pic:spPr bwMode="auto">
                          <a:xfrm>
                            <a:off x="0" y="0"/>
                            <a:ext cx="29210" cy="41910"/>
                          </a:xfrm>
                          <a:prstGeom prst="rect">
                            <a:avLst/>
                          </a:prstGeom>
                        </pic:spPr>
                      </pic:pic>
                    </a:graphicData>
                  </a:graphic>
                </wp:inline>
              </w:drawing>
            </w:r>
            <w:r>
              <w:rPr/>
              <w:t xml:space="preserve">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0063" w:type="dxa"/>
            <w:gridSpan w:val="9"/>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 xml:space="preserve">The 2024 Annual Meeting will be conducted exclusively online via live audio webcast. Stockholders will not be able to attend the 2024 Annual Meeting in person. Instead, stockholders can join and attend the meeting virtually by visiting and registering at </w:t>
            </w:r>
            <w:r>
              <w:rPr>
                <w:rFonts w:ascii="arial" w:hAnsi="arial"/>
                <w:i/>
                <w:sz w:val="18"/>
              </w:rPr>
              <w:t>www.proxydocs.com/VSCO</w:t>
            </w:r>
            <w:r>
              <w:rPr>
                <w:rFonts w:ascii="arial" w:hAnsi="arial"/>
                <w:sz w:val="18"/>
              </w:rPr>
              <w:t xml:space="preserve"> using the 12 digit control number found on the Notice or your proxy or voting instruction card. Upon completing your registration, you will receive further instructions via email, including information about your unique link that will allow you access to the meeting and to vote and submit questions during the meeting.</w:t>
            </w:r>
          </w:p>
          <w:p>
            <w:pPr>
              <w:pStyle w:val="TableContents"/>
              <w:bidi w:val="0"/>
              <w:spacing w:before="0" w:after="20"/>
              <w:jc w:val="left"/>
              <w:rPr/>
            </w:pPr>
            <w:r>
              <w:rPr/>
              <w:t> </w:t>
            </w:r>
          </w:p>
        </w:tc>
      </w:tr>
    </w:tbl>
    <w:p>
      <w:pPr>
        <w:pStyle w:val="TextBody"/>
        <w:bidi w:val="0"/>
        <w:spacing w:before="0" w:after="0"/>
        <w:jc w:val="center"/>
        <w:rPr>
          <w:rFonts w:ascii="arial" w:hAnsi="arial"/>
          <w:sz w:val="18"/>
        </w:rPr>
      </w:pPr>
      <w:r>
        <w:rPr>
          <w:rFonts w:ascii="arial" w:hAnsi="arial"/>
          <w:sz w:val="18"/>
        </w:rPr>
        <w:t xml:space="preserve">LOCATION </w:t>
      </w:r>
    </w:p>
    <w:p>
      <w:pPr>
        <w:pStyle w:val="TextBody"/>
        <w:bidi w:val="0"/>
        <w:spacing w:before="240" w:after="0"/>
        <w:jc w:val="left"/>
        <w:rPr>
          <w:rFonts w:ascii="arial" w:hAnsi="arial"/>
          <w:sz w:val="18"/>
        </w:rPr>
      </w:pPr>
      <w:r>
        <w:rPr>
          <w:rFonts w:ascii="arial" w:hAnsi="arial"/>
          <w:sz w:val="18"/>
        </w:rPr>
        <w:t xml:space="preserve">The SEC allows us to deliver a single copy of the Notice or other proxy materials to multiple stockholders who share the same last name and mailing address, unless the stockholders instruct us otherwise. We intend to use this delivery method, known as “householding,” in order to reduce the expense and environmental impact of mailing proxy materials. You can receive a separate copy of the Notice or other proxy materials, without charge, by written request via mail to our transfer agent EQ + AST at 1601 15th Avenue, Brooklyn, NY 11219, or by calling EQ + AST at (877) 732-3621. If you hold your shares in “street name” and reside in a household that received only one copy of the proxy materials, you can request to receive a separate copy in the future by following the instructions provided by your bank or broker. If your household is receiving multiple copies of the proxy materials, you may request that only a single set of materials be sent by following the instructions provided by your bank or broker. </w:t>
      </w:r>
    </w:p>
    <w:p>
      <w:pPr>
        <w:pStyle w:val="TextBody"/>
        <w:bidi w:val="0"/>
        <w:spacing w:before="0" w:after="0"/>
        <w:jc w:val="left"/>
        <w:rPr/>
      </w:pPr>
      <w:r>
        <w:rPr/>
        <w:t> </w:t>
      </w:r>
    </w:p>
    <w:tbl>
      <w:tblPr>
        <w:tblW w:w="2837" w:type="dxa"/>
        <w:jc w:val="left"/>
        <w:tblInd w:w="0" w:type="dxa"/>
        <w:tblLayout w:type="fixed"/>
        <w:tblCellMar>
          <w:top w:w="0" w:type="dxa"/>
          <w:left w:w="0" w:type="dxa"/>
          <w:bottom w:w="0" w:type="dxa"/>
          <w:right w:w="0" w:type="dxa"/>
        </w:tblCellMar>
      </w:tblPr>
      <w:tblGrid>
        <w:gridCol w:w="292"/>
        <w:gridCol w:w="60"/>
        <w:gridCol w:w="38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2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8" descr=""/>
                          <pic:cNvPicPr>
                            <a:picLocks noChangeAspect="1" noChangeArrowheads="1"/>
                          </pic:cNvPicPr>
                        </pic:nvPicPr>
                        <pic:blipFill>
                          <a:blip r:embed="rId19"/>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color w:val="F7ACBA"/>
              </w:rPr>
            </w:pPr>
            <w:r>
              <w:rPr>
                <w:color w:val="F7ACBA"/>
              </w:rPr>
              <w:t> </w:t>
            </w:r>
            <w:r>
              <w:rPr>
                <w:b/>
                <w:color w:val="F7ACBA"/>
              </w:rPr>
              <w:t>1 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PROXY SUMMARY </w:t>
      </w:r>
    </w:p>
    <w:p>
      <w:pPr>
        <w:pStyle w:val="TextBody"/>
        <w:bidi w:val="0"/>
        <w:spacing w:before="0" w:after="0"/>
        <w:jc w:val="left"/>
        <w:rPr/>
      </w:pPr>
      <w:r>
        <w:rPr/>
        <w:t> </w:t>
      </w:r>
    </w:p>
    <w:p>
      <w:pPr>
        <w:pStyle w:val="TextBody"/>
        <w:bidi w:val="0"/>
        <w:spacing w:before="0" w:after="0"/>
        <w:jc w:val="left"/>
        <w:rPr>
          <w:rFonts w:ascii="arial" w:hAnsi="arial"/>
          <w:sz w:val="30"/>
        </w:rPr>
      </w:pPr>
      <w:r>
        <w:rPr>
          <w:rFonts w:ascii="arial" w:hAnsi="arial"/>
          <w:sz w:val="30"/>
        </w:rPr>
        <w:t xml:space="preserve">How to Attend the Annual Meeting </w:t>
      </w:r>
    </w:p>
    <w:p>
      <w:pPr>
        <w:pStyle w:val="TextBody"/>
        <w:bidi w:val="0"/>
        <w:spacing w:before="120" w:after="0"/>
        <w:jc w:val="left"/>
        <w:rPr>
          <w:rFonts w:ascii="arial" w:hAnsi="arial"/>
          <w:sz w:val="18"/>
        </w:rPr>
      </w:pPr>
      <w:r>
        <w:rPr>
          <w:rFonts w:ascii="arial" w:hAnsi="arial"/>
          <w:sz w:val="18"/>
        </w:rPr>
        <w:t xml:space="preserve">The 2024 Annual Meeting will be held virtually via live audio webcast on Thursday, June 13, 2024 at 8:30 a.m. Eastern Time. Stockholders will not be able to attend the 2024 Annual Meeting in person. To participate in the 2024 Annual Meeting, please visit </w:t>
      </w:r>
      <w:r>
        <w:rPr>
          <w:rFonts w:ascii="arial" w:hAnsi="arial"/>
          <w:i/>
          <w:sz w:val="18"/>
        </w:rPr>
        <w:t>www.proxydocs.com/VSCO</w:t>
      </w:r>
      <w:r>
        <w:rPr>
          <w:rFonts w:ascii="arial" w:hAnsi="arial"/>
          <w:sz w:val="18"/>
        </w:rPr>
        <w:t xml:space="preserve"> and register in advance using the 12 digit control number found on your Notice of Internet Availability of Proxy Materials or your proxy or voting instruction card. Upon completing your registration, you will receive further instructions via email, including information about your unique link that will allow you to attend the meeting and to vote and submit questions during the meeting. </w:t>
      </w:r>
    </w:p>
    <w:p>
      <w:pPr>
        <w:pStyle w:val="TextBody"/>
        <w:bidi w:val="0"/>
        <w:spacing w:before="120" w:after="0"/>
        <w:jc w:val="left"/>
        <w:rPr>
          <w:rFonts w:ascii="arial" w:hAnsi="arial"/>
          <w:sz w:val="18"/>
        </w:rPr>
      </w:pPr>
      <w:r>
        <w:rPr>
          <w:rFonts w:ascii="arial" w:hAnsi="arial"/>
          <w:sz w:val="18"/>
        </w:rPr>
        <w:t xml:space="preserve">Stockholders will be able to submit questions and make statements during the virtual meeting in the meeting portal until the meeting is closed for questions. In addition, stockholders can submit questions and provide statements in advance when registering for the meeting at </w:t>
      </w:r>
      <w:r>
        <w:rPr>
          <w:rFonts w:ascii="arial" w:hAnsi="arial"/>
          <w:i/>
          <w:sz w:val="18"/>
        </w:rPr>
        <w:t>www.proxydocs.com/VSCO</w:t>
      </w:r>
      <w:r>
        <w:rPr>
          <w:rFonts w:ascii="arial" w:hAnsi="arial"/>
          <w:sz w:val="18"/>
        </w:rPr>
        <w:t xml:space="preserve">. Stockholders who wish to submit a question in advance of the meeting will need to register for the meeting using their 12 digit control number. During the formal business of the meeting, we will limit questions and statements to those relevant to the business of the meeting. After the 2024 Annual Meeting is adjourned, we will hold a live webcast questions and answers (“Q&amp;A”) session and address questions and comments of a general nature. This live Q&amp;A session will be conducted in accordance with certain Rules of Conduct that will be posted in the meeting portal. During the Q&amp;A session of the meeting, we intend to answer questions as they come in and address those asked in advance, to the extent time permits. </w:t>
      </w:r>
    </w:p>
    <w:p>
      <w:pPr>
        <w:pStyle w:val="TextBody"/>
        <w:bidi w:val="0"/>
        <w:spacing w:before="360" w:after="0"/>
        <w:jc w:val="left"/>
        <w:rPr>
          <w:rFonts w:ascii="arial" w:hAnsi="arial"/>
          <w:sz w:val="30"/>
        </w:rPr>
      </w:pPr>
      <w:r>
        <w:rPr>
          <w:rFonts w:ascii="arial" w:hAnsi="arial"/>
          <w:sz w:val="30"/>
        </w:rPr>
        <w:t xml:space="preserve">How to Vote Your Shares </w:t>
      </w:r>
    </w:p>
    <w:p>
      <w:pPr>
        <w:pStyle w:val="TextBody"/>
        <w:bidi w:val="0"/>
        <w:spacing w:before="120" w:after="0"/>
        <w:jc w:val="left"/>
        <w:rPr>
          <w:rFonts w:ascii="arial" w:hAnsi="arial"/>
          <w:sz w:val="18"/>
        </w:rPr>
      </w:pPr>
      <w:r>
        <w:rPr>
          <w:rFonts w:ascii="arial" w:hAnsi="arial"/>
          <w:sz w:val="18"/>
        </w:rPr>
        <w:t xml:space="preserve">Even if you plan to virtually attend the 2024 Annual Meeting, please vote your shares as soon as possible to ensure they are properly represented at the meeting. Each share of VS&amp;Co common stock entitles the holder thereof to one vote. Stockholders of record at the close of business on April 15, 2024 (the “Record Date”) can vote at the 2024 Annual Meeting online at </w:t>
      </w:r>
      <w:r>
        <w:rPr>
          <w:rFonts w:ascii="arial" w:hAnsi="arial"/>
          <w:i/>
          <w:sz w:val="18"/>
        </w:rPr>
        <w:t>www.proxydocs.com/VSCO</w:t>
      </w:r>
      <w:r>
        <w:rPr>
          <w:rFonts w:ascii="arial" w:hAnsi="arial"/>
          <w:sz w:val="18"/>
        </w:rPr>
        <w:t xml:space="preserve">, by telephone at 1-866-977-5067, or by signing and returning your proxy card. If you did not receive a proxy card, you may request one by following the instructions on the Notice. If you are a beneficial owner of VS&amp;Co common stock, you will receive instructions from your bank, broker, or other nominee that you will need to follow in order to vote your shares. </w:t>
      </w:r>
    </w:p>
    <w:p>
      <w:pPr>
        <w:pStyle w:val="TextBody"/>
        <w:bidi w:val="0"/>
        <w:spacing w:before="360" w:after="0"/>
        <w:jc w:val="left"/>
        <w:rPr>
          <w:rFonts w:ascii="arial" w:hAnsi="arial"/>
          <w:sz w:val="30"/>
        </w:rPr>
      </w:pPr>
      <w:r>
        <w:rPr>
          <w:rFonts w:ascii="arial" w:hAnsi="arial"/>
          <w:sz w:val="30"/>
        </w:rPr>
        <w:t xml:space="preserve">Proposals to be Voted On </w:t>
      </w:r>
    </w:p>
    <w:p>
      <w:pPr>
        <w:pStyle w:val="TextBody"/>
        <w:bidi w:val="0"/>
        <w:spacing w:before="120" w:after="0"/>
        <w:jc w:val="left"/>
        <w:rPr>
          <w:rFonts w:ascii="arial" w:hAnsi="arial"/>
          <w:sz w:val="18"/>
        </w:rPr>
      </w:pPr>
      <w:r>
        <w:rPr>
          <w:rFonts w:ascii="arial" w:hAnsi="arial"/>
          <w:sz w:val="18"/>
        </w:rPr>
        <w:t xml:space="preserve">Your vote is very important. Please cast your vote on all proposals promptly to ensure that your shares are represented at the 2024 Annual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9"/>
        <w:gridCol w:w="120"/>
        <w:gridCol w:w="4840"/>
        <w:gridCol w:w="120"/>
        <w:gridCol w:w="2510"/>
        <w:gridCol w:w="120"/>
        <w:gridCol w:w="2316"/>
      </w:tblGrid>
      <w:tr>
        <w:trPr/>
        <w:tc>
          <w:tcPr>
            <w:tcW w:w="1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8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r>
      <w:tr>
        <w:trPr/>
        <w:tc>
          <w:tcPr>
            <w:tcW w:w="5139" w:type="dxa"/>
            <w:gridSpan w:val="3"/>
            <w:tcBorders/>
            <w:shd w:fill="FDEEF1" w:val="clear"/>
            <w:vAlign w:val="center"/>
          </w:tcPr>
          <w:p>
            <w:pPr>
              <w:pStyle w:val="TableContents"/>
              <w:bidi w:val="0"/>
              <w:spacing w:before="0" w:after="283"/>
              <w:jc w:val="left"/>
              <w:rPr>
                <w:sz w:val="4"/>
                <w:szCs w:val="4"/>
              </w:rPr>
            </w:pPr>
            <w:r>
              <w:rPr>
                <w:sz w:val="4"/>
                <w:szCs w:val="4"/>
              </w:rPr>
            </w:r>
          </w:p>
        </w:tc>
        <w:tc>
          <w:tcPr>
            <w:tcW w:w="2630" w:type="dxa"/>
            <w:gridSpan w:val="2"/>
            <w:tcBorders/>
            <w:shd w:fill="FDEEF1" w:val="clear"/>
            <w:vAlign w:val="center"/>
          </w:tcPr>
          <w:p>
            <w:pPr>
              <w:pStyle w:val="TableContents"/>
              <w:bidi w:val="0"/>
              <w:spacing w:before="0" w:after="283"/>
              <w:jc w:val="left"/>
              <w:rPr>
                <w:sz w:val="4"/>
                <w:szCs w:val="4"/>
              </w:rPr>
            </w:pPr>
            <w:r>
              <w:rPr>
                <w:sz w:val="4"/>
                <w:szCs w:val="4"/>
              </w:rPr>
            </w:r>
          </w:p>
        </w:tc>
        <w:tc>
          <w:tcPr>
            <w:tcW w:w="2436" w:type="dxa"/>
            <w:gridSpan w:val="2"/>
            <w:tcBorders/>
            <w:shd w:fill="FDEEF1" w:val="clear"/>
            <w:vAlign w:val="center"/>
          </w:tcPr>
          <w:p>
            <w:pPr>
              <w:pStyle w:val="TableContents"/>
              <w:bidi w:val="0"/>
              <w:spacing w:before="0" w:after="283"/>
              <w:jc w:val="left"/>
              <w:rPr>
                <w:sz w:val="4"/>
                <w:szCs w:val="4"/>
              </w:rPr>
            </w:pPr>
            <w:r>
              <w:rPr>
                <w:sz w:val="4"/>
                <w:szCs w:val="4"/>
              </w:rPr>
            </w:r>
          </w:p>
        </w:tc>
      </w:tr>
      <w:tr>
        <w:trPr/>
        <w:tc>
          <w:tcPr>
            <w:tcW w:w="5139" w:type="dxa"/>
            <w:gridSpan w:val="3"/>
            <w:tcBorders/>
            <w:shd w:fill="FDEEF1" w:val="clear"/>
            <w:vAlign w:val="center"/>
          </w:tcPr>
          <w:p>
            <w:pPr>
              <w:pStyle w:val="TableContents"/>
              <w:bidi w:val="0"/>
              <w:spacing w:before="0" w:after="0"/>
              <w:jc w:val="left"/>
              <w:rPr>
                <w:rFonts w:ascii="arial" w:hAnsi="arial"/>
                <w:b/>
                <w:sz w:val="16"/>
              </w:rPr>
            </w:pPr>
            <w:r>
              <w:rPr>
                <w:rFonts w:ascii="arial" w:hAnsi="arial"/>
                <w:b/>
                <w:sz w:val="16"/>
              </w:rPr>
              <w:t>Proposal</w:t>
            </w:r>
          </w:p>
        </w:tc>
        <w:tc>
          <w:tcPr>
            <w:tcW w:w="120" w:type="dxa"/>
            <w:tcBorders/>
            <w:shd w:fill="FDEEF1" w:val="clear"/>
            <w:vAlign w:val="center"/>
          </w:tcPr>
          <w:p>
            <w:pPr>
              <w:pStyle w:val="TableContents"/>
              <w:bidi w:val="0"/>
              <w:spacing w:before="0" w:after="283"/>
              <w:jc w:val="left"/>
              <w:rPr/>
            </w:pPr>
            <w:r>
              <w:rPr/>
              <w:t>  </w:t>
            </w:r>
          </w:p>
        </w:tc>
        <w:tc>
          <w:tcPr>
            <w:tcW w:w="2510" w:type="dxa"/>
            <w:tcBorders/>
            <w:shd w:fill="FDEEF1" w:val="clear"/>
            <w:vAlign w:val="center"/>
          </w:tcPr>
          <w:p>
            <w:pPr>
              <w:pStyle w:val="TableContents"/>
              <w:bidi w:val="0"/>
              <w:spacing w:before="0" w:after="283"/>
              <w:jc w:val="center"/>
              <w:rPr>
                <w:b/>
              </w:rPr>
            </w:pPr>
            <w:r>
              <w:rPr>
                <w:b/>
              </w:rPr>
              <w:t>Board Recommendation</w:t>
            </w:r>
          </w:p>
        </w:tc>
        <w:tc>
          <w:tcPr>
            <w:tcW w:w="120" w:type="dxa"/>
            <w:tcBorders/>
            <w:shd w:fill="FDEEF1" w:val="clear"/>
            <w:vAlign w:val="center"/>
          </w:tcPr>
          <w:p>
            <w:pPr>
              <w:pStyle w:val="TableContents"/>
              <w:bidi w:val="0"/>
              <w:spacing w:before="0" w:after="283"/>
              <w:jc w:val="left"/>
              <w:rPr/>
            </w:pPr>
            <w:r>
              <w:rPr/>
              <w:t>  </w:t>
            </w:r>
          </w:p>
        </w:tc>
        <w:tc>
          <w:tcPr>
            <w:tcW w:w="2316" w:type="dxa"/>
            <w:tcBorders/>
            <w:shd w:fill="FDEEF1" w:val="clear"/>
            <w:vAlign w:val="center"/>
          </w:tcPr>
          <w:p>
            <w:pPr>
              <w:pStyle w:val="TableContents"/>
              <w:bidi w:val="0"/>
              <w:spacing w:before="0" w:after="283"/>
              <w:jc w:val="center"/>
              <w:rPr>
                <w:b/>
              </w:rPr>
            </w:pPr>
            <w:r>
              <w:rPr>
                <w:b/>
              </w:rPr>
              <w:t>For More Information</w:t>
            </w:r>
          </w:p>
        </w:tc>
      </w:tr>
      <w:tr>
        <w:trPr/>
        <w:tc>
          <w:tcPr>
            <w:tcW w:w="179" w:type="dxa"/>
            <w:tcBorders/>
            <w:vAlign w:val="center"/>
          </w:tcPr>
          <w:p>
            <w:pPr>
              <w:pStyle w:val="TableContents"/>
              <w:bidi w:val="0"/>
              <w:spacing w:before="0" w:after="283"/>
              <w:jc w:val="left"/>
              <w:rPr>
                <w:sz w:val="4"/>
                <w:szCs w:val="4"/>
              </w:rPr>
            </w:pPr>
            <w:r>
              <w:rPr>
                <w:sz w:val="4"/>
                <w:szCs w:val="4"/>
              </w:rPr>
            </w:r>
          </w:p>
        </w:tc>
        <w:tc>
          <w:tcPr>
            <w:tcW w:w="4960" w:type="dxa"/>
            <w:gridSpan w:val="2"/>
            <w:tcBorders/>
            <w:vAlign w:val="center"/>
          </w:tcPr>
          <w:p>
            <w:pPr>
              <w:pStyle w:val="TableContents"/>
              <w:bidi w:val="0"/>
              <w:spacing w:before="0" w:after="283"/>
              <w:jc w:val="left"/>
              <w:rPr>
                <w:sz w:val="4"/>
                <w:szCs w:val="4"/>
              </w:rPr>
            </w:pPr>
            <w:r>
              <w:rPr>
                <w:sz w:val="4"/>
                <w:szCs w:val="4"/>
              </w:rPr>
            </w:r>
          </w:p>
        </w:tc>
        <w:tc>
          <w:tcPr>
            <w:tcW w:w="2630" w:type="dxa"/>
            <w:gridSpan w:val="2"/>
            <w:tcBorders/>
            <w:vAlign w:val="center"/>
          </w:tcPr>
          <w:p>
            <w:pPr>
              <w:pStyle w:val="TableContents"/>
              <w:bidi w:val="0"/>
              <w:spacing w:before="0" w:after="283"/>
              <w:jc w:val="left"/>
              <w:rPr>
                <w:sz w:val="4"/>
                <w:szCs w:val="4"/>
              </w:rPr>
            </w:pPr>
            <w:r>
              <w:rPr>
                <w:sz w:val="4"/>
                <w:szCs w:val="4"/>
              </w:rPr>
            </w:r>
          </w:p>
        </w:tc>
        <w:tc>
          <w:tcPr>
            <w:tcW w:w="2436" w:type="dxa"/>
            <w:gridSpan w:val="2"/>
            <w:tcBorders/>
            <w:vAlign w:val="center"/>
          </w:tcPr>
          <w:p>
            <w:pPr>
              <w:pStyle w:val="TableContents"/>
              <w:bidi w:val="0"/>
              <w:spacing w:before="0" w:after="283"/>
              <w:jc w:val="left"/>
              <w:rPr>
                <w:sz w:val="4"/>
                <w:szCs w:val="4"/>
              </w:rPr>
            </w:pPr>
            <w:r>
              <w:rPr>
                <w:sz w:val="4"/>
                <w:szCs w:val="4"/>
              </w:rPr>
            </w:r>
          </w:p>
        </w:tc>
      </w:tr>
      <w:tr>
        <w:trPr/>
        <w:tc>
          <w:tcPr>
            <w:tcW w:w="179" w:type="dxa"/>
            <w:tcBorders>
              <w:bottom w:val="single" w:sz="6" w:space="0" w:color="FBDDE3"/>
            </w:tcBorders>
            <w:tcMar>
              <w:bottom w:w="60" w:type="dxa"/>
            </w:tcMar>
            <w:vAlign w:val="center"/>
          </w:tcPr>
          <w:p>
            <w:pPr>
              <w:pStyle w:val="TableContents"/>
              <w:bidi w:val="0"/>
              <w:spacing w:before="0" w:after="283"/>
              <w:jc w:val="left"/>
              <w:rPr/>
            </w:pPr>
            <w:r>
              <w:rPr/>
              <w:t>1.</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4840" w:type="dxa"/>
            <w:tcBorders>
              <w:bottom w:val="single" w:sz="6" w:space="0" w:color="FBDDE3"/>
            </w:tcBorders>
            <w:tcMar>
              <w:bottom w:w="60" w:type="dxa"/>
            </w:tcMar>
            <w:vAlign w:val="center"/>
          </w:tcPr>
          <w:p>
            <w:pPr>
              <w:pStyle w:val="TableContents"/>
              <w:bidi w:val="0"/>
              <w:spacing w:before="0" w:after="283"/>
              <w:jc w:val="left"/>
              <w:rPr/>
            </w:pPr>
            <w:r>
              <w:rPr/>
              <w:t>Election of Nine Directors</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510" w:type="dxa"/>
            <w:tcBorders>
              <w:bottom w:val="single" w:sz="6" w:space="0" w:color="FBDDE3"/>
            </w:tcBorders>
            <w:tcMar>
              <w:bottom w:w="60" w:type="dxa"/>
            </w:tcMar>
            <w:vAlign w:val="center"/>
          </w:tcPr>
          <w:p>
            <w:pPr>
              <w:pStyle w:val="TableContents"/>
              <w:bidi w:val="0"/>
              <w:spacing w:before="0" w:after="283"/>
              <w:jc w:val="left"/>
              <w:rPr/>
            </w:pPr>
            <w:r>
              <w:rPr/>
              <w:t>FOR all nominees</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316" w:type="dxa"/>
            <w:tcBorders>
              <w:bottom w:val="single" w:sz="6" w:space="0" w:color="FBDDE3"/>
            </w:tcBorders>
            <w:tcMar>
              <w:bottom w:w="60" w:type="dxa"/>
            </w:tcMar>
            <w:vAlign w:val="center"/>
          </w:tcPr>
          <w:p>
            <w:pPr>
              <w:pStyle w:val="TableContents"/>
              <w:bidi w:val="0"/>
              <w:spacing w:before="0" w:after="283"/>
              <w:jc w:val="center"/>
              <w:rPr/>
            </w:pPr>
            <w:r>
              <w:rPr/>
              <w:t>Page 8</w:t>
            </w:r>
          </w:p>
        </w:tc>
      </w:tr>
      <w:tr>
        <w:trPr/>
        <w:tc>
          <w:tcPr>
            <w:tcW w:w="179" w:type="dxa"/>
            <w:tcBorders/>
            <w:vAlign w:val="center"/>
          </w:tcPr>
          <w:p>
            <w:pPr>
              <w:pStyle w:val="TableContents"/>
              <w:bidi w:val="0"/>
              <w:spacing w:before="0" w:after="283"/>
              <w:jc w:val="left"/>
              <w:rPr>
                <w:sz w:val="4"/>
                <w:szCs w:val="4"/>
              </w:rPr>
            </w:pPr>
            <w:r>
              <w:rPr>
                <w:sz w:val="4"/>
                <w:szCs w:val="4"/>
              </w:rPr>
            </w:r>
          </w:p>
        </w:tc>
        <w:tc>
          <w:tcPr>
            <w:tcW w:w="4960" w:type="dxa"/>
            <w:gridSpan w:val="2"/>
            <w:tcBorders/>
            <w:vAlign w:val="center"/>
          </w:tcPr>
          <w:p>
            <w:pPr>
              <w:pStyle w:val="TableContents"/>
              <w:bidi w:val="0"/>
              <w:spacing w:before="0" w:after="283"/>
              <w:jc w:val="left"/>
              <w:rPr>
                <w:sz w:val="4"/>
                <w:szCs w:val="4"/>
              </w:rPr>
            </w:pPr>
            <w:r>
              <w:rPr>
                <w:sz w:val="4"/>
                <w:szCs w:val="4"/>
              </w:rPr>
            </w:r>
          </w:p>
        </w:tc>
        <w:tc>
          <w:tcPr>
            <w:tcW w:w="2630" w:type="dxa"/>
            <w:gridSpan w:val="2"/>
            <w:tcBorders/>
            <w:vAlign w:val="center"/>
          </w:tcPr>
          <w:p>
            <w:pPr>
              <w:pStyle w:val="TableContents"/>
              <w:bidi w:val="0"/>
              <w:spacing w:before="0" w:after="283"/>
              <w:jc w:val="left"/>
              <w:rPr>
                <w:sz w:val="4"/>
                <w:szCs w:val="4"/>
              </w:rPr>
            </w:pPr>
            <w:r>
              <w:rPr>
                <w:sz w:val="4"/>
                <w:szCs w:val="4"/>
              </w:rPr>
            </w:r>
          </w:p>
        </w:tc>
        <w:tc>
          <w:tcPr>
            <w:tcW w:w="2436" w:type="dxa"/>
            <w:gridSpan w:val="2"/>
            <w:tcBorders/>
            <w:vAlign w:val="center"/>
          </w:tcPr>
          <w:p>
            <w:pPr>
              <w:pStyle w:val="TableContents"/>
              <w:bidi w:val="0"/>
              <w:spacing w:before="0" w:after="283"/>
              <w:jc w:val="left"/>
              <w:rPr>
                <w:sz w:val="4"/>
                <w:szCs w:val="4"/>
              </w:rPr>
            </w:pPr>
            <w:r>
              <w:rPr>
                <w:sz w:val="4"/>
                <w:szCs w:val="4"/>
              </w:rPr>
            </w:r>
          </w:p>
        </w:tc>
      </w:tr>
      <w:tr>
        <w:trPr/>
        <w:tc>
          <w:tcPr>
            <w:tcW w:w="179" w:type="dxa"/>
            <w:tcBorders>
              <w:bottom w:val="single" w:sz="6" w:space="0" w:color="FBDDE3"/>
            </w:tcBorders>
            <w:tcMar>
              <w:bottom w:w="60" w:type="dxa"/>
            </w:tcMar>
            <w:vAlign w:val="center"/>
          </w:tcPr>
          <w:p>
            <w:pPr>
              <w:pStyle w:val="TableContents"/>
              <w:bidi w:val="0"/>
              <w:spacing w:before="0" w:after="283"/>
              <w:jc w:val="left"/>
              <w:rPr/>
            </w:pPr>
            <w:r>
              <w:rPr/>
              <w:t>2.</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4840" w:type="dxa"/>
            <w:tcBorders>
              <w:bottom w:val="single" w:sz="6" w:space="0" w:color="FBDDE3"/>
            </w:tcBorders>
            <w:tcMar>
              <w:bottom w:w="60" w:type="dxa"/>
            </w:tcMar>
            <w:vAlign w:val="center"/>
          </w:tcPr>
          <w:p>
            <w:pPr>
              <w:pStyle w:val="TableContents"/>
              <w:bidi w:val="0"/>
              <w:spacing w:before="0" w:after="283"/>
              <w:jc w:val="left"/>
              <w:rPr/>
            </w:pPr>
            <w:r>
              <w:rPr/>
              <w:t>Amendment to Certificate of Incorporation</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510" w:type="dxa"/>
            <w:tcBorders>
              <w:bottom w:val="single" w:sz="6" w:space="0" w:color="FBDDE3"/>
            </w:tcBorders>
            <w:tcMar>
              <w:bottom w:w="60" w:type="dxa"/>
            </w:tcMar>
            <w:vAlign w:val="center"/>
          </w:tcPr>
          <w:p>
            <w:pPr>
              <w:pStyle w:val="TableContents"/>
              <w:bidi w:val="0"/>
              <w:spacing w:before="0" w:after="283"/>
              <w:jc w:val="left"/>
              <w:rPr/>
            </w:pPr>
            <w:r>
              <w:rPr/>
              <w:t>FOR</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316" w:type="dxa"/>
            <w:tcBorders>
              <w:bottom w:val="single" w:sz="6" w:space="0" w:color="FBDDE3"/>
            </w:tcBorders>
            <w:tcMar>
              <w:bottom w:w="60" w:type="dxa"/>
            </w:tcMar>
            <w:vAlign w:val="center"/>
          </w:tcPr>
          <w:p>
            <w:pPr>
              <w:pStyle w:val="TableContents"/>
              <w:bidi w:val="0"/>
              <w:spacing w:before="0" w:after="283"/>
              <w:jc w:val="center"/>
              <w:rPr/>
            </w:pPr>
            <w:r>
              <w:rPr/>
              <w:t>Page 33</w:t>
            </w:r>
          </w:p>
        </w:tc>
      </w:tr>
      <w:tr>
        <w:trPr/>
        <w:tc>
          <w:tcPr>
            <w:tcW w:w="179" w:type="dxa"/>
            <w:tcBorders/>
            <w:vAlign w:val="center"/>
          </w:tcPr>
          <w:p>
            <w:pPr>
              <w:pStyle w:val="TableContents"/>
              <w:bidi w:val="0"/>
              <w:spacing w:before="0" w:after="283"/>
              <w:jc w:val="left"/>
              <w:rPr>
                <w:sz w:val="4"/>
                <w:szCs w:val="4"/>
              </w:rPr>
            </w:pPr>
            <w:r>
              <w:rPr>
                <w:sz w:val="4"/>
                <w:szCs w:val="4"/>
              </w:rPr>
            </w:r>
          </w:p>
        </w:tc>
        <w:tc>
          <w:tcPr>
            <w:tcW w:w="4960" w:type="dxa"/>
            <w:gridSpan w:val="2"/>
            <w:tcBorders/>
            <w:vAlign w:val="center"/>
          </w:tcPr>
          <w:p>
            <w:pPr>
              <w:pStyle w:val="TableContents"/>
              <w:bidi w:val="0"/>
              <w:spacing w:before="0" w:after="283"/>
              <w:jc w:val="left"/>
              <w:rPr>
                <w:sz w:val="4"/>
                <w:szCs w:val="4"/>
              </w:rPr>
            </w:pPr>
            <w:r>
              <w:rPr>
                <w:sz w:val="4"/>
                <w:szCs w:val="4"/>
              </w:rPr>
            </w:r>
          </w:p>
        </w:tc>
        <w:tc>
          <w:tcPr>
            <w:tcW w:w="2630" w:type="dxa"/>
            <w:gridSpan w:val="2"/>
            <w:tcBorders/>
            <w:vAlign w:val="center"/>
          </w:tcPr>
          <w:p>
            <w:pPr>
              <w:pStyle w:val="TableContents"/>
              <w:bidi w:val="0"/>
              <w:spacing w:before="0" w:after="283"/>
              <w:jc w:val="left"/>
              <w:rPr>
                <w:sz w:val="4"/>
                <w:szCs w:val="4"/>
              </w:rPr>
            </w:pPr>
            <w:r>
              <w:rPr>
                <w:sz w:val="4"/>
                <w:szCs w:val="4"/>
              </w:rPr>
            </w:r>
          </w:p>
        </w:tc>
        <w:tc>
          <w:tcPr>
            <w:tcW w:w="2436" w:type="dxa"/>
            <w:gridSpan w:val="2"/>
            <w:tcBorders/>
            <w:vAlign w:val="center"/>
          </w:tcPr>
          <w:p>
            <w:pPr>
              <w:pStyle w:val="TableContents"/>
              <w:bidi w:val="0"/>
              <w:spacing w:before="0" w:after="283"/>
              <w:jc w:val="left"/>
              <w:rPr>
                <w:sz w:val="4"/>
                <w:szCs w:val="4"/>
              </w:rPr>
            </w:pPr>
            <w:r>
              <w:rPr>
                <w:sz w:val="4"/>
                <w:szCs w:val="4"/>
              </w:rPr>
            </w:r>
          </w:p>
        </w:tc>
      </w:tr>
      <w:tr>
        <w:trPr/>
        <w:tc>
          <w:tcPr>
            <w:tcW w:w="179" w:type="dxa"/>
            <w:tcBorders>
              <w:bottom w:val="single" w:sz="6" w:space="0" w:color="FBDDE3"/>
            </w:tcBorders>
            <w:tcMar>
              <w:bottom w:w="60" w:type="dxa"/>
            </w:tcMar>
            <w:vAlign w:val="center"/>
          </w:tcPr>
          <w:p>
            <w:pPr>
              <w:pStyle w:val="TableContents"/>
              <w:bidi w:val="0"/>
              <w:spacing w:before="0" w:after="283"/>
              <w:jc w:val="left"/>
              <w:rPr/>
            </w:pPr>
            <w:r>
              <w:rPr/>
              <w:t>3.</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4840" w:type="dxa"/>
            <w:tcBorders>
              <w:bottom w:val="single" w:sz="6" w:space="0" w:color="FBDDE3"/>
            </w:tcBorders>
            <w:tcMar>
              <w:bottom w:w="60" w:type="dxa"/>
            </w:tcMar>
            <w:vAlign w:val="center"/>
          </w:tcPr>
          <w:p>
            <w:pPr>
              <w:pStyle w:val="TableContents"/>
              <w:bidi w:val="0"/>
              <w:spacing w:before="0" w:after="283"/>
              <w:jc w:val="left"/>
              <w:rPr/>
            </w:pPr>
            <w:r>
              <w:rPr/>
              <w:t>Advisory Vote on Executive Compensation</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510" w:type="dxa"/>
            <w:tcBorders>
              <w:bottom w:val="single" w:sz="6" w:space="0" w:color="FBDDE3"/>
            </w:tcBorders>
            <w:tcMar>
              <w:bottom w:w="60" w:type="dxa"/>
            </w:tcMar>
            <w:vAlign w:val="center"/>
          </w:tcPr>
          <w:p>
            <w:pPr>
              <w:pStyle w:val="TableContents"/>
              <w:bidi w:val="0"/>
              <w:spacing w:before="0" w:after="283"/>
              <w:jc w:val="left"/>
              <w:rPr/>
            </w:pPr>
            <w:r>
              <w:rPr/>
              <w:t>FOR</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316" w:type="dxa"/>
            <w:tcBorders>
              <w:bottom w:val="single" w:sz="6" w:space="0" w:color="FBDDE3"/>
            </w:tcBorders>
            <w:tcMar>
              <w:bottom w:w="60" w:type="dxa"/>
            </w:tcMar>
            <w:vAlign w:val="center"/>
          </w:tcPr>
          <w:p>
            <w:pPr>
              <w:pStyle w:val="TableContents"/>
              <w:bidi w:val="0"/>
              <w:spacing w:before="0" w:after="283"/>
              <w:jc w:val="center"/>
              <w:rPr/>
            </w:pPr>
            <w:r>
              <w:rPr/>
              <w:t>Page 75</w:t>
            </w:r>
          </w:p>
        </w:tc>
      </w:tr>
      <w:tr>
        <w:trPr/>
        <w:tc>
          <w:tcPr>
            <w:tcW w:w="179" w:type="dxa"/>
            <w:tcBorders/>
            <w:vAlign w:val="center"/>
          </w:tcPr>
          <w:p>
            <w:pPr>
              <w:pStyle w:val="TableContents"/>
              <w:bidi w:val="0"/>
              <w:spacing w:before="0" w:after="283"/>
              <w:jc w:val="left"/>
              <w:rPr>
                <w:sz w:val="4"/>
                <w:szCs w:val="4"/>
              </w:rPr>
            </w:pPr>
            <w:r>
              <w:rPr>
                <w:sz w:val="4"/>
                <w:szCs w:val="4"/>
              </w:rPr>
            </w:r>
          </w:p>
        </w:tc>
        <w:tc>
          <w:tcPr>
            <w:tcW w:w="4960" w:type="dxa"/>
            <w:gridSpan w:val="2"/>
            <w:tcBorders/>
            <w:vAlign w:val="center"/>
          </w:tcPr>
          <w:p>
            <w:pPr>
              <w:pStyle w:val="TableContents"/>
              <w:bidi w:val="0"/>
              <w:spacing w:before="0" w:after="283"/>
              <w:jc w:val="left"/>
              <w:rPr>
                <w:sz w:val="4"/>
                <w:szCs w:val="4"/>
              </w:rPr>
            </w:pPr>
            <w:r>
              <w:rPr>
                <w:sz w:val="4"/>
                <w:szCs w:val="4"/>
              </w:rPr>
            </w:r>
          </w:p>
        </w:tc>
        <w:tc>
          <w:tcPr>
            <w:tcW w:w="2630" w:type="dxa"/>
            <w:gridSpan w:val="2"/>
            <w:tcBorders/>
            <w:vAlign w:val="center"/>
          </w:tcPr>
          <w:p>
            <w:pPr>
              <w:pStyle w:val="TableContents"/>
              <w:bidi w:val="0"/>
              <w:spacing w:before="0" w:after="283"/>
              <w:jc w:val="left"/>
              <w:rPr>
                <w:sz w:val="4"/>
                <w:szCs w:val="4"/>
              </w:rPr>
            </w:pPr>
            <w:r>
              <w:rPr>
                <w:sz w:val="4"/>
                <w:szCs w:val="4"/>
              </w:rPr>
            </w:r>
          </w:p>
        </w:tc>
        <w:tc>
          <w:tcPr>
            <w:tcW w:w="2436" w:type="dxa"/>
            <w:gridSpan w:val="2"/>
            <w:tcBorders/>
            <w:vAlign w:val="center"/>
          </w:tcPr>
          <w:p>
            <w:pPr>
              <w:pStyle w:val="TableContents"/>
              <w:bidi w:val="0"/>
              <w:spacing w:before="0" w:after="283"/>
              <w:jc w:val="left"/>
              <w:rPr>
                <w:sz w:val="4"/>
                <w:szCs w:val="4"/>
              </w:rPr>
            </w:pPr>
            <w:r>
              <w:rPr>
                <w:sz w:val="4"/>
                <w:szCs w:val="4"/>
              </w:rPr>
            </w:r>
          </w:p>
        </w:tc>
      </w:tr>
      <w:tr>
        <w:trPr/>
        <w:tc>
          <w:tcPr>
            <w:tcW w:w="179" w:type="dxa"/>
            <w:tcBorders>
              <w:bottom w:val="single" w:sz="6" w:space="0" w:color="FBDDE3"/>
            </w:tcBorders>
            <w:tcMar>
              <w:bottom w:w="60" w:type="dxa"/>
            </w:tcMar>
            <w:vAlign w:val="center"/>
          </w:tcPr>
          <w:p>
            <w:pPr>
              <w:pStyle w:val="TableContents"/>
              <w:bidi w:val="0"/>
              <w:spacing w:before="0" w:after="283"/>
              <w:jc w:val="left"/>
              <w:rPr/>
            </w:pPr>
            <w:r>
              <w:rPr/>
              <w:t>4.</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4840" w:type="dxa"/>
            <w:tcBorders>
              <w:bottom w:val="single" w:sz="6" w:space="0" w:color="FBDDE3"/>
            </w:tcBorders>
            <w:tcMar>
              <w:bottom w:w="60" w:type="dxa"/>
            </w:tcMar>
            <w:vAlign w:val="center"/>
          </w:tcPr>
          <w:p>
            <w:pPr>
              <w:pStyle w:val="TableContents"/>
              <w:bidi w:val="0"/>
              <w:spacing w:before="0" w:after="283"/>
              <w:jc w:val="left"/>
              <w:rPr/>
            </w:pPr>
            <w:r>
              <w:rPr/>
              <w:t>Amendment to Victoria’s Secret 2021 Stock Option and Performance Incentive Plan</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510" w:type="dxa"/>
            <w:tcBorders>
              <w:bottom w:val="single" w:sz="6" w:space="0" w:color="FBDDE3"/>
            </w:tcBorders>
            <w:tcMar>
              <w:bottom w:w="60" w:type="dxa"/>
            </w:tcMar>
            <w:vAlign w:val="center"/>
          </w:tcPr>
          <w:p>
            <w:pPr>
              <w:pStyle w:val="TableContents"/>
              <w:bidi w:val="0"/>
              <w:spacing w:before="0" w:after="283"/>
              <w:jc w:val="left"/>
              <w:rPr/>
            </w:pPr>
            <w:r>
              <w:rPr/>
              <w:t>FOR</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316" w:type="dxa"/>
            <w:tcBorders>
              <w:bottom w:val="single" w:sz="6" w:space="0" w:color="FBDDE3"/>
            </w:tcBorders>
            <w:tcMar>
              <w:bottom w:w="60" w:type="dxa"/>
            </w:tcMar>
            <w:vAlign w:val="center"/>
          </w:tcPr>
          <w:p>
            <w:pPr>
              <w:pStyle w:val="TableContents"/>
              <w:bidi w:val="0"/>
              <w:spacing w:before="0" w:after="283"/>
              <w:jc w:val="center"/>
              <w:rPr/>
            </w:pPr>
            <w:r>
              <w:rPr/>
              <w:t>Page 76</w:t>
            </w:r>
          </w:p>
        </w:tc>
      </w:tr>
      <w:tr>
        <w:trPr/>
        <w:tc>
          <w:tcPr>
            <w:tcW w:w="179" w:type="dxa"/>
            <w:tcBorders/>
            <w:vAlign w:val="center"/>
          </w:tcPr>
          <w:p>
            <w:pPr>
              <w:pStyle w:val="TableContents"/>
              <w:bidi w:val="0"/>
              <w:spacing w:before="0" w:after="283"/>
              <w:jc w:val="left"/>
              <w:rPr>
                <w:sz w:val="4"/>
                <w:szCs w:val="4"/>
              </w:rPr>
            </w:pPr>
            <w:r>
              <w:rPr>
                <w:sz w:val="4"/>
                <w:szCs w:val="4"/>
              </w:rPr>
            </w:r>
          </w:p>
        </w:tc>
        <w:tc>
          <w:tcPr>
            <w:tcW w:w="4960" w:type="dxa"/>
            <w:gridSpan w:val="2"/>
            <w:tcBorders/>
            <w:vAlign w:val="center"/>
          </w:tcPr>
          <w:p>
            <w:pPr>
              <w:pStyle w:val="TableContents"/>
              <w:bidi w:val="0"/>
              <w:spacing w:before="0" w:after="283"/>
              <w:jc w:val="left"/>
              <w:rPr>
                <w:sz w:val="4"/>
                <w:szCs w:val="4"/>
              </w:rPr>
            </w:pPr>
            <w:r>
              <w:rPr>
                <w:sz w:val="4"/>
                <w:szCs w:val="4"/>
              </w:rPr>
            </w:r>
          </w:p>
        </w:tc>
        <w:tc>
          <w:tcPr>
            <w:tcW w:w="2630" w:type="dxa"/>
            <w:gridSpan w:val="2"/>
            <w:tcBorders/>
            <w:vAlign w:val="center"/>
          </w:tcPr>
          <w:p>
            <w:pPr>
              <w:pStyle w:val="TableContents"/>
              <w:bidi w:val="0"/>
              <w:spacing w:before="0" w:after="283"/>
              <w:jc w:val="left"/>
              <w:rPr>
                <w:sz w:val="4"/>
                <w:szCs w:val="4"/>
              </w:rPr>
            </w:pPr>
            <w:r>
              <w:rPr>
                <w:sz w:val="4"/>
                <w:szCs w:val="4"/>
              </w:rPr>
            </w:r>
          </w:p>
        </w:tc>
        <w:tc>
          <w:tcPr>
            <w:tcW w:w="2436" w:type="dxa"/>
            <w:gridSpan w:val="2"/>
            <w:tcBorders/>
            <w:vAlign w:val="center"/>
          </w:tcPr>
          <w:p>
            <w:pPr>
              <w:pStyle w:val="TableContents"/>
              <w:bidi w:val="0"/>
              <w:spacing w:before="0" w:after="283"/>
              <w:jc w:val="left"/>
              <w:rPr>
                <w:sz w:val="4"/>
                <w:szCs w:val="4"/>
              </w:rPr>
            </w:pPr>
            <w:r>
              <w:rPr>
                <w:sz w:val="4"/>
                <w:szCs w:val="4"/>
              </w:rPr>
            </w:r>
          </w:p>
        </w:tc>
      </w:tr>
      <w:tr>
        <w:trPr/>
        <w:tc>
          <w:tcPr>
            <w:tcW w:w="179" w:type="dxa"/>
            <w:tcBorders>
              <w:bottom w:val="single" w:sz="6" w:space="0" w:color="FBDDE3"/>
            </w:tcBorders>
            <w:tcMar>
              <w:bottom w:w="60" w:type="dxa"/>
            </w:tcMar>
            <w:vAlign w:val="center"/>
          </w:tcPr>
          <w:p>
            <w:pPr>
              <w:pStyle w:val="TableContents"/>
              <w:bidi w:val="0"/>
              <w:spacing w:before="0" w:after="283"/>
              <w:jc w:val="left"/>
              <w:rPr/>
            </w:pPr>
            <w:r>
              <w:rPr/>
              <w:t>5.</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4840" w:type="dxa"/>
            <w:tcBorders>
              <w:bottom w:val="single" w:sz="6" w:space="0" w:color="FBDDE3"/>
            </w:tcBorders>
            <w:tcMar>
              <w:bottom w:w="60" w:type="dxa"/>
            </w:tcMar>
            <w:vAlign w:val="center"/>
          </w:tcPr>
          <w:p>
            <w:pPr>
              <w:pStyle w:val="TableContents"/>
              <w:bidi w:val="0"/>
              <w:spacing w:before="0" w:after="283"/>
              <w:jc w:val="left"/>
              <w:rPr/>
            </w:pPr>
            <w:r>
              <w:rPr/>
              <w:t>Ratification of Appointment of Ernst &amp; Young LLP as Independent Registered Public Accounting Firm</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510" w:type="dxa"/>
            <w:tcBorders>
              <w:bottom w:val="single" w:sz="6" w:space="0" w:color="FBDDE3"/>
            </w:tcBorders>
            <w:tcMar>
              <w:bottom w:w="60" w:type="dxa"/>
            </w:tcMar>
            <w:vAlign w:val="center"/>
          </w:tcPr>
          <w:p>
            <w:pPr>
              <w:pStyle w:val="TableContents"/>
              <w:bidi w:val="0"/>
              <w:spacing w:before="0" w:after="283"/>
              <w:jc w:val="left"/>
              <w:rPr/>
            </w:pPr>
            <w:r>
              <w:rPr/>
              <w:t>FOR</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316" w:type="dxa"/>
            <w:tcBorders>
              <w:bottom w:val="single" w:sz="6" w:space="0" w:color="FBDDE3"/>
            </w:tcBorders>
            <w:tcMar>
              <w:bottom w:w="60" w:type="dxa"/>
            </w:tcMar>
            <w:vAlign w:val="center"/>
          </w:tcPr>
          <w:p>
            <w:pPr>
              <w:pStyle w:val="TableContents"/>
              <w:bidi w:val="0"/>
              <w:spacing w:before="0" w:after="283"/>
              <w:jc w:val="center"/>
              <w:rPr/>
            </w:pPr>
            <w:r>
              <w:rPr/>
              <w:t>Page 89</w:t>
            </w:r>
          </w:p>
        </w:tc>
      </w:tr>
    </w:tbl>
    <w:p>
      <w:pPr>
        <w:pStyle w:val="TextBody"/>
        <w:bidi w:val="0"/>
        <w:spacing w:before="120" w:after="0"/>
        <w:jc w:val="left"/>
        <w:rPr>
          <w:rFonts w:ascii="arial" w:hAnsi="arial"/>
          <w:sz w:val="18"/>
        </w:rPr>
      </w:pPr>
      <w:r>
        <w:rPr>
          <w:rFonts w:ascii="arial" w:hAnsi="arial"/>
          <w:sz w:val="18"/>
        </w:rPr>
        <w:t xml:space="preserve">We do not know of any other matters that will be considered at the 2024 Annual Meeting. If any matter other than the proposals described in this Proxy Statement arises at the meeting, you instruct the Company-designated proxy holders to vote your shares in their discretion in accordance with the recommendations of the Board. </w:t>
      </w:r>
    </w:p>
    <w:p>
      <w:pPr>
        <w:pStyle w:val="TextBody"/>
        <w:bidi w:val="0"/>
        <w:spacing w:before="120" w:after="0"/>
        <w:jc w:val="left"/>
        <w:rPr>
          <w:rFonts w:ascii="arial" w:hAnsi="arial"/>
          <w:sz w:val="18"/>
        </w:rPr>
      </w:pPr>
      <w:r>
        <w:rPr>
          <w:rFonts w:ascii="arial" w:hAnsi="arial"/>
          <w:sz w:val="18"/>
        </w:rPr>
        <w:t xml:space="preserve">The order of business of the 2024 Annual Meeting and all matters relating to the manner of conducting the meeting will be determined by the chair of the meeting. The 2024 Annual Meeting will be conducted in a manner designed to accomplish the business of the meeting in a prompt and orderly fashion and to be fair and equitable to all stockholders. </w:t>
      </w:r>
    </w:p>
    <w:p>
      <w:pPr>
        <w:pStyle w:val="TextBody"/>
        <w:bidi w:val="0"/>
        <w:spacing w:before="0" w:after="0"/>
        <w:jc w:val="left"/>
        <w:rPr/>
      </w:pPr>
      <w:r>
        <w:rPr/>
        <w:t> </w:t>
      </w:r>
    </w:p>
    <w:tbl>
      <w:tblPr>
        <w:tblW w:w="2837" w:type="dxa"/>
        <w:jc w:val="left"/>
        <w:tblInd w:w="0" w:type="dxa"/>
        <w:tblLayout w:type="fixed"/>
        <w:tblCellMar>
          <w:top w:w="0" w:type="dxa"/>
          <w:left w:w="0" w:type="dxa"/>
          <w:bottom w:w="0" w:type="dxa"/>
          <w:right w:w="0" w:type="dxa"/>
        </w:tblCellMar>
      </w:tblPr>
      <w:tblGrid>
        <w:gridCol w:w="292"/>
        <w:gridCol w:w="60"/>
        <w:gridCol w:w="38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2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9" descr=""/>
                          <pic:cNvPicPr>
                            <a:picLocks noChangeAspect="1" noChangeArrowheads="1"/>
                          </pic:cNvPicPr>
                        </pic:nvPicPr>
                        <pic:blipFill>
                          <a:blip r:embed="rId20"/>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color w:val="F7ACBA"/>
              </w:rPr>
            </w:pPr>
            <w:r>
              <w:rPr>
                <w:color w:val="F7ACBA"/>
              </w:rPr>
              <w:t> </w:t>
            </w:r>
            <w:r>
              <w:rPr>
                <w:b/>
                <w:color w:val="F7ACBA"/>
              </w:rPr>
              <w:t>2 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PROXY SUMMARY </w:t>
      </w:r>
    </w:p>
    <w:p>
      <w:pPr>
        <w:pStyle w:val="TextBody"/>
        <w:bidi w:val="0"/>
        <w:spacing w:before="0" w:after="0"/>
        <w:jc w:val="left"/>
        <w:rPr/>
      </w:pPr>
      <w:r>
        <w:rPr/>
        <w:t> </w:t>
      </w:r>
    </w:p>
    <w:p>
      <w:pPr>
        <w:pStyle w:val="TextBody"/>
        <w:bidi w:val="0"/>
        <w:spacing w:before="0" w:after="0"/>
        <w:jc w:val="left"/>
        <w:rPr>
          <w:rFonts w:ascii="arial" w:hAnsi="arial"/>
          <w:sz w:val="30"/>
        </w:rPr>
      </w:pPr>
      <w:r>
        <w:rPr>
          <w:rFonts w:ascii="arial" w:hAnsi="arial"/>
          <w:sz w:val="30"/>
        </w:rPr>
        <w:t xml:space="preserve">Company Overview </w:t>
      </w:r>
    </w:p>
    <w:p>
      <w:pPr>
        <w:pStyle w:val="TextBody"/>
        <w:bidi w:val="0"/>
        <w:spacing w:before="120" w:after="0"/>
        <w:jc w:val="left"/>
        <w:rPr>
          <w:rFonts w:ascii="arial" w:hAnsi="arial"/>
          <w:sz w:val="18"/>
        </w:rPr>
      </w:pPr>
      <w:r>
        <w:rPr>
          <w:rFonts w:ascii="arial" w:hAnsi="arial"/>
          <w:sz w:val="18"/>
        </w:rPr>
        <w:t xml:space="preserve">Victoria’s Secret &amp; Co. (NYSE: VSCO) is a specialty retailer of women’s intimate and other apparel and beauty products marketed under the Victoria’s Secret, PINK and Adore Me brand names. We have approximately 910 stores in the United States, Canada and China, as well as our own websites, </w:t>
      </w:r>
      <w:r>
        <w:rPr>
          <w:rFonts w:ascii="arial" w:hAnsi="arial"/>
          <w:i/>
          <w:sz w:val="18"/>
        </w:rPr>
        <w:t>www.VictoriasSecret.com</w:t>
      </w:r>
      <w:r>
        <w:rPr>
          <w:rFonts w:ascii="arial" w:hAnsi="arial"/>
          <w:sz w:val="18"/>
        </w:rPr>
        <w:t xml:space="preserve">, </w:t>
      </w:r>
      <w:r>
        <w:rPr>
          <w:rFonts w:ascii="arial" w:hAnsi="arial"/>
          <w:i/>
          <w:sz w:val="18"/>
        </w:rPr>
        <w:t>www.PINK.com</w:t>
      </w:r>
      <w:r>
        <w:rPr>
          <w:rFonts w:ascii="arial" w:hAnsi="arial"/>
          <w:sz w:val="18"/>
        </w:rPr>
        <w:t xml:space="preserve"> and </w:t>
      </w:r>
      <w:r>
        <w:rPr>
          <w:rFonts w:ascii="arial" w:hAnsi="arial"/>
          <w:i/>
          <w:sz w:val="18"/>
        </w:rPr>
        <w:t>www.AdoreMe.com</w:t>
      </w:r>
      <w:r>
        <w:rPr>
          <w:rFonts w:ascii="arial" w:hAnsi="arial"/>
          <w:sz w:val="18"/>
        </w:rPr>
        <w:t xml:space="preserve">, and other digital channels worldwide. Additionally, we have more than 460 stores in nearly 70 countries operating under franchise, license and wholesale arrangements. VS&amp;Co also includes the merchandise sourcing and production function serving us and our international partners. We operate as a single segment designed to seamlessly serve customers worldwide through stores and online channels. </w:t>
      </w:r>
    </w:p>
    <w:p>
      <w:pPr>
        <w:pStyle w:val="TextBody"/>
        <w:bidi w:val="0"/>
        <w:spacing w:before="120" w:after="0"/>
        <w:jc w:val="left"/>
        <w:rPr>
          <w:rFonts w:ascii="arial" w:hAnsi="arial"/>
          <w:sz w:val="18"/>
        </w:rPr>
      </w:pPr>
      <w:r>
        <w:rPr>
          <w:rFonts w:ascii="arial" w:hAnsi="arial"/>
          <w:sz w:val="18"/>
        </w:rPr>
        <w:t xml:space="preserve">Our business operates two market leading intimates and beauty brands, Victoria’s Secret and PINK, that share a common purpose of supporting women in all they do, and Adore Me, a technology-led, digital first innovative intimates brand serving women of all sizes and budgets at all phases of life. </w:t>
      </w:r>
    </w:p>
    <w:p>
      <w:pPr>
        <w:pStyle w:val="TextBody"/>
        <w:bidi w:val="0"/>
        <w:spacing w:before="360" w:after="0"/>
        <w:jc w:val="left"/>
        <w:rPr>
          <w:rFonts w:ascii="arial" w:hAnsi="arial"/>
          <w:sz w:val="30"/>
        </w:rPr>
      </w:pPr>
      <w:r>
        <w:rPr>
          <w:rFonts w:ascii="arial" w:hAnsi="arial"/>
          <w:i/>
          <w:sz w:val="30"/>
        </w:rPr>
        <w:t>Brands</w:t>
      </w:r>
      <w:r>
        <w:rPr>
          <w:rFonts w:ascii="arial" w:hAnsi="arial"/>
          <w:sz w:val="3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7"/>
        <w:gridCol w:w="120"/>
        <w:gridCol w:w="9808"/>
      </w:tblGrid>
      <w:tr>
        <w:trPr/>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808" w:type="dxa"/>
            <w:tcBorders/>
            <w:vAlign w:val="center"/>
          </w:tcPr>
          <w:p>
            <w:pPr>
              <w:pStyle w:val="TableContents"/>
              <w:bidi w:val="0"/>
              <w:spacing w:before="0" w:after="283"/>
              <w:jc w:val="left"/>
              <w:rPr>
                <w:sz w:val="4"/>
                <w:szCs w:val="4"/>
              </w:rPr>
            </w:pPr>
            <w:r>
              <w:rPr>
                <w:sz w:val="4"/>
                <w:szCs w:val="4"/>
              </w:rPr>
            </w:r>
          </w:p>
        </w:tc>
      </w:tr>
      <w:tr>
        <w:trPr/>
        <w:tc>
          <w:tcPr>
            <w:tcW w:w="277" w:type="dxa"/>
            <w:tcBorders/>
            <w:vAlign w:val="center"/>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159385" cy="51435"/>
                  <wp:effectExtent l="0" t="0" r="0" b="0"/>
                  <wp:docPr id="2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0" descr=""/>
                          <pic:cNvPicPr>
                            <a:picLocks noChangeAspect="1" noChangeArrowheads="1"/>
                          </pic:cNvPicPr>
                        </pic:nvPicPr>
                        <pic:blipFill>
                          <a:blip r:embed="rId21"/>
                          <a:stretch>
                            <a:fillRect/>
                          </a:stretch>
                        </pic:blipFill>
                        <pic:spPr bwMode="auto">
                          <a:xfrm>
                            <a:off x="0" y="0"/>
                            <a:ext cx="159385" cy="5143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9808" w:type="dxa"/>
            <w:tcBorders/>
            <w:vAlign w:val="center"/>
          </w:tcPr>
          <w:p>
            <w:pPr>
              <w:pStyle w:val="TableContents"/>
              <w:bidi w:val="0"/>
              <w:spacing w:before="0" w:after="283"/>
              <w:jc w:val="left"/>
              <w:rPr/>
            </w:pPr>
            <w:r>
              <w:rPr/>
              <w:t>The Victoria’s Secret brand offers a wide assortment of modern, fashion-inspired collections including signature bras, panties, lingerie, casual sleepwear, athleisure and swim, as well as prestige fragrances and body care across its global retail locations and its online e-commerce channel. Victoria’s Secret strives to provide the best products to help women express their confidence, sexiness and power, and uses its platform to celebrate the extraordinary diversity of women’s experiences.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2"/>
        <w:gridCol w:w="120"/>
        <w:gridCol w:w="9803"/>
      </w:tblGrid>
      <w:tr>
        <w:trPr/>
        <w:tc>
          <w:tcPr>
            <w:tcW w:w="2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803" w:type="dxa"/>
            <w:tcBorders/>
            <w:vAlign w:val="center"/>
          </w:tcPr>
          <w:p>
            <w:pPr>
              <w:pStyle w:val="TableContents"/>
              <w:bidi w:val="0"/>
              <w:spacing w:before="0" w:after="283"/>
              <w:jc w:val="left"/>
              <w:rPr>
                <w:sz w:val="4"/>
                <w:szCs w:val="4"/>
              </w:rPr>
            </w:pPr>
            <w:r>
              <w:rPr>
                <w:sz w:val="4"/>
                <w:szCs w:val="4"/>
              </w:rPr>
            </w:r>
          </w:p>
        </w:tc>
      </w:tr>
      <w:tr>
        <w:trPr/>
        <w:tc>
          <w:tcPr>
            <w:tcW w:w="282" w:type="dxa"/>
            <w:tcBorders/>
            <w:vAlign w:val="center"/>
          </w:tcPr>
          <w:p>
            <w:pPr>
              <w:pStyle w:val="TableContents"/>
              <w:bidi w:val="0"/>
              <w:spacing w:before="0" w:after="283"/>
              <w:jc w:val="left"/>
              <w:rPr/>
            </w:pPr>
            <w:r>
              <w:rPr/>
              <w:drawing>
                <wp:inline distT="0" distB="0" distL="0" distR="0">
                  <wp:extent cx="159385" cy="49530"/>
                  <wp:effectExtent l="0" t="0" r="0" b="0"/>
                  <wp:docPr id="3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1" descr=""/>
                          <pic:cNvPicPr>
                            <a:picLocks noChangeAspect="1" noChangeArrowheads="1"/>
                          </pic:cNvPicPr>
                        </pic:nvPicPr>
                        <pic:blipFill>
                          <a:blip r:embed="rId22"/>
                          <a:stretch>
                            <a:fillRect/>
                          </a:stretch>
                        </pic:blipFill>
                        <pic:spPr bwMode="auto">
                          <a:xfrm>
                            <a:off x="0" y="0"/>
                            <a:ext cx="159385" cy="4953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9803" w:type="dxa"/>
            <w:tcBorders/>
            <w:vAlign w:val="center"/>
          </w:tcPr>
          <w:p>
            <w:pPr>
              <w:pStyle w:val="TableContents"/>
              <w:bidi w:val="0"/>
              <w:spacing w:before="0" w:after="283"/>
              <w:jc w:val="left"/>
              <w:rPr/>
            </w:pPr>
            <w:r>
              <w:rPr/>
              <w:t>PINK is a fashion and lifestyle brand for young women providing on trend products including bras, panties, loungewear, knit tops, activewear, accessories and beauty. PINK uses its platform to create connection and community. PINK is sold across North America and internationally at Victoria’s Secret and PINK retail stores and online.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7"/>
        <w:gridCol w:w="120"/>
        <w:gridCol w:w="9808"/>
      </w:tblGrid>
      <w:tr>
        <w:trPr/>
        <w:tc>
          <w:tcPr>
            <w:tcW w:w="2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808" w:type="dxa"/>
            <w:tcBorders/>
            <w:vAlign w:val="center"/>
          </w:tcPr>
          <w:p>
            <w:pPr>
              <w:pStyle w:val="TableContents"/>
              <w:bidi w:val="0"/>
              <w:spacing w:before="0" w:after="283"/>
              <w:jc w:val="left"/>
              <w:rPr>
                <w:sz w:val="4"/>
                <w:szCs w:val="4"/>
              </w:rPr>
            </w:pPr>
            <w:r>
              <w:rPr>
                <w:sz w:val="4"/>
                <w:szCs w:val="4"/>
              </w:rPr>
            </w:r>
          </w:p>
        </w:tc>
      </w:tr>
      <w:tr>
        <w:trPr/>
        <w:tc>
          <w:tcPr>
            <w:tcW w:w="277" w:type="dxa"/>
            <w:tcBorders/>
            <w:vAlign w:val="center"/>
          </w:tcPr>
          <w:p>
            <w:pPr>
              <w:pStyle w:val="TableContents"/>
              <w:bidi w:val="0"/>
              <w:spacing w:before="0" w:after="283"/>
              <w:jc w:val="left"/>
              <w:rPr/>
            </w:pPr>
            <w:r>
              <w:rPr/>
              <w:drawing>
                <wp:inline distT="0" distB="0" distL="0" distR="0">
                  <wp:extent cx="159385" cy="26035"/>
                  <wp:effectExtent l="0" t="0" r="0" b="0"/>
                  <wp:docPr id="3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2" descr=""/>
                          <pic:cNvPicPr>
                            <a:picLocks noChangeAspect="1" noChangeArrowheads="1"/>
                          </pic:cNvPicPr>
                        </pic:nvPicPr>
                        <pic:blipFill>
                          <a:blip r:embed="rId23"/>
                          <a:stretch>
                            <a:fillRect/>
                          </a:stretch>
                        </pic:blipFill>
                        <pic:spPr bwMode="auto">
                          <a:xfrm>
                            <a:off x="0" y="0"/>
                            <a:ext cx="159385" cy="2603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9808" w:type="dxa"/>
            <w:tcBorders/>
            <w:vAlign w:val="center"/>
          </w:tcPr>
          <w:p>
            <w:pPr>
              <w:pStyle w:val="TableContents"/>
              <w:bidi w:val="0"/>
              <w:spacing w:before="0" w:after="283"/>
              <w:jc w:val="left"/>
              <w:rPr/>
            </w:pPr>
            <w:r>
              <w:rPr/>
              <w:t>Adore Me is a direct-to-consumer lingerie and apparel brand that is focused on serving women of all sizes and budgets at all phases of life. Founded in 2011 as an online lingerie startup, Adore Me is transforming the way customers shop with a pioneering home try-on commerce service, a series of innovation-driven products and a mission of making sustainable shopping accessible to all. Adore Me is sold online and in Adore Me’s six retail stores.</w:t>
            </w:r>
          </w:p>
        </w:tc>
      </w:tr>
    </w:tbl>
    <w:p>
      <w:pPr>
        <w:pStyle w:val="TextBody"/>
        <w:bidi w:val="0"/>
        <w:spacing w:before="360" w:after="0"/>
        <w:jc w:val="left"/>
        <w:rPr>
          <w:rFonts w:ascii="arial" w:hAnsi="arial"/>
          <w:sz w:val="30"/>
        </w:rPr>
      </w:pPr>
      <w:r>
        <w:rPr>
          <w:rFonts w:ascii="arial" w:hAnsi="arial"/>
          <w:i/>
          <w:sz w:val="30"/>
        </w:rPr>
        <w:t>Timeline</w:t>
      </w:r>
      <w:r>
        <w:rPr>
          <w:rFonts w:ascii="arial" w:hAnsi="arial"/>
          <w:sz w:val="30"/>
        </w:rPr>
        <w:t xml:space="preserve"> </w:t>
      </w:r>
    </w:p>
    <w:p>
      <w:pPr>
        <w:pStyle w:val="TextBody"/>
        <w:bidi w:val="0"/>
        <w:spacing w:before="0" w:after="0"/>
        <w:jc w:val="left"/>
        <w:rPr/>
      </w:pPr>
      <w:r>
        <w:rPr/>
        <w:t> </w:t>
      </w:r>
    </w:p>
    <w:p>
      <w:pPr>
        <w:pStyle w:val="TextBody"/>
        <w:bidi w:val="0"/>
        <w:spacing w:before="0" w:after="0"/>
        <w:jc w:val="left"/>
        <w:rPr/>
      </w:pPr>
      <w:r>
        <w:rPr/>
        <w:drawing>
          <wp:inline distT="0" distB="0" distL="0" distR="0">
            <wp:extent cx="7810500" cy="1247775"/>
            <wp:effectExtent l="0" t="0" r="0" b="0"/>
            <wp:docPr id="3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3" descr=""/>
                    <pic:cNvPicPr>
                      <a:picLocks noChangeAspect="1" noChangeArrowheads="1"/>
                    </pic:cNvPicPr>
                  </pic:nvPicPr>
                  <pic:blipFill>
                    <a:blip r:embed="rId24"/>
                    <a:stretch>
                      <a:fillRect/>
                    </a:stretch>
                  </pic:blipFill>
                  <pic:spPr bwMode="auto">
                    <a:xfrm>
                      <a:off x="0" y="0"/>
                      <a:ext cx="7810500" cy="1247775"/>
                    </a:xfrm>
                    <a:prstGeom prst="rect">
                      <a:avLst/>
                    </a:prstGeom>
                  </pic:spPr>
                </pic:pic>
              </a:graphicData>
            </a:graphic>
          </wp:inline>
        </w:drawing>
      </w:r>
      <w:r>
        <w:rPr/>
        <w:t xml:space="preserve"> </w:t>
      </w:r>
    </w:p>
    <w:p>
      <w:pPr>
        <w:pStyle w:val="TextBody"/>
        <w:bidi w:val="0"/>
        <w:spacing w:before="0" w:after="0"/>
        <w:jc w:val="left"/>
        <w:rPr/>
      </w:pPr>
      <w:r>
        <w:rPr/>
        <w:t> </w:t>
      </w:r>
    </w:p>
    <w:tbl>
      <w:tblPr>
        <w:tblW w:w="2837" w:type="dxa"/>
        <w:jc w:val="left"/>
        <w:tblInd w:w="0" w:type="dxa"/>
        <w:tblLayout w:type="fixed"/>
        <w:tblCellMar>
          <w:top w:w="0" w:type="dxa"/>
          <w:left w:w="0" w:type="dxa"/>
          <w:bottom w:w="0" w:type="dxa"/>
          <w:right w:w="0" w:type="dxa"/>
        </w:tblCellMar>
      </w:tblPr>
      <w:tblGrid>
        <w:gridCol w:w="292"/>
        <w:gridCol w:w="60"/>
        <w:gridCol w:w="38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3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4" descr=""/>
                          <pic:cNvPicPr>
                            <a:picLocks noChangeAspect="1" noChangeArrowheads="1"/>
                          </pic:cNvPicPr>
                        </pic:nvPicPr>
                        <pic:blipFill>
                          <a:blip r:embed="rId25"/>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color w:val="F7ACBA"/>
              </w:rPr>
            </w:pPr>
            <w:r>
              <w:rPr>
                <w:color w:val="F7ACBA"/>
              </w:rPr>
              <w:t> </w:t>
            </w:r>
            <w:r>
              <w:rPr>
                <w:b/>
                <w:color w:val="F7ACBA"/>
              </w:rPr>
              <w:t>3 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PROXY SUMMARY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On August 2, 2021, VS&amp;Co was spun-off from its former parent company, L Brands, Inc. (“L Brands”), and has since operated as an independent, standalone public company. VS&amp;Co common stock began trading on the New York Stock Exchange (“NYSE”) under the ticker symbol “VSCO” on August 3, 2021. </w:t>
      </w:r>
    </w:p>
    <w:p>
      <w:pPr>
        <w:pStyle w:val="TextBody"/>
        <w:bidi w:val="0"/>
        <w:spacing w:before="240" w:after="0"/>
        <w:jc w:val="left"/>
        <w:rPr>
          <w:rFonts w:ascii="arial" w:hAnsi="arial"/>
          <w:sz w:val="18"/>
        </w:rPr>
      </w:pPr>
      <w:r>
        <w:rPr>
          <w:rFonts w:ascii="arial" w:hAnsi="arial"/>
          <w:sz w:val="18"/>
        </w:rPr>
        <w:t xml:space="preserve">Although VS&amp;Co and L Brands currently operate as separate companies, the rules and regulations of the SEC and the NYSE require that we provide certain information, including compensation information for our named executive officers, for the period of time prior to the spin-off. We have sought to clearly indicate throughout this Proxy Statement what information relates to VS&amp;Co prior to the spin-off, when it was operating as a subsidiary of L Brands, and what information relates to VS&amp;Co following the spin-off. </w:t>
      </w:r>
    </w:p>
    <w:p>
      <w:pPr>
        <w:pStyle w:val="TextBody"/>
        <w:bidi w:val="0"/>
        <w:spacing w:before="240" w:after="0"/>
        <w:jc w:val="left"/>
        <w:rPr>
          <w:rFonts w:ascii="arial" w:hAnsi="arial"/>
          <w:sz w:val="18"/>
        </w:rPr>
      </w:pPr>
      <w:r>
        <w:rPr>
          <w:rFonts w:ascii="arial" w:hAnsi="arial"/>
          <w:sz w:val="18"/>
        </w:rPr>
        <w:t xml:space="preserve">Concurrently with the spin-off, L Brands changed its name from “L Brands, Inc.” to “Bath &amp; Body Works, Inc.” For the sake of consistency, we refer to our former parent company and its successor Bath &amp; Body Works, Inc. as “L Brands” throughout this Proxy Statement. </w:t>
      </w:r>
    </w:p>
    <w:p>
      <w:pPr>
        <w:pStyle w:val="TextBody"/>
        <w:bidi w:val="0"/>
        <w:spacing w:before="360" w:after="0"/>
        <w:jc w:val="left"/>
        <w:rPr>
          <w:rFonts w:ascii="arial" w:hAnsi="arial"/>
          <w:i/>
          <w:sz w:val="30"/>
        </w:rPr>
      </w:pPr>
      <w:r>
        <w:rPr>
          <w:rFonts w:ascii="arial" w:hAnsi="arial"/>
          <w:i/>
          <w:sz w:val="30"/>
        </w:rPr>
        <w:t xml:space="preserve">Values </w:t>
      </w:r>
    </w:p>
    <w:p>
      <w:pPr>
        <w:pStyle w:val="TextBody"/>
        <w:bidi w:val="0"/>
        <w:spacing w:before="120" w:after="0"/>
        <w:jc w:val="left"/>
        <w:rPr>
          <w:rFonts w:ascii="arial" w:hAnsi="arial"/>
          <w:sz w:val="18"/>
        </w:rPr>
      </w:pPr>
      <w:r>
        <w:rPr>
          <w:rFonts w:ascii="arial" w:hAnsi="arial"/>
          <w:sz w:val="18"/>
        </w:rPr>
        <w:t xml:space="preserve">Our associates are the heart of our business. They bring our values to life, create lifelong relationships with our customers, deliver innovation that keeps us at the forefront of the industry and inspire our happy, healthy and inclusive culture. At the heart of our culture are our values, which reflect our core beliefs.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80"/>
        <w:gridCol w:w="120"/>
        <w:gridCol w:w="8205"/>
      </w:tblGrid>
      <w:tr>
        <w:trPr/>
        <w:tc>
          <w:tcPr>
            <w:tcW w:w="18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205" w:type="dxa"/>
            <w:tcBorders/>
            <w:vAlign w:val="center"/>
          </w:tcPr>
          <w:p>
            <w:pPr>
              <w:pStyle w:val="TableContents"/>
              <w:bidi w:val="0"/>
              <w:spacing w:before="0" w:after="283"/>
              <w:jc w:val="left"/>
              <w:rPr>
                <w:sz w:val="4"/>
                <w:szCs w:val="4"/>
              </w:rPr>
            </w:pPr>
            <w:r>
              <w:rPr>
                <w:sz w:val="4"/>
                <w:szCs w:val="4"/>
              </w:rPr>
            </w:r>
          </w:p>
        </w:tc>
      </w:tr>
      <w:tr>
        <w:trPr/>
        <w:tc>
          <w:tcPr>
            <w:tcW w:w="1880" w:type="dxa"/>
            <w:tcBorders/>
            <w:vAlign w:val="center"/>
          </w:tcPr>
          <w:p>
            <w:pPr>
              <w:pStyle w:val="TableContents"/>
              <w:bidi w:val="0"/>
              <w:spacing w:before="0" w:after="283"/>
              <w:jc w:val="left"/>
              <w:rPr>
                <w:sz w:val="4"/>
                <w:szCs w:val="4"/>
              </w:rPr>
            </w:pPr>
            <w:r>
              <w:rPr>
                <w:sz w:val="4"/>
                <w:szCs w:val="4"/>
              </w:rPr>
            </w:r>
          </w:p>
        </w:tc>
        <w:tc>
          <w:tcPr>
            <w:tcW w:w="8325" w:type="dxa"/>
            <w:gridSpan w:val="2"/>
            <w:tcBorders/>
            <w:vAlign w:val="center"/>
          </w:tcPr>
          <w:p>
            <w:pPr>
              <w:pStyle w:val="TableContents"/>
              <w:bidi w:val="0"/>
              <w:spacing w:before="0" w:after="283"/>
              <w:jc w:val="left"/>
              <w:rPr>
                <w:sz w:val="4"/>
                <w:szCs w:val="4"/>
              </w:rPr>
            </w:pPr>
            <w:r>
              <w:rPr>
                <w:sz w:val="4"/>
                <w:szCs w:val="4"/>
              </w:rPr>
            </w:r>
          </w:p>
        </w:tc>
      </w:tr>
      <w:tr>
        <w:trPr/>
        <w:tc>
          <w:tcPr>
            <w:tcW w:w="1880" w:type="dxa"/>
            <w:tcBorders>
              <w:bottom w:val="single" w:sz="6" w:space="0" w:color="FBDDE3"/>
            </w:tcBorders>
            <w:tcMar>
              <w:bottom w:w="60" w:type="dxa"/>
            </w:tcMar>
            <w:vAlign w:val="center"/>
          </w:tcPr>
          <w:p>
            <w:pPr>
              <w:pStyle w:val="TableContents"/>
              <w:bidi w:val="0"/>
              <w:spacing w:before="0" w:after="0"/>
              <w:jc w:val="left"/>
              <w:rPr>
                <w:rFonts w:ascii="arial" w:hAnsi="arial"/>
                <w:b/>
                <w:color w:val="F7ACBA"/>
                <w:sz w:val="18"/>
              </w:rPr>
            </w:pPr>
            <w:r>
              <w:rPr>
                <w:rFonts w:ascii="arial" w:hAnsi="arial"/>
                <w:b/>
                <w:color w:val="F7ACBA"/>
                <w:sz w:val="18"/>
              </w:rPr>
              <w:t>Love the Customer</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8205" w:type="dxa"/>
            <w:tcBorders>
              <w:bottom w:val="single" w:sz="6" w:space="0" w:color="FBDDE3"/>
            </w:tcBorders>
            <w:tcMar>
              <w:bottom w:w="60" w:type="dxa"/>
            </w:tcMar>
            <w:vAlign w:val="center"/>
          </w:tcPr>
          <w:p>
            <w:pPr>
              <w:pStyle w:val="TableContents"/>
              <w:bidi w:val="0"/>
              <w:spacing w:before="0" w:after="283"/>
              <w:jc w:val="left"/>
              <w:rPr/>
            </w:pPr>
            <w:r>
              <w:rPr/>
              <w:t>We place them at the heart of everything we do. We listen and engage with them to evolve as they do, making every experience count.</w:t>
            </w:r>
          </w:p>
        </w:tc>
      </w:tr>
      <w:tr>
        <w:trPr/>
        <w:tc>
          <w:tcPr>
            <w:tcW w:w="1880" w:type="dxa"/>
            <w:tcBorders/>
            <w:vAlign w:val="center"/>
          </w:tcPr>
          <w:p>
            <w:pPr>
              <w:pStyle w:val="TableContents"/>
              <w:bidi w:val="0"/>
              <w:spacing w:before="0" w:after="283"/>
              <w:jc w:val="left"/>
              <w:rPr>
                <w:sz w:val="4"/>
                <w:szCs w:val="4"/>
              </w:rPr>
            </w:pPr>
            <w:r>
              <w:rPr>
                <w:sz w:val="4"/>
                <w:szCs w:val="4"/>
              </w:rPr>
            </w:r>
          </w:p>
        </w:tc>
        <w:tc>
          <w:tcPr>
            <w:tcW w:w="8325" w:type="dxa"/>
            <w:gridSpan w:val="2"/>
            <w:tcBorders/>
            <w:vAlign w:val="center"/>
          </w:tcPr>
          <w:p>
            <w:pPr>
              <w:pStyle w:val="TableContents"/>
              <w:bidi w:val="0"/>
              <w:spacing w:before="0" w:after="283"/>
              <w:jc w:val="left"/>
              <w:rPr>
                <w:sz w:val="4"/>
                <w:szCs w:val="4"/>
              </w:rPr>
            </w:pPr>
            <w:r>
              <w:rPr>
                <w:sz w:val="4"/>
                <w:szCs w:val="4"/>
              </w:rPr>
            </w:r>
          </w:p>
        </w:tc>
      </w:tr>
      <w:tr>
        <w:trPr/>
        <w:tc>
          <w:tcPr>
            <w:tcW w:w="1880" w:type="dxa"/>
            <w:tcBorders>
              <w:bottom w:val="single" w:sz="6" w:space="0" w:color="FBDDE3"/>
            </w:tcBorders>
            <w:tcMar>
              <w:bottom w:w="60" w:type="dxa"/>
            </w:tcMar>
            <w:vAlign w:val="center"/>
          </w:tcPr>
          <w:p>
            <w:pPr>
              <w:pStyle w:val="TableContents"/>
              <w:bidi w:val="0"/>
              <w:spacing w:before="0" w:after="0"/>
              <w:jc w:val="left"/>
              <w:rPr>
                <w:rFonts w:ascii="arial" w:hAnsi="arial"/>
                <w:b/>
                <w:color w:val="F7ACBA"/>
                <w:sz w:val="18"/>
              </w:rPr>
            </w:pPr>
            <w:r>
              <w:rPr>
                <w:rFonts w:ascii="arial" w:hAnsi="arial"/>
                <w:b/>
                <w:color w:val="F7ACBA"/>
                <w:sz w:val="18"/>
              </w:rPr>
              <w:t>DEI is Everything</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8205" w:type="dxa"/>
            <w:tcBorders>
              <w:bottom w:val="single" w:sz="6" w:space="0" w:color="FBDDE3"/>
            </w:tcBorders>
            <w:tcMar>
              <w:bottom w:w="60" w:type="dxa"/>
            </w:tcMar>
            <w:vAlign w:val="center"/>
          </w:tcPr>
          <w:p>
            <w:pPr>
              <w:pStyle w:val="TableContents"/>
              <w:bidi w:val="0"/>
              <w:spacing w:before="0" w:after="283"/>
              <w:jc w:val="left"/>
              <w:rPr/>
            </w:pPr>
            <w:r>
              <w:rPr/>
              <w:t>We believe our business thrives because we look for, listen to and value diversity, equity and inclusion. We champion each other’s well-being and unique needs. We foster a safe environment where everyone is empowered to be their true selves. We never tolerate discrimination, harassment, bullying, aggression or retaliation.</w:t>
            </w:r>
          </w:p>
        </w:tc>
      </w:tr>
      <w:tr>
        <w:trPr/>
        <w:tc>
          <w:tcPr>
            <w:tcW w:w="1880" w:type="dxa"/>
            <w:tcBorders/>
            <w:vAlign w:val="center"/>
          </w:tcPr>
          <w:p>
            <w:pPr>
              <w:pStyle w:val="TableContents"/>
              <w:bidi w:val="0"/>
              <w:spacing w:before="0" w:after="283"/>
              <w:jc w:val="left"/>
              <w:rPr>
                <w:sz w:val="4"/>
                <w:szCs w:val="4"/>
              </w:rPr>
            </w:pPr>
            <w:r>
              <w:rPr>
                <w:sz w:val="4"/>
                <w:szCs w:val="4"/>
              </w:rPr>
            </w:r>
          </w:p>
        </w:tc>
        <w:tc>
          <w:tcPr>
            <w:tcW w:w="8325" w:type="dxa"/>
            <w:gridSpan w:val="2"/>
            <w:tcBorders/>
            <w:vAlign w:val="center"/>
          </w:tcPr>
          <w:p>
            <w:pPr>
              <w:pStyle w:val="TableContents"/>
              <w:bidi w:val="0"/>
              <w:spacing w:before="0" w:after="283"/>
              <w:jc w:val="left"/>
              <w:rPr>
                <w:sz w:val="4"/>
                <w:szCs w:val="4"/>
              </w:rPr>
            </w:pPr>
            <w:r>
              <w:rPr>
                <w:sz w:val="4"/>
                <w:szCs w:val="4"/>
              </w:rPr>
            </w:r>
          </w:p>
        </w:tc>
      </w:tr>
      <w:tr>
        <w:trPr/>
        <w:tc>
          <w:tcPr>
            <w:tcW w:w="1880" w:type="dxa"/>
            <w:tcBorders>
              <w:bottom w:val="single" w:sz="6" w:space="0" w:color="FBDDE3"/>
            </w:tcBorders>
            <w:tcMar>
              <w:bottom w:w="60" w:type="dxa"/>
            </w:tcMar>
            <w:vAlign w:val="center"/>
          </w:tcPr>
          <w:p>
            <w:pPr>
              <w:pStyle w:val="TableContents"/>
              <w:bidi w:val="0"/>
              <w:spacing w:before="0" w:after="0"/>
              <w:jc w:val="left"/>
              <w:rPr>
                <w:rFonts w:ascii="arial" w:hAnsi="arial"/>
                <w:b/>
                <w:color w:val="F7ACBA"/>
                <w:sz w:val="18"/>
              </w:rPr>
            </w:pPr>
            <w:r>
              <w:rPr>
                <w:rFonts w:ascii="arial" w:hAnsi="arial"/>
                <w:b/>
                <w:color w:val="F7ACBA"/>
                <w:sz w:val="18"/>
              </w:rPr>
              <w:t>Passion with Purpose</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8205" w:type="dxa"/>
            <w:tcBorders>
              <w:bottom w:val="single" w:sz="6" w:space="0" w:color="FBDDE3"/>
            </w:tcBorders>
            <w:tcMar>
              <w:bottom w:w="60" w:type="dxa"/>
            </w:tcMar>
            <w:vAlign w:val="center"/>
          </w:tcPr>
          <w:p>
            <w:pPr>
              <w:pStyle w:val="TableContents"/>
              <w:bidi w:val="0"/>
              <w:spacing w:before="0" w:after="283"/>
              <w:jc w:val="left"/>
              <w:rPr/>
            </w:pPr>
            <w:r>
              <w:rPr/>
              <w:t>We dream big and channel our passion to what matters most. We unlock our best thinking through curiosity and creativity and learn from mistakes.</w:t>
            </w:r>
          </w:p>
        </w:tc>
      </w:tr>
      <w:tr>
        <w:trPr/>
        <w:tc>
          <w:tcPr>
            <w:tcW w:w="1880" w:type="dxa"/>
            <w:tcBorders/>
            <w:vAlign w:val="center"/>
          </w:tcPr>
          <w:p>
            <w:pPr>
              <w:pStyle w:val="TableContents"/>
              <w:bidi w:val="0"/>
              <w:spacing w:before="0" w:after="283"/>
              <w:jc w:val="left"/>
              <w:rPr>
                <w:sz w:val="4"/>
                <w:szCs w:val="4"/>
              </w:rPr>
            </w:pPr>
            <w:r>
              <w:rPr>
                <w:sz w:val="4"/>
                <w:szCs w:val="4"/>
              </w:rPr>
            </w:r>
          </w:p>
        </w:tc>
        <w:tc>
          <w:tcPr>
            <w:tcW w:w="8325" w:type="dxa"/>
            <w:gridSpan w:val="2"/>
            <w:tcBorders/>
            <w:vAlign w:val="center"/>
          </w:tcPr>
          <w:p>
            <w:pPr>
              <w:pStyle w:val="TableContents"/>
              <w:bidi w:val="0"/>
              <w:spacing w:before="0" w:after="283"/>
              <w:jc w:val="left"/>
              <w:rPr>
                <w:sz w:val="4"/>
                <w:szCs w:val="4"/>
              </w:rPr>
            </w:pPr>
            <w:r>
              <w:rPr>
                <w:sz w:val="4"/>
                <w:szCs w:val="4"/>
              </w:rPr>
            </w:r>
          </w:p>
        </w:tc>
      </w:tr>
      <w:tr>
        <w:trPr/>
        <w:tc>
          <w:tcPr>
            <w:tcW w:w="1880" w:type="dxa"/>
            <w:tcBorders>
              <w:bottom w:val="single" w:sz="6" w:space="0" w:color="F7ACBA"/>
            </w:tcBorders>
            <w:tcMar>
              <w:bottom w:w="80" w:type="dxa"/>
            </w:tcMar>
            <w:vAlign w:val="center"/>
          </w:tcPr>
          <w:p>
            <w:pPr>
              <w:pStyle w:val="TableContents"/>
              <w:bidi w:val="0"/>
              <w:spacing w:before="0" w:after="0"/>
              <w:jc w:val="left"/>
              <w:rPr>
                <w:rFonts w:ascii="arial" w:hAnsi="arial"/>
                <w:b/>
                <w:color w:val="F7ACBA"/>
                <w:sz w:val="18"/>
              </w:rPr>
            </w:pPr>
            <w:r>
              <w:rPr>
                <w:rFonts w:ascii="arial" w:hAnsi="arial"/>
                <w:b/>
                <w:color w:val="F7ACBA"/>
                <w:sz w:val="18"/>
              </w:rPr>
              <w:t>Better Together</w:t>
            </w:r>
          </w:p>
        </w:tc>
        <w:tc>
          <w:tcPr>
            <w:tcW w:w="120" w:type="dxa"/>
            <w:tcBorders>
              <w:bottom w:val="single" w:sz="6" w:space="0" w:color="F7ACBA"/>
            </w:tcBorders>
            <w:tcMar>
              <w:bottom w:w="28" w:type="dxa"/>
            </w:tcMar>
            <w:vAlign w:val="center"/>
          </w:tcPr>
          <w:p>
            <w:pPr>
              <w:pStyle w:val="TableContents"/>
              <w:bidi w:val="0"/>
              <w:spacing w:before="0" w:after="283"/>
              <w:jc w:val="left"/>
              <w:rPr/>
            </w:pPr>
            <w:r>
              <w:rPr/>
              <w:t>  </w:t>
            </w:r>
          </w:p>
        </w:tc>
        <w:tc>
          <w:tcPr>
            <w:tcW w:w="8205" w:type="dxa"/>
            <w:tcBorders>
              <w:bottom w:val="single" w:sz="6" w:space="0" w:color="F7ACBA"/>
            </w:tcBorders>
            <w:tcMar>
              <w:bottom w:w="80" w:type="dxa"/>
            </w:tcMar>
            <w:vAlign w:val="center"/>
          </w:tcPr>
          <w:p>
            <w:pPr>
              <w:pStyle w:val="TableContents"/>
              <w:bidi w:val="0"/>
              <w:spacing w:before="0" w:after="283"/>
              <w:jc w:val="left"/>
              <w:rPr/>
            </w:pPr>
            <w:r>
              <w:rPr/>
              <w:t>We lead with integrity, trust and respect, every single day. We speak from the heart and are transparent because we care. We achieve the best outcomes together and work as one team.</w:t>
            </w:r>
          </w:p>
        </w:tc>
      </w:tr>
    </w:tbl>
    <w:p>
      <w:pPr>
        <w:pStyle w:val="TextBody"/>
        <w:bidi w:val="0"/>
        <w:spacing w:before="0" w:after="0"/>
        <w:jc w:val="left"/>
        <w:rPr/>
      </w:pPr>
      <w:r>
        <w:rPr/>
        <w:t> </w:t>
      </w:r>
    </w:p>
    <w:tbl>
      <w:tblPr>
        <w:tblW w:w="2837" w:type="dxa"/>
        <w:jc w:val="left"/>
        <w:tblInd w:w="0" w:type="dxa"/>
        <w:tblLayout w:type="fixed"/>
        <w:tblCellMar>
          <w:top w:w="0" w:type="dxa"/>
          <w:left w:w="0" w:type="dxa"/>
          <w:bottom w:w="0" w:type="dxa"/>
          <w:right w:w="0" w:type="dxa"/>
        </w:tblCellMar>
      </w:tblPr>
      <w:tblGrid>
        <w:gridCol w:w="292"/>
        <w:gridCol w:w="60"/>
        <w:gridCol w:w="38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3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5" descr=""/>
                          <pic:cNvPicPr>
                            <a:picLocks noChangeAspect="1" noChangeArrowheads="1"/>
                          </pic:cNvPicPr>
                        </pic:nvPicPr>
                        <pic:blipFill>
                          <a:blip r:embed="rId26"/>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color w:val="F7ACBA"/>
              </w:rPr>
            </w:pPr>
            <w:r>
              <w:rPr>
                <w:color w:val="F7ACBA"/>
              </w:rPr>
              <w:t> </w:t>
            </w:r>
            <w:r>
              <w:rPr>
                <w:b/>
                <w:color w:val="F7ACBA"/>
              </w:rPr>
              <w:t>4 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PROXY SUMMARY </w:t>
      </w:r>
    </w:p>
    <w:p>
      <w:pPr>
        <w:pStyle w:val="TextBody"/>
        <w:bidi w:val="0"/>
        <w:spacing w:before="0" w:after="0"/>
        <w:jc w:val="left"/>
        <w:rPr/>
      </w:pPr>
      <w:r>
        <w:rPr/>
        <w:t> </w:t>
      </w:r>
    </w:p>
    <w:p>
      <w:pPr>
        <w:pStyle w:val="TextBody"/>
        <w:bidi w:val="0"/>
        <w:spacing w:before="0" w:after="0"/>
        <w:jc w:val="left"/>
        <w:rPr>
          <w:rFonts w:ascii="arial" w:hAnsi="arial"/>
          <w:sz w:val="30"/>
        </w:rPr>
      </w:pPr>
      <w:r>
        <w:rPr>
          <w:rFonts w:ascii="arial" w:hAnsi="arial"/>
          <w:sz w:val="30"/>
        </w:rPr>
        <w:t xml:space="preserve">2023 Financial Performance </w:t>
      </w:r>
    </w:p>
    <w:p>
      <w:pPr>
        <w:pStyle w:val="TextBody"/>
        <w:bidi w:val="0"/>
        <w:spacing w:before="120" w:after="0"/>
        <w:jc w:val="left"/>
        <w:rPr>
          <w:rFonts w:ascii="arial" w:hAnsi="arial"/>
          <w:sz w:val="18"/>
        </w:rPr>
      </w:pPr>
      <w:r>
        <w:rPr>
          <w:rFonts w:ascii="arial" w:hAnsi="arial"/>
          <w:sz w:val="18"/>
        </w:rPr>
        <w:t xml:space="preserve">In fiscal 2023, we remained committed to our strategic priorities: 1) Accelerate Our Core; 2) Ignite Growth; and 3) Transform the Foundation. We have made progress on our strategic initiatives to ignite growth and transform the foundation, including progress around our supply chain initiative and international business. Progress related to accelerating our core business in North America was challenged throughout 2023 as the macroeconomic environment continued to put pressure on the consumer and the overall intimates market in North America was pressured throughout the year. We continue to focus on delivering on multiple initiatives in support of our strategic priorities, such as our multi-tender loyalty program, new customer experience enhancements in our digital business, product improvements and launches to enhance the Victoria’s Secret brand and a reimagined merchandise strategy for our PINK brand. As a result, we achieved the following results during fiscal 2023: </w:t>
      </w:r>
    </w:p>
    <w:p>
      <w:pPr>
        <w:pStyle w:val="TextBody"/>
        <w:bidi w:val="0"/>
        <w:spacing w:before="0" w:after="0"/>
        <w:jc w:val="left"/>
        <w:rPr/>
      </w:pPr>
      <w:r>
        <w:rPr/>
        <w:t> </w:t>
      </w:r>
    </w:p>
    <w:tbl>
      <w:tblPr>
        <w:tblW w:w="8477" w:type="dxa"/>
        <w:jc w:val="left"/>
        <w:tblInd w:w="0" w:type="dxa"/>
        <w:tblLayout w:type="fixed"/>
        <w:tblCellMar>
          <w:top w:w="0" w:type="dxa"/>
          <w:left w:w="0" w:type="dxa"/>
          <w:bottom w:w="0" w:type="dxa"/>
          <w:right w:w="0" w:type="dxa"/>
        </w:tblCellMar>
      </w:tblPr>
      <w:tblGrid>
        <w:gridCol w:w="2670"/>
        <w:gridCol w:w="138"/>
        <w:gridCol w:w="2670"/>
        <w:gridCol w:w="138"/>
        <w:gridCol w:w="2861"/>
      </w:tblGrid>
      <w:tr>
        <w:trPr/>
        <w:tc>
          <w:tcPr>
            <w:tcW w:w="267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861" w:type="dxa"/>
            <w:tcBorders/>
            <w:vAlign w:val="center"/>
          </w:tcPr>
          <w:p>
            <w:pPr>
              <w:pStyle w:val="TableContents"/>
              <w:bidi w:val="0"/>
              <w:spacing w:before="0" w:after="283"/>
              <w:jc w:val="left"/>
              <w:rPr>
                <w:sz w:val="4"/>
                <w:szCs w:val="4"/>
              </w:rPr>
            </w:pPr>
            <w:r>
              <w:rPr>
                <w:sz w:val="4"/>
                <w:szCs w:val="4"/>
              </w:rPr>
            </w:r>
          </w:p>
        </w:tc>
      </w:tr>
      <w:tr>
        <w:trPr/>
        <w:tc>
          <w:tcPr>
            <w:tcW w:w="2670" w:type="dxa"/>
            <w:tcBorders>
              <w:right w:val="single" w:sz="6" w:space="0" w:color="000000"/>
            </w:tcBorders>
            <w:tcMar>
              <w:right w:w="28" w:type="dxa"/>
            </w:tcMar>
            <w:vAlign w:val="center"/>
          </w:tcPr>
          <w:p>
            <w:pPr>
              <w:pStyle w:val="TableContents"/>
              <w:bidi w:val="0"/>
              <w:spacing w:before="0" w:after="0"/>
              <w:jc w:val="center"/>
              <w:rPr>
                <w:rFonts w:ascii="arial" w:hAnsi="arial"/>
                <w:i/>
                <w:color w:val="F7ACBA"/>
                <w:sz w:val="50"/>
              </w:rPr>
            </w:pPr>
            <w:r>
              <w:rPr>
                <w:rFonts w:ascii="arial" w:hAnsi="arial"/>
                <w:i/>
                <w:color w:val="F7ACBA"/>
                <w:sz w:val="50"/>
              </w:rPr>
              <w:t>$6.182B</w:t>
            </w:r>
          </w:p>
          <w:p>
            <w:pPr>
              <w:pStyle w:val="TableContents"/>
              <w:bidi w:val="0"/>
              <w:spacing w:before="0" w:after="0"/>
              <w:jc w:val="left"/>
              <w:rPr/>
            </w:pPr>
            <w:r>
              <w:rPr/>
              <w:t> </w:t>
            </w:r>
          </w:p>
          <w:p>
            <w:pPr>
              <w:pStyle w:val="TableContents"/>
              <w:bidi w:val="0"/>
              <w:spacing w:before="0" w:after="0"/>
              <w:jc w:val="center"/>
              <w:rPr>
                <w:rFonts w:ascii="arial" w:hAnsi="arial"/>
                <w:sz w:val="22"/>
              </w:rPr>
            </w:pPr>
            <w:r>
              <w:rPr>
                <w:rFonts w:ascii="arial" w:hAnsi="arial"/>
                <w:sz w:val="22"/>
              </w:rPr>
              <w:t>NET SALES</w:t>
            </w:r>
          </w:p>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Decrease of 3% compared</w:t>
              <w:br/>
              <w:t>to 2022</w:t>
            </w:r>
          </w:p>
        </w:tc>
        <w:tc>
          <w:tcPr>
            <w:tcW w:w="138" w:type="dxa"/>
            <w:tcBorders/>
            <w:vAlign w:val="center"/>
          </w:tcPr>
          <w:p>
            <w:pPr>
              <w:pStyle w:val="TableContents"/>
              <w:bidi w:val="0"/>
              <w:spacing w:before="0" w:after="283"/>
              <w:jc w:val="left"/>
              <w:rPr/>
            </w:pPr>
            <w:r>
              <w:rPr/>
              <w:t>  </w:t>
            </w:r>
          </w:p>
        </w:tc>
        <w:tc>
          <w:tcPr>
            <w:tcW w:w="2670" w:type="dxa"/>
            <w:tcBorders>
              <w:right w:val="single" w:sz="6" w:space="0" w:color="000000"/>
            </w:tcBorders>
            <w:tcMar>
              <w:right w:w="28" w:type="dxa"/>
            </w:tcMar>
            <w:vAlign w:val="center"/>
          </w:tcPr>
          <w:p>
            <w:pPr>
              <w:pStyle w:val="TableContents"/>
              <w:bidi w:val="0"/>
              <w:spacing w:before="0" w:after="0"/>
              <w:jc w:val="center"/>
              <w:rPr>
                <w:rFonts w:ascii="arial" w:hAnsi="arial"/>
                <w:i/>
                <w:color w:val="F7ACBA"/>
                <w:sz w:val="50"/>
              </w:rPr>
            </w:pPr>
            <w:r>
              <w:rPr>
                <w:rFonts w:ascii="arial" w:hAnsi="arial"/>
                <w:i/>
                <w:color w:val="F7ACBA"/>
                <w:sz w:val="50"/>
              </w:rPr>
              <w:t>$246M</w:t>
            </w:r>
          </w:p>
          <w:p>
            <w:pPr>
              <w:pStyle w:val="TableContents"/>
              <w:bidi w:val="0"/>
              <w:spacing w:before="0" w:after="0"/>
              <w:jc w:val="left"/>
              <w:rPr/>
            </w:pPr>
            <w:r>
              <w:rPr/>
              <w:t> </w:t>
            </w:r>
          </w:p>
          <w:p>
            <w:pPr>
              <w:pStyle w:val="TableContents"/>
              <w:bidi w:val="0"/>
              <w:spacing w:before="0" w:after="0"/>
              <w:jc w:val="center"/>
              <w:rPr>
                <w:rFonts w:ascii="arial" w:hAnsi="arial"/>
                <w:sz w:val="22"/>
              </w:rPr>
            </w:pPr>
            <w:r>
              <w:rPr>
                <w:rFonts w:ascii="arial" w:hAnsi="arial"/>
                <w:sz w:val="22"/>
              </w:rPr>
              <w:t>OPERATING INCOME</w:t>
            </w:r>
          </w:p>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Income rate: 4.0%</w:t>
            </w:r>
          </w:p>
        </w:tc>
        <w:tc>
          <w:tcPr>
            <w:tcW w:w="138" w:type="dxa"/>
            <w:tcBorders/>
            <w:vAlign w:val="center"/>
          </w:tcPr>
          <w:p>
            <w:pPr>
              <w:pStyle w:val="TableContents"/>
              <w:bidi w:val="0"/>
              <w:spacing w:before="0" w:after="283"/>
              <w:jc w:val="left"/>
              <w:rPr/>
            </w:pPr>
            <w:r>
              <w:rPr/>
              <w:t>  </w:t>
            </w:r>
          </w:p>
        </w:tc>
        <w:tc>
          <w:tcPr>
            <w:tcW w:w="2861" w:type="dxa"/>
            <w:tcBorders/>
            <w:vAlign w:val="center"/>
          </w:tcPr>
          <w:p>
            <w:pPr>
              <w:pStyle w:val="TableContents"/>
              <w:bidi w:val="0"/>
              <w:spacing w:before="0" w:after="0"/>
              <w:jc w:val="center"/>
              <w:rPr>
                <w:rFonts w:ascii="arial" w:hAnsi="arial"/>
                <w:i/>
                <w:color w:val="F7ACBA"/>
                <w:sz w:val="50"/>
              </w:rPr>
            </w:pPr>
            <w:r>
              <w:rPr>
                <w:rFonts w:ascii="arial" w:hAnsi="arial"/>
                <w:i/>
                <w:color w:val="F7ACBA"/>
                <w:sz w:val="50"/>
              </w:rPr>
              <w:t>$327M</w:t>
            </w:r>
          </w:p>
          <w:p>
            <w:pPr>
              <w:pStyle w:val="TableContents"/>
              <w:bidi w:val="0"/>
              <w:spacing w:before="0" w:after="0"/>
              <w:jc w:val="left"/>
              <w:rPr/>
            </w:pPr>
            <w:r>
              <w:rPr/>
              <w:t> </w:t>
            </w:r>
          </w:p>
          <w:p>
            <w:pPr>
              <w:pStyle w:val="TableContents"/>
              <w:bidi w:val="0"/>
              <w:spacing w:before="0" w:after="0"/>
              <w:jc w:val="center"/>
              <w:rPr>
                <w:rFonts w:ascii="arial" w:hAnsi="arial"/>
                <w:sz w:val="22"/>
              </w:rPr>
            </w:pPr>
            <w:r>
              <w:rPr>
                <w:rFonts w:ascii="arial" w:hAnsi="arial"/>
                <w:sz w:val="22"/>
              </w:rPr>
              <w:t>ADJUSTED</w:t>
              <w:br/>
              <w:t>OPERATING INCOME</w:t>
            </w:r>
          </w:p>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Income rate: 5.3%1</w:t>
            </w:r>
          </w:p>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Compared to $566M in 20222</w:t>
            </w:r>
          </w:p>
        </w:tc>
      </w:tr>
      <w:tr>
        <w:trPr/>
        <w:tc>
          <w:tcPr>
            <w:tcW w:w="267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pPr>
            <w:r>
              <w:rPr/>
              <w:t>  </w:t>
            </w:r>
          </w:p>
        </w:tc>
        <w:tc>
          <w:tcPr>
            <w:tcW w:w="267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pPr>
            <w:r>
              <w:rPr/>
              <w:t>  </w:t>
            </w:r>
          </w:p>
        </w:tc>
        <w:tc>
          <w:tcPr>
            <w:tcW w:w="2861" w:type="dxa"/>
            <w:tcBorders/>
            <w:vAlign w:val="center"/>
          </w:tcPr>
          <w:p>
            <w:pPr>
              <w:pStyle w:val="TableContents"/>
              <w:bidi w:val="0"/>
              <w:spacing w:before="0" w:after="283"/>
              <w:jc w:val="left"/>
              <w:rPr>
                <w:sz w:val="4"/>
                <w:szCs w:val="4"/>
              </w:rPr>
            </w:pPr>
            <w:r>
              <w:rPr>
                <w:sz w:val="4"/>
                <w:szCs w:val="4"/>
              </w:rPr>
            </w:r>
          </w:p>
        </w:tc>
      </w:tr>
      <w:tr>
        <w:trPr/>
        <w:tc>
          <w:tcPr>
            <w:tcW w:w="8477" w:type="dxa"/>
            <w:gridSpan w:val="5"/>
            <w:tcBorders/>
            <w:shd w:fill="F7ACBA" w:val="clear"/>
            <w:vAlign w:val="center"/>
          </w:tcPr>
          <w:p>
            <w:pPr>
              <w:pStyle w:val="TableContents"/>
              <w:bidi w:val="0"/>
              <w:spacing w:before="0" w:after="283"/>
              <w:jc w:val="left"/>
              <w:rPr>
                <w:sz w:val="4"/>
                <w:szCs w:val="4"/>
              </w:rPr>
            </w:pPr>
            <w:r>
              <w:rPr>
                <w:sz w:val="4"/>
                <w:szCs w:val="4"/>
              </w:rPr>
            </w:r>
          </w:p>
        </w:tc>
      </w:tr>
      <w:tr>
        <w:trPr/>
        <w:tc>
          <w:tcPr>
            <w:tcW w:w="8477" w:type="dxa"/>
            <w:gridSpan w:val="5"/>
            <w:tcBorders/>
            <w:shd w:fill="F7ACBA" w:val="clear"/>
            <w:vAlign w:val="center"/>
          </w:tcPr>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We delivered net sales and adjusted operating income results within our guidance range each quarter.1</w:t>
            </w:r>
          </w:p>
          <w:p>
            <w:pPr>
              <w:pStyle w:val="TableContents"/>
              <w:bidi w:val="0"/>
              <w:spacing w:before="0" w:after="0"/>
              <w:jc w:val="left"/>
              <w:rPr/>
            </w:pPr>
            <w:r>
              <w:rPr/>
              <w:t> </w:t>
            </w:r>
          </w:p>
          <w:p>
            <w:pPr>
              <w:pStyle w:val="TableContents"/>
              <w:bidi w:val="0"/>
              <w:spacing w:before="0" w:after="20"/>
              <w:jc w:val="left"/>
              <w:rPr/>
            </w:pPr>
            <w:r>
              <w:rPr/>
              <w:t> </w:t>
            </w:r>
          </w:p>
        </w:tc>
      </w:tr>
      <w:tr>
        <w:trPr/>
        <w:tc>
          <w:tcPr>
            <w:tcW w:w="267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pPr>
            <w:r>
              <w:rPr/>
              <w:t>  </w:t>
            </w:r>
          </w:p>
        </w:tc>
        <w:tc>
          <w:tcPr>
            <w:tcW w:w="267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pPr>
            <w:r>
              <w:rPr/>
              <w:t>  </w:t>
            </w:r>
          </w:p>
        </w:tc>
        <w:tc>
          <w:tcPr>
            <w:tcW w:w="2861" w:type="dxa"/>
            <w:tcBorders/>
            <w:vAlign w:val="center"/>
          </w:tcPr>
          <w:p>
            <w:pPr>
              <w:pStyle w:val="TableContents"/>
              <w:bidi w:val="0"/>
              <w:spacing w:before="0" w:after="283"/>
              <w:jc w:val="left"/>
              <w:rPr>
                <w:sz w:val="4"/>
                <w:szCs w:val="4"/>
              </w:rPr>
            </w:pPr>
            <w:r>
              <w:rPr>
                <w:sz w:val="4"/>
                <w:szCs w:val="4"/>
              </w:rPr>
            </w:r>
          </w:p>
        </w:tc>
      </w:tr>
      <w:tr>
        <w:trPr/>
        <w:tc>
          <w:tcPr>
            <w:tcW w:w="2670" w:type="dxa"/>
            <w:tcBorders>
              <w:right w:val="single" w:sz="6" w:space="0" w:color="000000"/>
            </w:tcBorders>
            <w:tcMar>
              <w:right w:w="28" w:type="dxa"/>
            </w:tcMar>
            <w:vAlign w:val="center"/>
          </w:tcPr>
          <w:p>
            <w:pPr>
              <w:pStyle w:val="TableContents"/>
              <w:bidi w:val="0"/>
              <w:spacing w:before="0" w:after="0"/>
              <w:jc w:val="center"/>
              <w:rPr>
                <w:rFonts w:ascii="arial" w:hAnsi="arial"/>
                <w:i/>
                <w:color w:val="F7ACBA"/>
                <w:sz w:val="50"/>
              </w:rPr>
            </w:pPr>
            <w:r>
              <w:rPr>
                <w:rFonts w:ascii="arial" w:hAnsi="arial"/>
                <w:i/>
                <w:color w:val="F7ACBA"/>
                <w:sz w:val="50"/>
              </w:rPr>
              <w:t>$125M</w:t>
            </w:r>
          </w:p>
          <w:p>
            <w:pPr>
              <w:pStyle w:val="TableContents"/>
              <w:bidi w:val="0"/>
              <w:spacing w:before="0" w:after="0"/>
              <w:jc w:val="left"/>
              <w:rPr/>
            </w:pPr>
            <w:r>
              <w:rPr/>
              <w:t> </w:t>
            </w:r>
          </w:p>
          <w:p>
            <w:pPr>
              <w:pStyle w:val="TableContents"/>
              <w:bidi w:val="0"/>
              <w:spacing w:before="0" w:after="0"/>
              <w:jc w:val="center"/>
              <w:rPr>
                <w:rFonts w:ascii="arial" w:hAnsi="arial"/>
                <w:sz w:val="22"/>
              </w:rPr>
            </w:pPr>
            <w:r>
              <w:rPr>
                <w:rFonts w:ascii="arial" w:hAnsi="arial"/>
                <w:sz w:val="22"/>
              </w:rPr>
              <w:t>INVESTED</w:t>
            </w:r>
          </w:p>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to repurchase 3.7 million</w:t>
              <w:br/>
              <w:t>shares of our common stock</w:t>
            </w:r>
          </w:p>
        </w:tc>
        <w:tc>
          <w:tcPr>
            <w:tcW w:w="138" w:type="dxa"/>
            <w:tcBorders/>
            <w:vAlign w:val="center"/>
          </w:tcPr>
          <w:p>
            <w:pPr>
              <w:pStyle w:val="TableContents"/>
              <w:bidi w:val="0"/>
              <w:spacing w:before="0" w:after="283"/>
              <w:jc w:val="left"/>
              <w:rPr/>
            </w:pPr>
            <w:r>
              <w:rPr/>
              <w:t>  </w:t>
            </w:r>
          </w:p>
        </w:tc>
        <w:tc>
          <w:tcPr>
            <w:tcW w:w="2670" w:type="dxa"/>
            <w:tcBorders>
              <w:right w:val="single" w:sz="6" w:space="0" w:color="000000"/>
            </w:tcBorders>
            <w:tcMar>
              <w:right w:w="28" w:type="dxa"/>
            </w:tcMar>
            <w:vAlign w:val="center"/>
          </w:tcPr>
          <w:p>
            <w:pPr>
              <w:pStyle w:val="TableContents"/>
              <w:bidi w:val="0"/>
              <w:spacing w:before="0" w:after="0"/>
              <w:jc w:val="center"/>
              <w:rPr>
                <w:rFonts w:ascii="arial" w:hAnsi="arial"/>
                <w:i/>
                <w:color w:val="F7ACBA"/>
                <w:sz w:val="50"/>
              </w:rPr>
            </w:pPr>
            <w:r>
              <w:rPr>
                <w:rFonts w:ascii="arial" w:hAnsi="arial"/>
                <w:i/>
                <w:color w:val="F7ACBA"/>
                <w:sz w:val="50"/>
              </w:rPr>
              <w:t>$133M</w:t>
            </w:r>
          </w:p>
          <w:p>
            <w:pPr>
              <w:pStyle w:val="TableContents"/>
              <w:bidi w:val="0"/>
              <w:spacing w:before="0" w:after="0"/>
              <w:jc w:val="left"/>
              <w:rPr/>
            </w:pPr>
            <w:r>
              <w:rPr/>
              <w:t> </w:t>
            </w:r>
          </w:p>
          <w:p>
            <w:pPr>
              <w:pStyle w:val="TableContents"/>
              <w:bidi w:val="0"/>
              <w:spacing w:before="0" w:after="20"/>
              <w:jc w:val="center"/>
              <w:rPr>
                <w:rFonts w:ascii="arial" w:hAnsi="arial"/>
                <w:sz w:val="22"/>
              </w:rPr>
            </w:pPr>
            <w:r>
              <w:rPr>
                <w:rFonts w:ascii="arial" w:hAnsi="arial"/>
                <w:sz w:val="22"/>
              </w:rPr>
              <w:t>FREE CASH FLOW3</w:t>
            </w:r>
          </w:p>
        </w:tc>
        <w:tc>
          <w:tcPr>
            <w:tcW w:w="138" w:type="dxa"/>
            <w:tcBorders/>
            <w:vAlign w:val="center"/>
          </w:tcPr>
          <w:p>
            <w:pPr>
              <w:pStyle w:val="TableContents"/>
              <w:bidi w:val="0"/>
              <w:spacing w:before="0" w:after="283"/>
              <w:jc w:val="left"/>
              <w:rPr/>
            </w:pPr>
            <w:r>
              <w:rPr/>
              <w:t>  </w:t>
            </w:r>
          </w:p>
        </w:tc>
        <w:tc>
          <w:tcPr>
            <w:tcW w:w="2861" w:type="dxa"/>
            <w:tcBorders/>
            <w:vAlign w:val="center"/>
          </w:tcPr>
          <w:p>
            <w:pPr>
              <w:pStyle w:val="TableContents"/>
              <w:bidi w:val="0"/>
              <w:spacing w:before="0" w:after="0"/>
              <w:jc w:val="center"/>
              <w:rPr>
                <w:rFonts w:ascii="arial" w:hAnsi="arial"/>
                <w:i/>
                <w:color w:val="F7ACBA"/>
                <w:sz w:val="50"/>
              </w:rPr>
            </w:pPr>
            <w:r>
              <w:rPr>
                <w:rFonts w:ascii="arial" w:hAnsi="arial"/>
                <w:i/>
                <w:color w:val="F7ACBA"/>
                <w:sz w:val="50"/>
              </w:rPr>
              <w:t>$151M</w:t>
            </w:r>
          </w:p>
          <w:p>
            <w:pPr>
              <w:pStyle w:val="TableContents"/>
              <w:bidi w:val="0"/>
              <w:spacing w:before="0" w:after="0"/>
              <w:jc w:val="left"/>
              <w:rPr/>
            </w:pPr>
            <w:r>
              <w:rPr/>
              <w:t> </w:t>
            </w:r>
          </w:p>
          <w:p>
            <w:pPr>
              <w:pStyle w:val="TableContents"/>
              <w:bidi w:val="0"/>
              <w:spacing w:before="0" w:after="0"/>
              <w:jc w:val="center"/>
              <w:rPr>
                <w:rFonts w:ascii="arial" w:hAnsi="arial"/>
                <w:sz w:val="22"/>
              </w:rPr>
            </w:pPr>
            <w:r>
              <w:rPr>
                <w:rFonts w:ascii="arial" w:hAnsi="arial"/>
                <w:sz w:val="22"/>
              </w:rPr>
              <w:t>DECREASE</w:t>
            </w:r>
          </w:p>
          <w:p>
            <w:pPr>
              <w:pStyle w:val="TableContents"/>
              <w:bidi w:val="0"/>
              <w:spacing w:before="0" w:after="0"/>
              <w:jc w:val="center"/>
              <w:rPr>
                <w:rFonts w:ascii="arial" w:hAnsi="arial"/>
                <w:sz w:val="22"/>
              </w:rPr>
            </w:pPr>
            <w:r>
              <w:rPr>
                <w:rFonts w:ascii="arial" w:hAnsi="arial"/>
                <w:sz w:val="22"/>
              </w:rPr>
              <w:t xml:space="preserve">IN DEBT </w:t>
            </w:r>
          </w:p>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compared to the end of 2022</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(1)</w:t>
            </w:r>
          </w:p>
        </w:tc>
        <w:tc>
          <w:tcPr>
            <w:tcW w:w="9923" w:type="dxa"/>
            <w:tcBorders/>
            <w:vAlign w:val="center"/>
          </w:tcPr>
          <w:p>
            <w:pPr>
              <w:pStyle w:val="TableContents"/>
              <w:bidi w:val="0"/>
              <w:spacing w:before="0" w:after="0"/>
              <w:jc w:val="left"/>
              <w:rPr>
                <w:rFonts w:ascii="arial" w:hAnsi="arial"/>
                <w:sz w:val="14"/>
              </w:rPr>
            </w:pPr>
            <w:r>
              <w:rPr>
                <w:rFonts w:ascii="arial" w:hAnsi="arial"/>
                <w:sz w:val="14"/>
              </w:rPr>
              <w:t xml:space="preserve">Operating income rate, expressed as a percentage of sales, is a non-GAAP financial measure. A reconciliation of operating income rate to the most directly comparable GAAP financial measure can be found in Appendix 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r>
              <w:rPr/>
              <w:t>(2)</w:t>
            </w:r>
          </w:p>
        </w:tc>
        <w:tc>
          <w:tcPr>
            <w:tcW w:w="9915" w:type="dxa"/>
            <w:tcBorders/>
            <w:vAlign w:val="center"/>
          </w:tcPr>
          <w:p>
            <w:pPr>
              <w:pStyle w:val="TableContents"/>
              <w:bidi w:val="0"/>
              <w:spacing w:before="0" w:after="0"/>
              <w:jc w:val="left"/>
              <w:rPr>
                <w:rFonts w:ascii="arial" w:hAnsi="arial"/>
                <w:sz w:val="14"/>
              </w:rPr>
            </w:pPr>
            <w:r>
              <w:rPr>
                <w:rFonts w:ascii="arial" w:hAnsi="arial"/>
                <w:sz w:val="14"/>
              </w:rPr>
              <w:t xml:space="preserve">Adjusted operating income is a non-GAAP financial measure. A reconciliation of adjusted operating income to the most directly comparable GAAP financial measure can be found in Appendix 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(3)</w:t>
            </w:r>
          </w:p>
        </w:tc>
        <w:tc>
          <w:tcPr>
            <w:tcW w:w="9921" w:type="dxa"/>
            <w:tcBorders/>
            <w:vAlign w:val="center"/>
          </w:tcPr>
          <w:p>
            <w:pPr>
              <w:pStyle w:val="TableContents"/>
              <w:bidi w:val="0"/>
              <w:spacing w:before="0" w:after="0"/>
              <w:jc w:val="left"/>
              <w:rPr>
                <w:rFonts w:ascii="arial" w:hAnsi="arial"/>
                <w:sz w:val="14"/>
              </w:rPr>
            </w:pPr>
            <w:r>
              <w:rPr>
                <w:rFonts w:ascii="arial" w:hAnsi="arial"/>
                <w:sz w:val="14"/>
              </w:rPr>
              <w:t xml:space="preserve">Free cash flow is defined as net cash provided by operating activities less capital expenditures. A reconciliation of free cash flow to the most directly comparable GAAP financial measure can be found in Appendix A. </w:t>
            </w:r>
          </w:p>
        </w:tc>
      </w:tr>
    </w:tbl>
    <w:p>
      <w:pPr>
        <w:pStyle w:val="TextBody"/>
        <w:bidi w:val="0"/>
        <w:spacing w:before="360" w:after="0"/>
        <w:jc w:val="left"/>
        <w:rPr>
          <w:rFonts w:ascii="arial" w:hAnsi="arial"/>
          <w:sz w:val="30"/>
        </w:rPr>
      </w:pPr>
      <w:r>
        <w:rPr>
          <w:rFonts w:ascii="arial" w:hAnsi="arial"/>
          <w:sz w:val="30"/>
        </w:rPr>
        <w:t xml:space="preserve">Corporate Governance Highlights </w:t>
      </w:r>
    </w:p>
    <w:p>
      <w:pPr>
        <w:pStyle w:val="TextBody"/>
        <w:bidi w:val="0"/>
        <w:spacing w:before="120" w:after="0"/>
        <w:jc w:val="left"/>
        <w:rPr>
          <w:rFonts w:ascii="arial" w:hAnsi="arial"/>
          <w:sz w:val="18"/>
        </w:rPr>
      </w:pPr>
      <w:r>
        <w:rPr>
          <w:rFonts w:ascii="arial" w:hAnsi="arial"/>
          <w:sz w:val="18"/>
        </w:rPr>
        <w:t xml:space="preserve">We are committed to strong and effective corporate governance, an attribute we consider critical to achieving long-term value for our stockholders. Key aspects of our corporate governance framework are highlighted below: </w:t>
      </w:r>
    </w:p>
    <w:p>
      <w:pPr>
        <w:pStyle w:val="TextBody"/>
        <w:bidi w:val="0"/>
        <w:spacing w:before="0" w:after="0"/>
        <w:jc w:val="left"/>
        <w:rPr/>
      </w:pPr>
      <w:r>
        <w:rPr/>
        <w:t> </w:t>
      </w:r>
    </w:p>
    <w:tbl>
      <w:tblPr>
        <w:tblW w:w="2785" w:type="dxa"/>
        <w:jc w:val="left"/>
        <w:tblInd w:w="0" w:type="dxa"/>
        <w:tblLayout w:type="fixed"/>
        <w:tblCellMar>
          <w:top w:w="0" w:type="dxa"/>
          <w:left w:w="0" w:type="dxa"/>
          <w:bottom w:w="0" w:type="dxa"/>
          <w:right w:w="0" w:type="dxa"/>
        </w:tblCellMar>
      </w:tblPr>
      <w:tblGrid>
        <w:gridCol w:w="75"/>
        <w:gridCol w:w="110"/>
        <w:gridCol w:w="60"/>
        <w:gridCol w:w="25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0"/>
              <w:jc w:val="left"/>
              <w:rPr>
                <w:rFonts w:ascii="arial" w:hAnsi="arial"/>
                <w:sz w:val="18"/>
              </w:rPr>
            </w:pPr>
            <w:r>
              <w:rPr>
                <w:rFonts w:ascii="arial" w:hAnsi="arial"/>
                <w:sz w:val="18"/>
              </w:rPr>
              <w:t xml:space="preserve">Annual election of all directors </w:t>
            </w:r>
          </w:p>
        </w:tc>
      </w:tr>
    </w:tbl>
    <w:p>
      <w:pPr>
        <w:pStyle w:val="TextBody"/>
        <w:bidi w:val="0"/>
        <w:spacing w:before="0" w:after="0"/>
        <w:jc w:val="left"/>
        <w:rPr/>
      </w:pPr>
      <w:r>
        <w:rPr/>
        <w:t> </w:t>
      </w:r>
    </w:p>
    <w:tbl>
      <w:tblPr>
        <w:tblW w:w="5020" w:type="dxa"/>
        <w:jc w:val="left"/>
        <w:tblInd w:w="0" w:type="dxa"/>
        <w:tblLayout w:type="fixed"/>
        <w:tblCellMar>
          <w:top w:w="0" w:type="dxa"/>
          <w:left w:w="0" w:type="dxa"/>
          <w:bottom w:w="0" w:type="dxa"/>
          <w:right w:w="0" w:type="dxa"/>
        </w:tblCellMar>
      </w:tblPr>
      <w:tblGrid>
        <w:gridCol w:w="75"/>
        <w:gridCol w:w="110"/>
        <w:gridCol w:w="60"/>
        <w:gridCol w:w="47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4775" w:type="dxa"/>
            <w:tcBorders/>
            <w:vAlign w:val="center"/>
          </w:tcPr>
          <w:p>
            <w:pPr>
              <w:pStyle w:val="TableContents"/>
              <w:bidi w:val="0"/>
              <w:spacing w:before="0" w:after="0"/>
              <w:jc w:val="left"/>
              <w:rPr>
                <w:rFonts w:ascii="arial" w:hAnsi="arial"/>
                <w:sz w:val="18"/>
              </w:rPr>
            </w:pPr>
            <w:r>
              <w:rPr>
                <w:rFonts w:ascii="arial" w:hAnsi="arial"/>
                <w:sz w:val="18"/>
              </w:rPr>
              <w:t xml:space="preserve">Majority voting standard for uncontested director elections </w:t>
            </w:r>
          </w:p>
        </w:tc>
      </w:tr>
    </w:tbl>
    <w:p>
      <w:pPr>
        <w:pStyle w:val="TextBody"/>
        <w:bidi w:val="0"/>
        <w:spacing w:before="0" w:after="0"/>
        <w:jc w:val="left"/>
        <w:rPr/>
      </w:pPr>
      <w:r>
        <w:rPr/>
        <w:t> </w:t>
      </w:r>
    </w:p>
    <w:tbl>
      <w:tblPr>
        <w:tblW w:w="3415" w:type="dxa"/>
        <w:jc w:val="left"/>
        <w:tblInd w:w="0" w:type="dxa"/>
        <w:tblLayout w:type="fixed"/>
        <w:tblCellMar>
          <w:top w:w="0" w:type="dxa"/>
          <w:left w:w="0" w:type="dxa"/>
          <w:bottom w:w="0" w:type="dxa"/>
          <w:right w:w="0" w:type="dxa"/>
        </w:tblCellMar>
      </w:tblPr>
      <w:tblGrid>
        <w:gridCol w:w="75"/>
        <w:gridCol w:w="110"/>
        <w:gridCol w:w="60"/>
        <w:gridCol w:w="3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0"/>
              <w:jc w:val="left"/>
              <w:rPr>
                <w:rFonts w:ascii="arial" w:hAnsi="arial"/>
                <w:sz w:val="18"/>
              </w:rPr>
            </w:pPr>
            <w:r>
              <w:rPr>
                <w:rFonts w:ascii="arial" w:hAnsi="arial"/>
                <w:sz w:val="18"/>
              </w:rPr>
              <w:t xml:space="preserve">Strong focus on Board independence: </w:t>
            </w:r>
          </w:p>
        </w:tc>
      </w:tr>
    </w:tbl>
    <w:p>
      <w:pPr>
        <w:pStyle w:val="TextBody"/>
        <w:bidi w:val="0"/>
        <w:spacing w:before="0" w:after="0"/>
        <w:jc w:val="left"/>
        <w:rPr/>
      </w:pPr>
      <w:r>
        <w:rPr/>
        <w:t> </w:t>
      </w:r>
    </w:p>
    <w:tbl>
      <w:tblPr>
        <w:tblW w:w="2890" w:type="dxa"/>
        <w:jc w:val="left"/>
        <w:tblInd w:w="0" w:type="dxa"/>
        <w:tblLayout w:type="fixed"/>
        <w:tblCellMar>
          <w:top w:w="0" w:type="dxa"/>
          <w:left w:w="0" w:type="dxa"/>
          <w:bottom w:w="0" w:type="dxa"/>
          <w:right w:w="0" w:type="dxa"/>
        </w:tblCellMar>
      </w:tblPr>
      <w:tblGrid>
        <w:gridCol w:w="75"/>
        <w:gridCol w:w="110"/>
        <w:gridCol w:w="60"/>
        <w:gridCol w:w="26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0"/>
              <w:jc w:val="left"/>
              <w:rPr>
                <w:rFonts w:ascii="arial" w:hAnsi="arial"/>
                <w:sz w:val="18"/>
              </w:rPr>
            </w:pPr>
            <w:r>
              <w:rPr>
                <w:rFonts w:ascii="arial" w:hAnsi="arial"/>
                <w:sz w:val="18"/>
              </w:rPr>
              <w:t xml:space="preserve">Independent Chair of the Board </w:t>
            </w:r>
          </w:p>
        </w:tc>
      </w:tr>
    </w:tbl>
    <w:p>
      <w:pPr>
        <w:pStyle w:val="TextBody"/>
        <w:bidi w:val="0"/>
        <w:spacing w:before="0" w:after="0"/>
        <w:jc w:val="left"/>
        <w:rPr/>
      </w:pPr>
      <w:r>
        <w:rPr/>
        <w:t> </w:t>
      </w:r>
    </w:p>
    <w:tbl>
      <w:tblPr>
        <w:tblW w:w="6145" w:type="dxa"/>
        <w:jc w:val="left"/>
        <w:tblInd w:w="0" w:type="dxa"/>
        <w:tblLayout w:type="fixed"/>
        <w:tblCellMar>
          <w:top w:w="0" w:type="dxa"/>
          <w:left w:w="0" w:type="dxa"/>
          <w:bottom w:w="0" w:type="dxa"/>
          <w:right w:w="0" w:type="dxa"/>
        </w:tblCellMar>
      </w:tblPr>
      <w:tblGrid>
        <w:gridCol w:w="75"/>
        <w:gridCol w:w="110"/>
        <w:gridCol w:w="60"/>
        <w:gridCol w:w="59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5900" w:type="dxa"/>
            <w:tcBorders/>
            <w:vAlign w:val="center"/>
          </w:tcPr>
          <w:p>
            <w:pPr>
              <w:pStyle w:val="TableContents"/>
              <w:bidi w:val="0"/>
              <w:spacing w:before="0" w:after="0"/>
              <w:jc w:val="left"/>
              <w:rPr>
                <w:rFonts w:ascii="arial" w:hAnsi="arial"/>
                <w:sz w:val="18"/>
              </w:rPr>
            </w:pPr>
            <w:r>
              <w:rPr>
                <w:rFonts w:ascii="arial" w:hAnsi="arial"/>
                <w:sz w:val="18"/>
              </w:rPr>
              <w:t xml:space="preserve">All directors are independent except our Chief Executive Officer (“CEO”) </w:t>
            </w:r>
          </w:p>
        </w:tc>
      </w:tr>
    </w:tbl>
    <w:p>
      <w:pPr>
        <w:pStyle w:val="TextBody"/>
        <w:bidi w:val="0"/>
        <w:spacing w:before="0" w:after="0"/>
        <w:jc w:val="left"/>
        <w:rPr/>
      </w:pPr>
      <w:r>
        <w:rPr/>
        <w:t> </w:t>
      </w:r>
    </w:p>
    <w:tbl>
      <w:tblPr>
        <w:tblW w:w="4165" w:type="dxa"/>
        <w:jc w:val="left"/>
        <w:tblInd w:w="0" w:type="dxa"/>
        <w:tblLayout w:type="fixed"/>
        <w:tblCellMar>
          <w:top w:w="0" w:type="dxa"/>
          <w:left w:w="0" w:type="dxa"/>
          <w:bottom w:w="0" w:type="dxa"/>
          <w:right w:w="0" w:type="dxa"/>
        </w:tblCellMar>
      </w:tblPr>
      <w:tblGrid>
        <w:gridCol w:w="75"/>
        <w:gridCol w:w="110"/>
        <w:gridCol w:w="60"/>
        <w:gridCol w:w="39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3920" w:type="dxa"/>
            <w:tcBorders/>
            <w:vAlign w:val="center"/>
          </w:tcPr>
          <w:p>
            <w:pPr>
              <w:pStyle w:val="TableContents"/>
              <w:bidi w:val="0"/>
              <w:spacing w:before="0" w:after="0"/>
              <w:jc w:val="left"/>
              <w:rPr>
                <w:rFonts w:ascii="arial" w:hAnsi="arial"/>
                <w:sz w:val="18"/>
              </w:rPr>
            </w:pPr>
            <w:r>
              <w:rPr>
                <w:rFonts w:ascii="arial" w:hAnsi="arial"/>
                <w:sz w:val="18"/>
              </w:rPr>
              <w:t xml:space="preserve">All Board committee members are independent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Frequent executive sessions where independent directors meet without management or non-independent directors present </w:t>
            </w:r>
          </w:p>
        </w:tc>
      </w:tr>
    </w:tbl>
    <w:p>
      <w:pPr>
        <w:pStyle w:val="TextBody"/>
        <w:bidi w:val="0"/>
        <w:spacing w:before="0" w:after="0"/>
        <w:jc w:val="left"/>
        <w:rPr/>
      </w:pPr>
      <w:r>
        <w:rPr/>
        <w:t> </w:t>
      </w:r>
    </w:p>
    <w:tbl>
      <w:tblPr>
        <w:tblW w:w="2837" w:type="dxa"/>
        <w:jc w:val="left"/>
        <w:tblInd w:w="0" w:type="dxa"/>
        <w:tblLayout w:type="fixed"/>
        <w:tblCellMar>
          <w:top w:w="0" w:type="dxa"/>
          <w:left w:w="0" w:type="dxa"/>
          <w:bottom w:w="0" w:type="dxa"/>
          <w:right w:w="0" w:type="dxa"/>
        </w:tblCellMar>
      </w:tblPr>
      <w:tblGrid>
        <w:gridCol w:w="292"/>
        <w:gridCol w:w="60"/>
        <w:gridCol w:w="38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3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6" descr=""/>
                          <pic:cNvPicPr>
                            <a:picLocks noChangeAspect="1" noChangeArrowheads="1"/>
                          </pic:cNvPicPr>
                        </pic:nvPicPr>
                        <pic:blipFill>
                          <a:blip r:embed="rId27"/>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color w:val="F7ACBA"/>
              </w:rPr>
            </w:pPr>
            <w:r>
              <w:rPr>
                <w:color w:val="F7ACBA"/>
              </w:rPr>
              <w:t> </w:t>
            </w:r>
            <w:r>
              <w:rPr>
                <w:b/>
                <w:color w:val="F7ACBA"/>
              </w:rPr>
              <w:t>5 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PROXY SUMMARY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75"/>
        <w:gridCol w:w="110"/>
        <w:gridCol w:w="60"/>
        <w:gridCol w:w="37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0"/>
              <w:jc w:val="left"/>
              <w:rPr>
                <w:rFonts w:ascii="arial" w:hAnsi="arial"/>
                <w:sz w:val="18"/>
              </w:rPr>
            </w:pPr>
            <w:r>
              <w:rPr>
                <w:rFonts w:ascii="arial" w:hAnsi="arial"/>
                <w:sz w:val="18"/>
              </w:rPr>
              <w:t xml:space="preserve">Highly talented, engaged and diverse Board: </w:t>
            </w:r>
          </w:p>
        </w:tc>
      </w:tr>
    </w:tbl>
    <w:p>
      <w:pPr>
        <w:pStyle w:val="TextBody"/>
        <w:bidi w:val="0"/>
        <w:spacing w:before="0" w:after="0"/>
        <w:jc w:val="left"/>
        <w:rPr/>
      </w:pPr>
      <w:r>
        <w:rPr/>
        <w:t> </w:t>
      </w:r>
    </w:p>
    <w:tbl>
      <w:tblPr>
        <w:tblW w:w="9085" w:type="dxa"/>
        <w:jc w:val="left"/>
        <w:tblInd w:w="0" w:type="dxa"/>
        <w:tblLayout w:type="fixed"/>
        <w:tblCellMar>
          <w:top w:w="0" w:type="dxa"/>
          <w:left w:w="0" w:type="dxa"/>
          <w:bottom w:w="0" w:type="dxa"/>
          <w:right w:w="0" w:type="dxa"/>
        </w:tblCellMar>
      </w:tblPr>
      <w:tblGrid>
        <w:gridCol w:w="75"/>
        <w:gridCol w:w="110"/>
        <w:gridCol w:w="60"/>
        <w:gridCol w:w="88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8840" w:type="dxa"/>
            <w:tcBorders/>
            <w:vAlign w:val="center"/>
          </w:tcPr>
          <w:p>
            <w:pPr>
              <w:pStyle w:val="TableContents"/>
              <w:bidi w:val="0"/>
              <w:spacing w:before="0" w:after="0"/>
              <w:jc w:val="left"/>
              <w:rPr>
                <w:rFonts w:ascii="arial" w:hAnsi="arial"/>
                <w:sz w:val="18"/>
              </w:rPr>
            </w:pPr>
            <w:r>
              <w:rPr>
                <w:rFonts w:ascii="arial" w:hAnsi="arial"/>
                <w:sz w:val="18"/>
              </w:rPr>
              <w:t xml:space="preserve">89% of directors have experience as a chief executive officer, chief financial officer, or other executive officer </w:t>
            </w:r>
          </w:p>
        </w:tc>
      </w:tr>
    </w:tbl>
    <w:p>
      <w:pPr>
        <w:pStyle w:val="TextBody"/>
        <w:bidi w:val="0"/>
        <w:spacing w:before="0" w:after="0"/>
        <w:jc w:val="left"/>
        <w:rPr/>
      </w:pPr>
      <w:r>
        <w:rPr/>
        <w:t> </w:t>
      </w:r>
    </w:p>
    <w:tbl>
      <w:tblPr>
        <w:tblW w:w="2605" w:type="dxa"/>
        <w:jc w:val="left"/>
        <w:tblInd w:w="0" w:type="dxa"/>
        <w:tblLayout w:type="fixed"/>
        <w:tblCellMar>
          <w:top w:w="0" w:type="dxa"/>
          <w:left w:w="0" w:type="dxa"/>
          <w:bottom w:w="0" w:type="dxa"/>
          <w:right w:w="0" w:type="dxa"/>
        </w:tblCellMar>
      </w:tblPr>
      <w:tblGrid>
        <w:gridCol w:w="75"/>
        <w:gridCol w:w="110"/>
        <w:gridCol w:w="60"/>
        <w:gridCol w:w="23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0"/>
              <w:jc w:val="left"/>
              <w:rPr>
                <w:rFonts w:ascii="arial" w:hAnsi="arial"/>
                <w:sz w:val="18"/>
              </w:rPr>
            </w:pPr>
            <w:r>
              <w:rPr>
                <w:rFonts w:ascii="arial" w:hAnsi="arial"/>
                <w:sz w:val="18"/>
              </w:rPr>
              <w:t xml:space="preserve">78% of directors are women </w:t>
            </w:r>
          </w:p>
        </w:tc>
      </w:tr>
    </w:tbl>
    <w:p>
      <w:pPr>
        <w:pStyle w:val="TextBody"/>
        <w:bidi w:val="0"/>
        <w:spacing w:before="0" w:after="0"/>
        <w:jc w:val="left"/>
        <w:rPr/>
      </w:pPr>
      <w:r>
        <w:rPr/>
        <w:t> </w:t>
      </w:r>
    </w:p>
    <w:tbl>
      <w:tblPr>
        <w:tblW w:w="4270" w:type="dxa"/>
        <w:jc w:val="left"/>
        <w:tblInd w:w="0" w:type="dxa"/>
        <w:tblLayout w:type="fixed"/>
        <w:tblCellMar>
          <w:top w:w="0" w:type="dxa"/>
          <w:left w:w="0" w:type="dxa"/>
          <w:bottom w:w="0" w:type="dxa"/>
          <w:right w:w="0" w:type="dxa"/>
        </w:tblCellMar>
      </w:tblPr>
      <w:tblGrid>
        <w:gridCol w:w="75"/>
        <w:gridCol w:w="110"/>
        <w:gridCol w:w="60"/>
        <w:gridCol w:w="4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0"/>
              <w:jc w:val="left"/>
              <w:rPr>
                <w:rFonts w:ascii="arial" w:hAnsi="arial"/>
                <w:sz w:val="18"/>
              </w:rPr>
            </w:pPr>
            <w:r>
              <w:rPr>
                <w:rFonts w:ascii="arial" w:hAnsi="arial"/>
                <w:sz w:val="18"/>
              </w:rPr>
              <w:t xml:space="preserve">44% of directors are racially or ethnically diverse </w:t>
            </w:r>
          </w:p>
        </w:tc>
      </w:tr>
    </w:tbl>
    <w:p>
      <w:pPr>
        <w:pStyle w:val="TextBody"/>
        <w:bidi w:val="0"/>
        <w:spacing w:before="0" w:after="0"/>
        <w:jc w:val="left"/>
        <w:rPr/>
      </w:pPr>
      <w:r>
        <w:rPr/>
        <w:t> </w:t>
      </w:r>
    </w:p>
    <w:tbl>
      <w:tblPr>
        <w:tblW w:w="5620" w:type="dxa"/>
        <w:jc w:val="left"/>
        <w:tblInd w:w="0" w:type="dxa"/>
        <w:tblLayout w:type="fixed"/>
        <w:tblCellMar>
          <w:top w:w="0" w:type="dxa"/>
          <w:left w:w="0" w:type="dxa"/>
          <w:bottom w:w="0" w:type="dxa"/>
          <w:right w:w="0" w:type="dxa"/>
        </w:tblCellMar>
      </w:tblPr>
      <w:tblGrid>
        <w:gridCol w:w="75"/>
        <w:gridCol w:w="110"/>
        <w:gridCol w:w="60"/>
        <w:gridCol w:w="5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0"/>
              <w:jc w:val="left"/>
              <w:rPr>
                <w:rFonts w:ascii="arial" w:hAnsi="arial"/>
                <w:sz w:val="18"/>
              </w:rPr>
            </w:pPr>
            <w:r>
              <w:rPr>
                <w:rFonts w:ascii="arial" w:hAnsi="arial"/>
                <w:sz w:val="18"/>
              </w:rPr>
              <w:t xml:space="preserve">98% director attendance at all Board meetings held in fiscal 2023 </w:t>
            </w:r>
          </w:p>
        </w:tc>
      </w:tr>
    </w:tbl>
    <w:p>
      <w:pPr>
        <w:pStyle w:val="TextBody"/>
        <w:bidi w:val="0"/>
        <w:spacing w:before="0" w:after="0"/>
        <w:jc w:val="left"/>
        <w:rPr/>
      </w:pPr>
      <w:r>
        <w:rPr/>
        <w:t> </w:t>
      </w:r>
    </w:p>
    <w:tbl>
      <w:tblPr>
        <w:tblW w:w="3760" w:type="dxa"/>
        <w:jc w:val="left"/>
        <w:tblInd w:w="0" w:type="dxa"/>
        <w:tblLayout w:type="fixed"/>
        <w:tblCellMar>
          <w:top w:w="0" w:type="dxa"/>
          <w:left w:w="0" w:type="dxa"/>
          <w:bottom w:w="0" w:type="dxa"/>
          <w:right w:w="0" w:type="dxa"/>
        </w:tblCellMar>
      </w:tblPr>
      <w:tblGrid>
        <w:gridCol w:w="75"/>
        <w:gridCol w:w="110"/>
        <w:gridCol w:w="60"/>
        <w:gridCol w:w="35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0"/>
              <w:jc w:val="left"/>
              <w:rPr>
                <w:rFonts w:ascii="arial" w:hAnsi="arial"/>
                <w:sz w:val="18"/>
              </w:rPr>
            </w:pPr>
            <w:r>
              <w:rPr>
                <w:rFonts w:ascii="arial" w:hAnsi="arial"/>
                <w:sz w:val="18"/>
              </w:rPr>
              <w:t xml:space="preserve">Robust stockholder engagement practices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75"/>
        <w:gridCol w:w="110"/>
        <w:gridCol w:w="60"/>
        <w:gridCol w:w="2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0"/>
              <w:jc w:val="left"/>
              <w:rPr>
                <w:rFonts w:ascii="arial" w:hAnsi="arial"/>
                <w:sz w:val="18"/>
              </w:rPr>
            </w:pPr>
            <w:r>
              <w:rPr>
                <w:rFonts w:ascii="arial" w:hAnsi="arial"/>
                <w:sz w:val="18"/>
              </w:rPr>
              <w:t xml:space="preserve">Proxy access rights for stockholders </w:t>
            </w:r>
          </w:p>
        </w:tc>
      </w:tr>
    </w:tbl>
    <w:p>
      <w:pPr>
        <w:pStyle w:val="TextBody"/>
        <w:bidi w:val="0"/>
        <w:spacing w:before="0" w:after="0"/>
        <w:jc w:val="left"/>
        <w:rPr/>
      </w:pPr>
      <w:r>
        <w:rPr/>
        <w:t> </w:t>
      </w:r>
    </w:p>
    <w:tbl>
      <w:tblPr>
        <w:tblW w:w="1450" w:type="dxa"/>
        <w:jc w:val="left"/>
        <w:tblInd w:w="0" w:type="dxa"/>
        <w:tblLayout w:type="fixed"/>
        <w:tblCellMar>
          <w:top w:w="0" w:type="dxa"/>
          <w:left w:w="0" w:type="dxa"/>
          <w:bottom w:w="0" w:type="dxa"/>
          <w:right w:w="0" w:type="dxa"/>
        </w:tblCellMar>
      </w:tblPr>
      <w:tblGrid>
        <w:gridCol w:w="75"/>
        <w:gridCol w:w="110"/>
        <w:gridCol w:w="60"/>
        <w:gridCol w:w="12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0"/>
              <w:jc w:val="left"/>
              <w:rPr>
                <w:rFonts w:ascii="arial" w:hAnsi="arial"/>
                <w:sz w:val="18"/>
              </w:rPr>
            </w:pPr>
            <w:r>
              <w:rPr>
                <w:rFonts w:ascii="arial" w:hAnsi="arial"/>
                <w:sz w:val="18"/>
              </w:rPr>
              <w:t xml:space="preserve">No poison pill </w:t>
            </w:r>
          </w:p>
        </w:tc>
      </w:tr>
    </w:tbl>
    <w:p>
      <w:pPr>
        <w:pStyle w:val="TextBody"/>
        <w:bidi w:val="0"/>
        <w:spacing w:before="0" w:after="0"/>
        <w:jc w:val="left"/>
        <w:rPr/>
      </w:pPr>
      <w:r>
        <w:rPr/>
        <w:t> </w:t>
      </w:r>
    </w:p>
    <w:tbl>
      <w:tblPr>
        <w:tblW w:w="3880" w:type="dxa"/>
        <w:jc w:val="left"/>
        <w:tblInd w:w="0" w:type="dxa"/>
        <w:tblLayout w:type="fixed"/>
        <w:tblCellMar>
          <w:top w:w="0" w:type="dxa"/>
          <w:left w:w="0" w:type="dxa"/>
          <w:bottom w:w="0" w:type="dxa"/>
          <w:right w:w="0" w:type="dxa"/>
        </w:tblCellMar>
      </w:tblPr>
      <w:tblGrid>
        <w:gridCol w:w="75"/>
        <w:gridCol w:w="110"/>
        <w:gridCol w:w="60"/>
        <w:gridCol w:w="3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jc w:val="left"/>
              <w:rPr>
                <w:rFonts w:ascii="arial" w:hAnsi="arial"/>
                <w:sz w:val="18"/>
              </w:rPr>
            </w:pPr>
            <w:r>
              <w:rPr>
                <w:rFonts w:ascii="arial" w:hAnsi="arial"/>
                <w:sz w:val="18"/>
              </w:rPr>
              <w:t xml:space="preserve">Robust Board oversight and commitment to: </w:t>
            </w:r>
          </w:p>
        </w:tc>
      </w:tr>
    </w:tbl>
    <w:p>
      <w:pPr>
        <w:pStyle w:val="TextBody"/>
        <w:bidi w:val="0"/>
        <w:spacing w:before="0" w:after="0"/>
        <w:jc w:val="left"/>
        <w:rPr/>
      </w:pPr>
      <w:r>
        <w:rPr/>
        <w:t> </w:t>
      </w:r>
    </w:p>
    <w:tbl>
      <w:tblPr>
        <w:tblW w:w="2305" w:type="dxa"/>
        <w:jc w:val="left"/>
        <w:tblInd w:w="0" w:type="dxa"/>
        <w:tblLayout w:type="fixed"/>
        <w:tblCellMar>
          <w:top w:w="0" w:type="dxa"/>
          <w:left w:w="0" w:type="dxa"/>
          <w:bottom w:w="0" w:type="dxa"/>
          <w:right w:w="0" w:type="dxa"/>
        </w:tblCellMar>
      </w:tblPr>
      <w:tblGrid>
        <w:gridCol w:w="75"/>
        <w:gridCol w:w="110"/>
        <w:gridCol w:w="60"/>
        <w:gridCol w:w="20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0"/>
              <w:jc w:val="left"/>
              <w:rPr>
                <w:rFonts w:ascii="arial" w:hAnsi="arial"/>
                <w:sz w:val="18"/>
              </w:rPr>
            </w:pPr>
            <w:r>
              <w:rPr>
                <w:rFonts w:ascii="arial" w:hAnsi="arial"/>
                <w:sz w:val="18"/>
              </w:rPr>
              <w:t xml:space="preserve">Long-term strategic plan </w:t>
            </w:r>
          </w:p>
        </w:tc>
      </w:tr>
    </w:tbl>
    <w:p>
      <w:pPr>
        <w:pStyle w:val="TextBody"/>
        <w:bidi w:val="0"/>
        <w:spacing w:before="0" w:after="0"/>
        <w:jc w:val="left"/>
        <w:rPr/>
      </w:pPr>
      <w:r>
        <w:rPr/>
        <w:t> </w:t>
      </w:r>
    </w:p>
    <w:tbl>
      <w:tblPr>
        <w:tblW w:w="2170" w:type="dxa"/>
        <w:jc w:val="left"/>
        <w:tblInd w:w="0" w:type="dxa"/>
        <w:tblLayout w:type="fixed"/>
        <w:tblCellMar>
          <w:top w:w="0" w:type="dxa"/>
          <w:left w:w="0" w:type="dxa"/>
          <w:bottom w:w="0" w:type="dxa"/>
          <w:right w:w="0" w:type="dxa"/>
        </w:tblCellMar>
      </w:tblPr>
      <w:tblGrid>
        <w:gridCol w:w="75"/>
        <w:gridCol w:w="110"/>
        <w:gridCol w:w="60"/>
        <w:gridCol w:w="1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0"/>
              <w:jc w:val="left"/>
              <w:rPr>
                <w:rFonts w:ascii="arial" w:hAnsi="arial"/>
                <w:sz w:val="18"/>
              </w:rPr>
            </w:pPr>
            <w:r>
              <w:rPr>
                <w:rFonts w:ascii="arial" w:hAnsi="arial"/>
                <w:sz w:val="18"/>
              </w:rPr>
              <w:t xml:space="preserve">Ethics and compliance </w:t>
            </w:r>
          </w:p>
        </w:tc>
      </w:tr>
    </w:tbl>
    <w:p>
      <w:pPr>
        <w:pStyle w:val="TextBody"/>
        <w:bidi w:val="0"/>
        <w:spacing w:before="0" w:after="0"/>
        <w:jc w:val="left"/>
        <w:rPr/>
      </w:pPr>
      <w:r>
        <w:rPr/>
        <w:t> </w:t>
      </w:r>
    </w:p>
    <w:tbl>
      <w:tblPr>
        <w:tblW w:w="3430" w:type="dxa"/>
        <w:jc w:val="left"/>
        <w:tblInd w:w="0" w:type="dxa"/>
        <w:tblLayout w:type="fixed"/>
        <w:tblCellMar>
          <w:top w:w="0" w:type="dxa"/>
          <w:left w:w="0" w:type="dxa"/>
          <w:bottom w:w="0" w:type="dxa"/>
          <w:right w:w="0" w:type="dxa"/>
        </w:tblCellMar>
      </w:tblPr>
      <w:tblGrid>
        <w:gridCol w:w="75"/>
        <w:gridCol w:w="110"/>
        <w:gridCol w:w="60"/>
        <w:gridCol w:w="31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0"/>
              <w:jc w:val="left"/>
              <w:rPr>
                <w:rFonts w:ascii="arial" w:hAnsi="arial"/>
                <w:sz w:val="18"/>
              </w:rPr>
            </w:pPr>
            <w:r>
              <w:rPr>
                <w:rFonts w:ascii="arial" w:hAnsi="arial"/>
                <w:sz w:val="18"/>
              </w:rPr>
              <w:t xml:space="preserve">Sustainability and social responsibility </w:t>
            </w:r>
          </w:p>
        </w:tc>
      </w:tr>
    </w:tbl>
    <w:p>
      <w:pPr>
        <w:pStyle w:val="TextBody"/>
        <w:bidi w:val="0"/>
        <w:spacing w:before="0" w:after="0"/>
        <w:jc w:val="left"/>
        <w:rPr/>
      </w:pPr>
      <w:r>
        <w:rPr/>
        <w:t> </w:t>
      </w:r>
    </w:p>
    <w:tbl>
      <w:tblPr>
        <w:tblW w:w="1330" w:type="dxa"/>
        <w:jc w:val="left"/>
        <w:tblInd w:w="0" w:type="dxa"/>
        <w:tblLayout w:type="fixed"/>
        <w:tblCellMar>
          <w:top w:w="0" w:type="dxa"/>
          <w:left w:w="0" w:type="dxa"/>
          <w:bottom w:w="0" w:type="dxa"/>
          <w:right w:w="0" w:type="dxa"/>
        </w:tblCellMar>
      </w:tblPr>
      <w:tblGrid>
        <w:gridCol w:w="75"/>
        <w:gridCol w:w="110"/>
        <w:gridCol w:w="60"/>
        <w:gridCol w:w="10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0"/>
              <w:jc w:val="left"/>
              <w:rPr>
                <w:rFonts w:ascii="arial" w:hAnsi="arial"/>
                <w:sz w:val="18"/>
              </w:rPr>
            </w:pPr>
            <w:r>
              <w:rPr>
                <w:rFonts w:ascii="arial" w:hAnsi="arial"/>
                <w:sz w:val="18"/>
              </w:rPr>
              <w:t xml:space="preserve">Governance </w:t>
            </w:r>
          </w:p>
        </w:tc>
      </w:tr>
    </w:tbl>
    <w:p>
      <w:pPr>
        <w:pStyle w:val="TextBody"/>
        <w:bidi w:val="0"/>
        <w:spacing w:before="0" w:after="0"/>
        <w:jc w:val="left"/>
        <w:rPr/>
      </w:pPr>
      <w:r>
        <w:rPr/>
        <w:t> </w:t>
      </w:r>
    </w:p>
    <w:tbl>
      <w:tblPr>
        <w:tblW w:w="2755" w:type="dxa"/>
        <w:jc w:val="left"/>
        <w:tblInd w:w="0" w:type="dxa"/>
        <w:tblLayout w:type="fixed"/>
        <w:tblCellMar>
          <w:top w:w="0" w:type="dxa"/>
          <w:left w:w="0" w:type="dxa"/>
          <w:bottom w:w="0" w:type="dxa"/>
          <w:right w:w="0" w:type="dxa"/>
        </w:tblCellMar>
      </w:tblPr>
      <w:tblGrid>
        <w:gridCol w:w="75"/>
        <w:gridCol w:w="110"/>
        <w:gridCol w:w="60"/>
        <w:gridCol w:w="25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0"/>
              <w:jc w:val="left"/>
              <w:rPr>
                <w:rFonts w:ascii="arial" w:hAnsi="arial"/>
                <w:sz w:val="18"/>
              </w:rPr>
            </w:pPr>
            <w:r>
              <w:rPr>
                <w:rFonts w:ascii="arial" w:hAnsi="arial"/>
                <w:sz w:val="18"/>
              </w:rPr>
              <w:t xml:space="preserve">Diversity, equity and inclusion </w:t>
            </w:r>
          </w:p>
        </w:tc>
      </w:tr>
    </w:tbl>
    <w:p>
      <w:pPr>
        <w:pStyle w:val="TextBody"/>
        <w:bidi w:val="0"/>
        <w:spacing w:before="0" w:after="0"/>
        <w:jc w:val="left"/>
        <w:rPr/>
      </w:pPr>
      <w:r>
        <w:rPr/>
        <w:t> </w:t>
      </w:r>
    </w:p>
    <w:tbl>
      <w:tblPr>
        <w:tblW w:w="7210" w:type="dxa"/>
        <w:jc w:val="left"/>
        <w:tblInd w:w="0" w:type="dxa"/>
        <w:tblLayout w:type="fixed"/>
        <w:tblCellMar>
          <w:top w:w="0" w:type="dxa"/>
          <w:left w:w="0" w:type="dxa"/>
          <w:bottom w:w="0" w:type="dxa"/>
          <w:right w:w="0" w:type="dxa"/>
        </w:tblCellMar>
      </w:tblPr>
      <w:tblGrid>
        <w:gridCol w:w="75"/>
        <w:gridCol w:w="110"/>
        <w:gridCol w:w="60"/>
        <w:gridCol w:w="69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6965" w:type="dxa"/>
            <w:tcBorders/>
            <w:vAlign w:val="center"/>
          </w:tcPr>
          <w:p>
            <w:pPr>
              <w:pStyle w:val="TableContents"/>
              <w:bidi w:val="0"/>
              <w:spacing w:before="0" w:after="0"/>
              <w:jc w:val="left"/>
              <w:rPr>
                <w:rFonts w:ascii="arial" w:hAnsi="arial"/>
                <w:sz w:val="18"/>
              </w:rPr>
            </w:pPr>
            <w:r>
              <w:rPr>
                <w:rFonts w:ascii="arial" w:hAnsi="arial"/>
                <w:sz w:val="18"/>
              </w:rPr>
              <w:t xml:space="preserve">Policies prohibiting pledging, hedging and monetization transactions of VS&amp;Co stock </w:t>
            </w:r>
          </w:p>
        </w:tc>
      </w:tr>
    </w:tbl>
    <w:p>
      <w:pPr>
        <w:pStyle w:val="TextBody"/>
        <w:bidi w:val="0"/>
        <w:spacing w:before="360" w:after="0"/>
        <w:jc w:val="left"/>
        <w:rPr>
          <w:rFonts w:ascii="arial" w:hAnsi="arial"/>
          <w:sz w:val="30"/>
        </w:rPr>
      </w:pPr>
      <w:r>
        <w:rPr>
          <w:rFonts w:ascii="arial" w:hAnsi="arial"/>
          <w:sz w:val="30"/>
        </w:rPr>
        <w:t xml:space="preserve">Environmental Sustainability and Social Compliance Highlights </w:t>
      </w:r>
    </w:p>
    <w:p>
      <w:pPr>
        <w:pStyle w:val="TextBody"/>
        <w:bidi w:val="0"/>
        <w:spacing w:before="120" w:after="0"/>
        <w:jc w:val="left"/>
        <w:rPr>
          <w:rFonts w:ascii="arial" w:hAnsi="arial"/>
          <w:sz w:val="18"/>
        </w:rPr>
      </w:pPr>
      <w:r>
        <w:rPr>
          <w:rFonts w:ascii="arial" w:hAnsi="arial"/>
          <w:sz w:val="18"/>
        </w:rPr>
        <w:t xml:space="preserve">We are committed to driving positive change with women, for women. This not only promotes the stability and sustainability of our operations, workforce, communities, and environment but also supports the expectations of our key stakeholders and the creation of long-term value for our stockholders. Our customers and associates look to us to provide products they feel good about, lead with integrity, champion women’s empowerment, and uphold ethical practices throughout our operations. By prioritizing environmental, social and governance (“ESG”) initiatives that resonate with our stakeholders’ values, we not only meet their needs but also contribute to a more equitable and sustainable future, underlining our belief in the transformative power of women to drive meaningful change. We are constantly learning and evolving our practices by: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Integrating our ESG strategy into our company culture and operations, through the leadership of our ESG Committee comprised of senior executives across the enterprise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Publishing our annual ESG report in April 2024 as guided by the Sustainability Accounting Standards Board (SASB) and with reference to the Global Reporting Initiative (GRI) framework and International Financial Reporting Standards S2 framework on Climate-Related Disclosures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Improving the measurement and tracking of our environmental performance, risks, and opportunities and developing roadmaps to drive our top ESG strategic initiatives forward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Partnering with our suppliers to help ensure compliance with our Supplier Code of Conduct and environmental policies, including chemical use and wastewater management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Measuring, verifying, and reporting our greenhouse gas emissions and continuing to develop our climate strategy to address our emissions </w:t>
            </w:r>
          </w:p>
        </w:tc>
      </w:tr>
    </w:tbl>
    <w:p>
      <w:pPr>
        <w:pStyle w:val="TextBody"/>
        <w:bidi w:val="0"/>
        <w:spacing w:before="0" w:after="0"/>
        <w:jc w:val="left"/>
        <w:rPr/>
      </w:pPr>
      <w:r>
        <w:rPr/>
        <w:t> </w:t>
      </w:r>
    </w:p>
    <w:tbl>
      <w:tblPr>
        <w:tblW w:w="9595" w:type="dxa"/>
        <w:jc w:val="left"/>
        <w:tblInd w:w="0" w:type="dxa"/>
        <w:tblLayout w:type="fixed"/>
        <w:tblCellMar>
          <w:top w:w="0" w:type="dxa"/>
          <w:left w:w="0" w:type="dxa"/>
          <w:bottom w:w="0" w:type="dxa"/>
          <w:right w:w="0" w:type="dxa"/>
        </w:tblCellMar>
      </w:tblPr>
      <w:tblGrid>
        <w:gridCol w:w="75"/>
        <w:gridCol w:w="110"/>
        <w:gridCol w:w="60"/>
        <w:gridCol w:w="9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9350" w:type="dxa"/>
            <w:tcBorders/>
            <w:vAlign w:val="center"/>
          </w:tcPr>
          <w:p>
            <w:pPr>
              <w:pStyle w:val="TableContents"/>
              <w:bidi w:val="0"/>
              <w:spacing w:before="0" w:after="0"/>
              <w:jc w:val="left"/>
              <w:rPr>
                <w:rFonts w:ascii="arial" w:hAnsi="arial"/>
                <w:sz w:val="18"/>
              </w:rPr>
            </w:pPr>
            <w:r>
              <w:rPr>
                <w:rFonts w:ascii="arial" w:hAnsi="arial"/>
                <w:sz w:val="18"/>
              </w:rPr>
              <w:t xml:space="preserve">Optimizing our packaging, including decreasing the amount of packaging and increasing use of recycled materials </w:t>
            </w:r>
          </w:p>
        </w:tc>
      </w:tr>
    </w:tbl>
    <w:p>
      <w:pPr>
        <w:pStyle w:val="TextBody"/>
        <w:bidi w:val="0"/>
        <w:spacing w:before="0" w:after="0"/>
        <w:jc w:val="left"/>
        <w:rPr/>
      </w:pPr>
      <w:r>
        <w:rPr/>
        <w:t> </w:t>
      </w:r>
    </w:p>
    <w:tbl>
      <w:tblPr>
        <w:tblW w:w="6835" w:type="dxa"/>
        <w:jc w:val="left"/>
        <w:tblInd w:w="0" w:type="dxa"/>
        <w:tblLayout w:type="fixed"/>
        <w:tblCellMar>
          <w:top w:w="0" w:type="dxa"/>
          <w:left w:w="0" w:type="dxa"/>
          <w:bottom w:w="0" w:type="dxa"/>
          <w:right w:w="0" w:type="dxa"/>
        </w:tblCellMar>
      </w:tblPr>
      <w:tblGrid>
        <w:gridCol w:w="75"/>
        <w:gridCol w:w="110"/>
        <w:gridCol w:w="60"/>
        <w:gridCol w:w="65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6590" w:type="dxa"/>
            <w:tcBorders/>
            <w:vAlign w:val="center"/>
          </w:tcPr>
          <w:p>
            <w:pPr>
              <w:pStyle w:val="TableContents"/>
              <w:bidi w:val="0"/>
              <w:spacing w:before="0" w:after="0"/>
              <w:jc w:val="left"/>
              <w:rPr>
                <w:rFonts w:ascii="arial" w:hAnsi="arial"/>
                <w:sz w:val="18"/>
              </w:rPr>
            </w:pPr>
            <w:r>
              <w:rPr>
                <w:rFonts w:ascii="arial" w:hAnsi="arial"/>
                <w:sz w:val="18"/>
              </w:rPr>
              <w:t xml:space="preserve">Expanding circularity initiatives and piloting end-of-life channels for our products </w:t>
            </w:r>
          </w:p>
        </w:tc>
      </w:tr>
    </w:tbl>
    <w:p>
      <w:pPr>
        <w:pStyle w:val="TextBody"/>
        <w:bidi w:val="0"/>
        <w:spacing w:before="0" w:after="0"/>
        <w:jc w:val="left"/>
        <w:rPr/>
      </w:pPr>
      <w:r>
        <w:rPr/>
        <w:t> </w:t>
      </w:r>
    </w:p>
    <w:tbl>
      <w:tblPr>
        <w:tblW w:w="2837" w:type="dxa"/>
        <w:jc w:val="left"/>
        <w:tblInd w:w="0" w:type="dxa"/>
        <w:tblLayout w:type="fixed"/>
        <w:tblCellMar>
          <w:top w:w="0" w:type="dxa"/>
          <w:left w:w="0" w:type="dxa"/>
          <w:bottom w:w="0" w:type="dxa"/>
          <w:right w:w="0" w:type="dxa"/>
        </w:tblCellMar>
      </w:tblPr>
      <w:tblGrid>
        <w:gridCol w:w="292"/>
        <w:gridCol w:w="60"/>
        <w:gridCol w:w="38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3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7" descr=""/>
                          <pic:cNvPicPr>
                            <a:picLocks noChangeAspect="1" noChangeArrowheads="1"/>
                          </pic:cNvPicPr>
                        </pic:nvPicPr>
                        <pic:blipFill>
                          <a:blip r:embed="rId28"/>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color w:val="F7ACBA"/>
              </w:rPr>
            </w:pPr>
            <w:r>
              <w:rPr>
                <w:color w:val="F7ACBA"/>
              </w:rPr>
              <w:t> </w:t>
            </w:r>
            <w:r>
              <w:rPr>
                <w:b/>
                <w:color w:val="F7ACBA"/>
              </w:rPr>
              <w:t>6 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PROXY SUMMARY </w:t>
      </w:r>
    </w:p>
    <w:p>
      <w:pPr>
        <w:pStyle w:val="TextBody"/>
        <w:bidi w:val="0"/>
        <w:spacing w:before="0" w:after="0"/>
        <w:jc w:val="left"/>
        <w:rPr/>
      </w:pPr>
      <w:r>
        <w:rPr/>
        <w:t> </w:t>
      </w:r>
    </w:p>
    <w:p>
      <w:pPr>
        <w:pStyle w:val="TextBody"/>
        <w:bidi w:val="0"/>
        <w:spacing w:before="0" w:after="0"/>
        <w:jc w:val="left"/>
        <w:rPr>
          <w:rFonts w:ascii="arial" w:hAnsi="arial"/>
          <w:sz w:val="30"/>
        </w:rPr>
      </w:pPr>
      <w:r>
        <w:rPr>
          <w:rFonts w:ascii="arial" w:hAnsi="arial"/>
          <w:sz w:val="30"/>
        </w:rPr>
        <w:t xml:space="preserve">Human Capital Highlights </w:t>
      </w:r>
    </w:p>
    <w:p>
      <w:pPr>
        <w:pStyle w:val="TextBody"/>
        <w:bidi w:val="0"/>
        <w:spacing w:before="120" w:after="0"/>
        <w:jc w:val="left"/>
        <w:rPr>
          <w:rFonts w:ascii="arial" w:hAnsi="arial"/>
          <w:sz w:val="18"/>
        </w:rPr>
      </w:pPr>
      <w:r>
        <w:rPr>
          <w:rFonts w:ascii="arial" w:hAnsi="arial"/>
          <w:sz w:val="18"/>
        </w:rPr>
        <w:t xml:space="preserve">We are committed to not just selling products but using our scale and platform to champion every voice and drive forward inclusion and equity for every individual. Key aspects of our human capital management, especially our diversity, equity &amp; inclusion (“DEI”) framework, are highlighted below: </w:t>
      </w:r>
    </w:p>
    <w:p>
      <w:pPr>
        <w:pStyle w:val="TextBody"/>
        <w:bidi w:val="0"/>
        <w:spacing w:before="0" w:after="0"/>
        <w:jc w:val="left"/>
        <w:rPr/>
      </w:pPr>
      <w:r>
        <w:rPr/>
        <w:t> </w:t>
      </w:r>
    </w:p>
    <w:tbl>
      <w:tblPr>
        <w:tblW w:w="8560" w:type="dxa"/>
        <w:jc w:val="left"/>
        <w:tblInd w:w="0" w:type="dxa"/>
        <w:tblLayout w:type="fixed"/>
        <w:tblCellMar>
          <w:top w:w="0" w:type="dxa"/>
          <w:left w:w="0" w:type="dxa"/>
          <w:bottom w:w="0" w:type="dxa"/>
          <w:right w:w="0" w:type="dxa"/>
        </w:tblCellMar>
      </w:tblPr>
      <w:tblGrid>
        <w:gridCol w:w="75"/>
        <w:gridCol w:w="110"/>
        <w:gridCol w:w="60"/>
        <w:gridCol w:w="8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8315" w:type="dxa"/>
            <w:tcBorders/>
            <w:vAlign w:val="center"/>
          </w:tcPr>
          <w:p>
            <w:pPr>
              <w:pStyle w:val="TableContents"/>
              <w:bidi w:val="0"/>
              <w:spacing w:before="0" w:after="0"/>
              <w:jc w:val="left"/>
              <w:rPr>
                <w:rFonts w:ascii="arial" w:hAnsi="arial"/>
                <w:sz w:val="18"/>
              </w:rPr>
            </w:pPr>
            <w:r>
              <w:rPr>
                <w:rFonts w:ascii="arial" w:hAnsi="arial"/>
                <w:sz w:val="18"/>
              </w:rPr>
              <w:t xml:space="preserve">Focus on three key pillars—people, experience, and purpose—to integrate DEI into everything we do: </w:t>
            </w:r>
          </w:p>
        </w:tc>
      </w:tr>
    </w:tbl>
    <w:p>
      <w:pPr>
        <w:pStyle w:val="TextBody"/>
        <w:bidi w:val="0"/>
        <w:spacing w:before="0" w:after="0"/>
        <w:jc w:val="left"/>
        <w:rPr/>
      </w:pPr>
      <w:r>
        <w:rPr/>
        <w:t> </w:t>
      </w:r>
    </w:p>
    <w:tbl>
      <w:tblPr>
        <w:tblW w:w="3565" w:type="dxa"/>
        <w:jc w:val="left"/>
        <w:tblInd w:w="0" w:type="dxa"/>
        <w:tblLayout w:type="fixed"/>
        <w:tblCellMar>
          <w:top w:w="0" w:type="dxa"/>
          <w:left w:w="0" w:type="dxa"/>
          <w:bottom w:w="0" w:type="dxa"/>
          <w:right w:w="0" w:type="dxa"/>
        </w:tblCellMar>
      </w:tblPr>
      <w:tblGrid>
        <w:gridCol w:w="75"/>
        <w:gridCol w:w="110"/>
        <w:gridCol w:w="60"/>
        <w:gridCol w:w="3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0"/>
              <w:jc w:val="left"/>
              <w:rPr>
                <w:rFonts w:ascii="arial" w:hAnsi="arial"/>
                <w:sz w:val="18"/>
              </w:rPr>
            </w:pPr>
            <w:r>
              <w:rPr>
                <w:rFonts w:ascii="arial" w:hAnsi="arial"/>
                <w:sz w:val="18"/>
              </w:rPr>
              <w:t xml:space="preserve">People: retention, growth, advancement </w:t>
            </w:r>
          </w:p>
        </w:tc>
      </w:tr>
    </w:tbl>
    <w:p>
      <w:pPr>
        <w:pStyle w:val="TextBody"/>
        <w:bidi w:val="0"/>
        <w:spacing w:before="0" w:after="0"/>
        <w:jc w:val="left"/>
        <w:rPr/>
      </w:pPr>
      <w:r>
        <w:rPr/>
        <w:t> </w:t>
      </w:r>
    </w:p>
    <w:tbl>
      <w:tblPr>
        <w:tblW w:w="6310" w:type="dxa"/>
        <w:jc w:val="left"/>
        <w:tblInd w:w="0" w:type="dxa"/>
        <w:tblLayout w:type="fixed"/>
        <w:tblCellMar>
          <w:top w:w="0" w:type="dxa"/>
          <w:left w:w="0" w:type="dxa"/>
          <w:bottom w:w="0" w:type="dxa"/>
          <w:right w:w="0" w:type="dxa"/>
        </w:tblCellMar>
      </w:tblPr>
      <w:tblGrid>
        <w:gridCol w:w="75"/>
        <w:gridCol w:w="110"/>
        <w:gridCol w:w="60"/>
        <w:gridCol w:w="60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0"/>
              <w:jc w:val="left"/>
              <w:rPr>
                <w:rFonts w:ascii="arial" w:hAnsi="arial"/>
                <w:sz w:val="18"/>
              </w:rPr>
            </w:pPr>
            <w:r>
              <w:rPr>
                <w:rFonts w:ascii="arial" w:hAnsi="arial"/>
                <w:sz w:val="18"/>
              </w:rPr>
              <w:t xml:space="preserve">Experience: engagement, inclusive leadership, happy and healthy culture </w:t>
            </w:r>
          </w:p>
        </w:tc>
      </w:tr>
    </w:tbl>
    <w:p>
      <w:pPr>
        <w:pStyle w:val="TextBody"/>
        <w:bidi w:val="0"/>
        <w:spacing w:before="0" w:after="0"/>
        <w:jc w:val="left"/>
        <w:rPr/>
      </w:pPr>
      <w:r>
        <w:rPr/>
        <w:t> </w:t>
      </w:r>
    </w:p>
    <w:tbl>
      <w:tblPr>
        <w:tblW w:w="9910" w:type="dxa"/>
        <w:jc w:val="left"/>
        <w:tblInd w:w="0" w:type="dxa"/>
        <w:tblLayout w:type="fixed"/>
        <w:tblCellMar>
          <w:top w:w="0" w:type="dxa"/>
          <w:left w:w="0" w:type="dxa"/>
          <w:bottom w:w="0" w:type="dxa"/>
          <w:right w:w="0" w:type="dxa"/>
        </w:tblCellMar>
      </w:tblPr>
      <w:tblGrid>
        <w:gridCol w:w="75"/>
        <w:gridCol w:w="110"/>
        <w:gridCol w:w="60"/>
        <w:gridCol w:w="9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9665" w:type="dxa"/>
            <w:tcBorders/>
            <w:vAlign w:val="center"/>
          </w:tcPr>
          <w:p>
            <w:pPr>
              <w:pStyle w:val="TableContents"/>
              <w:bidi w:val="0"/>
              <w:spacing w:before="0" w:after="0"/>
              <w:jc w:val="left"/>
              <w:rPr>
                <w:rFonts w:ascii="arial" w:hAnsi="arial"/>
                <w:sz w:val="18"/>
              </w:rPr>
            </w:pPr>
            <w:r>
              <w:rPr>
                <w:rFonts w:ascii="arial" w:hAnsi="arial"/>
                <w:sz w:val="18"/>
              </w:rPr>
              <w:t xml:space="preserve">Purpose: create products meeting diverse needs, inspire and uplift, empower the communities where we live and work </w:t>
            </w:r>
          </w:p>
        </w:tc>
      </w:tr>
    </w:tbl>
    <w:p>
      <w:pPr>
        <w:pStyle w:val="TextBody"/>
        <w:bidi w:val="0"/>
        <w:spacing w:before="0" w:after="0"/>
        <w:jc w:val="left"/>
        <w:rPr/>
      </w:pPr>
      <w:r>
        <w:rPr/>
        <w:t> </w:t>
      </w:r>
    </w:p>
    <w:tbl>
      <w:tblPr>
        <w:tblW w:w="7270" w:type="dxa"/>
        <w:jc w:val="left"/>
        <w:tblInd w:w="0" w:type="dxa"/>
        <w:tblLayout w:type="fixed"/>
        <w:tblCellMar>
          <w:top w:w="0" w:type="dxa"/>
          <w:left w:w="0" w:type="dxa"/>
          <w:bottom w:w="0" w:type="dxa"/>
          <w:right w:w="0" w:type="dxa"/>
        </w:tblCellMar>
      </w:tblPr>
      <w:tblGrid>
        <w:gridCol w:w="75"/>
        <w:gridCol w:w="110"/>
        <w:gridCol w:w="60"/>
        <w:gridCol w:w="70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7025" w:type="dxa"/>
            <w:tcBorders/>
            <w:vAlign w:val="center"/>
          </w:tcPr>
          <w:p>
            <w:pPr>
              <w:pStyle w:val="TableContents"/>
              <w:bidi w:val="0"/>
              <w:spacing w:before="0" w:after="0"/>
              <w:jc w:val="left"/>
              <w:rPr>
                <w:rFonts w:ascii="arial" w:hAnsi="arial"/>
                <w:sz w:val="18"/>
              </w:rPr>
            </w:pPr>
            <w:r>
              <w:rPr>
                <w:rFonts w:ascii="arial" w:hAnsi="arial"/>
                <w:sz w:val="18"/>
              </w:rPr>
              <w:t xml:space="preserve">Capture and publish our gender, race and ethnicity workforce representation statistics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Invest in our associates by providing diverse learning and development opportunities and offering Inclusion Resource Groups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Strive to foster a happy, healthy, and inclusive work culture where all associates can bring their whole selves to work, be provided with quality benefits, and offered equitable and competitive wages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Commit to pay all associates equitably for equal work regardless of gender, race, and ethnicity (and intersectionality of these identities)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Prioritize the health and safety of our associates, customers, and vendors by complying with applicable workplace safety laws and having global safety policies </w:t>
            </w:r>
          </w:p>
        </w:tc>
      </w:tr>
    </w:tbl>
    <w:p>
      <w:pPr>
        <w:pStyle w:val="TextBody"/>
        <w:bidi w:val="0"/>
        <w:spacing w:before="0" w:after="0"/>
        <w:jc w:val="left"/>
        <w:rPr/>
      </w:pPr>
      <w:r>
        <w:rPr/>
        <w:t> </w:t>
      </w:r>
    </w:p>
    <w:tbl>
      <w:tblPr>
        <w:tblW w:w="9415" w:type="dxa"/>
        <w:jc w:val="left"/>
        <w:tblInd w:w="0" w:type="dxa"/>
        <w:tblLayout w:type="fixed"/>
        <w:tblCellMar>
          <w:top w:w="0" w:type="dxa"/>
          <w:left w:w="0" w:type="dxa"/>
          <w:bottom w:w="0" w:type="dxa"/>
          <w:right w:w="0" w:type="dxa"/>
        </w:tblCellMar>
      </w:tblPr>
      <w:tblGrid>
        <w:gridCol w:w="75"/>
        <w:gridCol w:w="110"/>
        <w:gridCol w:w="60"/>
        <w:gridCol w:w="9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9170" w:type="dxa"/>
            <w:tcBorders/>
            <w:vAlign w:val="center"/>
          </w:tcPr>
          <w:p>
            <w:pPr>
              <w:pStyle w:val="TableContents"/>
              <w:bidi w:val="0"/>
              <w:spacing w:before="0" w:after="0"/>
              <w:jc w:val="left"/>
              <w:rPr>
                <w:rFonts w:ascii="arial" w:hAnsi="arial"/>
                <w:sz w:val="18"/>
              </w:rPr>
            </w:pPr>
            <w:r>
              <w:rPr>
                <w:rFonts w:ascii="arial" w:hAnsi="arial"/>
                <w:sz w:val="18"/>
              </w:rPr>
              <w:t xml:space="preserve">Promote a culture of dignity and respect through our model engagement and photo shoot compliance processes </w:t>
            </w:r>
          </w:p>
        </w:tc>
      </w:tr>
    </w:tbl>
    <w:p>
      <w:pPr>
        <w:pStyle w:val="TextBody"/>
        <w:bidi w:val="0"/>
        <w:spacing w:before="360" w:after="0"/>
        <w:jc w:val="left"/>
        <w:rPr>
          <w:rFonts w:ascii="arial" w:hAnsi="arial"/>
          <w:sz w:val="30"/>
        </w:rPr>
      </w:pPr>
      <w:r>
        <w:rPr>
          <w:rFonts w:ascii="arial" w:hAnsi="arial"/>
          <w:sz w:val="30"/>
        </w:rPr>
        <w:t xml:space="preserve">Executive Compensation Highlights </w:t>
      </w:r>
    </w:p>
    <w:p>
      <w:pPr>
        <w:pStyle w:val="TextBody"/>
        <w:bidi w:val="0"/>
        <w:spacing w:before="120" w:after="0"/>
        <w:jc w:val="left"/>
        <w:rPr>
          <w:rFonts w:ascii="arial" w:hAnsi="arial"/>
          <w:sz w:val="18"/>
        </w:rPr>
      </w:pPr>
      <w:r>
        <w:rPr>
          <w:rFonts w:ascii="arial" w:hAnsi="arial"/>
          <w:sz w:val="18"/>
        </w:rPr>
        <w:t xml:space="preserve">When VS&amp;Co spun-off from L Brands in August of 2021, our executive compensation programs were the programs that were in place at our former parent company for division leaders. Throughout 2022 and 2023, our leadership and the Human Capital and Compensation Committee (“HCCC”) partnered closely with external executive compensation experts to design a philosophy and programs to more closely align with the compensation practices our peers utilize for their most senior leadership. Since the spin-off, the HCCC approved, and we: </w:t>
      </w:r>
    </w:p>
    <w:p>
      <w:pPr>
        <w:pStyle w:val="TextBody"/>
        <w:bidi w:val="0"/>
        <w:spacing w:before="0" w:after="0"/>
        <w:jc w:val="left"/>
        <w:rPr/>
      </w:pPr>
      <w:r>
        <w:rPr/>
        <w:t> </w:t>
      </w:r>
    </w:p>
    <w:tbl>
      <w:tblPr>
        <w:tblW w:w="8785" w:type="dxa"/>
        <w:jc w:val="left"/>
        <w:tblInd w:w="0" w:type="dxa"/>
        <w:tblLayout w:type="fixed"/>
        <w:tblCellMar>
          <w:top w:w="0" w:type="dxa"/>
          <w:left w:w="0" w:type="dxa"/>
          <w:bottom w:w="0" w:type="dxa"/>
          <w:right w:w="0" w:type="dxa"/>
        </w:tblCellMar>
      </w:tblPr>
      <w:tblGrid>
        <w:gridCol w:w="75"/>
        <w:gridCol w:w="110"/>
        <w:gridCol w:w="60"/>
        <w:gridCol w:w="85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8540" w:type="dxa"/>
            <w:tcBorders/>
            <w:vAlign w:val="center"/>
          </w:tcPr>
          <w:p>
            <w:pPr>
              <w:pStyle w:val="TableContents"/>
              <w:bidi w:val="0"/>
              <w:spacing w:before="0" w:after="0"/>
              <w:jc w:val="left"/>
              <w:rPr>
                <w:rFonts w:ascii="arial" w:hAnsi="arial"/>
                <w:sz w:val="18"/>
              </w:rPr>
            </w:pPr>
            <w:r>
              <w:rPr>
                <w:rFonts w:ascii="arial" w:hAnsi="arial"/>
                <w:sz w:val="18"/>
              </w:rPr>
              <w:t xml:space="preserve">Developed a new compensation philosophy aligning executive pay with the interests of our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Created a new performance share unit (“PSU”) incentive program that seeks to balance internal and external goals, including stretch financial goals, aligned with our long-range plan and relative total shareholder return </w:t>
            </w:r>
          </w:p>
        </w:tc>
      </w:tr>
    </w:tbl>
    <w:p>
      <w:pPr>
        <w:pStyle w:val="TextBody"/>
        <w:bidi w:val="0"/>
        <w:spacing w:before="0" w:after="0"/>
        <w:jc w:val="left"/>
        <w:rPr/>
      </w:pPr>
      <w:r>
        <w:rPr/>
        <w:t> </w:t>
      </w:r>
    </w:p>
    <w:tbl>
      <w:tblPr>
        <w:tblW w:w="6775" w:type="dxa"/>
        <w:jc w:val="left"/>
        <w:tblInd w:w="0" w:type="dxa"/>
        <w:tblLayout w:type="fixed"/>
        <w:tblCellMar>
          <w:top w:w="0" w:type="dxa"/>
          <w:left w:w="0" w:type="dxa"/>
          <w:bottom w:w="0" w:type="dxa"/>
          <w:right w:w="0" w:type="dxa"/>
        </w:tblCellMar>
      </w:tblPr>
      <w:tblGrid>
        <w:gridCol w:w="75"/>
        <w:gridCol w:w="110"/>
        <w:gridCol w:w="60"/>
        <w:gridCol w:w="65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0"/>
              <w:jc w:val="left"/>
              <w:rPr>
                <w:rFonts w:ascii="arial" w:hAnsi="arial"/>
                <w:sz w:val="18"/>
              </w:rPr>
            </w:pPr>
            <w:r>
              <w:rPr>
                <w:rFonts w:ascii="arial" w:hAnsi="arial"/>
                <w:sz w:val="18"/>
              </w:rPr>
              <w:t xml:space="preserve">Increased stock ownership guidelines for our CEO from 5 to 6 times base salary </w:t>
            </w:r>
          </w:p>
        </w:tc>
      </w:tr>
    </w:tbl>
    <w:p>
      <w:pPr>
        <w:pStyle w:val="TextBody"/>
        <w:bidi w:val="0"/>
        <w:spacing w:before="0" w:after="0"/>
        <w:jc w:val="left"/>
        <w:rPr/>
      </w:pPr>
      <w:r>
        <w:rPr/>
        <w:t> </w:t>
      </w:r>
    </w:p>
    <w:tbl>
      <w:tblPr>
        <w:tblW w:w="5230" w:type="dxa"/>
        <w:jc w:val="left"/>
        <w:tblInd w:w="0" w:type="dxa"/>
        <w:tblLayout w:type="fixed"/>
        <w:tblCellMar>
          <w:top w:w="0" w:type="dxa"/>
          <w:left w:w="0" w:type="dxa"/>
          <w:bottom w:w="0" w:type="dxa"/>
          <w:right w:w="0" w:type="dxa"/>
        </w:tblCellMar>
      </w:tblPr>
      <w:tblGrid>
        <w:gridCol w:w="75"/>
        <w:gridCol w:w="110"/>
        <w:gridCol w:w="60"/>
        <w:gridCol w:w="49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4985" w:type="dxa"/>
            <w:tcBorders/>
            <w:vAlign w:val="center"/>
          </w:tcPr>
          <w:p>
            <w:pPr>
              <w:pStyle w:val="TableContents"/>
              <w:bidi w:val="0"/>
              <w:spacing w:before="0" w:after="0"/>
              <w:jc w:val="left"/>
              <w:rPr>
                <w:rFonts w:ascii="arial" w:hAnsi="arial"/>
                <w:sz w:val="18"/>
              </w:rPr>
            </w:pPr>
            <w:r>
              <w:rPr>
                <w:rFonts w:ascii="arial" w:hAnsi="arial"/>
                <w:sz w:val="18"/>
              </w:rPr>
              <w:t xml:space="preserve">Reaffirmed our compensation peer group for 2022 and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Redesigned our short-term incentive plan for executive vice presidents and above to include revenue as a performance measure in addition to operating income, in line with our goal of being a growth company. In addition to seasonal goals, we added annual goals to measure performance for our executive management team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Implemented a new, more stringent Clawback Policy that recoups performance-based compensation for certain misconduct, in addition to satisfying the SEC’s and the NYSE’s clawback rules </w:t>
            </w:r>
          </w:p>
        </w:tc>
      </w:tr>
    </w:tbl>
    <w:p>
      <w:pPr>
        <w:pStyle w:val="TextBody"/>
        <w:bidi w:val="0"/>
        <w:spacing w:before="120" w:after="0"/>
        <w:jc w:val="left"/>
        <w:rPr>
          <w:rFonts w:ascii="arial" w:hAnsi="arial"/>
          <w:sz w:val="18"/>
        </w:rPr>
      </w:pPr>
      <w:r>
        <w:rPr>
          <w:rFonts w:ascii="arial" w:hAnsi="arial"/>
          <w:sz w:val="18"/>
        </w:rPr>
        <w:t xml:space="preserve">We remain committed to clear, transparent executive compensation programs that drive company performance and ensure that the interests of our executives are aligned with those of our stockholders. </w:t>
      </w:r>
    </w:p>
    <w:p>
      <w:pPr>
        <w:pStyle w:val="TextBody"/>
        <w:bidi w:val="0"/>
        <w:spacing w:before="0" w:after="0"/>
        <w:jc w:val="left"/>
        <w:rPr/>
      </w:pPr>
      <w:r>
        <w:rPr/>
        <w:t> </w:t>
      </w:r>
    </w:p>
    <w:tbl>
      <w:tblPr>
        <w:tblW w:w="2837" w:type="dxa"/>
        <w:jc w:val="left"/>
        <w:tblInd w:w="0" w:type="dxa"/>
        <w:tblLayout w:type="fixed"/>
        <w:tblCellMar>
          <w:top w:w="0" w:type="dxa"/>
          <w:left w:w="0" w:type="dxa"/>
          <w:bottom w:w="0" w:type="dxa"/>
          <w:right w:w="0" w:type="dxa"/>
        </w:tblCellMar>
      </w:tblPr>
      <w:tblGrid>
        <w:gridCol w:w="292"/>
        <w:gridCol w:w="60"/>
        <w:gridCol w:w="38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3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8" descr=""/>
                          <pic:cNvPicPr>
                            <a:picLocks noChangeAspect="1" noChangeArrowheads="1"/>
                          </pic:cNvPicPr>
                        </pic:nvPicPr>
                        <pic:blipFill>
                          <a:blip r:embed="rId29"/>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color w:val="F7ACBA"/>
              </w:rPr>
            </w:pPr>
            <w:r>
              <w:rPr>
                <w:color w:val="F7ACBA"/>
              </w:rPr>
              <w:t> </w:t>
            </w:r>
            <w:r>
              <w:rPr>
                <w:b/>
                <w:color w:val="F7ACBA"/>
              </w:rPr>
              <w:t>7 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PROPOSAL ONE: ELECTION OF DIRECTORS </w:t>
      </w:r>
    </w:p>
    <w:p>
      <w:pPr>
        <w:pStyle w:val="TextBody"/>
        <w:bidi w:val="0"/>
        <w:spacing w:before="0" w:after="0"/>
        <w:jc w:val="left"/>
        <w:rPr/>
      </w:pPr>
      <w:r>
        <w:rPr/>
        <w:t> </w:t>
      </w:r>
    </w:p>
    <w:p>
      <w:pPr>
        <w:pStyle w:val="TextBody"/>
        <w:bidi w:val="0"/>
        <w:spacing w:before="0" w:after="0"/>
        <w:jc w:val="center"/>
        <w:rPr>
          <w:rFonts w:ascii="Times New Roman" w:hAnsi="Times New Roman"/>
          <w:i/>
          <w:sz w:val="36"/>
        </w:rPr>
      </w:pPr>
      <w:bookmarkStart w:id="4" w:name="toc540996_2"/>
      <w:bookmarkEnd w:id="4"/>
      <w:r>
        <w:rPr>
          <w:rFonts w:ascii="Times New Roman" w:hAnsi="Times New Roman"/>
          <w:i/>
          <w:sz w:val="36"/>
        </w:rPr>
        <w:t xml:space="preserve">Proposal One: </w:t>
      </w:r>
    </w:p>
    <w:p>
      <w:pPr>
        <w:pStyle w:val="TextBody"/>
        <w:bidi w:val="0"/>
        <w:spacing w:before="0" w:after="0"/>
        <w:jc w:val="center"/>
        <w:rPr>
          <w:rFonts w:ascii="Times New Roman" w:hAnsi="Times New Roman"/>
          <w:b/>
          <w:sz w:val="60"/>
        </w:rPr>
      </w:pPr>
      <w:bookmarkStart w:id="5" w:name="txa540996_101"/>
      <w:bookmarkEnd w:id="5"/>
      <w:r>
        <w:rPr>
          <w:rFonts w:ascii="Times New Roman" w:hAnsi="Times New Roman"/>
          <w:b/>
          <w:sz w:val="60"/>
        </w:rPr>
        <w:t xml:space="preserve">ELECTION OF DIRECTORS </w:t>
      </w:r>
    </w:p>
    <w:p>
      <w:pPr>
        <w:pStyle w:val="TextBody"/>
        <w:bidi w:val="0"/>
        <w:spacing w:before="0" w:after="0"/>
        <w:jc w:val="left"/>
        <w:rPr/>
      </w:pPr>
      <w:r>
        <w:rPr/>
        <w:t> </w:t>
      </w:r>
    </w:p>
    <w:p>
      <w:pPr>
        <w:pStyle w:val="TextBody"/>
        <w:pBdr>
          <w:bottom w:val="single" w:sz="2" w:space="1" w:color="000000"/>
        </w:pBdr>
        <w:bidi w:val="0"/>
        <w:spacing w:lineRule="atLeast" w:line="142" w:before="0" w:after="40"/>
        <w:jc w:val="center"/>
        <w:rPr/>
      </w:pPr>
      <w:r>
        <w:rPr/>
        <w:t> </w:t>
      </w:r>
    </w:p>
    <w:p>
      <w:pPr>
        <w:pStyle w:val="TextBody"/>
        <w:bidi w:val="0"/>
        <w:spacing w:before="240" w:after="0"/>
        <w:jc w:val="left"/>
        <w:rPr>
          <w:rFonts w:ascii="arial" w:hAnsi="arial"/>
          <w:sz w:val="18"/>
        </w:rPr>
      </w:pPr>
      <w:r>
        <w:rPr>
          <w:rFonts w:ascii="arial" w:hAnsi="arial"/>
          <w:sz w:val="18"/>
        </w:rPr>
        <w:t xml:space="preserve">The VS&amp;Co Board is currently comprised of nine directors. Each director is elected annually by our stockholders to serve a one-year term expiring at the next annual meeting of stockholders. At the 2024 Annual Meeting, stockholders will be asked to elect nine directors who will serve on our Board until the 2025 annual meeting of stockholders and their respective successors are duly elected and qualified, or until their earlier resignation, removal or death. All of the nine nominees for election as director at the 2024 Annual Meeting are incumbent directors who currently serve on our Board. </w:t>
      </w:r>
    </w:p>
    <w:p>
      <w:pPr>
        <w:pStyle w:val="TextBody"/>
        <w:bidi w:val="0"/>
        <w:spacing w:before="120" w:after="0"/>
        <w:jc w:val="left"/>
        <w:rPr>
          <w:rFonts w:ascii="arial" w:hAnsi="arial"/>
          <w:sz w:val="18"/>
        </w:rPr>
      </w:pPr>
      <w:r>
        <w:rPr>
          <w:rFonts w:ascii="arial" w:hAnsi="arial"/>
          <w:sz w:val="18"/>
        </w:rPr>
        <w:t xml:space="preserve">Our Board is comprised of individuals with diverse and complementary business experience, leadership prowess, and financial expertise. Each of our directors possesses industry-leading skills that support our long-term growth strategy, including expertise in retail, international business development, brand transformation, supply chain logistics, e-commerce, and public company governance. Together, our directors’ complementary experiences create an engaged and effective Board that exercises independent oversight of our material risks and long-term strategy. Through their unique backgrounds, skills, and qualifications, each of our directors brings a wealth of knowledge, experience, expertise, and energy to our Board. </w:t>
      </w:r>
    </w:p>
    <w:p>
      <w:pPr>
        <w:pStyle w:val="TextBody"/>
        <w:bidi w:val="0"/>
        <w:spacing w:before="120" w:after="0"/>
        <w:jc w:val="left"/>
        <w:rPr>
          <w:rFonts w:ascii="arial" w:hAnsi="arial"/>
          <w:sz w:val="18"/>
        </w:rPr>
      </w:pPr>
      <w:r>
        <w:rPr>
          <w:rFonts w:ascii="arial" w:hAnsi="arial"/>
          <w:sz w:val="18"/>
        </w:rPr>
        <w:t xml:space="preserve">The Board believes that each of our director nominees is highly qualified to continue to serve as a director. Each nominee’s background, skills, experience, and other qualifications are described below. Each nominee has consented to be named as a nominee and stand for election at the 2024 Annual Meeting. We know of no reason why any nominee would be unable or unwilling to serve as director, but in that event our Board, based on the recommendation of the Nominating and Governance Committee, may either reduce the number of directors or designate a substitute nominee. If a substitute nominee is designated, the persons named in the enclosed proxy will vote all proxies that would otherwise be voted for the named nominee for the election of such substitute nominee. </w:t>
      </w:r>
    </w:p>
    <w:p>
      <w:pPr>
        <w:pStyle w:val="TextBody"/>
        <w:bidi w:val="0"/>
        <w:spacing w:before="120" w:after="0"/>
        <w:jc w:val="left"/>
        <w:rPr>
          <w:rFonts w:ascii="arial" w:hAnsi="arial"/>
          <w:sz w:val="18"/>
        </w:rPr>
      </w:pPr>
      <w:r>
        <w:rPr>
          <w:rFonts w:ascii="arial" w:hAnsi="arial"/>
          <w:sz w:val="18"/>
        </w:rPr>
        <w:t xml:space="preserve">Pursuant to our Second Amended and Restated Bylaws (the “Bylaws”), in an uncontested election, each director is elected by the affirmative vote of the holders of a majority of the votes cast with respect to that director’s election. Each nominee must receive more votes cast “for” his or her election than “against” his or her election. If you are a beneficial owner of VS&amp;Co common stock, your broker is not permitted to vote your shares on the election of directors if no instructions are received from you (this is commonly referred to as a “broker non-vote”). Abstentions and broker non-votes will not count as a vote cast and, therefore, will have no effect on the outcome of the election of directors. Cumulative voting is not permitted. </w:t>
      </w:r>
    </w:p>
    <w:p>
      <w:pPr>
        <w:pStyle w:val="TextBody"/>
        <w:bidi w:val="0"/>
        <w:spacing w:before="120" w:after="0"/>
        <w:jc w:val="left"/>
        <w:rPr>
          <w:rFonts w:ascii="arial" w:hAnsi="arial"/>
          <w:sz w:val="18"/>
        </w:rPr>
      </w:pPr>
      <w:r>
        <w:rPr>
          <w:rFonts w:ascii="arial" w:hAnsi="arial"/>
          <w:sz w:val="18"/>
        </w:rPr>
        <w:t xml:space="preserve">If a director does not receive more votes cast “for” his or her election than “against” his or her election, such director’s resignation will be tendered to the Board. The Nominating and Governance Committee will make a recommendation to the Board regarding whether to accept or decline the resignation, taking into account the best interests of VS&amp;Co and its stockholders and considering any factors or other information that the Nominating and Governance Committee believes is appropriate and relevant. The Board will make its decision regarding the resignation at its next regularly scheduled Board meeting following certification of the election results. A director whose resignation is under consideration must abstain from participating in any decision regarding his or her resignation. As a requirement for any person to serve as director, he or she must submit an irrevocable resignation that becomes effective upon (i) that person not receiving a majority of the votes cast in an uncontested election and (ii) acceptance by the Board of that resignation in accordance with any policies and procedures adopted by the Board for that purpose.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48"/>
        <w:gridCol w:w="120"/>
        <w:gridCol w:w="9437"/>
      </w:tblGrid>
      <w:tr>
        <w:trPr/>
        <w:tc>
          <w:tcPr>
            <w:tcW w:w="6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37" w:type="dxa"/>
            <w:tcBorders/>
            <w:vAlign w:val="center"/>
          </w:tcPr>
          <w:p>
            <w:pPr>
              <w:pStyle w:val="TableContents"/>
              <w:bidi w:val="0"/>
              <w:spacing w:before="0" w:after="283"/>
              <w:jc w:val="left"/>
              <w:rPr>
                <w:sz w:val="4"/>
                <w:szCs w:val="4"/>
              </w:rPr>
            </w:pPr>
            <w:r>
              <w:rPr>
                <w:sz w:val="4"/>
                <w:szCs w:val="4"/>
              </w:rPr>
            </w:r>
          </w:p>
        </w:tc>
      </w:tr>
      <w:tr>
        <w:trPr/>
        <w:tc>
          <w:tcPr>
            <w:tcW w:w="648" w:type="dxa"/>
            <w:tcBorders>
              <w:bottom w:val="single" w:sz="6" w:space="0" w:color="000000"/>
            </w:tcBorders>
            <w:tcMar>
              <w:bottom w:w="28" w:type="dxa"/>
            </w:tcMar>
            <w:vAlign w:val="center"/>
          </w:tcPr>
          <w:p>
            <w:pPr>
              <w:pStyle w:val="TableContents"/>
              <w:bidi w:val="0"/>
              <w:spacing w:before="0" w:after="283"/>
              <w:jc w:val="left"/>
              <w:rPr/>
            </w:pPr>
            <w:r>
              <w:rPr/>
              <w:t xml:space="preserve">   </w:t>
            </w:r>
            <w:r>
              <w:rPr/>
              <w:drawing>
                <wp:inline distT="0" distB="0" distL="0" distR="0">
                  <wp:extent cx="100330" cy="55880"/>
                  <wp:effectExtent l="0" t="0" r="0" b="0"/>
                  <wp:docPr id="3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9" descr=""/>
                          <pic:cNvPicPr>
                            <a:picLocks noChangeAspect="1" noChangeArrowheads="1"/>
                          </pic:cNvPicPr>
                        </pic:nvPicPr>
                        <pic:blipFill>
                          <a:blip r:embed="rId30"/>
                          <a:stretch>
                            <a:fillRect/>
                          </a:stretch>
                        </pic:blipFill>
                        <pic:spPr bwMode="auto">
                          <a:xfrm>
                            <a:off x="0" y="0"/>
                            <a:ext cx="100330" cy="55880"/>
                          </a:xfrm>
                          <a:prstGeom prst="rect">
                            <a:avLst/>
                          </a:prstGeom>
                        </pic:spPr>
                      </pic:pic>
                    </a:graphicData>
                  </a:graphic>
                </wp:inline>
              </w:drawing>
            </w:r>
            <w:r>
              <w:rPr/>
              <w:t xml:space="preserve">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37" w:type="dxa"/>
            <w:tcBorders>
              <w:bottom w:val="single" w:sz="6" w:space="0" w:color="000000"/>
            </w:tcBorders>
            <w:tcMar>
              <w:bottom w:w="28" w:type="dxa"/>
            </w:tcMar>
            <w:vAlign w:val="center"/>
          </w:tcPr>
          <w:p>
            <w:pPr>
              <w:pStyle w:val="TableContents"/>
              <w:bidi w:val="0"/>
              <w:spacing w:before="0" w:after="0"/>
              <w:jc w:val="left"/>
              <w:rPr>
                <w:rFonts w:ascii="Times New Roman" w:hAnsi="Times New Roman"/>
                <w:i/>
                <w:sz w:val="28"/>
              </w:rPr>
            </w:pPr>
            <w:r>
              <w:rPr>
                <w:rFonts w:ascii="Times New Roman" w:hAnsi="Times New Roman"/>
                <w:i/>
                <w:sz w:val="28"/>
              </w:rPr>
              <w:t>The Board unanimously recommends a vote “FOR” each of the following nominees for election as director.</w:t>
            </w:r>
          </w:p>
          <w:p>
            <w:pPr>
              <w:pStyle w:val="TableContents"/>
              <w:bidi w:val="0"/>
              <w:spacing w:before="0" w:after="20"/>
              <w:jc w:val="left"/>
              <w:rPr/>
            </w:pPr>
            <w:r>
              <w:rPr/>
              <w:t> </w:t>
            </w:r>
          </w:p>
        </w:tc>
      </w:tr>
    </w:tbl>
    <w:p>
      <w:pPr>
        <w:pStyle w:val="TextBody"/>
        <w:bidi w:val="0"/>
        <w:spacing w:before="0" w:after="0"/>
        <w:jc w:val="left"/>
        <w:rPr/>
      </w:pPr>
      <w:r>
        <w:rPr/>
        <w:t> </w:t>
      </w:r>
    </w:p>
    <w:tbl>
      <w:tblPr>
        <w:tblW w:w="2837" w:type="dxa"/>
        <w:jc w:val="left"/>
        <w:tblInd w:w="0" w:type="dxa"/>
        <w:tblLayout w:type="fixed"/>
        <w:tblCellMar>
          <w:top w:w="0" w:type="dxa"/>
          <w:left w:w="0" w:type="dxa"/>
          <w:bottom w:w="0" w:type="dxa"/>
          <w:right w:w="0" w:type="dxa"/>
        </w:tblCellMar>
      </w:tblPr>
      <w:tblGrid>
        <w:gridCol w:w="292"/>
        <w:gridCol w:w="60"/>
        <w:gridCol w:w="38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3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0" descr=""/>
                          <pic:cNvPicPr>
                            <a:picLocks noChangeAspect="1" noChangeArrowheads="1"/>
                          </pic:cNvPicPr>
                        </pic:nvPicPr>
                        <pic:blipFill>
                          <a:blip r:embed="rId31"/>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color w:val="F7ACBA"/>
              </w:rPr>
            </w:pPr>
            <w:r>
              <w:rPr>
                <w:color w:val="F7ACBA"/>
              </w:rPr>
              <w:t> </w:t>
            </w:r>
            <w:r>
              <w:rPr>
                <w:b/>
                <w:color w:val="F7ACBA"/>
              </w:rPr>
              <w:t>8 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PROPOSAL ONE: ELECTION OF DIRECTORS </w:t>
      </w:r>
    </w:p>
    <w:p>
      <w:pPr>
        <w:pStyle w:val="TextBody"/>
        <w:bidi w:val="0"/>
        <w:spacing w:before="0" w:after="0"/>
        <w:jc w:val="left"/>
        <w:rPr/>
      </w:pPr>
      <w:r>
        <w:rPr/>
        <w:t> </w:t>
      </w:r>
    </w:p>
    <w:p>
      <w:pPr>
        <w:pStyle w:val="TextBody"/>
        <w:bidi w:val="0"/>
        <w:spacing w:before="0" w:after="0"/>
        <w:jc w:val="left"/>
        <w:rPr>
          <w:rFonts w:ascii="arial" w:hAnsi="arial"/>
          <w:sz w:val="30"/>
        </w:rPr>
      </w:pPr>
      <w:bookmarkStart w:id="6" w:name="toc540996_3"/>
      <w:bookmarkEnd w:id="6"/>
      <w:r>
        <w:rPr>
          <w:rFonts w:ascii="arial" w:hAnsi="arial"/>
          <w:sz w:val="30"/>
        </w:rPr>
        <w:t xml:space="preserve">Director Nominees </w:t>
      </w:r>
    </w:p>
    <w:p>
      <w:pPr>
        <w:pStyle w:val="TextBody"/>
        <w:bidi w:val="0"/>
        <w:spacing w:before="0" w:after="0"/>
        <w:jc w:val="left"/>
        <w:rPr/>
      </w:pPr>
      <w:r>
        <w:rPr/>
        <w:t> </w:t>
      </w:r>
    </w:p>
    <w:p>
      <w:pPr>
        <w:pStyle w:val="TextBody"/>
        <w:bidi w:val="0"/>
        <w:spacing w:before="0" w:after="0"/>
        <w:jc w:val="left"/>
        <w:rPr/>
      </w:pPr>
      <w:r>
        <w:rPr/>
        <w:drawing>
          <wp:inline distT="0" distB="0" distL="0" distR="0">
            <wp:extent cx="676275" cy="789940"/>
            <wp:effectExtent l="0" t="0" r="0" b="0"/>
            <wp:docPr id="40"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1" descr=""/>
                    <pic:cNvPicPr>
                      <a:picLocks noChangeAspect="1" noChangeArrowheads="1"/>
                    </pic:cNvPicPr>
                  </pic:nvPicPr>
                  <pic:blipFill>
                    <a:blip r:embed="rId32"/>
                    <a:stretch>
                      <a:fillRect/>
                    </a:stretch>
                  </pic:blipFill>
                  <pic:spPr bwMode="auto">
                    <a:xfrm>
                      <a:off x="0" y="0"/>
                      <a:ext cx="676275" cy="78994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pPr>
      <w:r>
        <w:rPr/>
        <w:t xml:space="preserve">  </w:t>
      </w:r>
    </w:p>
    <w:tbl>
      <w:tblPr>
        <w:tblW w:w="10205" w:type="dxa"/>
        <w:jc w:val="left"/>
        <w:tblInd w:w="0" w:type="dxa"/>
        <w:tblLayout w:type="fixed"/>
        <w:tblCellMar>
          <w:top w:w="0" w:type="dxa"/>
          <w:left w:w="0" w:type="dxa"/>
          <w:bottom w:w="0" w:type="dxa"/>
          <w:right w:w="0" w:type="dxa"/>
        </w:tblCellMar>
      </w:tblPr>
      <w:tblGrid>
        <w:gridCol w:w="1769"/>
        <w:gridCol w:w="60"/>
        <w:gridCol w:w="8376"/>
      </w:tblGrid>
      <w:tr>
        <w:trPr/>
        <w:tc>
          <w:tcPr>
            <w:tcW w:w="17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76" w:type="dxa"/>
            <w:tcBorders/>
            <w:vAlign w:val="center"/>
          </w:tcPr>
          <w:p>
            <w:pPr>
              <w:pStyle w:val="TableContents"/>
              <w:bidi w:val="0"/>
              <w:spacing w:before="0" w:after="283"/>
              <w:jc w:val="left"/>
              <w:rPr>
                <w:sz w:val="4"/>
                <w:szCs w:val="4"/>
              </w:rPr>
            </w:pPr>
            <w:r>
              <w:rPr>
                <w:sz w:val="4"/>
                <w:szCs w:val="4"/>
              </w:rPr>
            </w:r>
          </w:p>
        </w:tc>
      </w:tr>
      <w:tr>
        <w:trPr/>
        <w:tc>
          <w:tcPr>
            <w:tcW w:w="1769"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8376" w:type="dxa"/>
            <w:vMerge w:val="restart"/>
            <w:tcBorders/>
            <w:vAlign w:val="center"/>
          </w:tcPr>
          <w:p>
            <w:pPr>
              <w:pStyle w:val="TableContents"/>
              <w:bidi w:val="0"/>
              <w:spacing w:before="0" w:after="0"/>
              <w:jc w:val="left"/>
              <w:rPr>
                <w:rFonts w:ascii="arial" w:hAnsi="arial"/>
                <w:b/>
                <w:color w:val="F7ACBA"/>
                <w:sz w:val="24"/>
              </w:rPr>
            </w:pPr>
            <w:r>
              <w:rPr>
                <w:rFonts w:ascii="arial" w:hAnsi="arial"/>
                <w:b/>
                <w:color w:val="F7ACBA"/>
                <w:sz w:val="24"/>
              </w:rPr>
              <w:t>Public Company Directorships</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7"/>
              </w:rPr>
              <w:t>American Electric Power</w:t>
            </w:r>
            <w:r>
              <w:rPr>
                <w:rFonts w:ascii="arial" w:hAnsi="arial"/>
                <w:sz w:val="17"/>
              </w:rPr>
              <w:t xml:space="preserve"> (NASDAQ: AEP), </w:t>
            </w:r>
            <w:r>
              <w:rPr>
                <w:rFonts w:ascii="arial" w:hAnsi="arial"/>
                <w:i/>
                <w:sz w:val="17"/>
              </w:rPr>
              <w:t>a public utility holding company</w:t>
            </w:r>
            <w:r>
              <w:rPr>
                <w:rFonts w:ascii="arial" w:hAnsi="arial"/>
                <w:sz w:val="17"/>
              </w:rPr>
              <w:t>, 2022 – present</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7"/>
              </w:rPr>
              <w:t>The Hartford Financial Services Group</w:t>
            </w:r>
            <w:r>
              <w:rPr>
                <w:rFonts w:ascii="arial" w:hAnsi="arial"/>
                <w:sz w:val="17"/>
              </w:rPr>
              <w:t xml:space="preserve"> (NYSE: HIG), </w:t>
            </w:r>
            <w:r>
              <w:rPr>
                <w:rFonts w:ascii="arial" w:hAnsi="arial"/>
                <w:i/>
                <w:sz w:val="17"/>
              </w:rPr>
              <w:t>an investment and insurance company</w:t>
            </w:r>
            <w:r>
              <w:rPr>
                <w:rFonts w:ascii="arial" w:hAnsi="arial"/>
                <w:sz w:val="17"/>
              </w:rPr>
              <w:t>, 2021 – present</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7"/>
              </w:rPr>
              <w:t>Boston Scientific Corporation</w:t>
            </w:r>
            <w:r>
              <w:rPr>
                <w:rFonts w:ascii="arial" w:hAnsi="arial"/>
                <w:sz w:val="17"/>
              </w:rPr>
              <w:t xml:space="preserve">, </w:t>
            </w:r>
            <w:r>
              <w:rPr>
                <w:rFonts w:ascii="arial" w:hAnsi="arial"/>
                <w:i/>
                <w:sz w:val="17"/>
              </w:rPr>
              <w:t>a global developer, manufacturer and marketer of medical devices</w:t>
            </w:r>
            <w:r>
              <w:rPr>
                <w:rFonts w:ascii="arial" w:hAnsi="arial"/>
                <w:sz w:val="17"/>
              </w:rPr>
              <w:t>, 2015 – 2023</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7"/>
              </w:rPr>
              <w:t>Marathon Petroleum Corporation</w:t>
            </w:r>
            <w:r>
              <w:rPr>
                <w:rFonts w:ascii="arial" w:hAnsi="arial"/>
                <w:sz w:val="17"/>
              </w:rPr>
              <w:t xml:space="preserve">, </w:t>
            </w:r>
            <w:r>
              <w:rPr>
                <w:rFonts w:ascii="arial" w:hAnsi="arial"/>
                <w:i/>
                <w:sz w:val="17"/>
              </w:rPr>
              <w:t>an integrated downstream energy company</w:t>
            </w:r>
            <w:r>
              <w:rPr>
                <w:rFonts w:ascii="arial" w:hAnsi="arial"/>
                <w:sz w:val="17"/>
              </w:rPr>
              <w:t>, 2011 – 2018</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7"/>
              </w:rPr>
              <w:t>Time Warner Cable Inc</w:t>
            </w:r>
            <w:r>
              <w:rPr>
                <w:rFonts w:ascii="arial" w:hAnsi="arial"/>
                <w:sz w:val="17"/>
              </w:rPr>
              <w:t xml:space="preserve">., </w:t>
            </w:r>
            <w:r>
              <w:rPr>
                <w:rFonts w:ascii="arial" w:hAnsi="arial"/>
                <w:i/>
                <w:sz w:val="17"/>
              </w:rPr>
              <w:t>a provider of video, data and voice services</w:t>
            </w:r>
            <w:r>
              <w:rPr>
                <w:rFonts w:ascii="arial" w:hAnsi="arial"/>
                <w:sz w:val="17"/>
              </w:rPr>
              <w:t>, 2009 – 2016</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7"/>
              </w:rPr>
              <w:t>CNO Financial Group</w:t>
            </w:r>
            <w:r>
              <w:rPr>
                <w:rFonts w:ascii="arial" w:hAnsi="arial"/>
                <w:sz w:val="17"/>
              </w:rPr>
              <w:t xml:space="preserve">, </w:t>
            </w:r>
            <w:r>
              <w:rPr>
                <w:rFonts w:ascii="arial" w:hAnsi="arial"/>
                <w:i/>
                <w:sz w:val="17"/>
              </w:rPr>
              <w:t>a holding company of insurance companies</w:t>
            </w:r>
            <w:r>
              <w:rPr>
                <w:rFonts w:ascii="arial" w:hAnsi="arial"/>
                <w:sz w:val="17"/>
              </w:rPr>
              <w:t>, 2007 – 2011</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7"/>
              </w:rPr>
              <w:t>Coca-Cola Enterprises, Inc.</w:t>
            </w:r>
            <w:r>
              <w:rPr>
                <w:rFonts w:ascii="arial" w:hAnsi="arial"/>
                <w:sz w:val="17"/>
              </w:rPr>
              <w:t xml:space="preserve">, </w:t>
            </w:r>
            <w:r>
              <w:rPr>
                <w:rFonts w:ascii="arial" w:hAnsi="arial"/>
                <w:i/>
                <w:sz w:val="17"/>
              </w:rPr>
              <w:t>a multinational nonalcoholic beverages manufacturer and distributor</w:t>
            </w:r>
            <w:r>
              <w:rPr>
                <w:rFonts w:ascii="arial" w:hAnsi="arial"/>
                <w:sz w:val="17"/>
              </w:rPr>
              <w:t>, 2005 – 2012</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7"/>
              </w:rPr>
              <w:t>L Brands, Inc</w:t>
            </w:r>
            <w:r>
              <w:rPr>
                <w:rFonts w:ascii="arial" w:hAnsi="arial"/>
                <w:sz w:val="17"/>
              </w:rPr>
              <w:t xml:space="preserve">., </w:t>
            </w:r>
            <w:r>
              <w:rPr>
                <w:rFonts w:ascii="arial" w:hAnsi="arial"/>
                <w:i/>
                <w:sz w:val="17"/>
              </w:rPr>
              <w:t>the former parent company of VS&amp;Co</w:t>
            </w:r>
            <w:r>
              <w:rPr>
                <w:rFonts w:ascii="arial" w:hAnsi="arial"/>
                <w:sz w:val="17"/>
              </w:rPr>
              <w:t>, 2003 – 2021</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7"/>
              </w:rPr>
              <w:t>Intimate Brands, Inc.</w:t>
            </w:r>
            <w:r>
              <w:rPr>
                <w:rFonts w:ascii="arial" w:hAnsi="arial"/>
                <w:sz w:val="17"/>
              </w:rPr>
              <w:t xml:space="preserve">, </w:t>
            </w:r>
            <w:r>
              <w:rPr>
                <w:rFonts w:ascii="arial" w:hAnsi="arial"/>
                <w:i/>
                <w:sz w:val="17"/>
              </w:rPr>
              <w:t>a former subsidiary of L Brands</w:t>
            </w:r>
            <w:r>
              <w:rPr>
                <w:rFonts w:ascii="arial" w:hAnsi="arial"/>
                <w:sz w:val="17"/>
              </w:rPr>
              <w:t>, 2000 – 2001</w:t>
            </w:r>
          </w:p>
          <w:p>
            <w:pPr>
              <w:pStyle w:val="TableContents"/>
              <w:bidi w:val="0"/>
              <w:spacing w:before="0" w:after="0"/>
              <w:jc w:val="left"/>
              <w:rPr/>
            </w:pPr>
            <w:r>
              <w:rPr/>
              <w:t> </w:t>
            </w:r>
          </w:p>
          <w:p>
            <w:pPr>
              <w:pStyle w:val="TableContents"/>
              <w:bidi w:val="0"/>
              <w:spacing w:before="0" w:after="0"/>
              <w:jc w:val="left"/>
              <w:rPr>
                <w:rFonts w:ascii="arial" w:hAnsi="arial"/>
                <w:b/>
                <w:color w:val="F7ACBA"/>
                <w:sz w:val="24"/>
              </w:rPr>
            </w:pPr>
            <w:r>
              <w:rPr>
                <w:rFonts w:ascii="arial" w:hAnsi="arial"/>
                <w:b/>
                <w:color w:val="F7ACBA"/>
                <w:sz w:val="24"/>
              </w:rPr>
              <w:t>Professional Experience</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7"/>
              </w:rPr>
              <w:t>President and Chief Executive Officer</w:t>
            </w:r>
            <w:r>
              <w:rPr>
                <w:rFonts w:ascii="arial" w:hAnsi="arial"/>
                <w:sz w:val="17"/>
              </w:rPr>
              <w:t xml:space="preserve">, Lardon &amp; Associates LLC, </w:t>
            </w:r>
            <w:r>
              <w:rPr>
                <w:rFonts w:ascii="arial" w:hAnsi="arial"/>
                <w:i/>
                <w:sz w:val="17"/>
              </w:rPr>
              <w:t>a business and executive advisory services firm</w:t>
            </w:r>
            <w:r>
              <w:rPr>
                <w:rFonts w:ascii="arial" w:hAnsi="arial"/>
                <w:sz w:val="17"/>
              </w:rPr>
              <w:t>, 2006 – present</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7"/>
              </w:rPr>
              <w:t>Chairman</w:t>
            </w:r>
            <w:r>
              <w:rPr>
                <w:rFonts w:ascii="arial" w:hAnsi="arial"/>
                <w:sz w:val="17"/>
              </w:rPr>
              <w:t>, Financial Settlement Services Agency, Inc., 2005 – 2006</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7"/>
              </w:rPr>
              <w:t>President</w:t>
            </w:r>
            <w:r>
              <w:rPr>
                <w:rFonts w:ascii="arial" w:hAnsi="arial"/>
                <w:sz w:val="17"/>
              </w:rPr>
              <w:t xml:space="preserve">, Nationwide Strategic Investments, </w:t>
            </w:r>
            <w:r>
              <w:rPr>
                <w:rFonts w:ascii="arial" w:hAnsi="arial"/>
                <w:i/>
                <w:sz w:val="17"/>
              </w:rPr>
              <w:t>a division of Nationwide Mutual Insurance Company</w:t>
            </w:r>
            <w:r>
              <w:rPr>
                <w:rFonts w:ascii="arial" w:hAnsi="arial"/>
                <w:sz w:val="17"/>
              </w:rPr>
              <w:t>, 2003 – 2006</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7"/>
              </w:rPr>
              <w:t>Chairman and Manager</w:t>
            </w:r>
            <w:r>
              <w:rPr>
                <w:rFonts w:ascii="arial" w:hAnsi="arial"/>
                <w:sz w:val="17"/>
              </w:rPr>
              <w:t>, Nationwide Strategic Investment Fund, LLC, 2003 – 2006</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7"/>
              </w:rPr>
              <w:t>Executive Vice President and Chief Administrative Officer</w:t>
            </w:r>
            <w:r>
              <w:rPr>
                <w:rFonts w:ascii="arial" w:hAnsi="arial"/>
                <w:sz w:val="17"/>
              </w:rPr>
              <w:t>, Nationwide Mutual Insurance Company and Nationwide Financial Services, 2000 – 2003</w:t>
            </w:r>
          </w:p>
          <w:p>
            <w:pPr>
              <w:pStyle w:val="TableContents"/>
              <w:bidi w:val="0"/>
              <w:spacing w:before="0" w:after="0"/>
              <w:jc w:val="left"/>
              <w:rPr/>
            </w:pPr>
            <w:r>
              <w:rPr/>
              <w:t> </w:t>
            </w:r>
          </w:p>
          <w:p>
            <w:pPr>
              <w:pStyle w:val="TableContents"/>
              <w:bidi w:val="0"/>
              <w:spacing w:before="0" w:after="0"/>
              <w:jc w:val="left"/>
              <w:rPr>
                <w:rFonts w:ascii="arial" w:hAnsi="arial"/>
                <w:b/>
                <w:color w:val="F7ACBA"/>
                <w:sz w:val="24"/>
              </w:rPr>
            </w:pPr>
            <w:r>
              <w:rPr>
                <w:rFonts w:ascii="arial" w:hAnsi="arial"/>
                <w:b/>
                <w:color w:val="F7ACBA"/>
                <w:sz w:val="24"/>
              </w:rPr>
              <w:t>Key Skills and Qualifications</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7"/>
              </w:rPr>
              <w:t>Strategic Planning</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7"/>
              </w:rPr>
              <w:t>Risk Management</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7"/>
              </w:rPr>
              <w:t>Business Operations</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7"/>
              </w:rPr>
              <w:t>Public Company Finance</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7"/>
              </w:rPr>
              <w:t>Human Capital Management</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7"/>
              </w:rPr>
              <w:t>Corporate Governance</w:t>
            </w:r>
          </w:p>
          <w:p>
            <w:pPr>
              <w:pStyle w:val="TableContents"/>
              <w:bidi w:val="0"/>
              <w:spacing w:before="0" w:after="0"/>
              <w:jc w:val="left"/>
              <w:rPr/>
            </w:pPr>
            <w:r>
              <w:rPr/>
              <w:t> </w:t>
            </w:r>
          </w:p>
          <w:p>
            <w:pPr>
              <w:pStyle w:val="TableContents"/>
              <w:bidi w:val="0"/>
              <w:spacing w:before="0" w:after="0"/>
              <w:jc w:val="left"/>
              <w:rPr>
                <w:rFonts w:ascii="arial" w:hAnsi="arial"/>
                <w:b/>
                <w:color w:val="F7ACBA"/>
                <w:sz w:val="24"/>
              </w:rPr>
            </w:pPr>
            <w:r>
              <w:rPr>
                <w:rFonts w:ascii="arial" w:hAnsi="arial"/>
                <w:b/>
                <w:color w:val="F7ACBA"/>
                <w:sz w:val="24"/>
              </w:rPr>
              <w:t>What does Donna James bring to the VS&amp;Co Board?</w:t>
            </w:r>
          </w:p>
          <w:p>
            <w:pPr>
              <w:pStyle w:val="TableContents"/>
              <w:bidi w:val="0"/>
              <w:spacing w:before="0" w:after="0"/>
              <w:jc w:val="left"/>
              <w:rPr/>
            </w:pPr>
            <w:r>
              <w:rPr/>
              <w:t> </w:t>
            </w:r>
          </w:p>
          <w:p>
            <w:pPr>
              <w:pStyle w:val="TableContents"/>
              <w:bidi w:val="0"/>
              <w:spacing w:before="0" w:after="0"/>
              <w:jc w:val="left"/>
              <w:rPr>
                <w:rFonts w:ascii="arial" w:hAnsi="arial"/>
                <w:sz w:val="17"/>
              </w:rPr>
            </w:pPr>
            <w:r>
              <w:rPr>
                <w:rFonts w:ascii="arial" w:hAnsi="arial"/>
                <w:sz w:val="17"/>
              </w:rPr>
              <w:t>Donna is a seasoned veteran of public company boardrooms, having served as a director at ten public companies over the past two decades. Donna’s financial expertise and leadership experience as an executive and public company director, coupled with her deep understanding of VS&amp;Co, its history, and the industry in which it operates, equip her with the wisdom and skills to effectively lead the VS&amp;Co Board.</w:t>
            </w:r>
          </w:p>
          <w:p>
            <w:pPr>
              <w:pStyle w:val="TableContents"/>
              <w:bidi w:val="0"/>
              <w:spacing w:before="0" w:after="0"/>
              <w:jc w:val="left"/>
              <w:rPr/>
            </w:pPr>
            <w:r>
              <w:rPr/>
              <w:t> </w:t>
            </w:r>
          </w:p>
          <w:p>
            <w:pPr>
              <w:pStyle w:val="TableContents"/>
              <w:bidi w:val="0"/>
              <w:spacing w:before="0" w:after="20"/>
              <w:jc w:val="left"/>
              <w:rPr>
                <w:rFonts w:ascii="arial" w:hAnsi="arial"/>
                <w:sz w:val="17"/>
              </w:rPr>
            </w:pPr>
            <w:r>
              <w:rPr>
                <w:rFonts w:ascii="arial" w:hAnsi="arial"/>
                <w:sz w:val="17"/>
              </w:rPr>
              <w:t>Donna is not afraid to ask tough questions and challenge management’s strategies and assumptions. She engages regularly with the investor community and is a valued sounding board for the CEO and other members of the executive leadership team.</w:t>
            </w:r>
          </w:p>
        </w:tc>
      </w:tr>
      <w:tr>
        <w:trPr/>
        <w:tc>
          <w:tcPr>
            <w:tcW w:w="1769"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b/>
                <w:color w:val="F7ACBA"/>
                <w:sz w:val="24"/>
              </w:rPr>
            </w:pPr>
            <w:r>
              <w:rPr>
                <w:rFonts w:ascii="arial" w:hAnsi="arial"/>
                <w:b/>
                <w:color w:val="F7ACBA"/>
                <w:sz w:val="24"/>
              </w:rPr>
              <w:t>Chair of the Board</w:t>
            </w:r>
          </w:p>
          <w:p>
            <w:pPr>
              <w:pStyle w:val="TableContents"/>
              <w:bidi w:val="0"/>
              <w:spacing w:before="0" w:after="0"/>
              <w:jc w:val="left"/>
              <w:rPr/>
            </w:pPr>
            <w:r>
              <w:rPr/>
              <w:t> </w:t>
            </w:r>
          </w:p>
          <w:p>
            <w:pPr>
              <w:pStyle w:val="TableContents"/>
              <w:bidi w:val="0"/>
              <w:spacing w:before="0" w:after="0"/>
              <w:jc w:val="left"/>
              <w:rPr>
                <w:rFonts w:ascii="arial" w:hAnsi="arial"/>
                <w:b/>
                <w:color w:val="F7ACBA"/>
                <w:sz w:val="24"/>
              </w:rPr>
            </w:pPr>
            <w:r>
              <w:rPr>
                <w:rFonts w:ascii="arial" w:hAnsi="arial"/>
                <w:b/>
                <w:color w:val="F7ACBA"/>
                <w:sz w:val="24"/>
              </w:rPr>
              <w:t>Independent</w:t>
            </w:r>
          </w:p>
          <w:p>
            <w:pPr>
              <w:pStyle w:val="TableContents"/>
              <w:bidi w:val="0"/>
              <w:spacing w:before="0" w:after="0"/>
              <w:jc w:val="left"/>
              <w:rPr/>
            </w:pPr>
            <w:r>
              <w:rPr/>
              <w:t> </w:t>
            </w:r>
          </w:p>
          <w:p>
            <w:pPr>
              <w:pStyle w:val="TableContents"/>
              <w:bidi w:val="0"/>
              <w:spacing w:before="0" w:after="0"/>
              <w:jc w:val="left"/>
              <w:rPr>
                <w:rFonts w:ascii="arial" w:hAnsi="arial"/>
                <w:sz w:val="24"/>
              </w:rPr>
            </w:pPr>
            <w:r>
              <w:rPr>
                <w:rFonts w:ascii="arial" w:hAnsi="arial"/>
                <w:b/>
                <w:color w:val="F7ACBA"/>
                <w:sz w:val="24"/>
              </w:rPr>
              <w:t xml:space="preserve">Age: </w:t>
            </w:r>
            <w:r>
              <w:rPr>
                <w:rFonts w:ascii="arial" w:hAnsi="arial"/>
                <w:sz w:val="20"/>
              </w:rPr>
              <w:t>66</w:t>
            </w:r>
          </w:p>
          <w:p>
            <w:pPr>
              <w:pStyle w:val="TableContents"/>
              <w:bidi w:val="0"/>
              <w:spacing w:before="0" w:after="0"/>
              <w:jc w:val="left"/>
              <w:rPr/>
            </w:pPr>
            <w:r>
              <w:rPr/>
              <w:t> </w:t>
            </w:r>
          </w:p>
          <w:p>
            <w:pPr>
              <w:pStyle w:val="TableContents"/>
              <w:bidi w:val="0"/>
              <w:spacing w:before="0" w:after="0"/>
              <w:jc w:val="left"/>
              <w:rPr>
                <w:rFonts w:ascii="arial" w:hAnsi="arial"/>
                <w:sz w:val="24"/>
              </w:rPr>
            </w:pPr>
            <w:r>
              <w:rPr>
                <w:rFonts w:ascii="arial" w:hAnsi="arial"/>
                <w:b/>
                <w:color w:val="F7ACBA"/>
                <w:sz w:val="24"/>
              </w:rPr>
              <w:t xml:space="preserve">Director Since: </w:t>
            </w:r>
            <w:r>
              <w:rPr>
                <w:rFonts w:ascii="arial" w:hAnsi="arial"/>
                <w:sz w:val="20"/>
              </w:rPr>
              <w:t>2021</w:t>
            </w:r>
          </w:p>
          <w:p>
            <w:pPr>
              <w:pStyle w:val="TableContents"/>
              <w:bidi w:val="0"/>
              <w:spacing w:before="0" w:after="0"/>
              <w:jc w:val="left"/>
              <w:rPr/>
            </w:pPr>
            <w:r>
              <w:rPr/>
              <w:t> </w:t>
            </w:r>
          </w:p>
          <w:p>
            <w:pPr>
              <w:pStyle w:val="TableContents"/>
              <w:bidi w:val="0"/>
              <w:spacing w:before="0" w:after="0"/>
              <w:jc w:val="left"/>
              <w:rPr>
                <w:rFonts w:ascii="arial" w:hAnsi="arial"/>
                <w:b/>
                <w:color w:val="F7ACBA"/>
                <w:sz w:val="24"/>
              </w:rPr>
            </w:pPr>
            <w:r>
              <w:rPr>
                <w:rFonts w:ascii="arial" w:hAnsi="arial"/>
                <w:b/>
                <w:color w:val="F7ACBA"/>
                <w:sz w:val="24"/>
              </w:rPr>
              <w:t>Board Committees</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20"/>
              </w:rPr>
              <w:t>Audit</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20"/>
              </w:rPr>
              <w:t>Nominating and Governance</w:t>
            </w:r>
          </w:p>
          <w:p>
            <w:pPr>
              <w:pStyle w:val="TableContents"/>
              <w:bidi w:val="0"/>
              <w:spacing w:before="0" w:after="0"/>
              <w:jc w:val="left"/>
              <w:rPr/>
            </w:pPr>
            <w:r>
              <w:rPr/>
              <w:t> </w:t>
            </w:r>
          </w:p>
          <w:p>
            <w:pPr>
              <w:pStyle w:val="TableContents"/>
              <w:bidi w:val="0"/>
              <w:spacing w:before="0" w:after="20"/>
              <w:jc w:val="left"/>
              <w:rPr/>
            </w:pPr>
            <w:r>
              <w:rPr/>
              <w:t> </w:t>
            </w:r>
          </w:p>
        </w:tc>
        <w:tc>
          <w:tcPr>
            <w:tcW w:w="60" w:type="dxa"/>
            <w:vMerge w:val="continue"/>
            <w:tcBorders/>
            <w:vAlign w:val="center"/>
          </w:tcPr>
          <w:p>
            <w:pPr>
              <w:pStyle w:val="Normal"/>
              <w:bidi w:val="0"/>
              <w:jc w:val="left"/>
              <w:rPr/>
            </w:pPr>
            <w:r>
              <w:rPr/>
            </w:r>
          </w:p>
        </w:tc>
        <w:tc>
          <w:tcPr>
            <w:tcW w:w="8376" w:type="dxa"/>
            <w:vMerge w:val="continue"/>
            <w:tcBorders/>
            <w:vAlign w:val="center"/>
          </w:tcPr>
          <w:p>
            <w:pPr>
              <w:pStyle w:val="Normal"/>
              <w:bidi w:val="0"/>
              <w:jc w:val="left"/>
              <w:rPr/>
            </w:pPr>
            <w:r>
              <w:rPr/>
            </w:r>
          </w:p>
        </w:tc>
      </w:tr>
    </w:tbl>
    <w:p>
      <w:pPr>
        <w:pStyle w:val="TextBody"/>
        <w:bidi w:val="0"/>
        <w:spacing w:before="0" w:after="0"/>
        <w:jc w:val="left"/>
        <w:rPr/>
      </w:pPr>
      <w:r>
        <w:rPr/>
        <w:t> </w:t>
      </w:r>
    </w:p>
    <w:tbl>
      <w:tblPr>
        <w:tblW w:w="2837" w:type="dxa"/>
        <w:jc w:val="left"/>
        <w:tblInd w:w="0" w:type="dxa"/>
        <w:tblLayout w:type="fixed"/>
        <w:tblCellMar>
          <w:top w:w="0" w:type="dxa"/>
          <w:left w:w="0" w:type="dxa"/>
          <w:bottom w:w="0" w:type="dxa"/>
          <w:right w:w="0" w:type="dxa"/>
        </w:tblCellMar>
      </w:tblPr>
      <w:tblGrid>
        <w:gridCol w:w="292"/>
        <w:gridCol w:w="60"/>
        <w:gridCol w:w="38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41"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2" descr=""/>
                          <pic:cNvPicPr>
                            <a:picLocks noChangeAspect="1" noChangeArrowheads="1"/>
                          </pic:cNvPicPr>
                        </pic:nvPicPr>
                        <pic:blipFill>
                          <a:blip r:embed="rId33"/>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color w:val="F7ACBA"/>
              </w:rPr>
            </w:pPr>
            <w:r>
              <w:rPr>
                <w:color w:val="F7ACBA"/>
              </w:rPr>
              <w:t> </w:t>
            </w:r>
            <w:r>
              <w:rPr>
                <w:b/>
                <w:color w:val="F7ACBA"/>
              </w:rPr>
              <w:t>9 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PROPOSAL ONE: ELECTION OF DIRECTORS </w:t>
      </w:r>
    </w:p>
    <w:p>
      <w:pPr>
        <w:pStyle w:val="TextBody"/>
        <w:bidi w:val="0"/>
        <w:spacing w:before="0" w:after="0"/>
        <w:jc w:val="left"/>
        <w:rPr/>
      </w:pPr>
      <w:r>
        <w:rPr/>
        <w:t> </w:t>
      </w:r>
    </w:p>
    <w:p>
      <w:pPr>
        <w:pStyle w:val="TextBody"/>
        <w:bidi w:val="0"/>
        <w:spacing w:before="0" w:after="0"/>
        <w:jc w:val="left"/>
        <w:rPr/>
      </w:pPr>
      <w:r>
        <w:rPr/>
        <w:drawing>
          <wp:inline distT="0" distB="0" distL="0" distR="0">
            <wp:extent cx="596900" cy="789940"/>
            <wp:effectExtent l="0" t="0" r="0" b="0"/>
            <wp:docPr id="42"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3" descr=""/>
                    <pic:cNvPicPr>
                      <a:picLocks noChangeAspect="1" noChangeArrowheads="1"/>
                    </pic:cNvPicPr>
                  </pic:nvPicPr>
                  <pic:blipFill>
                    <a:blip r:embed="rId34"/>
                    <a:stretch>
                      <a:fillRect/>
                    </a:stretch>
                  </pic:blipFill>
                  <pic:spPr bwMode="auto">
                    <a:xfrm>
                      <a:off x="0" y="0"/>
                      <a:ext cx="596900" cy="789940"/>
                    </a:xfrm>
                    <a:prstGeom prst="rect">
                      <a:avLst/>
                    </a:prstGeom>
                  </pic:spPr>
                </pic:pic>
              </a:graphicData>
            </a:graphic>
          </wp:inline>
        </w:drawing>
      </w:r>
      <w:r>
        <w:rPr/>
        <w:t xml:space="preserve"> </w:t>
      </w:r>
    </w:p>
    <w:p>
      <w:pPr>
        <w:pStyle w:val="TextBody"/>
        <w:bidi w:val="0"/>
        <w:spacing w:before="0" w:after="0"/>
        <w:jc w:val="right"/>
        <w:rPr/>
      </w:pPr>
      <w:r>
        <w:rPr/>
        <w:t xml:space="preserve">     </w: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85"/>
        <w:gridCol w:w="60"/>
        <w:gridCol w:w="8460"/>
      </w:tblGrid>
      <w:tr>
        <w:trPr/>
        <w:tc>
          <w:tcPr>
            <w:tcW w:w="16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60"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8460" w:type="dxa"/>
            <w:vMerge w:val="restart"/>
            <w:tcBorders/>
            <w:vAlign w:val="center"/>
          </w:tcPr>
          <w:p>
            <w:pPr>
              <w:pStyle w:val="TableContents"/>
              <w:bidi w:val="0"/>
              <w:spacing w:before="0" w:after="0"/>
              <w:jc w:val="left"/>
              <w:rPr>
                <w:rFonts w:ascii="arial" w:hAnsi="arial"/>
                <w:b/>
                <w:color w:val="F7ACBA"/>
                <w:sz w:val="24"/>
              </w:rPr>
            </w:pPr>
            <w:r>
              <w:rPr>
                <w:rFonts w:ascii="arial" w:hAnsi="arial"/>
                <w:b/>
                <w:color w:val="F7ACBA"/>
                <w:sz w:val="24"/>
              </w:rPr>
              <w:t>Public Company Directorships</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IDEXX Laboratories, Inc.</w:t>
            </w:r>
            <w:r>
              <w:rPr>
                <w:rFonts w:ascii="arial" w:hAnsi="arial"/>
                <w:sz w:val="18"/>
              </w:rPr>
              <w:t xml:space="preserve"> (NASDAQ: IDXX), </w:t>
            </w:r>
            <w:r>
              <w:rPr>
                <w:rFonts w:ascii="arial" w:hAnsi="arial"/>
                <w:i/>
                <w:sz w:val="18"/>
              </w:rPr>
              <w:t>a veterinary animal health care innovator</w:t>
            </w:r>
            <w:r>
              <w:rPr>
                <w:rFonts w:ascii="arial" w:hAnsi="arial"/>
                <w:sz w:val="18"/>
              </w:rPr>
              <w:t>, 2023 – present</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First Watch Restaurant Group, Inc.</w:t>
            </w:r>
            <w:r>
              <w:rPr>
                <w:rFonts w:ascii="arial" w:hAnsi="arial"/>
                <w:sz w:val="18"/>
              </w:rPr>
              <w:t xml:space="preserve"> (NASDAQ: FWRG), </w:t>
            </w:r>
            <w:r>
              <w:rPr>
                <w:rFonts w:ascii="arial" w:hAnsi="arial"/>
                <w:i/>
                <w:sz w:val="18"/>
              </w:rPr>
              <w:t>daytime dining restaurants</w:t>
            </w:r>
            <w:r>
              <w:rPr>
                <w:rFonts w:ascii="arial" w:hAnsi="arial"/>
                <w:sz w:val="18"/>
              </w:rPr>
              <w:t>, 2023 – present</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Brighthouse Financial, Inc.</w:t>
            </w:r>
            <w:r>
              <w:rPr>
                <w:rFonts w:ascii="arial" w:hAnsi="arial"/>
                <w:sz w:val="18"/>
              </w:rPr>
              <w:t xml:space="preserve">, </w:t>
            </w:r>
            <w:r>
              <w:rPr>
                <w:rFonts w:ascii="arial" w:hAnsi="arial"/>
                <w:i/>
                <w:sz w:val="18"/>
              </w:rPr>
              <w:t>a leading provider of annuities and life insurance</w:t>
            </w:r>
            <w:r>
              <w:rPr>
                <w:rFonts w:ascii="arial" w:hAnsi="arial"/>
                <w:sz w:val="18"/>
              </w:rPr>
              <w:t>, 2017 – 2023</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TerraVia Holdings, Inc.</w:t>
            </w:r>
            <w:r>
              <w:rPr>
                <w:rFonts w:ascii="arial" w:hAnsi="arial"/>
                <w:sz w:val="18"/>
              </w:rPr>
              <w:t xml:space="preserve">, </w:t>
            </w:r>
            <w:r>
              <w:rPr>
                <w:rFonts w:ascii="arial" w:hAnsi="arial"/>
                <w:i/>
                <w:sz w:val="18"/>
              </w:rPr>
              <w:t>a</w:t>
            </w:r>
            <w:r>
              <w:rPr>
                <w:rFonts w:ascii="arial" w:hAnsi="arial"/>
                <w:sz w:val="18"/>
              </w:rPr>
              <w:t xml:space="preserve"> </w:t>
            </w:r>
            <w:r>
              <w:rPr>
                <w:rFonts w:ascii="arial" w:hAnsi="arial"/>
                <w:i/>
                <w:sz w:val="18"/>
              </w:rPr>
              <w:t>food</w:t>
            </w:r>
            <w:r>
              <w:rPr>
                <w:rFonts w:ascii="arial" w:hAnsi="arial"/>
                <w:sz w:val="18"/>
              </w:rPr>
              <w:t xml:space="preserve">, </w:t>
            </w:r>
            <w:r>
              <w:rPr>
                <w:rFonts w:ascii="arial" w:hAnsi="arial"/>
                <w:i/>
                <w:sz w:val="18"/>
              </w:rPr>
              <w:t>nutrition and specialty ingredient company</w:t>
            </w:r>
            <w:r>
              <w:rPr>
                <w:rFonts w:ascii="arial" w:hAnsi="arial"/>
                <w:sz w:val="18"/>
              </w:rPr>
              <w:t>, 2016 – 2018</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Tailored Brands Inc.</w:t>
            </w:r>
            <w:r>
              <w:rPr>
                <w:rFonts w:ascii="arial" w:hAnsi="arial"/>
                <w:sz w:val="18"/>
              </w:rPr>
              <w:t xml:space="preserve">, </w:t>
            </w:r>
            <w:r>
              <w:rPr>
                <w:rFonts w:ascii="arial" w:hAnsi="arial"/>
                <w:i/>
                <w:sz w:val="18"/>
              </w:rPr>
              <w:t>formerly Men’s Warehouse, Inc.</w:t>
            </w:r>
            <w:r>
              <w:rPr>
                <w:rFonts w:ascii="arial" w:hAnsi="arial"/>
                <w:sz w:val="18"/>
              </w:rPr>
              <w:t>, 2015 – 2020</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Dunkin’ Brand Group Inc.</w:t>
            </w:r>
            <w:r>
              <w:rPr>
                <w:rFonts w:ascii="arial" w:hAnsi="arial"/>
                <w:sz w:val="18"/>
              </w:rPr>
              <w:t xml:space="preserve">, </w:t>
            </w:r>
            <w:r>
              <w:rPr>
                <w:rFonts w:ascii="arial" w:hAnsi="arial"/>
                <w:i/>
                <w:sz w:val="18"/>
              </w:rPr>
              <w:t>a leading franchisor of quick service restaurants</w:t>
            </w:r>
            <w:r>
              <w:rPr>
                <w:rFonts w:ascii="arial" w:hAnsi="arial"/>
                <w:sz w:val="18"/>
              </w:rPr>
              <w:t>, 2014 – 2020</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Sunoco</w:t>
            </w:r>
            <w:r>
              <w:rPr>
                <w:rFonts w:ascii="arial" w:hAnsi="arial"/>
                <w:sz w:val="18"/>
              </w:rPr>
              <w:t xml:space="preserve">, </w:t>
            </w:r>
            <w:r>
              <w:rPr>
                <w:rFonts w:ascii="arial" w:hAnsi="arial"/>
                <w:i/>
                <w:sz w:val="18"/>
              </w:rPr>
              <w:t>a fuel distribution company</w:t>
            </w:r>
            <w:r>
              <w:rPr>
                <w:rFonts w:ascii="arial" w:hAnsi="arial"/>
                <w:sz w:val="18"/>
              </w:rPr>
              <w:t>, 2011 – 2012</w:t>
            </w:r>
          </w:p>
          <w:p>
            <w:pPr>
              <w:pStyle w:val="TableContents"/>
              <w:bidi w:val="0"/>
              <w:spacing w:before="0" w:after="0"/>
              <w:jc w:val="left"/>
              <w:rPr/>
            </w:pPr>
            <w:r>
              <w:rPr/>
              <w:t> </w:t>
            </w:r>
          </w:p>
          <w:p>
            <w:pPr>
              <w:pStyle w:val="TableContents"/>
              <w:bidi w:val="0"/>
              <w:spacing w:before="0" w:after="0"/>
              <w:jc w:val="left"/>
              <w:rPr>
                <w:rFonts w:ascii="arial" w:hAnsi="arial"/>
                <w:b/>
                <w:color w:val="F7ACBA"/>
                <w:sz w:val="24"/>
              </w:rPr>
            </w:pPr>
            <w:r>
              <w:rPr>
                <w:rFonts w:ascii="arial" w:hAnsi="arial"/>
                <w:b/>
                <w:color w:val="F7ACBA"/>
                <w:sz w:val="24"/>
              </w:rPr>
              <w:t>Professional Experience</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Chief Executive Officer</w:t>
            </w:r>
            <w:r>
              <w:rPr>
                <w:rFonts w:ascii="arial" w:hAnsi="arial"/>
                <w:sz w:val="18"/>
              </w:rPr>
              <w:t xml:space="preserve">, ICB Enterprises LLC, </w:t>
            </w:r>
            <w:r>
              <w:rPr>
                <w:rFonts w:ascii="arial" w:hAnsi="arial"/>
                <w:i/>
                <w:sz w:val="18"/>
              </w:rPr>
              <w:t>a consulting firm</w:t>
            </w:r>
            <w:r>
              <w:rPr>
                <w:rFonts w:ascii="arial" w:hAnsi="arial"/>
                <w:sz w:val="18"/>
              </w:rPr>
              <w:t>, 2015 – present</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President and Divisional Chief Executive Officer</w:t>
            </w:r>
            <w:r>
              <w:rPr>
                <w:rFonts w:ascii="arial" w:hAnsi="arial"/>
                <w:sz w:val="18"/>
              </w:rPr>
              <w:t xml:space="preserve">, Pepperidge Farm, </w:t>
            </w:r>
            <w:r>
              <w:rPr>
                <w:rFonts w:ascii="arial" w:hAnsi="arial"/>
                <w:i/>
                <w:sz w:val="18"/>
              </w:rPr>
              <w:t>a subsidiary of Campbell Soup Company</w:t>
            </w:r>
            <w:r>
              <w:rPr>
                <w:rFonts w:ascii="arial" w:hAnsi="arial"/>
                <w:sz w:val="18"/>
              </w:rPr>
              <w:t>, 2012 – 2015</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Senior Vice President of Global Baking and Snacking</w:t>
            </w:r>
            <w:r>
              <w:rPr>
                <w:rFonts w:ascii="arial" w:hAnsi="arial"/>
                <w:sz w:val="18"/>
              </w:rPr>
              <w:t>, Campbell Soup Company, 2012 – 2015</w:t>
            </w:r>
          </w:p>
          <w:p>
            <w:pPr>
              <w:pStyle w:val="TableContents"/>
              <w:bidi w:val="0"/>
              <w:spacing w:before="0" w:after="0"/>
              <w:jc w:val="left"/>
              <w:rPr/>
            </w:pPr>
            <w:r>
              <w:rPr/>
              <w:t> </w:t>
            </w:r>
          </w:p>
          <w:p>
            <w:pPr>
              <w:pStyle w:val="TableContents"/>
              <w:bidi w:val="0"/>
              <w:spacing w:before="0" w:after="0"/>
              <w:jc w:val="left"/>
              <w:rPr>
                <w:rFonts w:ascii="arial" w:hAnsi="arial"/>
                <w:b/>
                <w:color w:val="F7ACBA"/>
                <w:sz w:val="24"/>
              </w:rPr>
            </w:pPr>
            <w:r>
              <w:rPr>
                <w:rFonts w:ascii="arial" w:hAnsi="arial"/>
                <w:b/>
                <w:color w:val="F7ACBA"/>
                <w:sz w:val="24"/>
              </w:rPr>
              <w:t>Key Skills and Qualifications</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Brand Transformation</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Strategic Planning</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Risk Management</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Executive Compensation</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Consumer Marketing</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Public Relations</w:t>
            </w:r>
          </w:p>
          <w:p>
            <w:pPr>
              <w:pStyle w:val="TableContents"/>
              <w:bidi w:val="0"/>
              <w:spacing w:before="0" w:after="0"/>
              <w:jc w:val="left"/>
              <w:rPr/>
            </w:pPr>
            <w:r>
              <w:rPr/>
              <w:t> </w:t>
            </w:r>
          </w:p>
          <w:p>
            <w:pPr>
              <w:pStyle w:val="TableContents"/>
              <w:bidi w:val="0"/>
              <w:spacing w:before="0" w:after="0"/>
              <w:jc w:val="left"/>
              <w:rPr>
                <w:rFonts w:ascii="arial" w:hAnsi="arial"/>
                <w:b/>
                <w:color w:val="F7ACBA"/>
                <w:sz w:val="24"/>
              </w:rPr>
            </w:pPr>
            <w:r>
              <w:rPr>
                <w:rFonts w:ascii="arial" w:hAnsi="arial"/>
                <w:b/>
                <w:color w:val="F7ACBA"/>
                <w:sz w:val="24"/>
              </w:rPr>
              <w:t>What does Irene Chang Britt bring to the VS&amp;Co Board?</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Irene has a broad range of experience and skills pertinent to global business operations, especially within the retail industry, gained from her numerous leadership positions and public directorships, including at sector-leading consumer companies. Irene led Campbell’s second largest global reportable segment, with net sales exceeding $2.4 billion in 2014. She has deep experience in business transformation and is an expert in human capital management, branding, and marketing.</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Irene is a thoughtful and strategic leader of the Human Capital and Compensation Committee. As Chair of the committee, Irene leads the critical work of overseeing VS&amp;Co’s executive compensation program and succession planning for the executive management team. She guided the development of VS&amp;Co’s inaugural executive compensation program and is constantly exploring ways to improve it.</w:t>
            </w:r>
          </w:p>
        </w:tc>
      </w:tr>
      <w:tr>
        <w:trPr/>
        <w:tc>
          <w:tcPr>
            <w:tcW w:w="1685"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b/>
                <w:color w:val="F7ACBA"/>
                <w:sz w:val="24"/>
              </w:rPr>
            </w:pPr>
            <w:r>
              <w:rPr>
                <w:rFonts w:ascii="arial" w:hAnsi="arial"/>
                <w:b/>
                <w:color w:val="F7ACBA"/>
                <w:sz w:val="24"/>
              </w:rPr>
              <w:t>Independent</w:t>
            </w:r>
          </w:p>
          <w:p>
            <w:pPr>
              <w:pStyle w:val="TableContents"/>
              <w:bidi w:val="0"/>
              <w:spacing w:before="0" w:after="0"/>
              <w:jc w:val="left"/>
              <w:rPr/>
            </w:pPr>
            <w:r>
              <w:rPr/>
              <w:t> </w:t>
            </w:r>
          </w:p>
          <w:p>
            <w:pPr>
              <w:pStyle w:val="TableContents"/>
              <w:bidi w:val="0"/>
              <w:spacing w:before="0" w:after="0"/>
              <w:jc w:val="left"/>
              <w:rPr>
                <w:rFonts w:ascii="arial" w:hAnsi="arial"/>
                <w:sz w:val="24"/>
              </w:rPr>
            </w:pPr>
            <w:r>
              <w:rPr>
                <w:rFonts w:ascii="arial" w:hAnsi="arial"/>
                <w:b/>
                <w:color w:val="F7ACBA"/>
                <w:sz w:val="24"/>
              </w:rPr>
              <w:t xml:space="preserve">Age: </w:t>
            </w:r>
            <w:r>
              <w:rPr>
                <w:rFonts w:ascii="arial" w:hAnsi="arial"/>
                <w:sz w:val="20"/>
              </w:rPr>
              <w:t>61</w:t>
            </w:r>
          </w:p>
          <w:p>
            <w:pPr>
              <w:pStyle w:val="TableContents"/>
              <w:bidi w:val="0"/>
              <w:spacing w:before="0" w:after="0"/>
              <w:jc w:val="left"/>
              <w:rPr/>
            </w:pPr>
            <w:r>
              <w:rPr/>
              <w:t> </w:t>
            </w:r>
          </w:p>
          <w:p>
            <w:pPr>
              <w:pStyle w:val="TableContents"/>
              <w:bidi w:val="0"/>
              <w:spacing w:before="0" w:after="0"/>
              <w:jc w:val="left"/>
              <w:rPr>
                <w:rFonts w:ascii="arial" w:hAnsi="arial"/>
                <w:sz w:val="24"/>
              </w:rPr>
            </w:pPr>
            <w:r>
              <w:rPr>
                <w:rFonts w:ascii="arial" w:hAnsi="arial"/>
                <w:b/>
                <w:color w:val="F7ACBA"/>
                <w:sz w:val="24"/>
              </w:rPr>
              <w:t xml:space="preserve">Director Since: </w:t>
            </w:r>
            <w:r>
              <w:rPr>
                <w:rFonts w:ascii="arial" w:hAnsi="arial"/>
                <w:sz w:val="20"/>
              </w:rPr>
              <w:t>2021</w:t>
            </w:r>
          </w:p>
          <w:p>
            <w:pPr>
              <w:pStyle w:val="TableContents"/>
              <w:bidi w:val="0"/>
              <w:spacing w:before="0" w:after="0"/>
              <w:jc w:val="left"/>
              <w:rPr/>
            </w:pPr>
            <w:r>
              <w:rPr/>
              <w:t> </w:t>
            </w:r>
          </w:p>
          <w:p>
            <w:pPr>
              <w:pStyle w:val="TableContents"/>
              <w:bidi w:val="0"/>
              <w:spacing w:before="0" w:after="0"/>
              <w:jc w:val="left"/>
              <w:rPr>
                <w:rFonts w:ascii="arial" w:hAnsi="arial"/>
                <w:b/>
                <w:color w:val="F7ACBA"/>
                <w:sz w:val="24"/>
              </w:rPr>
            </w:pPr>
            <w:r>
              <w:rPr>
                <w:rFonts w:ascii="arial" w:hAnsi="arial"/>
                <w:b/>
                <w:color w:val="F7ACBA"/>
                <w:sz w:val="24"/>
              </w:rPr>
              <w:t>Board Committees</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20"/>
              </w:rPr>
              <w:t>Audit</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20"/>
              </w:rPr>
              <w:t>Chair of Human Capital and</w:t>
              <w:br/>
              <w:t>Compensation</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vMerge w:val="continue"/>
            <w:tcBorders/>
            <w:vAlign w:val="center"/>
          </w:tcPr>
          <w:p>
            <w:pPr>
              <w:pStyle w:val="Normal"/>
              <w:bidi w:val="0"/>
              <w:jc w:val="left"/>
              <w:rPr/>
            </w:pPr>
            <w:r>
              <w:rPr/>
            </w:r>
          </w:p>
        </w:tc>
        <w:tc>
          <w:tcPr>
            <w:tcW w:w="8460" w:type="dxa"/>
            <w:vMerge w:val="continue"/>
            <w:tcBorders/>
            <w:vAlign w:val="center"/>
          </w:tcPr>
          <w:p>
            <w:pPr>
              <w:pStyle w:val="Normal"/>
              <w:bidi w:val="0"/>
              <w:jc w:val="left"/>
              <w:rPr/>
            </w:pPr>
            <w:r>
              <w:rPr/>
            </w:r>
          </w:p>
        </w:tc>
      </w:tr>
    </w:tbl>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43"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4" descr=""/>
                          <pic:cNvPicPr>
                            <a:picLocks noChangeAspect="1" noChangeArrowheads="1"/>
                          </pic:cNvPicPr>
                        </pic:nvPicPr>
                        <pic:blipFill>
                          <a:blip r:embed="rId35"/>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10 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PROPOSAL ONE: ELECTION OF DIRECTORS </w:t>
      </w:r>
    </w:p>
    <w:p>
      <w:pPr>
        <w:pStyle w:val="TextBody"/>
        <w:bidi w:val="0"/>
        <w:spacing w:before="0" w:after="0"/>
        <w:jc w:val="left"/>
        <w:rPr/>
      </w:pPr>
      <w:r>
        <w:rPr/>
        <w:t> </w:t>
      </w:r>
    </w:p>
    <w:p>
      <w:pPr>
        <w:pStyle w:val="TextBody"/>
        <w:bidi w:val="0"/>
        <w:spacing w:before="0" w:after="0"/>
        <w:jc w:val="left"/>
        <w:rPr/>
      </w:pPr>
      <w:r>
        <w:rPr/>
        <w:drawing>
          <wp:inline distT="0" distB="0" distL="0" distR="0">
            <wp:extent cx="580390" cy="789940"/>
            <wp:effectExtent l="0" t="0" r="0" b="0"/>
            <wp:docPr id="44"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5" descr=""/>
                    <pic:cNvPicPr>
                      <a:picLocks noChangeAspect="1" noChangeArrowheads="1"/>
                    </pic:cNvPicPr>
                  </pic:nvPicPr>
                  <pic:blipFill>
                    <a:blip r:embed="rId36"/>
                    <a:stretch>
                      <a:fillRect/>
                    </a:stretch>
                  </pic:blipFill>
                  <pic:spPr bwMode="auto">
                    <a:xfrm>
                      <a:off x="0" y="0"/>
                      <a:ext cx="580390" cy="78994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pPr>
      <w:r>
        <w:rPr/>
        <w:t xml:space="preserve">    </w:t>
      </w:r>
    </w:p>
    <w:tbl>
      <w:tblPr>
        <w:tblW w:w="10205" w:type="dxa"/>
        <w:jc w:val="left"/>
        <w:tblInd w:w="0" w:type="dxa"/>
        <w:tblLayout w:type="fixed"/>
        <w:tblCellMar>
          <w:top w:w="0" w:type="dxa"/>
          <w:left w:w="0" w:type="dxa"/>
          <w:bottom w:w="0" w:type="dxa"/>
          <w:right w:w="0" w:type="dxa"/>
        </w:tblCellMar>
      </w:tblPr>
      <w:tblGrid>
        <w:gridCol w:w="1674"/>
        <w:gridCol w:w="60"/>
        <w:gridCol w:w="8471"/>
      </w:tblGrid>
      <w:tr>
        <w:trPr/>
        <w:tc>
          <w:tcPr>
            <w:tcW w:w="16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71" w:type="dxa"/>
            <w:tcBorders/>
            <w:vAlign w:val="center"/>
          </w:tcPr>
          <w:p>
            <w:pPr>
              <w:pStyle w:val="TableContents"/>
              <w:bidi w:val="0"/>
              <w:spacing w:before="0" w:after="283"/>
              <w:jc w:val="left"/>
              <w:rPr>
                <w:sz w:val="4"/>
                <w:szCs w:val="4"/>
              </w:rPr>
            </w:pPr>
            <w:r>
              <w:rPr>
                <w:sz w:val="4"/>
                <w:szCs w:val="4"/>
              </w:rPr>
            </w:r>
          </w:p>
        </w:tc>
      </w:tr>
      <w:tr>
        <w:trPr/>
        <w:tc>
          <w:tcPr>
            <w:tcW w:w="1674"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8471" w:type="dxa"/>
            <w:vMerge w:val="restart"/>
            <w:tcBorders/>
            <w:vAlign w:val="center"/>
          </w:tcPr>
          <w:p>
            <w:pPr>
              <w:pStyle w:val="TableContents"/>
              <w:bidi w:val="0"/>
              <w:spacing w:before="0" w:after="0"/>
              <w:jc w:val="left"/>
              <w:rPr>
                <w:rFonts w:ascii="arial" w:hAnsi="arial"/>
                <w:b/>
                <w:color w:val="F7ACBA"/>
                <w:sz w:val="24"/>
              </w:rPr>
            </w:pPr>
            <w:r>
              <w:rPr>
                <w:rFonts w:ascii="arial" w:hAnsi="arial"/>
                <w:b/>
                <w:color w:val="F7ACBA"/>
                <w:sz w:val="24"/>
              </w:rPr>
              <w:t>Public Company Directorships</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Amdocs</w:t>
            </w:r>
            <w:r>
              <w:rPr>
                <w:rFonts w:ascii="arial" w:hAnsi="arial"/>
                <w:sz w:val="18"/>
              </w:rPr>
              <w:t xml:space="preserve"> (NASDAQ: DOX), </w:t>
            </w:r>
            <w:r>
              <w:rPr>
                <w:rFonts w:ascii="arial" w:hAnsi="arial"/>
                <w:i/>
                <w:sz w:val="18"/>
              </w:rPr>
              <w:t>a leading software and digital services provider</w:t>
            </w:r>
            <w:r>
              <w:rPr>
                <w:rFonts w:ascii="arial" w:hAnsi="arial"/>
                <w:sz w:val="18"/>
              </w:rPr>
              <w:t>, 2021 – present</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Pet Valu</w:t>
            </w:r>
            <w:r>
              <w:rPr>
                <w:rFonts w:ascii="arial" w:hAnsi="arial"/>
                <w:sz w:val="18"/>
              </w:rPr>
              <w:t xml:space="preserve"> (TSX: PET), </w:t>
            </w:r>
            <w:r>
              <w:rPr>
                <w:rFonts w:ascii="arial" w:hAnsi="arial"/>
                <w:i/>
                <w:sz w:val="18"/>
              </w:rPr>
              <w:t>a Canadian retailer of pet food and related supplies</w:t>
            </w:r>
            <w:r>
              <w:rPr>
                <w:rFonts w:ascii="arial" w:hAnsi="arial"/>
                <w:sz w:val="18"/>
              </w:rPr>
              <w:t>, 2021 – present</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AGF Investments</w:t>
            </w:r>
            <w:r>
              <w:rPr>
                <w:rFonts w:ascii="arial" w:hAnsi="arial"/>
                <w:sz w:val="18"/>
              </w:rPr>
              <w:t xml:space="preserve">, </w:t>
            </w:r>
            <w:r>
              <w:rPr>
                <w:rFonts w:ascii="arial" w:hAnsi="arial"/>
                <w:i/>
                <w:sz w:val="18"/>
              </w:rPr>
              <w:t>an investment management firm</w:t>
            </w:r>
            <w:r>
              <w:rPr>
                <w:rFonts w:ascii="arial" w:hAnsi="arial"/>
                <w:sz w:val="18"/>
              </w:rPr>
              <w:t>, 2014 – 2022</w:t>
            </w:r>
          </w:p>
          <w:p>
            <w:pPr>
              <w:pStyle w:val="TableContents"/>
              <w:bidi w:val="0"/>
              <w:spacing w:before="0" w:after="0"/>
              <w:jc w:val="left"/>
              <w:rPr/>
            </w:pPr>
            <w:r>
              <w:rPr/>
              <w:t> </w:t>
            </w:r>
          </w:p>
          <w:p>
            <w:pPr>
              <w:pStyle w:val="TableContents"/>
              <w:bidi w:val="0"/>
              <w:spacing w:before="0" w:after="0"/>
              <w:jc w:val="left"/>
              <w:rPr>
                <w:rFonts w:ascii="arial" w:hAnsi="arial"/>
                <w:b/>
                <w:color w:val="F7ACBA"/>
                <w:sz w:val="24"/>
              </w:rPr>
            </w:pPr>
            <w:r>
              <w:rPr>
                <w:rFonts w:ascii="arial" w:hAnsi="arial"/>
                <w:b/>
                <w:color w:val="F7ACBA"/>
                <w:sz w:val="24"/>
              </w:rPr>
              <w:t>Professional Experience</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President</w:t>
            </w:r>
            <w:r>
              <w:rPr>
                <w:rFonts w:ascii="arial" w:hAnsi="arial"/>
                <w:sz w:val="18"/>
              </w:rPr>
              <w:t xml:space="preserve">, Loblaw Companies Limited, </w:t>
            </w:r>
            <w:r>
              <w:rPr>
                <w:rFonts w:ascii="arial" w:hAnsi="arial"/>
                <w:i/>
                <w:sz w:val="18"/>
              </w:rPr>
              <w:t>a grocery, pharmacy and beauty retailer</w:t>
            </w:r>
            <w:r>
              <w:rPr>
                <w:rFonts w:ascii="arial" w:hAnsi="arial"/>
                <w:sz w:val="18"/>
              </w:rPr>
              <w:t>, 2017 – 2021</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Chief Administrative Officer</w:t>
            </w:r>
            <w:r>
              <w:rPr>
                <w:rFonts w:ascii="arial" w:hAnsi="arial"/>
                <w:sz w:val="18"/>
              </w:rPr>
              <w:t>, Loblaw Companies Limited, 2014 – 2017</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Chief Financial Officer</w:t>
            </w:r>
            <w:r>
              <w:rPr>
                <w:rFonts w:ascii="arial" w:hAnsi="arial"/>
                <w:sz w:val="18"/>
              </w:rPr>
              <w:t>, Loblaw Companies Limited, 2010 – 2014</w:t>
            </w:r>
          </w:p>
          <w:p>
            <w:pPr>
              <w:pStyle w:val="TableContents"/>
              <w:bidi w:val="0"/>
              <w:spacing w:before="0" w:after="0"/>
              <w:jc w:val="left"/>
              <w:rPr/>
            </w:pPr>
            <w:r>
              <w:rPr/>
              <w:t> </w:t>
            </w:r>
          </w:p>
          <w:p>
            <w:pPr>
              <w:pStyle w:val="TableContents"/>
              <w:bidi w:val="0"/>
              <w:spacing w:before="0" w:after="0"/>
              <w:jc w:val="left"/>
              <w:rPr>
                <w:rFonts w:ascii="arial" w:hAnsi="arial"/>
                <w:b/>
                <w:color w:val="F7ACBA"/>
                <w:sz w:val="24"/>
              </w:rPr>
            </w:pPr>
            <w:r>
              <w:rPr>
                <w:rFonts w:ascii="arial" w:hAnsi="arial"/>
                <w:b/>
                <w:color w:val="F7ACBA"/>
                <w:sz w:val="24"/>
              </w:rPr>
              <w:t>Key Skills and Qualifications</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Public Company Finance</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Strategic Planning</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Risk Management</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Operations</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Mergers and Acquisitions</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Women’s Advocacy</w:t>
            </w:r>
          </w:p>
          <w:p>
            <w:pPr>
              <w:pStyle w:val="TableContents"/>
              <w:bidi w:val="0"/>
              <w:spacing w:before="0" w:after="0"/>
              <w:jc w:val="left"/>
              <w:rPr/>
            </w:pPr>
            <w:r>
              <w:rPr/>
              <w:t> </w:t>
            </w:r>
          </w:p>
          <w:p>
            <w:pPr>
              <w:pStyle w:val="TableContents"/>
              <w:bidi w:val="0"/>
              <w:spacing w:before="0" w:after="0"/>
              <w:jc w:val="left"/>
              <w:rPr>
                <w:rFonts w:ascii="arial" w:hAnsi="arial"/>
                <w:b/>
                <w:color w:val="F7ACBA"/>
                <w:sz w:val="24"/>
              </w:rPr>
            </w:pPr>
            <w:r>
              <w:rPr>
                <w:rFonts w:ascii="arial" w:hAnsi="arial"/>
                <w:b/>
                <w:color w:val="F7ACBA"/>
                <w:sz w:val="24"/>
              </w:rPr>
              <w:t>What does Sarah Davis bring to the VS&amp;Co Board?</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A seasoned public company executive and director, Sarah served as Chief Financial Officer, Chief Administrative Officer, and President of Loblaw Companies Limited, one of Canada’s largest omni-channel retailers of grocery, pharmacy, and beauty. At Loblaw, Sarah had a broad portfolio of responsibilities including corporate strategy, supply chain, information technology, real estate, and human resources. When Sarah left the company in 2021, the Loblaw loyalty program had 16 million members, almost one for every household in Canada.</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Sarah brings value to the VS&amp;Co Board through her corporate finance expertise and public company board experience. Her knowledge as an accountant and experience in various executive leadership roles are critical to leading the strategic and oversight functions of the Audit Committee.</w:t>
            </w:r>
          </w:p>
        </w:tc>
      </w:tr>
      <w:tr>
        <w:trPr/>
        <w:tc>
          <w:tcPr>
            <w:tcW w:w="1674"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b/>
                <w:color w:val="F7ACBA"/>
                <w:sz w:val="24"/>
              </w:rPr>
            </w:pPr>
            <w:r>
              <w:rPr>
                <w:rFonts w:ascii="arial" w:hAnsi="arial"/>
                <w:b/>
                <w:color w:val="F7ACBA"/>
                <w:sz w:val="24"/>
              </w:rPr>
              <w:t>Independent</w:t>
            </w:r>
          </w:p>
          <w:p>
            <w:pPr>
              <w:pStyle w:val="TableContents"/>
              <w:bidi w:val="0"/>
              <w:spacing w:before="0" w:after="0"/>
              <w:jc w:val="left"/>
              <w:rPr/>
            </w:pPr>
            <w:r>
              <w:rPr/>
              <w:t> </w:t>
            </w:r>
          </w:p>
          <w:p>
            <w:pPr>
              <w:pStyle w:val="TableContents"/>
              <w:bidi w:val="0"/>
              <w:spacing w:before="0" w:after="0"/>
              <w:jc w:val="left"/>
              <w:rPr>
                <w:rFonts w:ascii="arial" w:hAnsi="arial"/>
                <w:sz w:val="24"/>
              </w:rPr>
            </w:pPr>
            <w:r>
              <w:rPr>
                <w:rFonts w:ascii="arial" w:hAnsi="arial"/>
                <w:b/>
                <w:color w:val="F7ACBA"/>
                <w:sz w:val="24"/>
              </w:rPr>
              <w:t xml:space="preserve">Age: </w:t>
            </w:r>
            <w:r>
              <w:rPr>
                <w:rFonts w:ascii="arial" w:hAnsi="arial"/>
                <w:sz w:val="20"/>
              </w:rPr>
              <w:t>56</w:t>
            </w:r>
          </w:p>
          <w:p>
            <w:pPr>
              <w:pStyle w:val="TableContents"/>
              <w:bidi w:val="0"/>
              <w:spacing w:before="0" w:after="0"/>
              <w:jc w:val="left"/>
              <w:rPr/>
            </w:pPr>
            <w:r>
              <w:rPr/>
              <w:t> </w:t>
            </w:r>
          </w:p>
          <w:p>
            <w:pPr>
              <w:pStyle w:val="TableContents"/>
              <w:bidi w:val="0"/>
              <w:spacing w:before="0" w:after="0"/>
              <w:jc w:val="left"/>
              <w:rPr>
                <w:rFonts w:ascii="arial" w:hAnsi="arial"/>
                <w:sz w:val="24"/>
              </w:rPr>
            </w:pPr>
            <w:r>
              <w:rPr>
                <w:rFonts w:ascii="arial" w:hAnsi="arial"/>
                <w:b/>
                <w:color w:val="F7ACBA"/>
                <w:sz w:val="24"/>
              </w:rPr>
              <w:t xml:space="preserve">Director Since: </w:t>
            </w:r>
            <w:r>
              <w:rPr>
                <w:rFonts w:ascii="arial" w:hAnsi="arial"/>
                <w:sz w:val="20"/>
              </w:rPr>
              <w:t>2021</w:t>
            </w:r>
          </w:p>
          <w:p>
            <w:pPr>
              <w:pStyle w:val="TableContents"/>
              <w:bidi w:val="0"/>
              <w:spacing w:before="0" w:after="0"/>
              <w:jc w:val="left"/>
              <w:rPr/>
            </w:pPr>
            <w:r>
              <w:rPr/>
              <w:t> </w:t>
            </w:r>
          </w:p>
          <w:p>
            <w:pPr>
              <w:pStyle w:val="TableContents"/>
              <w:bidi w:val="0"/>
              <w:spacing w:before="0" w:after="0"/>
              <w:jc w:val="left"/>
              <w:rPr>
                <w:rFonts w:ascii="arial" w:hAnsi="arial"/>
                <w:b/>
                <w:color w:val="F7ACBA"/>
                <w:sz w:val="24"/>
              </w:rPr>
            </w:pPr>
            <w:r>
              <w:rPr>
                <w:rFonts w:ascii="arial" w:hAnsi="arial"/>
                <w:b/>
                <w:color w:val="F7ACBA"/>
                <w:sz w:val="24"/>
              </w:rPr>
              <w:t>Board Committees</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20"/>
              </w:rPr>
              <w:t>Chair of Audit</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20"/>
              </w:rPr>
              <w:t>Nominating and Governance</w:t>
            </w:r>
          </w:p>
          <w:p>
            <w:pPr>
              <w:pStyle w:val="TableContents"/>
              <w:bidi w:val="0"/>
              <w:spacing w:before="0" w:after="0"/>
              <w:jc w:val="left"/>
              <w:rPr/>
            </w:pPr>
            <w:r>
              <w:rPr/>
              <w:t> </w:t>
            </w:r>
          </w:p>
          <w:p>
            <w:pPr>
              <w:pStyle w:val="TableContents"/>
              <w:bidi w:val="0"/>
              <w:spacing w:before="0" w:after="20"/>
              <w:jc w:val="left"/>
              <w:rPr/>
            </w:pPr>
            <w:r>
              <w:rPr/>
              <w:t> </w:t>
            </w:r>
          </w:p>
        </w:tc>
        <w:tc>
          <w:tcPr>
            <w:tcW w:w="60" w:type="dxa"/>
            <w:vMerge w:val="continue"/>
            <w:tcBorders/>
            <w:vAlign w:val="center"/>
          </w:tcPr>
          <w:p>
            <w:pPr>
              <w:pStyle w:val="Normal"/>
              <w:bidi w:val="0"/>
              <w:jc w:val="left"/>
              <w:rPr/>
            </w:pPr>
            <w:r>
              <w:rPr/>
            </w:r>
          </w:p>
        </w:tc>
        <w:tc>
          <w:tcPr>
            <w:tcW w:w="8471" w:type="dxa"/>
            <w:vMerge w:val="continue"/>
            <w:tcBorders/>
            <w:vAlign w:val="center"/>
          </w:tcPr>
          <w:p>
            <w:pPr>
              <w:pStyle w:val="Normal"/>
              <w:bidi w:val="0"/>
              <w:jc w:val="left"/>
              <w:rPr/>
            </w:pPr>
            <w:r>
              <w:rPr/>
            </w:r>
          </w:p>
        </w:tc>
      </w:tr>
    </w:tbl>
    <w:p>
      <w:pPr>
        <w:pStyle w:val="TextBody"/>
        <w:bidi w:val="0"/>
        <w:spacing w:before="0" w:after="0"/>
        <w:jc w:val="left"/>
        <w:rPr/>
      </w:pPr>
      <w:r>
        <w:rPr/>
        <w:t> </w:t>
      </w:r>
    </w:p>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45"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6" descr=""/>
                          <pic:cNvPicPr>
                            <a:picLocks noChangeAspect="1" noChangeArrowheads="1"/>
                          </pic:cNvPicPr>
                        </pic:nvPicPr>
                        <pic:blipFill>
                          <a:blip r:embed="rId37"/>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11 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PROPOSAL ONE: ELECTION OF DIRECTORS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drawing>
          <wp:inline distT="0" distB="0" distL="0" distR="0">
            <wp:extent cx="5686425" cy="8210550"/>
            <wp:effectExtent l="0" t="0" r="0" b="0"/>
            <wp:docPr id="46"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7" descr=""/>
                    <pic:cNvPicPr>
                      <a:picLocks noChangeAspect="1" noChangeArrowheads="1"/>
                    </pic:cNvPicPr>
                  </pic:nvPicPr>
                  <pic:blipFill>
                    <a:blip r:embed="rId38"/>
                    <a:stretch>
                      <a:fillRect/>
                    </a:stretch>
                  </pic:blipFill>
                  <pic:spPr bwMode="auto">
                    <a:xfrm>
                      <a:off x="0" y="0"/>
                      <a:ext cx="5686425" cy="82105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right"/>
        <w:rPr/>
      </w:pPr>
      <w:r>
        <w:rPr/>
        <w:t xml:space="preserve">     </w:t>
      </w:r>
    </w:p>
    <w:tbl>
      <w:tblPr>
        <w:tblW w:w="10205" w:type="dxa"/>
        <w:jc w:val="left"/>
        <w:tblInd w:w="0" w:type="dxa"/>
        <w:tblLayout w:type="fixed"/>
        <w:tblCellMar>
          <w:top w:w="0" w:type="dxa"/>
          <w:left w:w="0" w:type="dxa"/>
          <w:bottom w:w="0" w:type="dxa"/>
          <w:right w:w="0" w:type="dxa"/>
        </w:tblCellMar>
      </w:tblPr>
      <w:tblGrid>
        <w:gridCol w:w="1757"/>
        <w:gridCol w:w="60"/>
        <w:gridCol w:w="8349"/>
        <w:gridCol w:w="39"/>
      </w:tblGrid>
      <w:tr>
        <w:trPr/>
        <w:tc>
          <w:tcPr>
            <w:tcW w:w="17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49" w:type="dxa"/>
            <w:tcBorders/>
            <w:vAlign w:val="center"/>
          </w:tcPr>
          <w:p>
            <w:pPr>
              <w:pStyle w:val="TableContents"/>
              <w:bidi w:val="0"/>
              <w:spacing w:before="0" w:after="283"/>
              <w:jc w:val="left"/>
              <w:rPr>
                <w:sz w:val="4"/>
                <w:szCs w:val="4"/>
              </w:rPr>
            </w:pPr>
            <w:r>
              <w:rPr>
                <w:sz w:val="4"/>
                <w:szCs w:val="4"/>
              </w:rPr>
            </w:r>
          </w:p>
        </w:tc>
        <w:tc>
          <w:tcPr>
            <w:tcW w:w="39" w:type="dxa"/>
            <w:tcBorders/>
          </w:tcPr>
          <w:p>
            <w:pPr>
              <w:pStyle w:val="TableContents"/>
              <w:bidi w:val="0"/>
              <w:spacing w:before="0" w:after="283"/>
              <w:jc w:val="left"/>
              <w:rPr>
                <w:sz w:val="4"/>
                <w:szCs w:val="4"/>
              </w:rPr>
            </w:pPr>
            <w:r>
              <w:rPr>
                <w:sz w:val="4"/>
                <w:szCs w:val="4"/>
              </w:rPr>
            </w:r>
          </w:p>
        </w:tc>
      </w:tr>
      <w:tr>
        <w:trPr/>
        <w:tc>
          <w:tcPr>
            <w:tcW w:w="1757" w:type="dxa"/>
            <w:vMerge w:val="restart"/>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b/>
                <w:color w:val="F7ACBA"/>
                <w:sz w:val="24"/>
              </w:rPr>
            </w:pPr>
            <w:r>
              <w:rPr>
                <w:rFonts w:ascii="arial" w:hAnsi="arial"/>
                <w:b/>
                <w:color w:val="F7ACBA"/>
                <w:sz w:val="24"/>
              </w:rPr>
              <w:t>Independent</w:t>
            </w:r>
          </w:p>
          <w:p>
            <w:pPr>
              <w:pStyle w:val="TableContents"/>
              <w:bidi w:val="0"/>
              <w:spacing w:before="0" w:after="0"/>
              <w:jc w:val="left"/>
              <w:rPr/>
            </w:pPr>
            <w:r>
              <w:rPr/>
              <w:t> </w:t>
            </w:r>
          </w:p>
          <w:p>
            <w:pPr>
              <w:pStyle w:val="TableContents"/>
              <w:bidi w:val="0"/>
              <w:spacing w:before="0" w:after="0"/>
              <w:jc w:val="left"/>
              <w:rPr>
                <w:rFonts w:ascii="arial" w:hAnsi="arial"/>
                <w:sz w:val="24"/>
              </w:rPr>
            </w:pPr>
            <w:r>
              <w:rPr>
                <w:rFonts w:ascii="arial" w:hAnsi="arial"/>
                <w:b/>
                <w:color w:val="F7ACBA"/>
                <w:sz w:val="24"/>
              </w:rPr>
              <w:t xml:space="preserve">Age: </w:t>
            </w:r>
            <w:r>
              <w:rPr>
                <w:rFonts w:ascii="arial" w:hAnsi="arial"/>
                <w:sz w:val="24"/>
              </w:rPr>
              <w:t>58</w:t>
            </w:r>
          </w:p>
          <w:p>
            <w:pPr>
              <w:pStyle w:val="TableContents"/>
              <w:bidi w:val="0"/>
              <w:spacing w:before="0" w:after="0"/>
              <w:jc w:val="left"/>
              <w:rPr/>
            </w:pPr>
            <w:r>
              <w:rPr/>
              <w:t> </w:t>
            </w:r>
          </w:p>
          <w:p>
            <w:pPr>
              <w:pStyle w:val="TableContents"/>
              <w:bidi w:val="0"/>
              <w:spacing w:before="0" w:after="0"/>
              <w:jc w:val="left"/>
              <w:rPr>
                <w:rFonts w:ascii="arial" w:hAnsi="arial"/>
                <w:sz w:val="24"/>
              </w:rPr>
            </w:pPr>
            <w:r>
              <w:rPr>
                <w:rFonts w:ascii="arial" w:hAnsi="arial"/>
                <w:b/>
                <w:color w:val="F7ACBA"/>
                <w:sz w:val="24"/>
              </w:rPr>
              <w:t xml:space="preserve">Director Since: </w:t>
            </w:r>
            <w:r>
              <w:rPr>
                <w:rFonts w:ascii="arial" w:hAnsi="arial"/>
                <w:sz w:val="24"/>
              </w:rPr>
              <w:t>2021</w:t>
            </w:r>
          </w:p>
          <w:p>
            <w:pPr>
              <w:pStyle w:val="TableContents"/>
              <w:bidi w:val="0"/>
              <w:spacing w:before="0" w:after="0"/>
              <w:jc w:val="left"/>
              <w:rPr/>
            </w:pPr>
            <w:r>
              <w:rPr/>
              <w:t> </w:t>
            </w:r>
          </w:p>
          <w:p>
            <w:pPr>
              <w:pStyle w:val="TableContents"/>
              <w:bidi w:val="0"/>
              <w:spacing w:before="0" w:after="0"/>
              <w:jc w:val="left"/>
              <w:rPr>
                <w:rFonts w:ascii="arial" w:hAnsi="arial"/>
                <w:b/>
                <w:color w:val="F7ACBA"/>
                <w:sz w:val="24"/>
              </w:rPr>
            </w:pPr>
            <w:r>
              <w:rPr>
                <w:rFonts w:ascii="arial" w:hAnsi="arial"/>
                <w:b/>
                <w:color w:val="F7ACBA"/>
                <w:sz w:val="24"/>
              </w:rPr>
              <w:t>Board Committees</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20"/>
              </w:rPr>
              <w:t>Human Capital and</w:t>
              <w:br/>
              <w:t>Compensation</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20"/>
              </w:rPr>
              <w:t>Nominating and Governance</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vMerge w:val="restart"/>
            <w:tcBorders/>
            <w:vAlign w:val="center"/>
          </w:tcPr>
          <w:p>
            <w:pPr>
              <w:pStyle w:val="TableContents"/>
              <w:bidi w:val="0"/>
              <w:spacing w:before="0" w:after="283"/>
              <w:jc w:val="left"/>
              <w:rPr/>
            </w:pPr>
            <w:r>
              <w:rPr/>
              <w:t> </w:t>
            </w:r>
          </w:p>
        </w:tc>
        <w:tc>
          <w:tcPr>
            <w:tcW w:w="8349" w:type="dxa"/>
            <w:vMerge w:val="restart"/>
            <w:tcBorders/>
            <w:vAlign w:val="center"/>
          </w:tcPr>
          <w:p>
            <w:pPr>
              <w:pStyle w:val="TableContents"/>
              <w:bidi w:val="0"/>
              <w:spacing w:before="0" w:after="0"/>
              <w:jc w:val="left"/>
              <w:rPr>
                <w:rFonts w:ascii="arial" w:hAnsi="arial"/>
                <w:b/>
                <w:color w:val="F7ACBA"/>
                <w:sz w:val="24"/>
              </w:rPr>
            </w:pPr>
            <w:r>
              <w:rPr>
                <w:rFonts w:ascii="arial" w:hAnsi="arial"/>
                <w:b/>
                <w:color w:val="F7ACBA"/>
                <w:sz w:val="24"/>
              </w:rPr>
              <w:t>Public Company Directorships</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MediaCo Holding Inc.</w:t>
            </w:r>
            <w:r>
              <w:rPr>
                <w:rFonts w:ascii="arial" w:hAnsi="arial"/>
                <w:sz w:val="18"/>
              </w:rPr>
              <w:t xml:space="preserve"> (NASDAQ: MDIA), </w:t>
            </w:r>
            <w:r>
              <w:rPr>
                <w:rFonts w:ascii="arial" w:hAnsi="arial"/>
                <w:i/>
                <w:sz w:val="18"/>
              </w:rPr>
              <w:t>a multimedia company focused on radio and digital advertising, premium programming and events</w:t>
            </w:r>
            <w:r>
              <w:rPr>
                <w:rFonts w:ascii="arial" w:hAnsi="arial"/>
                <w:sz w:val="18"/>
              </w:rPr>
              <w:t>, 2024 –present</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Isos Acquisition Corporation</w:t>
            </w:r>
            <w:r>
              <w:rPr>
                <w:rFonts w:ascii="arial" w:hAnsi="arial"/>
                <w:sz w:val="18"/>
              </w:rPr>
              <w:t xml:space="preserve">, </w:t>
            </w:r>
            <w:r>
              <w:rPr>
                <w:rFonts w:ascii="arial" w:hAnsi="arial"/>
                <w:i/>
                <w:sz w:val="18"/>
              </w:rPr>
              <w:t>a special purpose acquisition company</w:t>
            </w:r>
            <w:r>
              <w:rPr>
                <w:rFonts w:ascii="arial" w:hAnsi="arial"/>
                <w:sz w:val="18"/>
              </w:rPr>
              <w:t>, 2021</w:t>
            </w:r>
          </w:p>
          <w:p>
            <w:pPr>
              <w:pStyle w:val="TableContents"/>
              <w:bidi w:val="0"/>
              <w:spacing w:before="0" w:after="0"/>
              <w:jc w:val="left"/>
              <w:rPr/>
            </w:pPr>
            <w:r>
              <w:rPr/>
              <w:t> </w:t>
            </w:r>
          </w:p>
          <w:p>
            <w:pPr>
              <w:pStyle w:val="TableContents"/>
              <w:bidi w:val="0"/>
              <w:spacing w:before="0" w:after="0"/>
              <w:jc w:val="left"/>
              <w:rPr>
                <w:rFonts w:ascii="arial" w:hAnsi="arial"/>
                <w:b/>
                <w:color w:val="F7ACBA"/>
                <w:sz w:val="24"/>
              </w:rPr>
            </w:pPr>
            <w:r>
              <w:rPr>
                <w:rFonts w:ascii="arial" w:hAnsi="arial"/>
                <w:b/>
                <w:color w:val="F7ACBA"/>
                <w:sz w:val="24"/>
              </w:rPr>
              <w:t>Professional Experience</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Interim Chief Executive Officer</w:t>
            </w:r>
            <w:r>
              <w:rPr>
                <w:rFonts w:ascii="arial" w:hAnsi="arial"/>
                <w:sz w:val="18"/>
              </w:rPr>
              <w:t>, MediaCo Holding Inc., 2024 – present</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Founder and Chief Executive Officer</w:t>
            </w:r>
            <w:r>
              <w:rPr>
                <w:rFonts w:ascii="arial" w:hAnsi="arial"/>
                <w:sz w:val="18"/>
              </w:rPr>
              <w:t xml:space="preserve">, New Majority Ready, </w:t>
            </w:r>
            <w:r>
              <w:rPr>
                <w:rFonts w:ascii="arial" w:hAnsi="arial"/>
                <w:i/>
                <w:sz w:val="18"/>
              </w:rPr>
              <w:t>a marketing and strategy consulting firm</w:t>
            </w:r>
            <w:r>
              <w:rPr>
                <w:rFonts w:ascii="arial" w:hAnsi="arial"/>
                <w:sz w:val="18"/>
              </w:rPr>
              <w:t>, 2019 – present</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President</w:t>
            </w:r>
            <w:r>
              <w:rPr>
                <w:rFonts w:ascii="arial" w:hAnsi="arial"/>
                <w:sz w:val="18"/>
              </w:rPr>
              <w:t xml:space="preserve">, Combate Américas, </w:t>
            </w:r>
            <w:r>
              <w:rPr>
                <w:rFonts w:ascii="arial" w:hAnsi="arial"/>
                <w:i/>
                <w:sz w:val="18"/>
              </w:rPr>
              <w:t>a Hispanic sports franchise</w:t>
            </w:r>
            <w:r>
              <w:rPr>
                <w:rFonts w:ascii="arial" w:hAnsi="arial"/>
                <w:sz w:val="18"/>
              </w:rPr>
              <w:t>, 2017 – 2020</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Chief Marketing Officer</w:t>
            </w:r>
            <w:r>
              <w:rPr>
                <w:rFonts w:ascii="arial" w:hAnsi="arial"/>
                <w:sz w:val="18"/>
              </w:rPr>
              <w:t>, NBCUniversal Hispanic Enterprises, 2014 – 2017</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Chief Operating Officer</w:t>
            </w:r>
            <w:r>
              <w:rPr>
                <w:rFonts w:ascii="arial" w:hAnsi="arial"/>
                <w:sz w:val="18"/>
              </w:rPr>
              <w:t>, NBCUniversal Telemundo Enterprises, 2008 – 2014</w:t>
            </w:r>
          </w:p>
          <w:p>
            <w:pPr>
              <w:pStyle w:val="TableContents"/>
              <w:bidi w:val="0"/>
              <w:spacing w:before="0" w:after="0"/>
              <w:jc w:val="left"/>
              <w:rPr/>
            </w:pPr>
            <w:r>
              <w:rPr/>
              <w:t> </w:t>
            </w:r>
          </w:p>
          <w:p>
            <w:pPr>
              <w:pStyle w:val="TableContents"/>
              <w:bidi w:val="0"/>
              <w:spacing w:before="0" w:after="0"/>
              <w:jc w:val="left"/>
              <w:rPr>
                <w:rFonts w:ascii="arial" w:hAnsi="arial"/>
                <w:b/>
                <w:color w:val="F7ACBA"/>
                <w:sz w:val="24"/>
              </w:rPr>
            </w:pPr>
            <w:r>
              <w:rPr>
                <w:rFonts w:ascii="arial" w:hAnsi="arial"/>
                <w:b/>
                <w:color w:val="F7ACBA"/>
                <w:sz w:val="24"/>
              </w:rPr>
              <w:t>Key Skills and Qualifications</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Consumer Marketing</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Data Analytics</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Business Operations</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Strategic Planning</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AI Ethics</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Brand Transformation</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Digital and Social Media Marketing</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Diversity, Equity and Inclusion</w:t>
            </w:r>
          </w:p>
          <w:p>
            <w:pPr>
              <w:pStyle w:val="TableContents"/>
              <w:bidi w:val="0"/>
              <w:spacing w:before="0" w:after="0"/>
              <w:jc w:val="left"/>
              <w:rPr/>
            </w:pPr>
            <w:r>
              <w:rPr/>
              <w:t> </w:t>
            </w:r>
          </w:p>
          <w:p>
            <w:pPr>
              <w:pStyle w:val="TableContents"/>
              <w:bidi w:val="0"/>
              <w:spacing w:before="0" w:after="0"/>
              <w:jc w:val="left"/>
              <w:rPr>
                <w:rFonts w:ascii="arial" w:hAnsi="arial"/>
                <w:b/>
                <w:color w:val="F7ACBA"/>
                <w:sz w:val="24"/>
              </w:rPr>
            </w:pPr>
            <w:r>
              <w:rPr>
                <w:rFonts w:ascii="arial" w:hAnsi="arial"/>
                <w:b/>
                <w:color w:val="F7ACBA"/>
                <w:sz w:val="24"/>
              </w:rPr>
              <w:t>What does Jacqueline Hernández bring to the VS&amp;Co Board?</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Jacqueline brings business and cultural fluency in many of VS&amp;Co’s key markets, notably U.S. Hispanic and North America. As VS&amp;Co develops and executes on its go-to-market strategy through the lens of a product-led entertainment brand, the Board and management team benefit greatly from Jacqueline’s insight and experience in brand transformation and multimedia marketing.</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When it comes to multicultural and youth consumer marketing, Jacqueline is an expert. Her business leadership experience makes her a trustworthy authority on long-term and short-term strategic planning, brand transformation, consumer insights, and DEI.</w:t>
            </w:r>
          </w:p>
        </w:tc>
        <w:tc>
          <w:tcPr>
            <w:tcW w:w="39" w:type="dxa"/>
            <w:tcBorders/>
          </w:tcPr>
          <w:p>
            <w:pPr>
              <w:pStyle w:val="TableContents"/>
              <w:bidi w:val="0"/>
              <w:spacing w:before="0" w:after="283"/>
              <w:jc w:val="left"/>
              <w:rPr>
                <w:sz w:val="4"/>
                <w:szCs w:val="4"/>
              </w:rPr>
            </w:pPr>
            <w:r>
              <w:rPr>
                <w:sz w:val="4"/>
                <w:szCs w:val="4"/>
              </w:rPr>
            </w:r>
          </w:p>
        </w:tc>
      </w:tr>
      <w:tr>
        <w:trPr/>
        <w:tc>
          <w:tcPr>
            <w:tcW w:w="1757"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8349" w:type="dxa"/>
            <w:vMerge w:val="continue"/>
            <w:tcBorders/>
            <w:vAlign w:val="center"/>
          </w:tcPr>
          <w:p>
            <w:pPr>
              <w:pStyle w:val="Normal"/>
              <w:bidi w:val="0"/>
              <w:jc w:val="left"/>
              <w:rPr/>
            </w:pPr>
            <w:r>
              <w:rPr/>
            </w:r>
          </w:p>
        </w:tc>
        <w:tc>
          <w:tcPr>
            <w:tcW w:w="3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47"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8" descr=""/>
                          <pic:cNvPicPr>
                            <a:picLocks noChangeAspect="1" noChangeArrowheads="1"/>
                          </pic:cNvPicPr>
                        </pic:nvPicPr>
                        <pic:blipFill>
                          <a:blip r:embed="rId39"/>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12 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PROPOSAL ONE: ELECTION OF DIRECTORS </w:t>
      </w:r>
    </w:p>
    <w:p>
      <w:pPr>
        <w:pStyle w:val="TextBody"/>
        <w:bidi w:val="0"/>
        <w:spacing w:before="0" w:after="0"/>
        <w:jc w:val="left"/>
        <w:rPr/>
      </w:pPr>
      <w:r>
        <w:rPr/>
        <w:t> </w:t>
      </w:r>
    </w:p>
    <w:p>
      <w:pPr>
        <w:pStyle w:val="TextBody"/>
        <w:bidi w:val="0"/>
        <w:spacing w:before="0" w:after="0"/>
        <w:jc w:val="left"/>
        <w:rPr/>
      </w:pPr>
      <w:r>
        <w:rPr/>
        <w:drawing>
          <wp:inline distT="0" distB="0" distL="0" distR="0">
            <wp:extent cx="593090" cy="789940"/>
            <wp:effectExtent l="0" t="0" r="0" b="0"/>
            <wp:docPr id="48"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9" descr=""/>
                    <pic:cNvPicPr>
                      <a:picLocks noChangeAspect="1" noChangeArrowheads="1"/>
                    </pic:cNvPicPr>
                  </pic:nvPicPr>
                  <pic:blipFill>
                    <a:blip r:embed="rId40"/>
                    <a:stretch>
                      <a:fillRect/>
                    </a:stretch>
                  </pic:blipFill>
                  <pic:spPr bwMode="auto">
                    <a:xfrm>
                      <a:off x="0" y="0"/>
                      <a:ext cx="593090" cy="78994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pPr>
      <w:r>
        <w:rPr/>
        <w:t xml:space="preserve">    </w:t>
      </w:r>
    </w:p>
    <w:tbl>
      <w:tblPr>
        <w:tblW w:w="10205" w:type="dxa"/>
        <w:jc w:val="left"/>
        <w:tblInd w:w="0" w:type="dxa"/>
        <w:tblLayout w:type="fixed"/>
        <w:tblCellMar>
          <w:top w:w="0" w:type="dxa"/>
          <w:left w:w="0" w:type="dxa"/>
          <w:bottom w:w="0" w:type="dxa"/>
          <w:right w:w="0" w:type="dxa"/>
        </w:tblCellMar>
      </w:tblPr>
      <w:tblGrid>
        <w:gridCol w:w="1581"/>
        <w:gridCol w:w="60"/>
        <w:gridCol w:w="8564"/>
      </w:tblGrid>
      <w:tr>
        <w:trPr/>
        <w:tc>
          <w:tcPr>
            <w:tcW w:w="15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64" w:type="dxa"/>
            <w:tcBorders/>
            <w:vAlign w:val="center"/>
          </w:tcPr>
          <w:p>
            <w:pPr>
              <w:pStyle w:val="TableContents"/>
              <w:bidi w:val="0"/>
              <w:spacing w:before="0" w:after="283"/>
              <w:jc w:val="left"/>
              <w:rPr>
                <w:sz w:val="4"/>
                <w:szCs w:val="4"/>
              </w:rPr>
            </w:pPr>
            <w:r>
              <w:rPr>
                <w:sz w:val="4"/>
                <w:szCs w:val="4"/>
              </w:rPr>
            </w:r>
          </w:p>
        </w:tc>
      </w:tr>
      <w:tr>
        <w:trPr/>
        <w:tc>
          <w:tcPr>
            <w:tcW w:w="1581"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8564" w:type="dxa"/>
            <w:vMerge w:val="restart"/>
            <w:tcBorders/>
            <w:vAlign w:val="center"/>
          </w:tcPr>
          <w:p>
            <w:pPr>
              <w:pStyle w:val="TableContents"/>
              <w:bidi w:val="0"/>
              <w:spacing w:before="0" w:after="0"/>
              <w:jc w:val="left"/>
              <w:rPr>
                <w:rFonts w:ascii="arial" w:hAnsi="arial"/>
                <w:b/>
                <w:color w:val="F7ACBA"/>
                <w:sz w:val="24"/>
              </w:rPr>
            </w:pPr>
            <w:r>
              <w:rPr>
                <w:rFonts w:ascii="arial" w:hAnsi="arial"/>
                <w:b/>
                <w:color w:val="F7ACBA"/>
                <w:sz w:val="24"/>
              </w:rPr>
              <w:t>Public Company Directorships</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Edgewell Personal Care Company</w:t>
            </w:r>
            <w:r>
              <w:rPr>
                <w:rFonts w:ascii="arial" w:hAnsi="arial"/>
                <w:sz w:val="18"/>
              </w:rPr>
              <w:t xml:space="preserve"> (NYSE: EPC), </w:t>
            </w:r>
            <w:r>
              <w:rPr>
                <w:rFonts w:ascii="arial" w:hAnsi="arial"/>
                <w:i/>
                <w:sz w:val="18"/>
              </w:rPr>
              <w:t>a multinational consumer products company</w:t>
            </w:r>
            <w:r>
              <w:rPr>
                <w:rFonts w:ascii="arial" w:hAnsi="arial"/>
                <w:sz w:val="18"/>
              </w:rPr>
              <w:t>, 2019 – present</w:t>
            </w:r>
          </w:p>
          <w:p>
            <w:pPr>
              <w:pStyle w:val="TableContents"/>
              <w:bidi w:val="0"/>
              <w:spacing w:before="0" w:after="0"/>
              <w:jc w:val="left"/>
              <w:rPr/>
            </w:pPr>
            <w:r>
              <w:rPr/>
              <w:t> </w:t>
            </w:r>
          </w:p>
          <w:p>
            <w:pPr>
              <w:pStyle w:val="TableContents"/>
              <w:bidi w:val="0"/>
              <w:spacing w:before="0" w:after="0"/>
              <w:jc w:val="left"/>
              <w:rPr>
                <w:rFonts w:ascii="arial" w:hAnsi="arial"/>
                <w:b/>
                <w:color w:val="F7ACBA"/>
                <w:sz w:val="24"/>
              </w:rPr>
            </w:pPr>
            <w:r>
              <w:rPr>
                <w:rFonts w:ascii="arial" w:hAnsi="arial"/>
                <w:b/>
                <w:color w:val="F7ACBA"/>
                <w:sz w:val="24"/>
              </w:rPr>
              <w:t>Professional Experience</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Chief Executive Officer</w:t>
            </w:r>
            <w:r>
              <w:rPr>
                <w:rFonts w:ascii="arial" w:hAnsi="arial"/>
                <w:sz w:val="18"/>
              </w:rPr>
              <w:t>, Edgewell Personal Care Company, 2019 – present</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Chief Financial Officer</w:t>
            </w:r>
            <w:r>
              <w:rPr>
                <w:rFonts w:ascii="arial" w:hAnsi="arial"/>
                <w:sz w:val="18"/>
              </w:rPr>
              <w:t>, Edgewell Personal Care Company, 2018 – 2019</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Chief Financial Officer</w:t>
            </w:r>
            <w:r>
              <w:rPr>
                <w:rFonts w:ascii="arial" w:hAnsi="arial"/>
                <w:sz w:val="18"/>
              </w:rPr>
              <w:t xml:space="preserve">, HSN, Inc., </w:t>
            </w:r>
            <w:r>
              <w:rPr>
                <w:rFonts w:ascii="arial" w:hAnsi="arial"/>
                <w:i/>
                <w:sz w:val="18"/>
              </w:rPr>
              <w:t>formerly known as the Home Shopping Network</w:t>
            </w:r>
            <w:r>
              <w:rPr>
                <w:rFonts w:ascii="arial" w:hAnsi="arial"/>
                <w:sz w:val="18"/>
              </w:rPr>
              <w:t>, 2017</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Chief Financial Officer</w:t>
            </w:r>
            <w:r>
              <w:rPr>
                <w:rFonts w:ascii="arial" w:hAnsi="arial"/>
                <w:sz w:val="18"/>
              </w:rPr>
              <w:t xml:space="preserve">, Elizabeth Arden, </w:t>
            </w:r>
            <w:r>
              <w:rPr>
                <w:rFonts w:ascii="arial" w:hAnsi="arial"/>
                <w:i/>
                <w:sz w:val="18"/>
              </w:rPr>
              <w:t>a makeup, skincare, and perfume company</w:t>
            </w:r>
            <w:r>
              <w:rPr>
                <w:rFonts w:ascii="arial" w:hAnsi="arial"/>
                <w:sz w:val="18"/>
              </w:rPr>
              <w:t>, 2014 – 2016</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Global Finance Director</w:t>
            </w:r>
            <w:r>
              <w:rPr>
                <w:rFonts w:ascii="arial" w:hAnsi="arial"/>
                <w:sz w:val="18"/>
              </w:rPr>
              <w:t xml:space="preserve">, Procter &amp; Gamble, </w:t>
            </w:r>
            <w:r>
              <w:rPr>
                <w:rFonts w:ascii="arial" w:hAnsi="arial"/>
                <w:i/>
                <w:sz w:val="18"/>
              </w:rPr>
              <w:t>a global consumer goods company</w:t>
            </w:r>
            <w:r>
              <w:rPr>
                <w:rFonts w:ascii="arial" w:hAnsi="arial"/>
                <w:sz w:val="18"/>
              </w:rPr>
              <w:t>, 2009 – 2014</w:t>
            </w:r>
          </w:p>
          <w:p>
            <w:pPr>
              <w:pStyle w:val="TableContents"/>
              <w:bidi w:val="0"/>
              <w:spacing w:before="0" w:after="0"/>
              <w:jc w:val="left"/>
              <w:rPr/>
            </w:pPr>
            <w:r>
              <w:rPr/>
              <w:t> </w:t>
            </w:r>
          </w:p>
          <w:p>
            <w:pPr>
              <w:pStyle w:val="TableContents"/>
              <w:bidi w:val="0"/>
              <w:spacing w:before="0" w:after="0"/>
              <w:jc w:val="left"/>
              <w:rPr>
                <w:rFonts w:ascii="arial" w:hAnsi="arial"/>
                <w:b/>
                <w:color w:val="F7ACBA"/>
                <w:sz w:val="24"/>
              </w:rPr>
            </w:pPr>
            <w:r>
              <w:rPr>
                <w:rFonts w:ascii="arial" w:hAnsi="arial"/>
                <w:b/>
                <w:color w:val="F7ACBA"/>
                <w:sz w:val="24"/>
              </w:rPr>
              <w:t>Key Skills and Qualifications</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Strategic Planning</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Mergers and Acquisitions</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Public Company Finance</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E-Commerce and Digital Operations</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Beauty Merchandise</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International Retail Operations</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Sustainability</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b/>
                <w:color w:val="F7ACBA"/>
                <w:sz w:val="24"/>
              </w:rPr>
            </w:pPr>
            <w:r>
              <w:rPr>
                <w:rFonts w:ascii="arial" w:hAnsi="arial"/>
                <w:b/>
                <w:color w:val="F7ACBA"/>
                <w:sz w:val="24"/>
              </w:rPr>
              <w:t>What does Rod Little bring to the VS&amp;Co Board?</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Rod brings more than 20 years of experience in the global consumer goods industry, significant public company leadership and finance experience, and a strong track record of driving results. As Chief Executive Officer of Edgewell Personal Care Company, one of the world’s largest manufacturers and marketers of personal care products in the wet shave, sun and skin care, and feminine care categories, Rod accelerated growth and margin expansion of a highly profitable business. Before beginning his career in the consumer goods industry, Rod served as an officer in the United States Air Force for five years.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As the CEO of a multinational, publicly traded consumer products company with decades of experience in the industry, Rod’s recent appointment to the VS&amp;Co Board further strengthens our ability to unlock long-term stockholder value through informed oversight of our ongoing strategic initiatives.</w:t>
            </w:r>
          </w:p>
        </w:tc>
      </w:tr>
      <w:tr>
        <w:trPr/>
        <w:tc>
          <w:tcPr>
            <w:tcW w:w="1581"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F7ACBA"/>
                <w:sz w:val="24"/>
              </w:rPr>
            </w:pPr>
            <w:r>
              <w:rPr>
                <w:rFonts w:ascii="arial" w:hAnsi="arial"/>
                <w:b/>
                <w:color w:val="F7ACBA"/>
                <w:sz w:val="24"/>
              </w:rPr>
              <w:t>Independent</w:t>
            </w:r>
          </w:p>
          <w:p>
            <w:pPr>
              <w:pStyle w:val="TableContents"/>
              <w:bidi w:val="0"/>
              <w:spacing w:before="0" w:after="0"/>
              <w:jc w:val="left"/>
              <w:rPr/>
            </w:pPr>
            <w:r>
              <w:rPr/>
              <w:t> </w:t>
            </w:r>
          </w:p>
          <w:p>
            <w:pPr>
              <w:pStyle w:val="TableContents"/>
              <w:bidi w:val="0"/>
              <w:spacing w:before="0" w:after="0"/>
              <w:jc w:val="left"/>
              <w:rPr>
                <w:rFonts w:ascii="arial" w:hAnsi="arial"/>
                <w:sz w:val="24"/>
              </w:rPr>
            </w:pPr>
            <w:r>
              <w:rPr>
                <w:rFonts w:ascii="arial" w:hAnsi="arial"/>
                <w:b/>
                <w:color w:val="F7ACBA"/>
                <w:sz w:val="24"/>
              </w:rPr>
              <w:t xml:space="preserve">Age: </w:t>
            </w:r>
            <w:r>
              <w:rPr>
                <w:rFonts w:ascii="arial" w:hAnsi="arial"/>
                <w:sz w:val="20"/>
              </w:rPr>
              <w:t>54</w:t>
            </w:r>
          </w:p>
          <w:p>
            <w:pPr>
              <w:pStyle w:val="TableContents"/>
              <w:bidi w:val="0"/>
              <w:spacing w:before="0" w:after="0"/>
              <w:jc w:val="left"/>
              <w:rPr/>
            </w:pPr>
            <w:r>
              <w:rPr/>
              <w:t> </w:t>
            </w:r>
          </w:p>
          <w:p>
            <w:pPr>
              <w:pStyle w:val="TableContents"/>
              <w:bidi w:val="0"/>
              <w:spacing w:before="0" w:after="0"/>
              <w:jc w:val="left"/>
              <w:rPr>
                <w:rFonts w:ascii="arial" w:hAnsi="arial"/>
                <w:sz w:val="24"/>
              </w:rPr>
            </w:pPr>
            <w:r>
              <w:rPr>
                <w:rFonts w:ascii="arial" w:hAnsi="arial"/>
                <w:b/>
                <w:color w:val="F7ACBA"/>
                <w:sz w:val="24"/>
              </w:rPr>
              <w:t xml:space="preserve">Director Since: </w:t>
            </w:r>
            <w:r>
              <w:rPr>
                <w:rFonts w:ascii="arial" w:hAnsi="arial"/>
                <w:sz w:val="20"/>
              </w:rPr>
              <w:t>2023</w:t>
            </w:r>
          </w:p>
          <w:p>
            <w:pPr>
              <w:pStyle w:val="TableContents"/>
              <w:bidi w:val="0"/>
              <w:spacing w:before="0" w:after="0"/>
              <w:jc w:val="left"/>
              <w:rPr/>
            </w:pPr>
            <w:r>
              <w:rPr/>
              <w:t> </w:t>
            </w:r>
          </w:p>
          <w:p>
            <w:pPr>
              <w:pStyle w:val="TableContents"/>
              <w:bidi w:val="0"/>
              <w:spacing w:before="0" w:after="0"/>
              <w:jc w:val="left"/>
              <w:rPr>
                <w:rFonts w:ascii="arial" w:hAnsi="arial"/>
                <w:b/>
                <w:color w:val="F7ACBA"/>
                <w:sz w:val="24"/>
              </w:rPr>
            </w:pPr>
            <w:r>
              <w:rPr>
                <w:rFonts w:ascii="arial" w:hAnsi="arial"/>
                <w:b/>
                <w:color w:val="F7ACBA"/>
                <w:sz w:val="24"/>
              </w:rPr>
              <w:t>Board Committees</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20"/>
              </w:rPr>
              <w:t>Human Capital and</w:t>
              <w:br/>
              <w:t>Compensation</w:t>
            </w:r>
          </w:p>
          <w:p>
            <w:pPr>
              <w:pStyle w:val="TableContents"/>
              <w:bidi w:val="0"/>
              <w:spacing w:before="0" w:after="0"/>
              <w:jc w:val="left"/>
              <w:rPr/>
            </w:pPr>
            <w:r>
              <w:rPr/>
              <w:t> </w:t>
            </w:r>
          </w:p>
          <w:p>
            <w:pPr>
              <w:pStyle w:val="TableContents"/>
              <w:bidi w:val="0"/>
              <w:spacing w:before="0" w:after="20"/>
              <w:jc w:val="left"/>
              <w:rPr/>
            </w:pPr>
            <w:r>
              <w:rPr/>
              <w:t> </w:t>
            </w:r>
          </w:p>
        </w:tc>
        <w:tc>
          <w:tcPr>
            <w:tcW w:w="60" w:type="dxa"/>
            <w:vMerge w:val="continue"/>
            <w:tcBorders/>
            <w:vAlign w:val="center"/>
          </w:tcPr>
          <w:p>
            <w:pPr>
              <w:pStyle w:val="Normal"/>
              <w:bidi w:val="0"/>
              <w:jc w:val="left"/>
              <w:rPr/>
            </w:pPr>
            <w:r>
              <w:rPr/>
            </w:r>
          </w:p>
        </w:tc>
        <w:tc>
          <w:tcPr>
            <w:tcW w:w="8564" w:type="dxa"/>
            <w:vMerge w:val="continue"/>
            <w:tcBorders/>
            <w:vAlign w:val="center"/>
          </w:tcPr>
          <w:p>
            <w:pPr>
              <w:pStyle w:val="Normal"/>
              <w:bidi w:val="0"/>
              <w:jc w:val="left"/>
              <w:rPr/>
            </w:pPr>
            <w:r>
              <w:rPr/>
            </w:r>
          </w:p>
        </w:tc>
      </w:tr>
    </w:tbl>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49"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0" descr=""/>
                          <pic:cNvPicPr>
                            <a:picLocks noChangeAspect="1" noChangeArrowheads="1"/>
                          </pic:cNvPicPr>
                        </pic:nvPicPr>
                        <pic:blipFill>
                          <a:blip r:embed="rId41"/>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13 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PROPOSAL ONE: ELECTION OF DIRECTORS </w:t>
      </w:r>
    </w:p>
    <w:p>
      <w:pPr>
        <w:pStyle w:val="TextBody"/>
        <w:bidi w:val="0"/>
        <w:spacing w:before="0" w:after="0"/>
        <w:jc w:val="left"/>
        <w:rPr/>
      </w:pPr>
      <w:r>
        <w:rPr/>
        <w:t> </w:t>
      </w:r>
    </w:p>
    <w:p>
      <w:pPr>
        <w:pStyle w:val="TextBody"/>
        <w:bidi w:val="0"/>
        <w:spacing w:before="0" w:after="0"/>
        <w:jc w:val="left"/>
        <w:rPr/>
      </w:pPr>
      <w:r>
        <w:rPr/>
        <w:drawing>
          <wp:inline distT="0" distB="0" distL="0" distR="0">
            <wp:extent cx="554990" cy="789940"/>
            <wp:effectExtent l="0" t="0" r="0" b="0"/>
            <wp:docPr id="50"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1" descr=""/>
                    <pic:cNvPicPr>
                      <a:picLocks noChangeAspect="1" noChangeArrowheads="1"/>
                    </pic:cNvPicPr>
                  </pic:nvPicPr>
                  <pic:blipFill>
                    <a:blip r:embed="rId42"/>
                    <a:stretch>
                      <a:fillRect/>
                    </a:stretch>
                  </pic:blipFill>
                  <pic:spPr bwMode="auto">
                    <a:xfrm>
                      <a:off x="0" y="0"/>
                      <a:ext cx="554990" cy="78994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pPr>
      <w:r>
        <w:rPr/>
        <w:t xml:space="preserve">     </w:t>
      </w:r>
    </w:p>
    <w:tbl>
      <w:tblPr>
        <w:tblW w:w="10205" w:type="dxa"/>
        <w:jc w:val="left"/>
        <w:tblInd w:w="0" w:type="dxa"/>
        <w:tblLayout w:type="fixed"/>
        <w:tblCellMar>
          <w:top w:w="0" w:type="dxa"/>
          <w:left w:w="0" w:type="dxa"/>
          <w:bottom w:w="0" w:type="dxa"/>
          <w:right w:w="0" w:type="dxa"/>
        </w:tblCellMar>
      </w:tblPr>
      <w:tblGrid>
        <w:gridCol w:w="1661"/>
        <w:gridCol w:w="60"/>
        <w:gridCol w:w="8484"/>
      </w:tblGrid>
      <w:tr>
        <w:trPr/>
        <w:tc>
          <w:tcPr>
            <w:tcW w:w="16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84" w:type="dxa"/>
            <w:tcBorders/>
            <w:vAlign w:val="center"/>
          </w:tcPr>
          <w:p>
            <w:pPr>
              <w:pStyle w:val="TableContents"/>
              <w:bidi w:val="0"/>
              <w:spacing w:before="0" w:after="283"/>
              <w:jc w:val="left"/>
              <w:rPr>
                <w:sz w:val="4"/>
                <w:szCs w:val="4"/>
              </w:rPr>
            </w:pPr>
            <w:r>
              <w:rPr>
                <w:sz w:val="4"/>
                <w:szCs w:val="4"/>
              </w:rPr>
            </w:r>
          </w:p>
        </w:tc>
      </w:tr>
      <w:tr>
        <w:trPr/>
        <w:tc>
          <w:tcPr>
            <w:tcW w:w="1661"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8484" w:type="dxa"/>
            <w:vMerge w:val="restart"/>
            <w:tcBorders/>
            <w:vAlign w:val="center"/>
          </w:tcPr>
          <w:p>
            <w:pPr>
              <w:pStyle w:val="TableContents"/>
              <w:bidi w:val="0"/>
              <w:spacing w:before="0" w:after="0"/>
              <w:jc w:val="left"/>
              <w:rPr>
                <w:rFonts w:ascii="arial" w:hAnsi="arial"/>
                <w:b/>
                <w:color w:val="F7ACBA"/>
                <w:sz w:val="24"/>
              </w:rPr>
            </w:pPr>
            <w:r>
              <w:rPr>
                <w:rFonts w:ascii="arial" w:hAnsi="arial"/>
                <w:b/>
                <w:color w:val="F7ACBA"/>
                <w:sz w:val="24"/>
              </w:rPr>
              <w:t>Public Company Directorships</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Yelp, Inc.</w:t>
            </w:r>
            <w:r>
              <w:rPr>
                <w:rFonts w:ascii="arial" w:hAnsi="arial"/>
                <w:sz w:val="18"/>
              </w:rPr>
              <w:t xml:space="preserve">, </w:t>
            </w:r>
            <w:r>
              <w:rPr>
                <w:rFonts w:ascii="arial" w:hAnsi="arial"/>
                <w:i/>
                <w:sz w:val="18"/>
              </w:rPr>
              <w:t>a broad-based local advertising platform</w:t>
            </w:r>
            <w:r>
              <w:rPr>
                <w:rFonts w:ascii="arial" w:hAnsi="arial"/>
                <w:sz w:val="18"/>
              </w:rPr>
              <w:t>, 2014 – 2020</w:t>
            </w:r>
          </w:p>
          <w:p>
            <w:pPr>
              <w:pStyle w:val="TableContents"/>
              <w:bidi w:val="0"/>
              <w:spacing w:before="0" w:after="0"/>
              <w:jc w:val="left"/>
              <w:rPr/>
            </w:pPr>
            <w:r>
              <w:rPr/>
              <w:t> </w:t>
            </w:r>
          </w:p>
          <w:p>
            <w:pPr>
              <w:pStyle w:val="TableContents"/>
              <w:bidi w:val="0"/>
              <w:spacing w:before="0" w:after="0"/>
              <w:jc w:val="left"/>
              <w:rPr>
                <w:rFonts w:ascii="arial" w:hAnsi="arial"/>
                <w:b/>
                <w:color w:val="F7ACBA"/>
                <w:sz w:val="24"/>
              </w:rPr>
            </w:pPr>
            <w:r>
              <w:rPr>
                <w:rFonts w:ascii="arial" w:hAnsi="arial"/>
                <w:b/>
                <w:color w:val="F7ACBA"/>
                <w:sz w:val="24"/>
              </w:rPr>
              <w:t>Professional Experience</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Chief Executive Officer and Founder</w:t>
            </w:r>
            <w:r>
              <w:rPr>
                <w:rFonts w:ascii="arial" w:hAnsi="arial"/>
                <w:sz w:val="18"/>
              </w:rPr>
              <w:t xml:space="preserve">, Arcade.ai, </w:t>
            </w:r>
            <w:r>
              <w:rPr>
                <w:rFonts w:ascii="arial" w:hAnsi="arial"/>
                <w:i/>
                <w:sz w:val="18"/>
              </w:rPr>
              <w:t>an artificial intelligence commerce company</w:t>
            </w:r>
            <w:r>
              <w:rPr>
                <w:rFonts w:ascii="arial" w:hAnsi="arial"/>
                <w:sz w:val="18"/>
              </w:rPr>
              <w:t>, 2022 – present</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Managing Partner</w:t>
            </w:r>
            <w:r>
              <w:rPr>
                <w:rFonts w:ascii="arial" w:hAnsi="arial"/>
                <w:sz w:val="18"/>
              </w:rPr>
              <w:t xml:space="preserve">, Heretic Ventures, </w:t>
            </w:r>
            <w:r>
              <w:rPr>
                <w:rFonts w:ascii="arial" w:hAnsi="arial"/>
                <w:i/>
                <w:sz w:val="18"/>
              </w:rPr>
              <w:t>a venture incubator that launches and funds online consumer businesses that capitalize on new technology</w:t>
            </w:r>
            <w:r>
              <w:rPr>
                <w:rFonts w:ascii="arial" w:hAnsi="arial"/>
                <w:sz w:val="18"/>
              </w:rPr>
              <w:t>, 2021 – present</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Executive Chairman</w:t>
            </w:r>
            <w:r>
              <w:rPr>
                <w:rFonts w:ascii="arial" w:hAnsi="arial"/>
                <w:sz w:val="18"/>
              </w:rPr>
              <w:t xml:space="preserve">, Minted, </w:t>
            </w:r>
            <w:r>
              <w:rPr>
                <w:rFonts w:ascii="arial" w:hAnsi="arial"/>
                <w:i/>
                <w:sz w:val="18"/>
              </w:rPr>
              <w:t>an online marketplace for creative and custom goods</w:t>
            </w:r>
            <w:r>
              <w:rPr>
                <w:rFonts w:ascii="arial" w:hAnsi="arial"/>
                <w:sz w:val="18"/>
              </w:rPr>
              <w:t>, 2022 – present</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Co-Chief Executive Officer</w:t>
            </w:r>
            <w:r>
              <w:rPr>
                <w:rFonts w:ascii="arial" w:hAnsi="arial"/>
                <w:sz w:val="18"/>
              </w:rPr>
              <w:t>, Minted, 2021 – 2022</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Chief Executive Officer and Founder</w:t>
            </w:r>
            <w:r>
              <w:rPr>
                <w:rFonts w:ascii="arial" w:hAnsi="arial"/>
                <w:sz w:val="18"/>
              </w:rPr>
              <w:t>, Minted, 2007 – 2021</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Vice President and General Manager</w:t>
            </w:r>
            <w:r>
              <w:rPr>
                <w:rFonts w:ascii="arial" w:hAnsi="arial"/>
                <w:sz w:val="18"/>
              </w:rPr>
              <w:t xml:space="preserve">, The Body Shop International plc, </w:t>
            </w:r>
            <w:r>
              <w:rPr>
                <w:rFonts w:ascii="arial" w:hAnsi="arial"/>
                <w:i/>
                <w:sz w:val="18"/>
              </w:rPr>
              <w:t>a global cosmetics retailer</w:t>
            </w:r>
            <w:r>
              <w:rPr>
                <w:rFonts w:ascii="arial" w:hAnsi="arial"/>
                <w:sz w:val="18"/>
              </w:rPr>
              <w:t>, 2003 – 2007</w:t>
            </w:r>
          </w:p>
          <w:p>
            <w:pPr>
              <w:pStyle w:val="TableContents"/>
              <w:bidi w:val="0"/>
              <w:spacing w:before="0" w:after="0"/>
              <w:jc w:val="left"/>
              <w:rPr/>
            </w:pPr>
            <w:r>
              <w:rPr/>
              <w:t> </w:t>
            </w:r>
          </w:p>
          <w:p>
            <w:pPr>
              <w:pStyle w:val="TableContents"/>
              <w:bidi w:val="0"/>
              <w:spacing w:before="0" w:after="0"/>
              <w:jc w:val="left"/>
              <w:rPr>
                <w:rFonts w:ascii="arial" w:hAnsi="arial"/>
                <w:b/>
                <w:color w:val="F7ACBA"/>
                <w:sz w:val="24"/>
              </w:rPr>
            </w:pPr>
            <w:r>
              <w:rPr>
                <w:rFonts w:ascii="arial" w:hAnsi="arial"/>
                <w:b/>
                <w:color w:val="F7ACBA"/>
                <w:sz w:val="24"/>
              </w:rPr>
              <w:t>Key Skills and Qualifications</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E-Commerce and Digital Operations</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Women’s and Beauty Merchandise</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Consumer Marketing</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Strategic Planning</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Mergers and Acquisitions</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Diversity, Equity and Inclusion</w:t>
            </w:r>
          </w:p>
          <w:p>
            <w:pPr>
              <w:pStyle w:val="TableContents"/>
              <w:bidi w:val="0"/>
              <w:spacing w:before="0" w:after="0"/>
              <w:jc w:val="left"/>
              <w:rPr/>
            </w:pPr>
            <w:r>
              <w:rPr/>
              <w:t> </w:t>
            </w:r>
          </w:p>
          <w:p>
            <w:pPr>
              <w:pStyle w:val="TableContents"/>
              <w:bidi w:val="0"/>
              <w:spacing w:before="0" w:after="0"/>
              <w:jc w:val="left"/>
              <w:rPr>
                <w:rFonts w:ascii="arial" w:hAnsi="arial"/>
                <w:b/>
                <w:color w:val="F7ACBA"/>
                <w:sz w:val="24"/>
              </w:rPr>
            </w:pPr>
            <w:r>
              <w:rPr>
                <w:rFonts w:ascii="arial" w:hAnsi="arial"/>
                <w:b/>
                <w:color w:val="F7ACBA"/>
                <w:sz w:val="24"/>
              </w:rPr>
              <w:t>What does Mariam Naficy bring to the VS&amp;Co Board?</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Mariam is an experienced CEO and successful entrepreneur known for seeing around corners and pioneering both e-commerce and online creative communities. She founded Heretic Ventures, an incubator for companies at the intersection of culture, commerce, and creators; Minted, one of the most successful community-based e-commerce companies in the world; and Eve.com, a first-of-its-kind cosmetic e-commerce site. Mariam brings to the Board deep expertise in digital and direct-to-consumer retailing, modern media marketing, and mergers and acquisition transactions.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Mariam is a pioneer of capitalizing on opportunities within the digital retail space. She has been a key partner overseeing the acquisition of Adore Me, VS&amp;Co’s technology-led, digitally native intimates brand, and the realization of synergies and other benefits from that acquisition.</w:t>
            </w:r>
          </w:p>
        </w:tc>
      </w:tr>
      <w:tr>
        <w:trPr/>
        <w:tc>
          <w:tcPr>
            <w:tcW w:w="1661"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b/>
                <w:color w:val="F7ACBA"/>
                <w:sz w:val="24"/>
              </w:rPr>
            </w:pPr>
            <w:r>
              <w:rPr>
                <w:rFonts w:ascii="arial" w:hAnsi="arial"/>
                <w:b/>
                <w:color w:val="F7ACBA"/>
                <w:sz w:val="24"/>
              </w:rPr>
              <w:t>Independent</w:t>
            </w:r>
          </w:p>
          <w:p>
            <w:pPr>
              <w:pStyle w:val="TableContents"/>
              <w:bidi w:val="0"/>
              <w:spacing w:before="0" w:after="0"/>
              <w:jc w:val="left"/>
              <w:rPr/>
            </w:pPr>
            <w:r>
              <w:rPr/>
              <w:t> </w:t>
            </w:r>
          </w:p>
          <w:p>
            <w:pPr>
              <w:pStyle w:val="TableContents"/>
              <w:bidi w:val="0"/>
              <w:spacing w:before="0" w:after="0"/>
              <w:jc w:val="left"/>
              <w:rPr>
                <w:rFonts w:ascii="arial" w:hAnsi="arial"/>
                <w:sz w:val="24"/>
              </w:rPr>
            </w:pPr>
            <w:r>
              <w:rPr>
                <w:rFonts w:ascii="arial" w:hAnsi="arial"/>
                <w:b/>
                <w:color w:val="F7ACBA"/>
                <w:sz w:val="24"/>
              </w:rPr>
              <w:t xml:space="preserve">Age: </w:t>
            </w:r>
            <w:r>
              <w:rPr>
                <w:rFonts w:ascii="arial" w:hAnsi="arial"/>
                <w:sz w:val="20"/>
              </w:rPr>
              <w:t>53</w:t>
            </w:r>
          </w:p>
          <w:p>
            <w:pPr>
              <w:pStyle w:val="TableContents"/>
              <w:bidi w:val="0"/>
              <w:spacing w:before="0" w:after="0"/>
              <w:jc w:val="left"/>
              <w:rPr/>
            </w:pPr>
            <w:r>
              <w:rPr/>
              <w:t> </w:t>
            </w:r>
          </w:p>
          <w:p>
            <w:pPr>
              <w:pStyle w:val="TableContents"/>
              <w:bidi w:val="0"/>
              <w:spacing w:before="0" w:after="0"/>
              <w:jc w:val="left"/>
              <w:rPr>
                <w:rFonts w:ascii="arial" w:hAnsi="arial"/>
                <w:sz w:val="24"/>
              </w:rPr>
            </w:pPr>
            <w:r>
              <w:rPr>
                <w:rFonts w:ascii="arial" w:hAnsi="arial"/>
                <w:b/>
                <w:color w:val="F7ACBA"/>
                <w:sz w:val="24"/>
              </w:rPr>
              <w:t xml:space="preserve">Director Since: </w:t>
            </w:r>
            <w:r>
              <w:rPr>
                <w:rFonts w:ascii="arial" w:hAnsi="arial"/>
                <w:sz w:val="20"/>
              </w:rPr>
              <w:t>2022</w:t>
            </w:r>
          </w:p>
          <w:p>
            <w:pPr>
              <w:pStyle w:val="TableContents"/>
              <w:bidi w:val="0"/>
              <w:spacing w:before="0" w:after="0"/>
              <w:jc w:val="left"/>
              <w:rPr/>
            </w:pPr>
            <w:r>
              <w:rPr/>
              <w:t> </w:t>
            </w:r>
          </w:p>
          <w:p>
            <w:pPr>
              <w:pStyle w:val="TableContents"/>
              <w:bidi w:val="0"/>
              <w:spacing w:before="0" w:after="0"/>
              <w:jc w:val="left"/>
              <w:rPr>
                <w:rFonts w:ascii="arial" w:hAnsi="arial"/>
                <w:b/>
                <w:color w:val="F7ACBA"/>
                <w:sz w:val="24"/>
              </w:rPr>
            </w:pPr>
            <w:r>
              <w:rPr>
                <w:rFonts w:ascii="arial" w:hAnsi="arial"/>
                <w:b/>
                <w:color w:val="F7ACBA"/>
                <w:sz w:val="24"/>
              </w:rPr>
              <w:t>Board Committees</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20"/>
              </w:rPr>
              <w:t>Nominating and Governance</w:t>
            </w:r>
          </w:p>
          <w:p>
            <w:pPr>
              <w:pStyle w:val="TableContents"/>
              <w:bidi w:val="0"/>
              <w:spacing w:before="0" w:after="0"/>
              <w:jc w:val="left"/>
              <w:rPr/>
            </w:pPr>
            <w:r>
              <w:rPr/>
              <w:t> </w:t>
            </w:r>
          </w:p>
          <w:p>
            <w:pPr>
              <w:pStyle w:val="TableContents"/>
              <w:bidi w:val="0"/>
              <w:spacing w:before="0" w:after="20"/>
              <w:jc w:val="left"/>
              <w:rPr/>
            </w:pPr>
            <w:r>
              <w:rPr/>
              <w:t> </w:t>
            </w:r>
          </w:p>
        </w:tc>
        <w:tc>
          <w:tcPr>
            <w:tcW w:w="60" w:type="dxa"/>
            <w:vMerge w:val="continue"/>
            <w:tcBorders/>
            <w:vAlign w:val="center"/>
          </w:tcPr>
          <w:p>
            <w:pPr>
              <w:pStyle w:val="Normal"/>
              <w:bidi w:val="0"/>
              <w:jc w:val="left"/>
              <w:rPr/>
            </w:pPr>
            <w:r>
              <w:rPr/>
            </w:r>
          </w:p>
        </w:tc>
        <w:tc>
          <w:tcPr>
            <w:tcW w:w="8484" w:type="dxa"/>
            <w:vMerge w:val="continue"/>
            <w:tcBorders/>
            <w:vAlign w:val="center"/>
          </w:tcPr>
          <w:p>
            <w:pPr>
              <w:pStyle w:val="Normal"/>
              <w:bidi w:val="0"/>
              <w:jc w:val="left"/>
              <w:rPr/>
            </w:pPr>
            <w:r>
              <w:rPr/>
            </w:r>
          </w:p>
        </w:tc>
      </w:tr>
    </w:tbl>
    <w:p>
      <w:pPr>
        <w:pStyle w:val="TextBody"/>
        <w:bidi w:val="0"/>
        <w:spacing w:before="0" w:after="0"/>
        <w:jc w:val="left"/>
        <w:rPr/>
      </w:pPr>
      <w:r>
        <w:rPr/>
        <w:t> </w:t>
      </w:r>
    </w:p>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51"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2" descr=""/>
                          <pic:cNvPicPr>
                            <a:picLocks noChangeAspect="1" noChangeArrowheads="1"/>
                          </pic:cNvPicPr>
                        </pic:nvPicPr>
                        <pic:blipFill>
                          <a:blip r:embed="rId43"/>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14 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PROPOSAL ONE: ELECTION OF DIRECTORS </w:t>
      </w:r>
    </w:p>
    <w:p>
      <w:pPr>
        <w:pStyle w:val="TextBody"/>
        <w:bidi w:val="0"/>
        <w:spacing w:before="0" w:after="0"/>
        <w:jc w:val="left"/>
        <w:rPr/>
      </w:pPr>
      <w:r>
        <w:rPr/>
        <w:t> </w:t>
      </w:r>
    </w:p>
    <w:p>
      <w:pPr>
        <w:pStyle w:val="TextBody"/>
        <w:bidi w:val="0"/>
        <w:spacing w:before="0" w:after="0"/>
        <w:jc w:val="left"/>
        <w:rPr/>
      </w:pPr>
      <w:r>
        <w:rPr/>
        <w:drawing>
          <wp:inline distT="0" distB="0" distL="0" distR="0">
            <wp:extent cx="602615" cy="789940"/>
            <wp:effectExtent l="0" t="0" r="0" b="0"/>
            <wp:docPr id="52"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3" descr=""/>
                    <pic:cNvPicPr>
                      <a:picLocks noChangeAspect="1" noChangeArrowheads="1"/>
                    </pic:cNvPicPr>
                  </pic:nvPicPr>
                  <pic:blipFill>
                    <a:blip r:embed="rId44"/>
                    <a:stretch>
                      <a:fillRect/>
                    </a:stretch>
                  </pic:blipFill>
                  <pic:spPr bwMode="auto">
                    <a:xfrm>
                      <a:off x="0" y="0"/>
                      <a:ext cx="602615" cy="78994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pPr>
      <w:r>
        <w:rPr/>
        <w:t xml:space="preserve">      </w:t>
      </w:r>
    </w:p>
    <w:tbl>
      <w:tblPr>
        <w:tblW w:w="10205" w:type="dxa"/>
        <w:jc w:val="left"/>
        <w:tblInd w:w="0" w:type="dxa"/>
        <w:tblLayout w:type="fixed"/>
        <w:tblCellMar>
          <w:top w:w="0" w:type="dxa"/>
          <w:left w:w="0" w:type="dxa"/>
          <w:bottom w:w="0" w:type="dxa"/>
          <w:right w:w="0" w:type="dxa"/>
        </w:tblCellMar>
      </w:tblPr>
      <w:tblGrid>
        <w:gridCol w:w="1604"/>
        <w:gridCol w:w="60"/>
        <w:gridCol w:w="8541"/>
      </w:tblGrid>
      <w:tr>
        <w:trPr/>
        <w:tc>
          <w:tcPr>
            <w:tcW w:w="16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41" w:type="dxa"/>
            <w:tcBorders/>
            <w:vAlign w:val="center"/>
          </w:tcPr>
          <w:p>
            <w:pPr>
              <w:pStyle w:val="TableContents"/>
              <w:bidi w:val="0"/>
              <w:spacing w:before="0" w:after="283"/>
              <w:jc w:val="left"/>
              <w:rPr>
                <w:sz w:val="4"/>
                <w:szCs w:val="4"/>
              </w:rPr>
            </w:pPr>
            <w:r>
              <w:rPr>
                <w:sz w:val="4"/>
                <w:szCs w:val="4"/>
              </w:rPr>
            </w:r>
          </w:p>
        </w:tc>
      </w:tr>
      <w:tr>
        <w:trPr/>
        <w:tc>
          <w:tcPr>
            <w:tcW w:w="1604"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8541" w:type="dxa"/>
            <w:vMerge w:val="restart"/>
            <w:tcBorders/>
            <w:vAlign w:val="center"/>
          </w:tcPr>
          <w:p>
            <w:pPr>
              <w:pStyle w:val="TableContents"/>
              <w:bidi w:val="0"/>
              <w:spacing w:before="0" w:after="0"/>
              <w:jc w:val="left"/>
              <w:rPr>
                <w:rFonts w:ascii="arial" w:hAnsi="arial"/>
                <w:b/>
                <w:color w:val="F7ACBA"/>
                <w:sz w:val="24"/>
              </w:rPr>
            </w:pPr>
            <w:r>
              <w:rPr>
                <w:rFonts w:ascii="arial" w:hAnsi="arial"/>
                <w:b/>
                <w:color w:val="F7ACBA"/>
                <w:sz w:val="24"/>
              </w:rPr>
              <w:t>Public Company Directorships</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Allegion plc</w:t>
            </w:r>
            <w:r>
              <w:rPr>
                <w:rFonts w:ascii="arial" w:hAnsi="arial"/>
                <w:sz w:val="18"/>
              </w:rPr>
              <w:t xml:space="preserve"> (NYSE: ALLE), </w:t>
            </w:r>
            <w:r>
              <w:rPr>
                <w:rFonts w:ascii="arial" w:hAnsi="arial"/>
                <w:i/>
                <w:sz w:val="18"/>
              </w:rPr>
              <w:t>a leading global security products and solutions provider</w:t>
            </w:r>
            <w:r>
              <w:rPr>
                <w:rFonts w:ascii="arial" w:hAnsi="arial"/>
                <w:sz w:val="18"/>
              </w:rPr>
              <w:t>, 2021 – present</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La-Z-Boy, Inc.</w:t>
            </w:r>
            <w:r>
              <w:rPr>
                <w:rFonts w:ascii="arial" w:hAnsi="arial"/>
                <w:sz w:val="18"/>
              </w:rPr>
              <w:t xml:space="preserve"> (NYSE: LZB), </w:t>
            </w:r>
            <w:r>
              <w:rPr>
                <w:rFonts w:ascii="arial" w:hAnsi="arial"/>
                <w:i/>
                <w:sz w:val="18"/>
              </w:rPr>
              <w:t>a manufacturer of residential and office furniture</w:t>
            </w:r>
            <w:r>
              <w:rPr>
                <w:rFonts w:ascii="arial" w:hAnsi="arial"/>
                <w:sz w:val="18"/>
              </w:rPr>
              <w:t>, 2016 – present</w:t>
            </w:r>
          </w:p>
          <w:p>
            <w:pPr>
              <w:pStyle w:val="TableContents"/>
              <w:bidi w:val="0"/>
              <w:spacing w:before="0" w:after="0"/>
              <w:jc w:val="left"/>
              <w:rPr/>
            </w:pPr>
            <w:r>
              <w:rPr/>
              <w:t> </w:t>
            </w:r>
          </w:p>
          <w:p>
            <w:pPr>
              <w:pStyle w:val="TableContents"/>
              <w:bidi w:val="0"/>
              <w:spacing w:before="0" w:after="0"/>
              <w:jc w:val="left"/>
              <w:rPr>
                <w:rFonts w:ascii="arial" w:hAnsi="arial"/>
                <w:b/>
                <w:color w:val="F7ACBA"/>
                <w:sz w:val="24"/>
              </w:rPr>
            </w:pPr>
            <w:r>
              <w:rPr>
                <w:rFonts w:ascii="arial" w:hAnsi="arial"/>
                <w:b/>
                <w:color w:val="F7ACBA"/>
                <w:sz w:val="24"/>
              </w:rPr>
              <w:t>Professional Experience</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Chief Financial Officer</w:t>
            </w:r>
            <w:r>
              <w:rPr>
                <w:rFonts w:ascii="arial" w:hAnsi="arial"/>
                <w:sz w:val="18"/>
              </w:rPr>
              <w:t xml:space="preserve">, Foot Locker, Inc., </w:t>
            </w:r>
            <w:r>
              <w:rPr>
                <w:rFonts w:ascii="arial" w:hAnsi="arial"/>
                <w:i/>
                <w:sz w:val="18"/>
              </w:rPr>
              <w:t>a global multi-channel specialty retailer of footwear and apparel</w:t>
            </w:r>
            <w:r>
              <w:rPr>
                <w:rFonts w:ascii="arial" w:hAnsi="arial"/>
                <w:sz w:val="18"/>
              </w:rPr>
              <w:t>, 2011 – 2021</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Senior Vice President, Strategic Planning</w:t>
            </w:r>
            <w:r>
              <w:rPr>
                <w:rFonts w:ascii="arial" w:hAnsi="arial"/>
                <w:sz w:val="18"/>
              </w:rPr>
              <w:t>, Foot Locker, Inc., 2002 – 2011</w:t>
            </w:r>
          </w:p>
          <w:p>
            <w:pPr>
              <w:pStyle w:val="TableContents"/>
              <w:bidi w:val="0"/>
              <w:spacing w:before="0" w:after="0"/>
              <w:jc w:val="left"/>
              <w:rPr/>
            </w:pPr>
            <w:r>
              <w:rPr/>
              <w:t> </w:t>
            </w:r>
          </w:p>
          <w:p>
            <w:pPr>
              <w:pStyle w:val="TableContents"/>
              <w:bidi w:val="0"/>
              <w:spacing w:before="0" w:after="0"/>
              <w:jc w:val="left"/>
              <w:rPr>
                <w:rFonts w:ascii="arial" w:hAnsi="arial"/>
                <w:b/>
                <w:color w:val="F7ACBA"/>
                <w:sz w:val="24"/>
              </w:rPr>
            </w:pPr>
            <w:r>
              <w:rPr>
                <w:rFonts w:ascii="arial" w:hAnsi="arial"/>
                <w:b/>
                <w:color w:val="F7ACBA"/>
                <w:sz w:val="24"/>
              </w:rPr>
              <w:t>Key Skills and Qualifications</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Public Company Finance</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Women’s and Youth Merchandise</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Omni-Channel Operations</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Strategic Planning</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Investor Relations</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Real Estate Strategy</w:t>
            </w:r>
          </w:p>
          <w:p>
            <w:pPr>
              <w:pStyle w:val="TableContents"/>
              <w:bidi w:val="0"/>
              <w:spacing w:before="0" w:after="0"/>
              <w:jc w:val="left"/>
              <w:rPr/>
            </w:pPr>
            <w:r>
              <w:rPr/>
              <w:t> </w:t>
            </w:r>
          </w:p>
          <w:p>
            <w:pPr>
              <w:pStyle w:val="TableContents"/>
              <w:bidi w:val="0"/>
              <w:spacing w:before="0" w:after="0"/>
              <w:jc w:val="left"/>
              <w:rPr>
                <w:rFonts w:ascii="arial" w:hAnsi="arial"/>
                <w:b/>
                <w:color w:val="F7ACBA"/>
                <w:sz w:val="24"/>
              </w:rPr>
            </w:pPr>
            <w:r>
              <w:rPr>
                <w:rFonts w:ascii="arial" w:hAnsi="arial"/>
                <w:b/>
                <w:color w:val="F7ACBA"/>
                <w:sz w:val="24"/>
              </w:rPr>
              <w:t>What does Lauren Peters bring to the VS&amp;Co Board?</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Lauren is a seasoned financial executive and Certified Public Accountant with over thirty years of financial experience. During her executive career at Foot Locker, Lauren led development of the strategic planning process, digital transformation, and several acquisitions and divestitures. Her leadership experience with consumer focused, omni-channel, global retailers, together with her financial and strategic planning expertise and public company board experience, make her an asset to the VS&amp;Co Board.</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Lauren’s accomplishments as Chief Financial Officer of Foot Locker are evident in the way she provides strategic counsel and guidance to the VS&amp;Co Board and Audit Committee. She knows what it takes to be successful in the competitive specialty retail environment.</w:t>
            </w:r>
          </w:p>
        </w:tc>
      </w:tr>
      <w:tr>
        <w:trPr/>
        <w:tc>
          <w:tcPr>
            <w:tcW w:w="1604"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b/>
                <w:color w:val="F7ACBA"/>
                <w:sz w:val="24"/>
              </w:rPr>
            </w:pPr>
            <w:r>
              <w:rPr>
                <w:rFonts w:ascii="arial" w:hAnsi="arial"/>
                <w:b/>
                <w:color w:val="F7ACBA"/>
                <w:sz w:val="24"/>
              </w:rPr>
              <w:t>Independent</w:t>
            </w:r>
          </w:p>
          <w:p>
            <w:pPr>
              <w:pStyle w:val="TableContents"/>
              <w:bidi w:val="0"/>
              <w:spacing w:before="0" w:after="0"/>
              <w:jc w:val="left"/>
              <w:rPr/>
            </w:pPr>
            <w:r>
              <w:rPr/>
              <w:t> </w:t>
            </w:r>
          </w:p>
          <w:p>
            <w:pPr>
              <w:pStyle w:val="TableContents"/>
              <w:bidi w:val="0"/>
              <w:spacing w:before="0" w:after="0"/>
              <w:jc w:val="left"/>
              <w:rPr>
                <w:rFonts w:ascii="arial" w:hAnsi="arial"/>
                <w:sz w:val="24"/>
              </w:rPr>
            </w:pPr>
            <w:r>
              <w:rPr>
                <w:rFonts w:ascii="arial" w:hAnsi="arial"/>
                <w:b/>
                <w:color w:val="F7ACBA"/>
                <w:sz w:val="24"/>
              </w:rPr>
              <w:t xml:space="preserve">Age: </w:t>
            </w:r>
            <w:r>
              <w:rPr>
                <w:rFonts w:ascii="arial" w:hAnsi="arial"/>
                <w:sz w:val="20"/>
              </w:rPr>
              <w:t>62</w:t>
            </w:r>
          </w:p>
          <w:p>
            <w:pPr>
              <w:pStyle w:val="TableContents"/>
              <w:bidi w:val="0"/>
              <w:spacing w:before="0" w:after="0"/>
              <w:jc w:val="left"/>
              <w:rPr/>
            </w:pPr>
            <w:r>
              <w:rPr/>
              <w:t> </w:t>
            </w:r>
          </w:p>
          <w:p>
            <w:pPr>
              <w:pStyle w:val="TableContents"/>
              <w:bidi w:val="0"/>
              <w:spacing w:before="0" w:after="0"/>
              <w:jc w:val="left"/>
              <w:rPr>
                <w:rFonts w:ascii="arial" w:hAnsi="arial"/>
                <w:sz w:val="24"/>
              </w:rPr>
            </w:pPr>
            <w:r>
              <w:rPr>
                <w:rFonts w:ascii="arial" w:hAnsi="arial"/>
                <w:b/>
                <w:color w:val="F7ACBA"/>
                <w:sz w:val="24"/>
              </w:rPr>
              <w:t xml:space="preserve">Director Since: </w:t>
            </w:r>
            <w:r>
              <w:rPr>
                <w:rFonts w:ascii="arial" w:hAnsi="arial"/>
                <w:sz w:val="20"/>
              </w:rPr>
              <w:t>2021</w:t>
            </w:r>
          </w:p>
          <w:p>
            <w:pPr>
              <w:pStyle w:val="TableContents"/>
              <w:bidi w:val="0"/>
              <w:spacing w:before="0" w:after="0"/>
              <w:jc w:val="left"/>
              <w:rPr/>
            </w:pPr>
            <w:r>
              <w:rPr/>
              <w:t> </w:t>
            </w:r>
          </w:p>
          <w:p>
            <w:pPr>
              <w:pStyle w:val="TableContents"/>
              <w:bidi w:val="0"/>
              <w:spacing w:before="0" w:after="0"/>
              <w:jc w:val="left"/>
              <w:rPr>
                <w:rFonts w:ascii="arial" w:hAnsi="arial"/>
                <w:b/>
                <w:color w:val="F7ACBA"/>
                <w:sz w:val="24"/>
              </w:rPr>
            </w:pPr>
            <w:r>
              <w:rPr>
                <w:rFonts w:ascii="arial" w:hAnsi="arial"/>
                <w:b/>
                <w:color w:val="F7ACBA"/>
                <w:sz w:val="24"/>
              </w:rPr>
              <w:t>Board Committees</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20"/>
              </w:rPr>
              <w:t>Human Capital and</w:t>
              <w:br/>
              <w:t>Compensation</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20"/>
              </w:rPr>
              <w:t>Audit</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vMerge w:val="continue"/>
            <w:tcBorders/>
            <w:vAlign w:val="center"/>
          </w:tcPr>
          <w:p>
            <w:pPr>
              <w:pStyle w:val="Normal"/>
              <w:bidi w:val="0"/>
              <w:jc w:val="left"/>
              <w:rPr/>
            </w:pPr>
            <w:r>
              <w:rPr/>
            </w:r>
          </w:p>
        </w:tc>
        <w:tc>
          <w:tcPr>
            <w:tcW w:w="8541" w:type="dxa"/>
            <w:vMerge w:val="continue"/>
            <w:tcBorders/>
            <w:vAlign w:val="center"/>
          </w:tcPr>
          <w:p>
            <w:pPr>
              <w:pStyle w:val="Normal"/>
              <w:bidi w:val="0"/>
              <w:jc w:val="left"/>
              <w:rPr/>
            </w:pPr>
            <w:r>
              <w:rPr/>
            </w:r>
          </w:p>
        </w:tc>
      </w:tr>
    </w:tbl>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53"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4" descr=""/>
                          <pic:cNvPicPr>
                            <a:picLocks noChangeAspect="1" noChangeArrowheads="1"/>
                          </pic:cNvPicPr>
                        </pic:nvPicPr>
                        <pic:blipFill>
                          <a:blip r:embed="rId45"/>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15 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PROPOSAL ONE: ELECTION OF DIRECTORS </w:t>
      </w:r>
    </w:p>
    <w:p>
      <w:pPr>
        <w:pStyle w:val="TextBody"/>
        <w:bidi w:val="0"/>
        <w:spacing w:before="0" w:after="0"/>
        <w:jc w:val="left"/>
        <w:rPr/>
      </w:pPr>
      <w:r>
        <w:rPr/>
        <w:t> </w:t>
      </w:r>
    </w:p>
    <w:p>
      <w:pPr>
        <w:pStyle w:val="TextBody"/>
        <w:bidi w:val="0"/>
        <w:spacing w:before="0" w:after="0"/>
        <w:jc w:val="left"/>
        <w:rPr/>
      </w:pPr>
      <w:r>
        <w:rPr/>
        <w:drawing>
          <wp:inline distT="0" distB="0" distL="0" distR="0">
            <wp:extent cx="575945" cy="789940"/>
            <wp:effectExtent l="0" t="0" r="0" b="0"/>
            <wp:docPr id="54"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5" descr=""/>
                    <pic:cNvPicPr>
                      <a:picLocks noChangeAspect="1" noChangeArrowheads="1"/>
                    </pic:cNvPicPr>
                  </pic:nvPicPr>
                  <pic:blipFill>
                    <a:blip r:embed="rId46"/>
                    <a:stretch>
                      <a:fillRect/>
                    </a:stretch>
                  </pic:blipFill>
                  <pic:spPr bwMode="auto">
                    <a:xfrm>
                      <a:off x="0" y="0"/>
                      <a:ext cx="575945" cy="78994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pPr>
      <w:r>
        <w:rPr/>
        <w:t xml:space="preserve">  </w:t>
      </w:r>
    </w:p>
    <w:tbl>
      <w:tblPr>
        <w:tblW w:w="10205" w:type="dxa"/>
        <w:jc w:val="left"/>
        <w:tblInd w:w="0" w:type="dxa"/>
        <w:tblLayout w:type="fixed"/>
        <w:tblCellMar>
          <w:top w:w="0" w:type="dxa"/>
          <w:left w:w="0" w:type="dxa"/>
          <w:bottom w:w="0" w:type="dxa"/>
          <w:right w:w="0" w:type="dxa"/>
        </w:tblCellMar>
      </w:tblPr>
      <w:tblGrid>
        <w:gridCol w:w="1565"/>
        <w:gridCol w:w="60"/>
        <w:gridCol w:w="8580"/>
      </w:tblGrid>
      <w:tr>
        <w:trPr/>
        <w:tc>
          <w:tcPr>
            <w:tcW w:w="15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80" w:type="dxa"/>
            <w:tcBorders/>
            <w:vAlign w:val="center"/>
          </w:tcPr>
          <w:p>
            <w:pPr>
              <w:pStyle w:val="TableContents"/>
              <w:bidi w:val="0"/>
              <w:spacing w:before="0" w:after="283"/>
              <w:jc w:val="left"/>
              <w:rPr>
                <w:sz w:val="4"/>
                <w:szCs w:val="4"/>
              </w:rPr>
            </w:pPr>
            <w:r>
              <w:rPr>
                <w:sz w:val="4"/>
                <w:szCs w:val="4"/>
              </w:rPr>
            </w:r>
          </w:p>
        </w:tc>
      </w:tr>
      <w:tr>
        <w:trPr/>
        <w:tc>
          <w:tcPr>
            <w:tcW w:w="1565"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8580" w:type="dxa"/>
            <w:vMerge w:val="restart"/>
            <w:tcBorders/>
            <w:vAlign w:val="center"/>
          </w:tcPr>
          <w:p>
            <w:pPr>
              <w:pStyle w:val="TableContents"/>
              <w:bidi w:val="0"/>
              <w:spacing w:before="0" w:after="0"/>
              <w:jc w:val="left"/>
              <w:rPr/>
            </w:pPr>
            <w:r>
              <w:rPr/>
              <w:t> </w:t>
            </w:r>
          </w:p>
          <w:p>
            <w:pPr>
              <w:pStyle w:val="TableContents"/>
              <w:bidi w:val="0"/>
              <w:spacing w:before="0" w:after="0"/>
              <w:jc w:val="left"/>
              <w:rPr>
                <w:rFonts w:ascii="arial" w:hAnsi="arial"/>
                <w:b/>
                <w:color w:val="F7ACBA"/>
                <w:sz w:val="24"/>
              </w:rPr>
            </w:pPr>
            <w:r>
              <w:rPr>
                <w:rFonts w:ascii="arial" w:hAnsi="arial"/>
                <w:b/>
                <w:color w:val="F7ACBA"/>
                <w:sz w:val="24"/>
              </w:rPr>
              <w:t>Public Company Directorships</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Janus Henderson Group PLC</w:t>
            </w:r>
            <w:r>
              <w:rPr>
                <w:rFonts w:ascii="arial" w:hAnsi="arial"/>
                <w:sz w:val="18"/>
              </w:rPr>
              <w:t xml:space="preserve"> (NYSE: JHG), </w:t>
            </w:r>
            <w:r>
              <w:rPr>
                <w:rFonts w:ascii="arial" w:hAnsi="arial"/>
                <w:i/>
                <w:sz w:val="18"/>
              </w:rPr>
              <w:t>a global active asset manager</w:t>
            </w:r>
            <w:r>
              <w:rPr>
                <w:rFonts w:ascii="arial" w:hAnsi="arial"/>
                <w:sz w:val="18"/>
              </w:rPr>
              <w:t>, 2022 – present</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Cohn Robbins Holding Company</w:t>
            </w:r>
            <w:r>
              <w:rPr>
                <w:rFonts w:ascii="arial" w:hAnsi="arial"/>
                <w:sz w:val="18"/>
              </w:rPr>
              <w:t xml:space="preserve">, </w:t>
            </w:r>
            <w:r>
              <w:rPr>
                <w:rFonts w:ascii="arial" w:hAnsi="arial"/>
                <w:i/>
                <w:sz w:val="18"/>
              </w:rPr>
              <w:t>a special purpose acquisition company</w:t>
            </w:r>
            <w:r>
              <w:rPr>
                <w:rFonts w:ascii="arial" w:hAnsi="arial"/>
                <w:sz w:val="18"/>
              </w:rPr>
              <w:t>, 2020 – 2022</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L Brands, Inc.</w:t>
            </w:r>
            <w:r>
              <w:rPr>
                <w:rFonts w:ascii="arial" w:hAnsi="arial"/>
                <w:sz w:val="18"/>
              </w:rPr>
              <w:t xml:space="preserve">, </w:t>
            </w:r>
            <w:r>
              <w:rPr>
                <w:rFonts w:ascii="arial" w:hAnsi="arial"/>
                <w:i/>
                <w:sz w:val="18"/>
              </w:rPr>
              <w:t>the former parent company of VS&amp;Co</w:t>
            </w:r>
            <w:r>
              <w:rPr>
                <w:rFonts w:ascii="arial" w:hAnsi="arial"/>
                <w:sz w:val="18"/>
              </w:rPr>
              <w:t>, 2019 – 2021</w:t>
            </w:r>
          </w:p>
          <w:p>
            <w:pPr>
              <w:pStyle w:val="TableContents"/>
              <w:bidi w:val="0"/>
              <w:spacing w:before="0" w:after="0"/>
              <w:jc w:val="left"/>
              <w:rPr/>
            </w:pPr>
            <w:r>
              <w:rPr/>
              <w:t> </w:t>
            </w:r>
          </w:p>
          <w:p>
            <w:pPr>
              <w:pStyle w:val="TableContents"/>
              <w:bidi w:val="0"/>
              <w:spacing w:before="0" w:after="0"/>
              <w:jc w:val="left"/>
              <w:rPr>
                <w:rFonts w:ascii="arial" w:hAnsi="arial"/>
                <w:b/>
                <w:color w:val="F7ACBA"/>
                <w:sz w:val="24"/>
              </w:rPr>
            </w:pPr>
            <w:r>
              <w:rPr>
                <w:rFonts w:ascii="arial" w:hAnsi="arial"/>
                <w:b/>
                <w:color w:val="F7ACBA"/>
                <w:sz w:val="24"/>
              </w:rPr>
              <w:t>Professional Experience</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Senior Advisor</w:t>
            </w:r>
            <w:r>
              <w:rPr>
                <w:rFonts w:ascii="arial" w:hAnsi="arial"/>
                <w:sz w:val="18"/>
              </w:rPr>
              <w:t xml:space="preserve">, PJT Partners, </w:t>
            </w:r>
            <w:r>
              <w:rPr>
                <w:rFonts w:ascii="arial" w:hAnsi="arial"/>
                <w:i/>
                <w:sz w:val="18"/>
              </w:rPr>
              <w:t>a global advisory-focused investment bank</w:t>
            </w:r>
            <w:r>
              <w:rPr>
                <w:rFonts w:ascii="arial" w:hAnsi="arial"/>
                <w:sz w:val="18"/>
              </w:rPr>
              <w:t>, 2018 – present</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Founder</w:t>
            </w:r>
            <w:r>
              <w:rPr>
                <w:rFonts w:ascii="arial" w:hAnsi="arial"/>
                <w:sz w:val="18"/>
              </w:rPr>
              <w:t xml:space="preserve">, Investor Stewardship Group, </w:t>
            </w:r>
            <w:r>
              <w:rPr>
                <w:rFonts w:ascii="arial" w:hAnsi="arial"/>
                <w:i/>
                <w:sz w:val="18"/>
              </w:rPr>
              <w:t>a collective of institutional investors that introduced a framework for principles-based corporate governance</w:t>
            </w:r>
            <w:r>
              <w:rPr>
                <w:rFonts w:ascii="arial" w:hAnsi="arial"/>
                <w:sz w:val="18"/>
              </w:rPr>
              <w:t>, 2017</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Chair of Investor Advisory Committee</w:t>
            </w:r>
            <w:r>
              <w:rPr>
                <w:rFonts w:ascii="arial" w:hAnsi="arial"/>
                <w:sz w:val="18"/>
              </w:rPr>
              <w:t>, Securities and Exchange Commission, 2012 – 2020</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Director of Corporate Governance</w:t>
            </w:r>
            <w:r>
              <w:rPr>
                <w:rFonts w:ascii="arial" w:hAnsi="arial"/>
                <w:sz w:val="18"/>
              </w:rPr>
              <w:t>, The California State Teachers’ Retirement System (CalSTRS), 2008 – 2018</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Chief Deputy Director for Policy</w:t>
            </w:r>
            <w:r>
              <w:rPr>
                <w:rFonts w:ascii="arial" w:hAnsi="arial"/>
                <w:sz w:val="18"/>
              </w:rPr>
              <w:t>, California Department of Finance, 2004 – 2008</w:t>
            </w:r>
          </w:p>
          <w:p>
            <w:pPr>
              <w:pStyle w:val="TableContents"/>
              <w:bidi w:val="0"/>
              <w:spacing w:before="0" w:after="0"/>
              <w:jc w:val="left"/>
              <w:rPr/>
            </w:pPr>
            <w:r>
              <w:rPr/>
              <w:t> </w:t>
            </w:r>
          </w:p>
          <w:p>
            <w:pPr>
              <w:pStyle w:val="TableContents"/>
              <w:bidi w:val="0"/>
              <w:spacing w:before="0" w:after="0"/>
              <w:jc w:val="left"/>
              <w:rPr>
                <w:rFonts w:ascii="arial" w:hAnsi="arial"/>
                <w:b/>
                <w:color w:val="F7ACBA"/>
                <w:sz w:val="24"/>
              </w:rPr>
            </w:pPr>
            <w:r>
              <w:rPr>
                <w:rFonts w:ascii="arial" w:hAnsi="arial"/>
                <w:b/>
                <w:color w:val="F7ACBA"/>
                <w:sz w:val="24"/>
              </w:rPr>
              <w:t>Key Skills and Qualifications</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Corporate Governance</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Investor Relations</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Sustainability</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Human Capital Management</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Executive Compensation</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Legal and Regulatory Compliance</w:t>
            </w:r>
          </w:p>
          <w:p>
            <w:pPr>
              <w:pStyle w:val="TableContents"/>
              <w:bidi w:val="0"/>
              <w:spacing w:before="0" w:after="0"/>
              <w:jc w:val="left"/>
              <w:rPr/>
            </w:pPr>
            <w:r>
              <w:rPr/>
              <w:t> </w:t>
            </w:r>
          </w:p>
          <w:p>
            <w:pPr>
              <w:pStyle w:val="TableContents"/>
              <w:bidi w:val="0"/>
              <w:spacing w:before="0" w:after="0"/>
              <w:jc w:val="left"/>
              <w:rPr>
                <w:rFonts w:ascii="arial" w:hAnsi="arial"/>
                <w:b/>
                <w:color w:val="F7ACBA"/>
                <w:sz w:val="24"/>
              </w:rPr>
            </w:pPr>
            <w:r>
              <w:rPr>
                <w:rFonts w:ascii="arial" w:hAnsi="arial"/>
                <w:b/>
                <w:color w:val="F7ACBA"/>
                <w:sz w:val="24"/>
              </w:rPr>
              <w:t>What does Anne Sheehan bring to the VS&amp;Co Board?</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Anne is a renowned governance expert, having served as Chair of the SEC’s Investor Advisory Committee for eight years and as Director of Corporate Governance at CalSTRS, one of the largest pension funds in the United States, for ten years. In these and other roles, Anne was a leader in navigating complex legislative, regulatory, and shareholder relations affairs. Anne is a founder of the Investor Stewardship Group and serves on the advisory boards of the Weinberg Center for Corporate Governance at the University of Delaware and the Rock Center for Corporate Governance at Stanford Law School. Anne utilizes her deep knowledge, understanding of investor perspectives, and experience in all aspects of corporate governance to lead the Nominating and Governance Committee and provide valuable insight to the Board.</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Anne has seen it all when it comes to corporate governance and investor relations. She is a trusted leader in this space and knows the players, options, risks, and opportunities.</w:t>
            </w:r>
          </w:p>
        </w:tc>
      </w:tr>
      <w:tr>
        <w:trPr/>
        <w:tc>
          <w:tcPr>
            <w:tcW w:w="1565"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b/>
                <w:color w:val="F7ACBA"/>
                <w:sz w:val="24"/>
              </w:rPr>
            </w:pPr>
            <w:r>
              <w:rPr>
                <w:rFonts w:ascii="arial" w:hAnsi="arial"/>
                <w:b/>
                <w:color w:val="F7ACBA"/>
                <w:sz w:val="24"/>
              </w:rPr>
              <w:t>Independent</w:t>
            </w:r>
          </w:p>
          <w:p>
            <w:pPr>
              <w:pStyle w:val="TableContents"/>
              <w:bidi w:val="0"/>
              <w:spacing w:before="0" w:after="0"/>
              <w:jc w:val="left"/>
              <w:rPr/>
            </w:pPr>
            <w:r>
              <w:rPr/>
              <w:t> </w:t>
            </w:r>
          </w:p>
          <w:p>
            <w:pPr>
              <w:pStyle w:val="TableContents"/>
              <w:bidi w:val="0"/>
              <w:spacing w:before="0" w:after="0"/>
              <w:jc w:val="left"/>
              <w:rPr>
                <w:rFonts w:ascii="arial" w:hAnsi="arial"/>
                <w:sz w:val="24"/>
              </w:rPr>
            </w:pPr>
            <w:r>
              <w:rPr>
                <w:rFonts w:ascii="arial" w:hAnsi="arial"/>
                <w:b/>
                <w:color w:val="F7ACBA"/>
                <w:sz w:val="24"/>
              </w:rPr>
              <w:t xml:space="preserve">Age: </w:t>
            </w:r>
            <w:r>
              <w:rPr>
                <w:rFonts w:ascii="arial" w:hAnsi="arial"/>
                <w:sz w:val="20"/>
              </w:rPr>
              <w:t>67</w:t>
            </w:r>
          </w:p>
          <w:p>
            <w:pPr>
              <w:pStyle w:val="TableContents"/>
              <w:bidi w:val="0"/>
              <w:spacing w:before="0" w:after="0"/>
              <w:jc w:val="left"/>
              <w:rPr/>
            </w:pPr>
            <w:r>
              <w:rPr/>
              <w:t> </w:t>
            </w:r>
          </w:p>
          <w:p>
            <w:pPr>
              <w:pStyle w:val="TableContents"/>
              <w:bidi w:val="0"/>
              <w:spacing w:before="0" w:after="0"/>
              <w:jc w:val="left"/>
              <w:rPr>
                <w:rFonts w:ascii="arial" w:hAnsi="arial"/>
                <w:sz w:val="24"/>
              </w:rPr>
            </w:pPr>
            <w:r>
              <w:rPr>
                <w:rFonts w:ascii="arial" w:hAnsi="arial"/>
                <w:b/>
                <w:color w:val="F7ACBA"/>
                <w:sz w:val="24"/>
              </w:rPr>
              <w:t xml:space="preserve">Director Since: </w:t>
            </w:r>
            <w:r>
              <w:rPr>
                <w:rFonts w:ascii="arial" w:hAnsi="arial"/>
                <w:sz w:val="20"/>
              </w:rPr>
              <w:t>2021</w:t>
            </w:r>
          </w:p>
          <w:p>
            <w:pPr>
              <w:pStyle w:val="TableContents"/>
              <w:bidi w:val="0"/>
              <w:spacing w:before="0" w:after="0"/>
              <w:jc w:val="left"/>
              <w:rPr/>
            </w:pPr>
            <w:r>
              <w:rPr/>
              <w:t> </w:t>
            </w:r>
          </w:p>
          <w:p>
            <w:pPr>
              <w:pStyle w:val="TableContents"/>
              <w:bidi w:val="0"/>
              <w:spacing w:before="0" w:after="0"/>
              <w:jc w:val="left"/>
              <w:rPr>
                <w:rFonts w:ascii="arial" w:hAnsi="arial"/>
                <w:b/>
                <w:color w:val="F7ACBA"/>
                <w:sz w:val="24"/>
              </w:rPr>
            </w:pPr>
            <w:r>
              <w:rPr>
                <w:rFonts w:ascii="arial" w:hAnsi="arial"/>
                <w:b/>
                <w:color w:val="F7ACBA"/>
                <w:sz w:val="24"/>
              </w:rPr>
              <w:t>Board Committees</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20"/>
              </w:rPr>
              <w:t>Chair of Nominating and</w:t>
              <w:br/>
              <w:t>Governance</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20"/>
              </w:rPr>
              <w:t>Human Capital and</w:t>
              <w:br/>
              <w:t>Compensation</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vMerge w:val="continue"/>
            <w:tcBorders/>
            <w:vAlign w:val="center"/>
          </w:tcPr>
          <w:p>
            <w:pPr>
              <w:pStyle w:val="Normal"/>
              <w:bidi w:val="0"/>
              <w:jc w:val="left"/>
              <w:rPr/>
            </w:pPr>
            <w:r>
              <w:rPr/>
            </w:r>
          </w:p>
        </w:tc>
        <w:tc>
          <w:tcPr>
            <w:tcW w:w="8580" w:type="dxa"/>
            <w:vMerge w:val="continue"/>
            <w:tcBorders/>
            <w:vAlign w:val="center"/>
          </w:tcPr>
          <w:p>
            <w:pPr>
              <w:pStyle w:val="Normal"/>
              <w:bidi w:val="0"/>
              <w:jc w:val="left"/>
              <w:rPr/>
            </w:pPr>
            <w:r>
              <w:rPr/>
            </w:r>
          </w:p>
        </w:tc>
      </w:tr>
    </w:tbl>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55"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6" descr=""/>
                          <pic:cNvPicPr>
                            <a:picLocks noChangeAspect="1" noChangeArrowheads="1"/>
                          </pic:cNvPicPr>
                        </pic:nvPicPr>
                        <pic:blipFill>
                          <a:blip r:embed="rId47"/>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16 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PROPOSAL ONE: ELECTION OF DIRECTORS </w:t>
      </w:r>
    </w:p>
    <w:p>
      <w:pPr>
        <w:pStyle w:val="TextBody"/>
        <w:bidi w:val="0"/>
        <w:spacing w:before="0" w:after="0"/>
        <w:jc w:val="left"/>
        <w:rPr/>
      </w:pPr>
      <w:r>
        <w:rPr/>
        <w:t> </w:t>
      </w:r>
    </w:p>
    <w:p>
      <w:pPr>
        <w:pStyle w:val="TextBody"/>
        <w:bidi w:val="0"/>
        <w:spacing w:before="0" w:after="0"/>
        <w:jc w:val="left"/>
        <w:rPr/>
      </w:pPr>
      <w:r>
        <w:rPr/>
        <w:drawing>
          <wp:inline distT="0" distB="0" distL="0" distR="0">
            <wp:extent cx="585470" cy="789940"/>
            <wp:effectExtent l="0" t="0" r="0" b="0"/>
            <wp:docPr id="56"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7" descr=""/>
                    <pic:cNvPicPr>
                      <a:picLocks noChangeAspect="1" noChangeArrowheads="1"/>
                    </pic:cNvPicPr>
                  </pic:nvPicPr>
                  <pic:blipFill>
                    <a:blip r:embed="rId48"/>
                    <a:stretch>
                      <a:fillRect/>
                    </a:stretch>
                  </pic:blipFill>
                  <pic:spPr bwMode="auto">
                    <a:xfrm>
                      <a:off x="0" y="0"/>
                      <a:ext cx="585470" cy="78994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pPr>
      <w:r>
        <w:rPr/>
        <w:t xml:space="preserve">      </w:t>
      </w:r>
    </w:p>
    <w:tbl>
      <w:tblPr>
        <w:tblW w:w="10205" w:type="dxa"/>
        <w:jc w:val="left"/>
        <w:tblInd w:w="0" w:type="dxa"/>
        <w:tblLayout w:type="fixed"/>
        <w:tblCellMar>
          <w:top w:w="0" w:type="dxa"/>
          <w:left w:w="0" w:type="dxa"/>
          <w:bottom w:w="0" w:type="dxa"/>
          <w:right w:w="0" w:type="dxa"/>
        </w:tblCellMar>
      </w:tblPr>
      <w:tblGrid>
        <w:gridCol w:w="1150"/>
        <w:gridCol w:w="60"/>
        <w:gridCol w:w="8995"/>
      </w:tblGrid>
      <w:tr>
        <w:trPr/>
        <w:tc>
          <w:tcPr>
            <w:tcW w:w="11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95" w:type="dxa"/>
            <w:tcBorders/>
            <w:vAlign w:val="center"/>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sz w:val="4"/>
                <w:szCs w:val="4"/>
              </w:rPr>
            </w:pPr>
            <w:r>
              <w:rPr>
                <w:sz w:val="4"/>
                <w:szCs w:val="4"/>
              </w:rPr>
            </w:r>
          </w:p>
        </w:tc>
        <w:tc>
          <w:tcPr>
            <w:tcW w:w="60" w:type="dxa"/>
            <w:vMerge w:val="restart"/>
            <w:tcBorders/>
            <w:vAlign w:val="center"/>
          </w:tcPr>
          <w:p>
            <w:pPr>
              <w:pStyle w:val="TableContents"/>
              <w:bidi w:val="0"/>
              <w:spacing w:before="0" w:after="283"/>
              <w:jc w:val="left"/>
              <w:rPr/>
            </w:pPr>
            <w:r>
              <w:rPr/>
              <w:t> </w:t>
            </w:r>
          </w:p>
        </w:tc>
        <w:tc>
          <w:tcPr>
            <w:tcW w:w="8995" w:type="dxa"/>
            <w:vMerge w:val="restart"/>
            <w:tcBorders/>
            <w:vAlign w:val="center"/>
          </w:tcPr>
          <w:p>
            <w:pPr>
              <w:pStyle w:val="TableContents"/>
              <w:bidi w:val="0"/>
              <w:spacing w:before="0" w:after="0"/>
              <w:jc w:val="left"/>
              <w:rPr>
                <w:rFonts w:ascii="arial" w:hAnsi="arial"/>
                <w:b/>
                <w:color w:val="F7ACBA"/>
                <w:sz w:val="24"/>
              </w:rPr>
            </w:pPr>
            <w:r>
              <w:rPr>
                <w:rFonts w:ascii="arial" w:hAnsi="arial"/>
                <w:b/>
                <w:color w:val="F7ACBA"/>
                <w:sz w:val="24"/>
              </w:rPr>
              <w:t>Professional Experience</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Chief Executive Officer</w:t>
            </w:r>
            <w:r>
              <w:rPr>
                <w:rFonts w:ascii="arial" w:hAnsi="arial"/>
                <w:sz w:val="18"/>
              </w:rPr>
              <w:t>, Victoria’s Secret &amp; Co., 2021 – present</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Chief Executive Officer of VS Lingerie</w:t>
            </w:r>
            <w:r>
              <w:rPr>
                <w:rFonts w:ascii="arial" w:hAnsi="arial"/>
                <w:sz w:val="18"/>
              </w:rPr>
              <w:t xml:space="preserve">, L Brands, Inc., </w:t>
            </w:r>
            <w:r>
              <w:rPr>
                <w:rFonts w:ascii="arial" w:hAnsi="arial"/>
                <w:i/>
                <w:sz w:val="18"/>
              </w:rPr>
              <w:t>the former parent company of VS&amp;Co</w:t>
            </w:r>
            <w:r>
              <w:rPr>
                <w:rFonts w:ascii="arial" w:hAnsi="arial"/>
                <w:sz w:val="18"/>
              </w:rPr>
              <w:t>, 2020 – 2021</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b/>
                <w:sz w:val="18"/>
              </w:rPr>
              <w:t>Chief Executive Officer of International</w:t>
            </w:r>
            <w:r>
              <w:rPr>
                <w:rFonts w:ascii="arial" w:hAnsi="arial"/>
                <w:sz w:val="18"/>
              </w:rPr>
              <w:t>, L Brands, Inc., 2008 – 2020</w:t>
            </w:r>
          </w:p>
          <w:p>
            <w:pPr>
              <w:pStyle w:val="TableContents"/>
              <w:bidi w:val="0"/>
              <w:spacing w:before="0" w:after="0"/>
              <w:jc w:val="left"/>
              <w:rPr/>
            </w:pPr>
            <w:r>
              <w:rPr/>
              <w:t> </w:t>
            </w:r>
          </w:p>
          <w:p>
            <w:pPr>
              <w:pStyle w:val="TableContents"/>
              <w:bidi w:val="0"/>
              <w:spacing w:before="0" w:after="0"/>
              <w:jc w:val="left"/>
              <w:rPr>
                <w:rFonts w:ascii="arial" w:hAnsi="arial"/>
                <w:b/>
                <w:color w:val="F7ACBA"/>
                <w:sz w:val="24"/>
              </w:rPr>
            </w:pPr>
            <w:r>
              <w:rPr>
                <w:rFonts w:ascii="arial" w:hAnsi="arial"/>
                <w:b/>
                <w:color w:val="F7ACBA"/>
                <w:sz w:val="24"/>
              </w:rPr>
              <w:t>Key Skills and Qualifications</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Beauty and Women’s Merchandise</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Retail Store Operations</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International Retail Operations</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Omni-Channel Operations</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Franchising and Joint Ventures</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Brand Transformation</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Strategic Planning</w:t>
            </w:r>
          </w:p>
          <w:p>
            <w:pPr>
              <w:pStyle w:val="TableContents"/>
              <w:bidi w:val="0"/>
              <w:spacing w:before="0" w:after="0"/>
              <w:jc w:val="left"/>
              <w:rPr/>
            </w:pPr>
            <w:r>
              <w:rPr/>
              <w:t> </w:t>
            </w:r>
          </w:p>
          <w:p>
            <w:pPr>
              <w:pStyle w:val="TableContents"/>
              <w:bidi w:val="0"/>
              <w:spacing w:before="0" w:after="0"/>
              <w:jc w:val="left"/>
              <w:rPr>
                <w:rFonts w:ascii="arial" w:hAnsi="arial"/>
                <w:b/>
                <w:color w:val="F7ACBA"/>
                <w:sz w:val="24"/>
              </w:rPr>
            </w:pPr>
            <w:r>
              <w:rPr>
                <w:rFonts w:ascii="arial" w:hAnsi="arial"/>
                <w:b/>
                <w:color w:val="F7ACBA"/>
                <w:sz w:val="24"/>
              </w:rPr>
              <w:t>What does Martin Waters bring to the VS&amp;Co Board?</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Martin is a career retail executive who is respected for leading businesses with strong financial performance and equally strong and healthy corporate cultures. Martin has lived and worked in five countries, leveraging his experience in strategic planning, merchandising, brand management, marketing and supply chain operations to establish new business models in over 80 countries worldwide. Martin applies his experience serving as CEO of VS&amp;Co and other leadership roles at L Brands since 2008 to supply unparalleled knowledge of VS&amp;Co and the global intimates and beauty markets.</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Martin leads the VS&amp;Co executive management team in developing and implementing our long-term strategic growth plan. He is also a strong advocate of maintaining VS&amp;Co’s happy, healthy and inclusive culture.</w:t>
            </w:r>
          </w:p>
        </w:tc>
      </w:tr>
      <w:tr>
        <w:trPr/>
        <w:tc>
          <w:tcPr>
            <w:tcW w:w="1150"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sz w:val="24"/>
              </w:rPr>
            </w:pPr>
            <w:r>
              <w:rPr>
                <w:rFonts w:ascii="arial" w:hAnsi="arial"/>
                <w:b/>
                <w:color w:val="F7ACBA"/>
                <w:sz w:val="24"/>
              </w:rPr>
              <w:t xml:space="preserve">Age: </w:t>
            </w:r>
            <w:r>
              <w:rPr>
                <w:rFonts w:ascii="arial" w:hAnsi="arial"/>
                <w:sz w:val="20"/>
              </w:rPr>
              <w:t>58</w:t>
            </w:r>
          </w:p>
          <w:p>
            <w:pPr>
              <w:pStyle w:val="TableContents"/>
              <w:bidi w:val="0"/>
              <w:spacing w:before="0" w:after="0"/>
              <w:jc w:val="left"/>
              <w:rPr/>
            </w:pPr>
            <w:r>
              <w:rPr/>
              <w:t> </w:t>
            </w:r>
          </w:p>
          <w:p>
            <w:pPr>
              <w:pStyle w:val="TableContents"/>
              <w:bidi w:val="0"/>
              <w:spacing w:before="0" w:after="0"/>
              <w:jc w:val="left"/>
              <w:rPr>
                <w:rFonts w:ascii="arial" w:hAnsi="arial"/>
                <w:sz w:val="24"/>
              </w:rPr>
            </w:pPr>
            <w:r>
              <w:rPr>
                <w:rFonts w:ascii="arial" w:hAnsi="arial"/>
                <w:b/>
                <w:color w:val="F7ACBA"/>
                <w:sz w:val="24"/>
              </w:rPr>
              <w:t xml:space="preserve">Director Since: </w:t>
            </w:r>
            <w:r>
              <w:rPr>
                <w:rFonts w:ascii="arial" w:hAnsi="arial"/>
                <w:sz w:val="20"/>
              </w:rPr>
              <w:t>2021</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vMerge w:val="continue"/>
            <w:tcBorders/>
            <w:vAlign w:val="center"/>
          </w:tcPr>
          <w:p>
            <w:pPr>
              <w:pStyle w:val="Normal"/>
              <w:bidi w:val="0"/>
              <w:jc w:val="left"/>
              <w:rPr/>
            </w:pPr>
            <w:r>
              <w:rPr/>
            </w:r>
          </w:p>
        </w:tc>
        <w:tc>
          <w:tcPr>
            <w:tcW w:w="8995" w:type="dxa"/>
            <w:vMerge w:val="continue"/>
            <w:tcBorders/>
            <w:vAlign w:val="center"/>
          </w:tcPr>
          <w:p>
            <w:pPr>
              <w:pStyle w:val="Normal"/>
              <w:bidi w:val="0"/>
              <w:jc w:val="left"/>
              <w:rPr/>
            </w:pPr>
            <w:r>
              <w:rPr/>
            </w:r>
          </w:p>
        </w:tc>
      </w:tr>
    </w:tbl>
    <w:p>
      <w:pPr>
        <w:pStyle w:val="TextBody"/>
        <w:bidi w:val="0"/>
        <w:spacing w:before="0" w:after="0"/>
        <w:jc w:val="left"/>
        <w:rPr/>
      </w:pPr>
      <w:r>
        <w:rPr/>
        <w:t> </w:t>
      </w:r>
    </w:p>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57"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8" descr=""/>
                          <pic:cNvPicPr>
                            <a:picLocks noChangeAspect="1" noChangeArrowheads="1"/>
                          </pic:cNvPicPr>
                        </pic:nvPicPr>
                        <pic:blipFill>
                          <a:blip r:embed="rId49"/>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17 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center"/>
        <w:rPr>
          <w:rFonts w:ascii="Times New Roman" w:hAnsi="Times New Roman"/>
          <w:b/>
          <w:sz w:val="60"/>
        </w:rPr>
      </w:pPr>
      <w:bookmarkStart w:id="7" w:name="toc540996_4"/>
      <w:bookmarkEnd w:id="7"/>
      <w:r>
        <w:rPr>
          <w:rFonts w:ascii="Times New Roman" w:hAnsi="Times New Roman"/>
          <w:b/>
          <w:sz w:val="60"/>
        </w:rPr>
        <w:t xml:space="preserve">CORPORATE GOVERNANCE </w:t>
      </w:r>
    </w:p>
    <w:p>
      <w:pPr>
        <w:pStyle w:val="TextBody"/>
        <w:bidi w:val="0"/>
        <w:spacing w:before="0" w:after="0"/>
        <w:jc w:val="left"/>
        <w:rPr/>
      </w:pPr>
      <w:r>
        <w:rPr/>
        <w:t> </w:t>
      </w:r>
    </w:p>
    <w:p>
      <w:pPr>
        <w:pStyle w:val="TextBody"/>
        <w:pBdr>
          <w:bottom w:val="single" w:sz="2" w:space="1" w:color="000000"/>
        </w:pBdr>
        <w:bidi w:val="0"/>
        <w:spacing w:lineRule="atLeast" w:line="142" w:before="0" w:after="40"/>
        <w:jc w:val="center"/>
        <w:rPr/>
      </w:pPr>
      <w:r>
        <w:rPr/>
        <w:t> </w:t>
      </w:r>
    </w:p>
    <w:p>
      <w:pPr>
        <w:pStyle w:val="TextBody"/>
        <w:bidi w:val="0"/>
        <w:spacing w:before="480" w:after="0"/>
        <w:jc w:val="left"/>
        <w:rPr>
          <w:rFonts w:ascii="arial" w:hAnsi="arial"/>
          <w:sz w:val="18"/>
        </w:rPr>
      </w:pPr>
      <w:r>
        <w:rPr>
          <w:rFonts w:ascii="arial" w:hAnsi="arial"/>
          <w:sz w:val="18"/>
        </w:rPr>
        <w:t xml:space="preserve">We are committed to strong and effective corporate governance, an attribute we consider critical to achieving long-term value for our stockholders. </w:t>
      </w:r>
    </w:p>
    <w:p>
      <w:pPr>
        <w:pStyle w:val="TextBody"/>
        <w:bidi w:val="0"/>
        <w:spacing w:before="360" w:after="0"/>
        <w:jc w:val="left"/>
        <w:rPr>
          <w:rFonts w:ascii="arial" w:hAnsi="arial"/>
          <w:sz w:val="30"/>
        </w:rPr>
      </w:pPr>
      <w:bookmarkStart w:id="8" w:name="toc540996_5"/>
      <w:bookmarkEnd w:id="8"/>
      <w:r>
        <w:rPr>
          <w:rFonts w:ascii="arial" w:hAnsi="arial"/>
          <w:sz w:val="30"/>
        </w:rPr>
        <w:t xml:space="preserve">Role of the Board </w:t>
      </w:r>
    </w:p>
    <w:p>
      <w:pPr>
        <w:pStyle w:val="TextBody"/>
        <w:bidi w:val="0"/>
        <w:spacing w:before="120" w:after="0"/>
        <w:jc w:val="left"/>
        <w:rPr>
          <w:rFonts w:ascii="arial" w:hAnsi="arial"/>
          <w:sz w:val="18"/>
        </w:rPr>
      </w:pPr>
      <w:r>
        <w:rPr>
          <w:rFonts w:ascii="arial" w:hAnsi="arial"/>
          <w:sz w:val="18"/>
        </w:rPr>
        <w:t xml:space="preserve">The Board of Directors is ultimately responsible for overseeing the management of VS&amp;Co. The executive management team is responsible for the day-to-day business and operations of VS&amp;Co. The Board works with the management team to guide VS&amp;Co’s long-term strategy and overall vision and direction. The Board is responsible for making certain key decisions about financial planning, significant capital expenditures, executive compensation structure and philosophy, the composition of the Board and executive management team, material acquisitions, and other high-priority matters. The Board is also involved in stockholder and community relations, ethical and legal compliance, risk management, and ESG issues. Many of these roles are performed through the Board’s three standing committees: the Audit Committee, the Human Capital and Compensation Committee, and the Nominating and Governance Committee. See “Board Committees” below for additional detail on the roles of each committee. </w:t>
      </w:r>
    </w:p>
    <w:p>
      <w:pPr>
        <w:pStyle w:val="TextBody"/>
        <w:bidi w:val="0"/>
        <w:spacing w:before="240" w:after="0"/>
        <w:jc w:val="left"/>
        <w:rPr>
          <w:rFonts w:ascii="arial" w:hAnsi="arial"/>
          <w:b/>
          <w:color w:val="F7ACBA"/>
          <w:sz w:val="24"/>
        </w:rPr>
      </w:pPr>
      <w:r>
        <w:rPr>
          <w:rFonts w:ascii="arial" w:hAnsi="arial"/>
          <w:b/>
          <w:color w:val="F7ACBA"/>
          <w:sz w:val="24"/>
        </w:rPr>
        <w:t xml:space="preserve">Board Leadership Structure </w:t>
      </w:r>
    </w:p>
    <w:p>
      <w:pPr>
        <w:pStyle w:val="TextBody"/>
        <w:bidi w:val="0"/>
        <w:spacing w:before="60" w:after="0"/>
        <w:jc w:val="left"/>
        <w:rPr>
          <w:rFonts w:ascii="arial" w:hAnsi="arial"/>
          <w:sz w:val="18"/>
        </w:rPr>
      </w:pPr>
      <w:r>
        <w:rPr>
          <w:rFonts w:ascii="arial" w:hAnsi="arial"/>
          <w:sz w:val="18"/>
        </w:rPr>
        <w:t xml:space="preserve">The Board is led by an independent Chair who presides over each Board meeting, including executive sessions where the independent directors meet separately without management or non-independent directors present. Donna James, the current independent Chair of our Board, provides strong, thoughtful, and independent leadership for the Board and serves as a liaison between the Board and executive management. Donna brings vast knowledge and experience about VS&amp;Co to her role, having served on the board of directors of L Brands, our former parent company, since 2003. As Chair of the Board, she represents the Board in communications with stockholders and other stakeholders, provides instruction on which topics and issues deserve the Board’s attention and consideration, and meets regularly with the CEO to provide guidance on emerging risks and other matters that arise between Board meetings. </w:t>
      </w:r>
    </w:p>
    <w:p>
      <w:pPr>
        <w:pStyle w:val="TextBody"/>
        <w:bidi w:val="0"/>
        <w:spacing w:before="120" w:after="0"/>
        <w:jc w:val="left"/>
        <w:rPr>
          <w:rFonts w:ascii="arial" w:hAnsi="arial"/>
          <w:sz w:val="18"/>
        </w:rPr>
      </w:pPr>
      <w:r>
        <w:rPr>
          <w:rFonts w:ascii="arial" w:hAnsi="arial"/>
          <w:sz w:val="18"/>
        </w:rPr>
        <w:t xml:space="preserve">VS&amp;Co’s Corporate Governance Guidelines require that the CEO and Chair of the Board roles remain separate. The Chair of the Board must be an independent director who is elected annually by majority vote of the independent directors. We believe the separation of the roles of Chair and CEO is ideal given our strategic and operational priorities. This structure allows the CEO to focus on VS&amp;Co’s business, operations, and strategy, with the benefit of the independent Chair’s unique experience, perspective, and vision. Given the current strategic direction and ownership and leadership structure of the Company, the Board is not currently contemplating an amendment to our Corporate Governance Guidelines to permit the roles of CEO and Chair to be filled by a single individual. Such a change would be carefully considered by the Board in light of the best interests of our stockholders, and we would notify stockholders if that change should occur. </w:t>
      </w:r>
    </w:p>
    <w:p>
      <w:pPr>
        <w:pStyle w:val="TextBody"/>
        <w:bidi w:val="0"/>
        <w:spacing w:before="120" w:after="0"/>
        <w:jc w:val="left"/>
        <w:rPr>
          <w:rFonts w:ascii="arial" w:hAnsi="arial"/>
          <w:sz w:val="18"/>
        </w:rPr>
      </w:pPr>
      <w:r>
        <w:rPr>
          <w:rFonts w:ascii="arial" w:hAnsi="arial"/>
          <w:sz w:val="18"/>
        </w:rPr>
        <w:t xml:space="preserve">On an annual basis, the Board selects a Chair to lead each Board committee. Sarah Davis is the current Chair of the Audit Committee; Irene Chang Britt is the current Chair of the Human Capital and Compensation Committee; and Anne Sheehan is the current Chair of the Nominating and Governance Committee. Each Board committee provides a report of its affairs to the full Board on a quarterly basis. </w:t>
      </w:r>
    </w:p>
    <w:p>
      <w:pPr>
        <w:pStyle w:val="TextBody"/>
        <w:bidi w:val="0"/>
        <w:spacing w:before="120" w:after="0"/>
        <w:jc w:val="left"/>
        <w:rPr>
          <w:rFonts w:ascii="arial" w:hAnsi="arial"/>
          <w:sz w:val="18"/>
        </w:rPr>
      </w:pPr>
      <w:r>
        <w:rPr>
          <w:rFonts w:ascii="arial" w:hAnsi="arial"/>
          <w:sz w:val="18"/>
        </w:rPr>
        <w:t xml:space="preserve">For more information on our Board structure and operations, please see our Corporate Governance Guidelines, available on the Investors section of our website, </w:t>
      </w:r>
      <w:r>
        <w:rPr>
          <w:rFonts w:ascii="arial" w:hAnsi="arial"/>
          <w:i/>
          <w:sz w:val="18"/>
        </w:rPr>
        <w:t>www.victoriassecretandco.com</w:t>
      </w:r>
      <w:r>
        <w:rPr>
          <w:rFonts w:ascii="arial" w:hAnsi="arial"/>
          <w:sz w:val="18"/>
        </w:rPr>
        <w:t xml:space="preserve">, under Corporate Governance, Governance Materials. </w:t>
      </w:r>
    </w:p>
    <w:p>
      <w:pPr>
        <w:pStyle w:val="TextBody"/>
        <w:bidi w:val="0"/>
        <w:spacing w:before="240" w:after="0"/>
        <w:jc w:val="left"/>
        <w:rPr>
          <w:rFonts w:ascii="arial" w:hAnsi="arial"/>
          <w:b/>
          <w:color w:val="F7ACBA"/>
          <w:sz w:val="24"/>
        </w:rPr>
      </w:pPr>
      <w:r>
        <w:rPr>
          <w:rFonts w:ascii="arial" w:hAnsi="arial"/>
          <w:b/>
          <w:color w:val="F7ACBA"/>
          <w:sz w:val="24"/>
        </w:rPr>
        <w:t xml:space="preserve">Board Oversight of Risk Management </w:t>
      </w:r>
    </w:p>
    <w:p>
      <w:pPr>
        <w:pStyle w:val="TextBody"/>
        <w:bidi w:val="0"/>
        <w:spacing w:before="60" w:after="0"/>
        <w:jc w:val="left"/>
        <w:rPr>
          <w:rFonts w:ascii="arial" w:hAnsi="arial"/>
          <w:sz w:val="18"/>
        </w:rPr>
      </w:pPr>
      <w:r>
        <w:rPr>
          <w:rFonts w:ascii="arial" w:hAnsi="arial"/>
          <w:sz w:val="18"/>
        </w:rPr>
        <w:t xml:space="preserve">The Board is responsible for oversight of enterprise risk, with a focus on the most significant risks we face, including strategic, competitive, economic, operational, financial, legal, regulatory, cybersecurity, ESG, compliance, and reputational </w:t>
      </w:r>
    </w:p>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58"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9" descr=""/>
                          <pic:cNvPicPr>
                            <a:picLocks noChangeAspect="1" noChangeArrowheads="1"/>
                          </pic:cNvPicPr>
                        </pic:nvPicPr>
                        <pic:blipFill>
                          <a:blip r:embed="rId50"/>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18 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CORPORATE GOVERNANCE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risks. The Board regularly receives reports regarding these risks from the CEO, Chief Financial and Administrative Officer, Chief Legal Officer and Chief Human Resources Officer, Chief Ethics and Compliance Officer, Vice President of Internal Audit, and other members of the executive management team, as well as additional updates on an as-needed basis. In addition, the Board consults outside advisors who provide training, help the Board anticipate future threats and trends, and answer Company-specific questions on key areas of risk. Directors are also encouraged to obtain continuing education on risk management to further develop their expertise. </w:t>
      </w:r>
    </w:p>
    <w:p>
      <w:pPr>
        <w:pStyle w:val="TextBody"/>
        <w:bidi w:val="0"/>
        <w:spacing w:before="120" w:after="0"/>
        <w:jc w:val="left"/>
        <w:rPr>
          <w:rFonts w:ascii="arial" w:hAnsi="arial"/>
          <w:sz w:val="18"/>
        </w:rPr>
      </w:pPr>
      <w:r>
        <w:rPr>
          <w:rFonts w:ascii="arial" w:hAnsi="arial"/>
          <w:sz w:val="18"/>
        </w:rPr>
        <w:t xml:space="preserve">Management has implemented a holistic and integrated approach to enterprise risk management that includes (i) identifying, monitoring and assessing risks, (ii) developing and implementing strategic plans and processes to mitigate those risks, and (iii) reporting risk information throughout the organization. The Board oversees the enterprise risk management program and assists management in assessing major risks and evaluating options for their mitigation. Risks with higher levels of priority and urgency draw more of the Board’s time and attention. Ultimately, it is the responsibility of the CEO and our senior management team to determine the appropriate level of exposure to risk with oversight and guidance by the Board. </w:t>
      </w:r>
    </w:p>
    <w:p>
      <w:pPr>
        <w:pStyle w:val="TextBody"/>
        <w:bidi w:val="0"/>
        <w:spacing w:before="120" w:after="0"/>
        <w:jc w:val="left"/>
        <w:rPr>
          <w:rFonts w:ascii="arial" w:hAnsi="arial"/>
          <w:sz w:val="18"/>
        </w:rPr>
      </w:pPr>
      <w:r>
        <w:rPr>
          <w:rFonts w:ascii="arial" w:hAnsi="arial"/>
          <w:sz w:val="18"/>
        </w:rPr>
        <w:t xml:space="preserve">The Board has delegated oversight of certain risk areas to the standing Board committees. The committees regularly report to the full Board regarding their risk oversight responsibilities. </w:t>
      </w:r>
    </w:p>
    <w:p>
      <w:pPr>
        <w:pStyle w:val="TextBody"/>
        <w:bidi w:val="0"/>
        <w:spacing w:before="0" w:after="0"/>
        <w:jc w:val="left"/>
        <w:rPr/>
      </w:pPr>
      <w:r>
        <w:rPr/>
        <w:t> </w:t>
      </w:r>
    </w:p>
    <w:tbl>
      <w:tblPr>
        <w:tblW w:w="1615" w:type="dxa"/>
        <w:jc w:val="left"/>
        <w:tblInd w:w="0" w:type="dxa"/>
        <w:tblLayout w:type="fixed"/>
        <w:tblCellMar>
          <w:top w:w="0" w:type="dxa"/>
          <w:left w:w="0" w:type="dxa"/>
          <w:bottom w:w="0" w:type="dxa"/>
          <w:right w:w="0" w:type="dxa"/>
        </w:tblCellMar>
      </w:tblPr>
      <w:tblGrid>
        <w:gridCol w:w="125"/>
        <w:gridCol w:w="60"/>
        <w:gridCol w:w="143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0"/>
              <w:jc w:val="left"/>
              <w:rPr>
                <w:rFonts w:ascii="arial" w:hAnsi="arial"/>
                <w:sz w:val="18"/>
              </w:rPr>
            </w:pPr>
            <w:r>
              <w:rPr>
                <w:rFonts w:ascii="arial" w:hAnsi="arial"/>
                <w:sz w:val="18"/>
              </w:rPr>
              <w:t xml:space="preserve">Audit Committee </w:t>
            </w:r>
          </w:p>
        </w:tc>
      </w:tr>
    </w:tbl>
    <w:p>
      <w:pPr>
        <w:pStyle w:val="TextBody"/>
        <w:bidi w:val="0"/>
        <w:spacing w:before="0" w:after="0"/>
        <w:jc w:val="left"/>
        <w:rPr/>
      </w:pPr>
      <w:r>
        <w:rPr/>
        <w:t> </w:t>
      </w:r>
    </w:p>
    <w:tbl>
      <w:tblPr>
        <w:tblW w:w="8845" w:type="dxa"/>
        <w:jc w:val="left"/>
        <w:tblInd w:w="0" w:type="dxa"/>
        <w:tblLayout w:type="fixed"/>
        <w:tblCellMar>
          <w:top w:w="0" w:type="dxa"/>
          <w:left w:w="0" w:type="dxa"/>
          <w:bottom w:w="0" w:type="dxa"/>
          <w:right w:w="0" w:type="dxa"/>
        </w:tblCellMar>
      </w:tblPr>
      <w:tblGrid>
        <w:gridCol w:w="75"/>
        <w:gridCol w:w="110"/>
        <w:gridCol w:w="60"/>
        <w:gridCol w:w="86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0"/>
              <w:jc w:val="left"/>
              <w:rPr>
                <w:rFonts w:ascii="arial" w:hAnsi="arial"/>
                <w:sz w:val="18"/>
              </w:rPr>
            </w:pPr>
            <w:r>
              <w:rPr>
                <w:rFonts w:ascii="arial" w:hAnsi="arial"/>
                <w:sz w:val="18"/>
              </w:rPr>
              <w:t xml:space="preserve">Regularly reviews our policies and practices with respect to enterprise risk assessment and management </w:t>
            </w:r>
          </w:p>
        </w:tc>
      </w:tr>
    </w:tbl>
    <w:p>
      <w:pPr>
        <w:pStyle w:val="TextBody"/>
        <w:bidi w:val="0"/>
        <w:spacing w:before="0" w:after="0"/>
        <w:jc w:val="left"/>
        <w:rPr/>
      </w:pPr>
      <w:r>
        <w:rPr/>
        <w:t> </w:t>
      </w:r>
    </w:p>
    <w:tbl>
      <w:tblPr>
        <w:tblW w:w="6415" w:type="dxa"/>
        <w:jc w:val="left"/>
        <w:tblInd w:w="0" w:type="dxa"/>
        <w:tblLayout w:type="fixed"/>
        <w:tblCellMar>
          <w:top w:w="0" w:type="dxa"/>
          <w:left w:w="0" w:type="dxa"/>
          <w:bottom w:w="0" w:type="dxa"/>
          <w:right w:w="0" w:type="dxa"/>
        </w:tblCellMar>
      </w:tblPr>
      <w:tblGrid>
        <w:gridCol w:w="75"/>
        <w:gridCol w:w="110"/>
        <w:gridCol w:w="60"/>
        <w:gridCol w:w="61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6170" w:type="dxa"/>
            <w:tcBorders/>
            <w:vAlign w:val="center"/>
          </w:tcPr>
          <w:p>
            <w:pPr>
              <w:pStyle w:val="TableContents"/>
              <w:bidi w:val="0"/>
              <w:spacing w:before="0" w:after="0"/>
              <w:jc w:val="left"/>
              <w:rPr>
                <w:rFonts w:ascii="arial" w:hAnsi="arial"/>
                <w:sz w:val="18"/>
              </w:rPr>
            </w:pPr>
            <w:r>
              <w:rPr>
                <w:rFonts w:ascii="arial" w:hAnsi="arial"/>
                <w:sz w:val="18"/>
              </w:rPr>
              <w:t xml:space="preserve">Oversees management and mitigation of our major financial risk exposures </w:t>
            </w:r>
          </w:p>
        </w:tc>
      </w:tr>
    </w:tbl>
    <w:p>
      <w:pPr>
        <w:pStyle w:val="TextBody"/>
        <w:bidi w:val="0"/>
        <w:spacing w:before="0" w:after="0"/>
        <w:jc w:val="left"/>
        <w:rPr/>
      </w:pPr>
      <w:r>
        <w:rPr/>
        <w:t> </w:t>
      </w:r>
    </w:p>
    <w:tbl>
      <w:tblPr>
        <w:tblW w:w="9025" w:type="dxa"/>
        <w:jc w:val="left"/>
        <w:tblInd w:w="0" w:type="dxa"/>
        <w:tblLayout w:type="fixed"/>
        <w:tblCellMar>
          <w:top w:w="0" w:type="dxa"/>
          <w:left w:w="0" w:type="dxa"/>
          <w:bottom w:w="0" w:type="dxa"/>
          <w:right w:w="0" w:type="dxa"/>
        </w:tblCellMar>
      </w:tblPr>
      <w:tblGrid>
        <w:gridCol w:w="75"/>
        <w:gridCol w:w="110"/>
        <w:gridCol w:w="60"/>
        <w:gridCol w:w="87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8780" w:type="dxa"/>
            <w:tcBorders/>
            <w:vAlign w:val="center"/>
          </w:tcPr>
          <w:p>
            <w:pPr>
              <w:pStyle w:val="TableContents"/>
              <w:bidi w:val="0"/>
              <w:spacing w:before="0" w:after="0"/>
              <w:jc w:val="left"/>
              <w:rPr>
                <w:rFonts w:ascii="arial" w:hAnsi="arial"/>
                <w:sz w:val="18"/>
              </w:rPr>
            </w:pPr>
            <w:r>
              <w:rPr>
                <w:rFonts w:ascii="arial" w:hAnsi="arial"/>
                <w:sz w:val="18"/>
              </w:rPr>
              <w:t xml:space="preserve">Regularly reviews our policies and practices with respect to cybersecurity risk and our data security policies </w:t>
            </w:r>
          </w:p>
        </w:tc>
      </w:tr>
    </w:tbl>
    <w:p>
      <w:pPr>
        <w:pStyle w:val="TextBody"/>
        <w:bidi w:val="0"/>
        <w:spacing w:before="0" w:after="0"/>
        <w:jc w:val="left"/>
        <w:rPr/>
      </w:pPr>
      <w:r>
        <w:rPr/>
        <w:t> </w:t>
      </w:r>
    </w:p>
    <w:tbl>
      <w:tblPr>
        <w:tblW w:w="4810" w:type="dxa"/>
        <w:jc w:val="left"/>
        <w:tblInd w:w="0" w:type="dxa"/>
        <w:tblLayout w:type="fixed"/>
        <w:tblCellMar>
          <w:top w:w="0" w:type="dxa"/>
          <w:left w:w="0" w:type="dxa"/>
          <w:bottom w:w="0" w:type="dxa"/>
          <w:right w:w="0" w:type="dxa"/>
        </w:tblCellMar>
      </w:tblPr>
      <w:tblGrid>
        <w:gridCol w:w="75"/>
        <w:gridCol w:w="110"/>
        <w:gridCol w:w="60"/>
        <w:gridCol w:w="45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0"/>
              <w:jc w:val="left"/>
              <w:rPr>
                <w:rFonts w:ascii="arial" w:hAnsi="arial"/>
                <w:sz w:val="18"/>
              </w:rPr>
            </w:pPr>
            <w:r>
              <w:rPr>
                <w:rFonts w:ascii="arial" w:hAnsi="arial"/>
                <w:sz w:val="18"/>
              </w:rPr>
              <w:t xml:space="preserve">Regularly reviews our anti-fraud programs and controls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Works with management, including the Chief Legal Officer and Chief Ethics and Compliance Officer, and our independent auditors to oversee assessment and mitigation of significant legal, regulatory, and ethical compliance risk </w:t>
            </w:r>
          </w:p>
        </w:tc>
      </w:tr>
    </w:tbl>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125"/>
        <w:gridCol w:w="60"/>
        <w:gridCol w:w="3845"/>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jc w:val="left"/>
              <w:rPr>
                <w:rFonts w:ascii="arial" w:hAnsi="arial"/>
                <w:sz w:val="18"/>
              </w:rPr>
            </w:pPr>
            <w:r>
              <w:rPr>
                <w:rFonts w:ascii="arial" w:hAnsi="arial"/>
                <w:sz w:val="18"/>
              </w:rPr>
              <w:t xml:space="preserve">Human Capital and Compensation Committee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Oversees management and mitigation of risks related to human capital management and risks arising from our compensation policies and practices and succession planning </w:t>
            </w:r>
          </w:p>
        </w:tc>
      </w:tr>
    </w:tbl>
    <w:p>
      <w:pPr>
        <w:pStyle w:val="TextBody"/>
        <w:bidi w:val="0"/>
        <w:spacing w:before="0" w:after="0"/>
        <w:jc w:val="left"/>
        <w:rPr/>
      </w:pPr>
      <w:r>
        <w:rPr/>
        <w:t> </w:t>
      </w:r>
    </w:p>
    <w:tbl>
      <w:tblPr>
        <w:tblW w:w="3550" w:type="dxa"/>
        <w:jc w:val="left"/>
        <w:tblInd w:w="0" w:type="dxa"/>
        <w:tblLayout w:type="fixed"/>
        <w:tblCellMar>
          <w:top w:w="0" w:type="dxa"/>
          <w:left w:w="0" w:type="dxa"/>
          <w:bottom w:w="0" w:type="dxa"/>
          <w:right w:w="0" w:type="dxa"/>
        </w:tblCellMar>
      </w:tblPr>
      <w:tblGrid>
        <w:gridCol w:w="125"/>
        <w:gridCol w:w="60"/>
        <w:gridCol w:w="3365"/>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3365" w:type="dxa"/>
            <w:tcBorders/>
            <w:vAlign w:val="center"/>
          </w:tcPr>
          <w:p>
            <w:pPr>
              <w:pStyle w:val="TableContents"/>
              <w:bidi w:val="0"/>
              <w:spacing w:before="0" w:after="0"/>
              <w:jc w:val="left"/>
              <w:rPr>
                <w:rFonts w:ascii="arial" w:hAnsi="arial"/>
                <w:sz w:val="18"/>
              </w:rPr>
            </w:pPr>
            <w:r>
              <w:rPr>
                <w:rFonts w:ascii="arial" w:hAnsi="arial"/>
                <w:sz w:val="18"/>
              </w:rPr>
              <w:t xml:space="preserve">Nominating and Governance Committee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Oversees management and mitigation of risks related to our corporate governance, sustainability, and social responsibility programs </w:t>
            </w:r>
          </w:p>
        </w:tc>
      </w:tr>
    </w:tbl>
    <w:p>
      <w:pPr>
        <w:pStyle w:val="TextBody"/>
        <w:bidi w:val="0"/>
        <w:spacing w:before="240" w:after="0"/>
        <w:jc w:val="left"/>
        <w:rPr>
          <w:rFonts w:ascii="arial" w:hAnsi="arial"/>
          <w:b/>
          <w:color w:val="F7ACBA"/>
          <w:sz w:val="24"/>
        </w:rPr>
      </w:pPr>
      <w:r>
        <w:rPr>
          <w:rFonts w:ascii="arial" w:hAnsi="arial"/>
          <w:b/>
          <w:color w:val="F7ACBA"/>
          <w:sz w:val="24"/>
        </w:rPr>
        <w:t xml:space="preserve">Board Oversight of Cybersecurity </w:t>
      </w:r>
    </w:p>
    <w:p>
      <w:pPr>
        <w:pStyle w:val="TextBody"/>
        <w:bidi w:val="0"/>
        <w:spacing w:before="60" w:after="0"/>
        <w:jc w:val="left"/>
        <w:rPr>
          <w:rFonts w:ascii="arial" w:hAnsi="arial"/>
          <w:sz w:val="18"/>
        </w:rPr>
      </w:pPr>
      <w:r>
        <w:rPr>
          <w:rFonts w:ascii="arial" w:hAnsi="arial"/>
          <w:sz w:val="18"/>
        </w:rPr>
        <w:t xml:space="preserve">Cybersecurity is a key priority within the Company’s enterprise risk management program. The Board oversees the systems and processes in place to securely receive, transmit, and store confidential information about VS&amp;Co, our associates and our customers in order to protect against, detect, and respond to cybersecurity threats and incidents. The Audit Committee has been delegated the primary responsibility for the Board’s oversight of cybersecurity risks. The Audit Committee receives reports from the Chief Information Security Officer and other members of management on the effectiveness of the cybersecurity program and related information security matters on a semi-annual basis, with additional updates as needed. The Audit Committee reports to the Board on cybersecurity risk oversight at least annually. </w:t>
      </w:r>
    </w:p>
    <w:p>
      <w:pPr>
        <w:pStyle w:val="TextBody"/>
        <w:bidi w:val="0"/>
        <w:spacing w:before="120" w:after="0"/>
        <w:jc w:val="left"/>
        <w:rPr>
          <w:rFonts w:ascii="arial" w:hAnsi="arial"/>
          <w:sz w:val="18"/>
        </w:rPr>
      </w:pPr>
      <w:r>
        <w:rPr>
          <w:rFonts w:ascii="arial" w:hAnsi="arial"/>
          <w:sz w:val="18"/>
        </w:rPr>
        <w:t xml:space="preserve">As part of our cybersecurity risk management program, we have developed a cyber incident response plan that sets forth controls and procedures for prompt reporting and remediation of any material cybersecurity incident. We also utilize independent third-party assessors to periodically assess our cybersecurity program and suggest opportunities for improvement. Associates who have access to confidential information receive training on cybersecurity at least annually, and we maintain a cybersecurity and information security risk insurance policy. VS&amp;Co has not experienced a material cybersecurity or information security breach since the spin-off from L Brands in 2021. For additional information on our cybersecurity risk management program, please see “Item 1C. Cybersecurity” in our 2023 Annual Report. </w:t>
      </w:r>
    </w:p>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59"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0" descr=""/>
                          <pic:cNvPicPr>
                            <a:picLocks noChangeAspect="1" noChangeArrowheads="1"/>
                          </pic:cNvPicPr>
                        </pic:nvPicPr>
                        <pic:blipFill>
                          <a:blip r:embed="rId51"/>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19 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CORPORATE GOVERNANCE </w:t>
      </w:r>
    </w:p>
    <w:p>
      <w:pPr>
        <w:pStyle w:val="TextBody"/>
        <w:bidi w:val="0"/>
        <w:spacing w:before="0" w:after="0"/>
        <w:jc w:val="left"/>
        <w:rPr/>
      </w:pPr>
      <w:r>
        <w:rPr/>
        <w:t> </w:t>
      </w:r>
    </w:p>
    <w:p>
      <w:pPr>
        <w:pStyle w:val="TextBody"/>
        <w:bidi w:val="0"/>
        <w:spacing w:before="0" w:after="0"/>
        <w:jc w:val="left"/>
        <w:rPr>
          <w:rFonts w:ascii="arial" w:hAnsi="arial"/>
          <w:b/>
          <w:color w:val="F7ACBA"/>
          <w:sz w:val="24"/>
        </w:rPr>
      </w:pPr>
      <w:r>
        <w:rPr>
          <w:rFonts w:ascii="arial" w:hAnsi="arial"/>
          <w:b/>
          <w:color w:val="F7ACBA"/>
          <w:sz w:val="24"/>
        </w:rPr>
        <w:t xml:space="preserve">Board Oversight of ESG </w:t>
      </w:r>
    </w:p>
    <w:p>
      <w:pPr>
        <w:pStyle w:val="TextBody"/>
        <w:bidi w:val="0"/>
        <w:spacing w:before="60" w:after="0"/>
        <w:jc w:val="left"/>
        <w:rPr>
          <w:rFonts w:ascii="arial" w:hAnsi="arial"/>
          <w:sz w:val="18"/>
        </w:rPr>
      </w:pPr>
      <w:r>
        <w:rPr>
          <w:rFonts w:ascii="arial" w:hAnsi="arial"/>
          <w:sz w:val="18"/>
        </w:rPr>
        <w:t xml:space="preserve">The Board considers the identification and management of ESG risks and opportunities to be critical to the success of our long-term business strategy. Accordingly, the Board reviews ESG risks and opportunities at least annually. In addition, the Nominating and Governance Committee maintains direct oversight of VS&amp;Co’s actions in furtherance of our corporate social responsibility, ESG and philanthropic initiatives, including the impact of our operations on associates, citizens and communities. The Nominating and Governance Committee periodically reviews our programs, policies and strategies relating to corporate social responsibility, including environmental, sustainability, climate change, social issues involving supply chain, and philanthropic initiatives. The Nominating and Governance Committee also oversees our ESG reporting program, through which we communicate our position and progress on ESG initiatives to our stockholders, customers, and other stakeholders. The Human Capital and Compensation Committee oversees our programs, policies and strategies relating to human capital management, including diversity, equity and inclusion. On multiple occasions each year, the Nominating and Governance Committee and, with respect to human capital management and DEI, the Human Capital and Compensation Committee, receive reports from management in order to monitor progress in these areas and report to the full Board. </w:t>
      </w:r>
    </w:p>
    <w:p>
      <w:pPr>
        <w:pStyle w:val="TextBody"/>
        <w:bidi w:val="0"/>
        <w:spacing w:before="360" w:after="0"/>
        <w:jc w:val="left"/>
        <w:rPr>
          <w:rFonts w:ascii="arial" w:hAnsi="arial"/>
          <w:sz w:val="30"/>
        </w:rPr>
      </w:pPr>
      <w:bookmarkStart w:id="9" w:name="toc540996_6"/>
      <w:bookmarkEnd w:id="9"/>
      <w:r>
        <w:rPr>
          <w:rFonts w:ascii="arial" w:hAnsi="arial"/>
          <w:sz w:val="30"/>
        </w:rPr>
        <w:t xml:space="preserve">Board Composition </w:t>
      </w:r>
    </w:p>
    <w:p>
      <w:pPr>
        <w:pStyle w:val="TextBody"/>
        <w:bidi w:val="0"/>
        <w:spacing w:before="120" w:after="0"/>
        <w:jc w:val="left"/>
        <w:rPr>
          <w:rFonts w:ascii="arial" w:hAnsi="arial"/>
          <w:sz w:val="18"/>
        </w:rPr>
      </w:pPr>
      <w:r>
        <w:rPr>
          <w:rFonts w:ascii="arial" w:hAnsi="arial"/>
          <w:sz w:val="18"/>
        </w:rPr>
        <w:t xml:space="preserve">The Board is currently comprised of nine directors. Each director is elected annually by our stockholders to serve a one-year term expiring at the next annual meeting of stockholders. </w:t>
      </w:r>
    </w:p>
    <w:p>
      <w:pPr>
        <w:pStyle w:val="TextBody"/>
        <w:bidi w:val="0"/>
        <w:spacing w:before="240" w:after="0"/>
        <w:jc w:val="left"/>
        <w:rPr>
          <w:rFonts w:ascii="arial" w:hAnsi="arial"/>
          <w:b/>
          <w:color w:val="F7ACBA"/>
          <w:sz w:val="24"/>
        </w:rPr>
      </w:pPr>
      <w:r>
        <w:rPr>
          <w:rFonts w:ascii="arial" w:hAnsi="arial"/>
          <w:b/>
          <w:color w:val="F7ACBA"/>
          <w:sz w:val="24"/>
        </w:rPr>
        <w:t xml:space="preserve">Director Independence </w:t>
      </w:r>
    </w:p>
    <w:p>
      <w:pPr>
        <w:pStyle w:val="TextBody"/>
        <w:bidi w:val="0"/>
        <w:spacing w:before="60" w:after="0"/>
        <w:jc w:val="left"/>
        <w:rPr>
          <w:rFonts w:ascii="arial" w:hAnsi="arial"/>
          <w:sz w:val="18"/>
        </w:rPr>
      </w:pPr>
      <w:r>
        <w:rPr>
          <w:rFonts w:ascii="arial" w:hAnsi="arial"/>
          <w:sz w:val="18"/>
        </w:rPr>
        <w:t xml:space="preserve">The Board has determined that each of Irene Chang Britt, Sarah Davis, Jacqueline Hernández, Donna James, Rod Little, Mariam Naficy, Lauren Peters, and Anne Sheehan is independent under the listing standards of the NYSE and applicable SEC rules. All of our directors other than Martin Waters, our CEO, are independent. Mr. Waters is not independent because he is an executive officer of VS&amp;Co. Aside from Mr. Waters’ employment and compensation agreements, none of our directors are party to any related person transaction as defined by our Related Person Transaction Policy. </w:t>
      </w:r>
    </w:p>
    <w:p>
      <w:pPr>
        <w:pStyle w:val="TextBody"/>
        <w:bidi w:val="0"/>
        <w:spacing w:before="0" w:after="0"/>
        <w:jc w:val="left"/>
        <w:rPr/>
      </w:pPr>
      <w:r>
        <w:rPr/>
        <w:t> </w:t>
      </w:r>
    </w:p>
    <w:p>
      <w:pPr>
        <w:pStyle w:val="TextBody"/>
        <w:bidi w:val="0"/>
        <w:spacing w:before="0" w:after="0"/>
        <w:jc w:val="center"/>
        <w:rPr/>
      </w:pPr>
      <w:r>
        <w:rPr/>
        <w:drawing>
          <wp:inline distT="0" distB="0" distL="0" distR="0">
            <wp:extent cx="164465" cy="127000"/>
            <wp:effectExtent l="0" t="0" r="0" b="0"/>
            <wp:docPr id="60"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1" descr=""/>
                    <pic:cNvPicPr>
                      <a:picLocks noChangeAspect="1" noChangeArrowheads="1"/>
                    </pic:cNvPicPr>
                  </pic:nvPicPr>
                  <pic:blipFill>
                    <a:blip r:embed="rId52"/>
                    <a:stretch>
                      <a:fillRect/>
                    </a:stretch>
                  </pic:blipFill>
                  <pic:spPr bwMode="auto">
                    <a:xfrm>
                      <a:off x="0" y="0"/>
                      <a:ext cx="164465" cy="127000"/>
                    </a:xfrm>
                    <a:prstGeom prst="rect">
                      <a:avLst/>
                    </a:prstGeom>
                  </pic:spPr>
                </pic:pic>
              </a:graphicData>
            </a:graphic>
          </wp:inline>
        </w:drawing>
      </w:r>
      <w:r>
        <w:rPr/>
        <w:t xml:space="preserve"> </w:t>
      </w:r>
    </w:p>
    <w:p>
      <w:pPr>
        <w:pStyle w:val="TextBody"/>
        <w:bidi w:val="0"/>
        <w:spacing w:before="240" w:after="0"/>
        <w:jc w:val="left"/>
        <w:rPr>
          <w:rFonts w:ascii="arial" w:hAnsi="arial"/>
          <w:sz w:val="18"/>
        </w:rPr>
      </w:pPr>
      <w:r>
        <w:rPr>
          <w:rFonts w:ascii="arial" w:hAnsi="arial"/>
          <w:sz w:val="18"/>
        </w:rPr>
        <w:t xml:space="preserve">Our Corporate Governance Guidelines require that a majority of our directors, as well as each member of the Audit Committee, Human Capital and Compensation Committee, and Nominating and Governance Committee, are independent, as determined by the Board pursuant to the standards of the NYSE and any other applicable laws, rules, and regulations. In determining the independence of our directors, the Board considers all relevant facts and circumstances, including the relationships that each director has with VS&amp;Co, including, but not limited to, any commercial, industrial, banking, consulting, legal, accounting, charitable, and familial relationships. This determination is made annually. </w:t>
      </w:r>
    </w:p>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61"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2" descr=""/>
                          <pic:cNvPicPr>
                            <a:picLocks noChangeAspect="1" noChangeArrowheads="1"/>
                          </pic:cNvPicPr>
                        </pic:nvPicPr>
                        <pic:blipFill>
                          <a:blip r:embed="rId53"/>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20 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CORPORATE GOVERNANCE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The Board also determined that each member of the Audit Committee satisfies the heightened independence standards for audit committee members under applicable SEC rules and considered the additional factors under applicable NYSE rules for compensation committee members before determining that each member of the Human Capital and Compensation Committee is independent. </w:t>
      </w:r>
    </w:p>
    <w:p>
      <w:pPr>
        <w:pStyle w:val="TextBody"/>
        <w:bidi w:val="0"/>
        <w:spacing w:before="240" w:after="0"/>
        <w:jc w:val="left"/>
        <w:rPr>
          <w:rFonts w:ascii="arial" w:hAnsi="arial"/>
          <w:b/>
          <w:color w:val="F7ACBA"/>
          <w:sz w:val="24"/>
        </w:rPr>
      </w:pPr>
      <w:r>
        <w:rPr>
          <w:rFonts w:ascii="arial" w:hAnsi="arial"/>
          <w:b/>
          <w:color w:val="F7ACBA"/>
          <w:sz w:val="24"/>
        </w:rPr>
        <w:t xml:space="preserve">Director Nominee Selection </w:t>
      </w:r>
    </w:p>
    <w:p>
      <w:pPr>
        <w:pStyle w:val="TextBody"/>
        <w:bidi w:val="0"/>
        <w:spacing w:before="60" w:after="0"/>
        <w:jc w:val="left"/>
        <w:rPr>
          <w:rFonts w:ascii="arial" w:hAnsi="arial"/>
          <w:sz w:val="18"/>
        </w:rPr>
      </w:pPr>
      <w:r>
        <w:rPr>
          <w:rFonts w:ascii="arial" w:hAnsi="arial"/>
          <w:sz w:val="18"/>
        </w:rPr>
        <w:t xml:space="preserve">The Nominating and Governance Committee is responsible for developing the criteria for the selection of nominees for director and recommends to the Board candidates for nomination at the annual meeting of stockholders or to fill any vacancy on the Board. The Board is responsible for the final selection of director nominees. </w:t>
      </w:r>
    </w:p>
    <w:p>
      <w:pPr>
        <w:pStyle w:val="TextBody"/>
        <w:bidi w:val="0"/>
        <w:spacing w:before="120" w:after="0"/>
        <w:jc w:val="left"/>
        <w:rPr>
          <w:rFonts w:ascii="arial" w:hAnsi="arial"/>
          <w:sz w:val="18"/>
        </w:rPr>
      </w:pPr>
      <w:r>
        <w:rPr>
          <w:rFonts w:ascii="arial" w:hAnsi="arial"/>
          <w:sz w:val="18"/>
        </w:rPr>
        <w:t xml:space="preserve">The Nominating and Governance Committee oversees searches for and identifies qualified individuals for Board membership taking into consideration candidates’ independence, judgment, ethics and integrity, experience, and skills, as well as our commitment to diversity, equity, and inclusion. Our Corporate Governance Guidelines require that the initial pool of candidates identified to be considered for any Board vacancy include persons reflecting a diversity of race, ethnicity, gender, sexual orientation, or other underrepresented groups. Each year, the Nominating and Governance Committee undergoes a comprehensive process that leads to the determination of the director nominees. This process includes: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Examining the composition of the Board and its committees in light of the current needs of the Board, the Company, and each of the Board committees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Conducting an annual evaluation of the Board, each Board committee, and each individual director (see “Performance Evaluations”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Considering the aggregated skills, experience and expertise of the Board and each Board committee and identifying any skills, experience or expertise that is underrepresented or would be additive </w:t>
            </w:r>
          </w:p>
        </w:tc>
      </w:tr>
    </w:tbl>
    <w:p>
      <w:pPr>
        <w:pStyle w:val="TextBody"/>
        <w:bidi w:val="0"/>
        <w:spacing w:before="0" w:after="0"/>
        <w:jc w:val="left"/>
        <w:rPr/>
      </w:pPr>
      <w:r>
        <w:rPr/>
        <w:t> </w:t>
      </w:r>
    </w:p>
    <w:tbl>
      <w:tblPr>
        <w:tblW w:w="6925" w:type="dxa"/>
        <w:jc w:val="left"/>
        <w:tblInd w:w="0" w:type="dxa"/>
        <w:tblLayout w:type="fixed"/>
        <w:tblCellMar>
          <w:top w:w="0" w:type="dxa"/>
          <w:left w:w="0" w:type="dxa"/>
          <w:bottom w:w="0" w:type="dxa"/>
          <w:right w:w="0" w:type="dxa"/>
        </w:tblCellMar>
      </w:tblPr>
      <w:tblGrid>
        <w:gridCol w:w="125"/>
        <w:gridCol w:w="60"/>
        <w:gridCol w:w="674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6740" w:type="dxa"/>
            <w:tcBorders/>
            <w:vAlign w:val="center"/>
          </w:tcPr>
          <w:p>
            <w:pPr>
              <w:pStyle w:val="TableContents"/>
              <w:bidi w:val="0"/>
              <w:spacing w:before="0" w:after="0"/>
              <w:jc w:val="left"/>
              <w:rPr>
                <w:rFonts w:ascii="arial" w:hAnsi="arial"/>
                <w:sz w:val="18"/>
              </w:rPr>
            </w:pPr>
            <w:r>
              <w:rPr>
                <w:rFonts w:ascii="arial" w:hAnsi="arial"/>
                <w:sz w:val="18"/>
              </w:rPr>
              <w:t xml:space="preserve">Proactive succession planning for directors who may be planning to exit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Considering Board refreshment and the value of new directors with fresh ideas and perspectives (see “Board Refreshment” below) </w:t>
            </w:r>
          </w:p>
        </w:tc>
      </w:tr>
    </w:tbl>
    <w:p>
      <w:pPr>
        <w:pStyle w:val="TextBody"/>
        <w:bidi w:val="0"/>
        <w:spacing w:before="120" w:after="0"/>
        <w:jc w:val="left"/>
        <w:rPr>
          <w:rFonts w:ascii="arial" w:hAnsi="arial"/>
          <w:sz w:val="18"/>
        </w:rPr>
      </w:pPr>
      <w:r>
        <w:rPr>
          <w:rFonts w:ascii="arial" w:hAnsi="arial"/>
          <w:sz w:val="18"/>
        </w:rPr>
        <w:t xml:space="preserve">The Nominating and Governance Committee may consider director candidates from any reasonable source. A third party search firm may be engaged to assist the Nominating and Governance Committee in identifying potential new director candidates. For information on how stockholders can propose nominees for director, see “Stockholder Proposals for the 2025 Annual Meeting” below. The Nominating and Governance Committee uses the same criteria and process to evaluate candidates nominated by stockholders as it does for any other candidate. All candidates undergo a rigorous vetting process that includes a background check, multiple interviews and contacting references. </w:t>
      </w:r>
    </w:p>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62"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3" descr=""/>
                          <pic:cNvPicPr>
                            <a:picLocks noChangeAspect="1" noChangeArrowheads="1"/>
                          </pic:cNvPicPr>
                        </pic:nvPicPr>
                        <pic:blipFill>
                          <a:blip r:embed="rId54"/>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21 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CORPORATE GOVERNANCE </w:t>
      </w:r>
    </w:p>
    <w:p>
      <w:pPr>
        <w:pStyle w:val="TextBody"/>
        <w:bidi w:val="0"/>
        <w:spacing w:before="0" w:after="0"/>
        <w:jc w:val="left"/>
        <w:rPr/>
      </w:pPr>
      <w:r>
        <w:rPr/>
        <w:t> </w:t>
      </w:r>
    </w:p>
    <w:p>
      <w:pPr>
        <w:pStyle w:val="TextBody"/>
        <w:bidi w:val="0"/>
        <w:spacing w:before="0" w:after="0"/>
        <w:jc w:val="left"/>
        <w:rPr>
          <w:rFonts w:ascii="arial" w:hAnsi="arial"/>
          <w:b/>
          <w:color w:val="F7ACBA"/>
          <w:sz w:val="24"/>
        </w:rPr>
      </w:pPr>
      <w:r>
        <w:rPr>
          <w:rFonts w:ascii="arial" w:hAnsi="arial"/>
          <w:b/>
          <w:color w:val="F7ACBA"/>
          <w:sz w:val="24"/>
        </w:rPr>
        <w:t xml:space="preserve">Board Refreshment </w:t>
      </w:r>
    </w:p>
    <w:p>
      <w:pPr>
        <w:pStyle w:val="TextBody"/>
        <w:bidi w:val="0"/>
        <w:spacing w:before="60" w:after="0"/>
        <w:jc w:val="left"/>
        <w:rPr>
          <w:rFonts w:ascii="arial" w:hAnsi="arial"/>
          <w:sz w:val="18"/>
        </w:rPr>
      </w:pPr>
      <w:r>
        <w:rPr>
          <w:rFonts w:ascii="arial" w:hAnsi="arial"/>
          <w:sz w:val="18"/>
        </w:rPr>
        <w:t xml:space="preserve">The composition of the Board is intentionally designed to include a balance of directors with multiple years of Board service, who contribute deep levels of experience and knowledge of the Company and its history, with new directors that offer fresh ideas and perspectives. Board refreshment is critical to ensuring optimal Board and Board committee composition in light of the constantly evolving needs of the Company. When the VS&amp;Co Board was established, five new directors joined Donna James and Anne Sheehan, who had served as directors of L Brands, the Company’s former parent company. Since the spin-off from L Brands, two additional directors have joined the Board. </w:t>
      </w:r>
    </w:p>
    <w:p>
      <w:pPr>
        <w:pStyle w:val="TextBody"/>
        <w:bidi w:val="0"/>
        <w:spacing w:before="0" w:after="0"/>
        <w:jc w:val="center"/>
        <w:rPr/>
      </w:pPr>
      <w:r>
        <w:rPr/>
        <w:drawing>
          <wp:inline distT="0" distB="0" distL="0" distR="0">
            <wp:extent cx="666115" cy="106680"/>
            <wp:effectExtent l="0" t="0" r="0" b="0"/>
            <wp:docPr id="63"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4" descr=""/>
                    <pic:cNvPicPr>
                      <a:picLocks noChangeAspect="1" noChangeArrowheads="1"/>
                    </pic:cNvPicPr>
                  </pic:nvPicPr>
                  <pic:blipFill>
                    <a:blip r:embed="rId55"/>
                    <a:stretch>
                      <a:fillRect/>
                    </a:stretch>
                  </pic:blipFill>
                  <pic:spPr bwMode="auto">
                    <a:xfrm>
                      <a:off x="0" y="0"/>
                      <a:ext cx="666115" cy="106680"/>
                    </a:xfrm>
                    <a:prstGeom prst="rect">
                      <a:avLst/>
                    </a:prstGeom>
                  </pic:spPr>
                </pic:pic>
              </a:graphicData>
            </a:graphic>
          </wp:inline>
        </w:drawing>
      </w:r>
      <w:r>
        <w:rPr/>
        <w:t xml:space="preserve"> </w:t>
      </w:r>
    </w:p>
    <w:p>
      <w:pPr>
        <w:pStyle w:val="TextBody"/>
        <w:bidi w:val="0"/>
        <w:spacing w:before="240" w:after="0"/>
        <w:jc w:val="left"/>
        <w:rPr>
          <w:rFonts w:ascii="arial" w:hAnsi="arial"/>
          <w:b/>
          <w:color w:val="F7ACBA"/>
          <w:sz w:val="24"/>
        </w:rPr>
      </w:pPr>
      <w:r>
        <w:rPr>
          <w:rFonts w:ascii="arial" w:hAnsi="arial"/>
          <w:b/>
          <w:color w:val="F7ACBA"/>
          <w:sz w:val="24"/>
        </w:rPr>
        <w:t xml:space="preserve">Director Election and Removal </w:t>
      </w:r>
    </w:p>
    <w:p>
      <w:pPr>
        <w:pStyle w:val="TextBody"/>
        <w:bidi w:val="0"/>
        <w:spacing w:before="60" w:after="0"/>
        <w:jc w:val="left"/>
        <w:rPr>
          <w:rFonts w:ascii="arial" w:hAnsi="arial"/>
          <w:sz w:val="18"/>
        </w:rPr>
      </w:pPr>
      <w:r>
        <w:rPr>
          <w:rFonts w:ascii="arial" w:hAnsi="arial"/>
          <w:sz w:val="18"/>
        </w:rPr>
        <w:t xml:space="preserve">All members of the Board are elected each year at the annual meeting of stockholders. Pursuant to our Bylaws, in an uncontested election, directors are elected by majority of the votes cast, which means each nominee must receive more votes “for” his or her election than “against” his or her election. In a contested election where the number of nominees exceeds the number of directors to be elected, directors are elected by plurality vote, which means the nominees with the most votes “for” their election will be elected as directors. As provided in our Amended and Restated Certificate of Incorporation (“Certificate of Incorporation”), any director can be removed at an annual or special meeting of stockholders, with or without cause, by the affirmative vote of stockholders holding at least a majority of the outstanding shares of VS&amp;Co common stock entitled to vote in the election of directors.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386080"/>
            <wp:effectExtent l="0" t="0" r="0" b="0"/>
            <wp:docPr id="64"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5" descr=""/>
                    <pic:cNvPicPr>
                      <a:picLocks noChangeAspect="1" noChangeArrowheads="1"/>
                    </pic:cNvPicPr>
                  </pic:nvPicPr>
                  <pic:blipFill>
                    <a:blip r:embed="rId56"/>
                    <a:stretch>
                      <a:fillRect/>
                    </a:stretch>
                  </pic:blipFill>
                  <pic:spPr bwMode="auto">
                    <a:xfrm>
                      <a:off x="0" y="0"/>
                      <a:ext cx="577850" cy="386080"/>
                    </a:xfrm>
                    <a:prstGeom prst="rect">
                      <a:avLst/>
                    </a:prstGeom>
                  </pic:spPr>
                </pic:pic>
              </a:graphicData>
            </a:graphic>
          </wp:inline>
        </w:drawing>
      </w:r>
      <w:r>
        <w:rPr/>
        <w:t xml:space="preserve"> </w:t>
      </w:r>
    </w:p>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65"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6" descr=""/>
                          <pic:cNvPicPr>
                            <a:picLocks noChangeAspect="1" noChangeArrowheads="1"/>
                          </pic:cNvPicPr>
                        </pic:nvPicPr>
                        <pic:blipFill>
                          <a:blip r:embed="rId57"/>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22 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CORPORATE GOVERNANCE </w:t>
      </w:r>
    </w:p>
    <w:p>
      <w:pPr>
        <w:pStyle w:val="TextBody"/>
        <w:bidi w:val="0"/>
        <w:spacing w:before="0" w:after="0"/>
        <w:jc w:val="left"/>
        <w:rPr/>
      </w:pPr>
      <w:r>
        <w:rPr/>
        <w:t> </w:t>
      </w:r>
    </w:p>
    <w:p>
      <w:pPr>
        <w:pStyle w:val="TextBody"/>
        <w:bidi w:val="0"/>
        <w:spacing w:before="0" w:after="0"/>
        <w:jc w:val="left"/>
        <w:rPr>
          <w:rFonts w:ascii="arial" w:hAnsi="arial"/>
          <w:sz w:val="30"/>
        </w:rPr>
      </w:pPr>
      <w:r>
        <w:rPr>
          <w:rFonts w:ascii="arial" w:hAnsi="arial"/>
          <w:sz w:val="30"/>
        </w:rPr>
        <w:t xml:space="preserve">Director Skills and Qualifications </w:t>
      </w:r>
    </w:p>
    <w:p>
      <w:pPr>
        <w:pStyle w:val="TextBody"/>
        <w:bidi w:val="0"/>
        <w:spacing w:before="60" w:after="0"/>
        <w:jc w:val="left"/>
        <w:rPr>
          <w:rFonts w:ascii="arial" w:hAnsi="arial"/>
          <w:sz w:val="18"/>
        </w:rPr>
      </w:pPr>
      <w:r>
        <w:rPr>
          <w:rFonts w:ascii="arial" w:hAnsi="arial"/>
          <w:sz w:val="18"/>
        </w:rPr>
        <w:t xml:space="preserve">Our Board believes that the current directors as a collective group have the skills, experience, character, and backgrounds to provide effective oversight of VS&amp;Co and create long-term sustainable growth and value for our stockholders through successful execution of our strategic plan. The table below and the director biographies that appear earlier in this Proxy Statement summarize some of the key attributes, experience and skills that each director brings to the Board. If an individual director is not listed as having a particular attribute, it does not signify a director’s lack of ability to contribute in that specific area. </w:t>
      </w:r>
    </w:p>
    <w:p>
      <w:pPr>
        <w:pStyle w:val="TextBody"/>
        <w:bidi w:val="0"/>
        <w:spacing w:before="0" w:after="0"/>
        <w:jc w:val="center"/>
        <w:rPr/>
      </w:pPr>
      <w:r>
        <w:rPr/>
        <w:drawing>
          <wp:inline distT="0" distB="0" distL="0" distR="0">
            <wp:extent cx="664845" cy="441960"/>
            <wp:effectExtent l="0" t="0" r="0" b="0"/>
            <wp:docPr id="66"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7" descr=""/>
                    <pic:cNvPicPr>
                      <a:picLocks noChangeAspect="1" noChangeArrowheads="1"/>
                    </pic:cNvPicPr>
                  </pic:nvPicPr>
                  <pic:blipFill>
                    <a:blip r:embed="rId58"/>
                    <a:stretch>
                      <a:fillRect/>
                    </a:stretch>
                  </pic:blipFill>
                  <pic:spPr bwMode="auto">
                    <a:xfrm>
                      <a:off x="0" y="0"/>
                      <a:ext cx="664845" cy="441960"/>
                    </a:xfrm>
                    <a:prstGeom prst="rect">
                      <a:avLst/>
                    </a:prstGeom>
                  </pic:spPr>
                </pic:pic>
              </a:graphicData>
            </a:graphic>
          </wp:inline>
        </w:drawing>
      </w:r>
      <w:r>
        <w:rPr/>
        <w:t xml:space="preserve"> </w:t>
      </w:r>
    </w:p>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67"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8" descr=""/>
                          <pic:cNvPicPr>
                            <a:picLocks noChangeAspect="1" noChangeArrowheads="1"/>
                          </pic:cNvPicPr>
                        </pic:nvPicPr>
                        <pic:blipFill>
                          <a:blip r:embed="rId59"/>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23 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CORPORATE GOVERNANCE </w:t>
      </w:r>
    </w:p>
    <w:p>
      <w:pPr>
        <w:pStyle w:val="TextBody"/>
        <w:bidi w:val="0"/>
        <w:spacing w:before="0" w:after="0"/>
        <w:jc w:val="left"/>
        <w:rPr/>
      </w:pPr>
      <w:r>
        <w:rPr/>
        <w:t> </w:t>
      </w:r>
    </w:p>
    <w:p>
      <w:pPr>
        <w:pStyle w:val="TextBody"/>
        <w:bidi w:val="0"/>
        <w:spacing w:before="0" w:after="0"/>
        <w:jc w:val="left"/>
        <w:rPr>
          <w:rFonts w:ascii="arial" w:hAnsi="arial"/>
          <w:sz w:val="30"/>
        </w:rPr>
      </w:pPr>
      <w:r>
        <w:rPr>
          <w:rFonts w:ascii="arial" w:hAnsi="arial"/>
          <w:sz w:val="30"/>
        </w:rPr>
        <w:t xml:space="preserve">Director Diversity </w:t>
      </w:r>
    </w:p>
    <w:p>
      <w:pPr>
        <w:pStyle w:val="TextBody"/>
        <w:bidi w:val="0"/>
        <w:spacing w:before="60" w:after="0"/>
        <w:jc w:val="left"/>
        <w:rPr>
          <w:rFonts w:ascii="arial" w:hAnsi="arial"/>
          <w:sz w:val="18"/>
        </w:rPr>
      </w:pPr>
      <w:r>
        <w:rPr>
          <w:rFonts w:ascii="arial" w:hAnsi="arial"/>
          <w:sz w:val="18"/>
        </w:rPr>
        <w:t xml:space="preserve">Our Corporate Governance Guidelines require our Board to be comprised of members with diverse backgrounds and perspectives who possess the integrity, judgment, skills, experience, and other characteristics that are deemed necessary or desirable for the effective performance of the Board’s oversight function and other roles. We require that the initial pool of candidates identified to be considered for any Board vacancy include persons of all backgrounds, including a diversity of race, ethnicity, gender, sexual orientation, and other underrepresented groups. </w:t>
      </w:r>
    </w:p>
    <w:p>
      <w:pPr>
        <w:pStyle w:val="TextBody"/>
        <w:bidi w:val="0"/>
        <w:spacing w:before="0" w:after="0"/>
        <w:jc w:val="center"/>
        <w:rPr/>
      </w:pPr>
      <w:r>
        <w:rPr/>
        <w:drawing>
          <wp:inline distT="0" distB="0" distL="0" distR="0">
            <wp:extent cx="583565" cy="156845"/>
            <wp:effectExtent l="0" t="0" r="0" b="0"/>
            <wp:docPr id="68"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9" descr=""/>
                    <pic:cNvPicPr>
                      <a:picLocks noChangeAspect="1" noChangeArrowheads="1"/>
                    </pic:cNvPicPr>
                  </pic:nvPicPr>
                  <pic:blipFill>
                    <a:blip r:embed="rId60"/>
                    <a:stretch>
                      <a:fillRect/>
                    </a:stretch>
                  </pic:blipFill>
                  <pic:spPr bwMode="auto">
                    <a:xfrm>
                      <a:off x="0" y="0"/>
                      <a:ext cx="583565" cy="156845"/>
                    </a:xfrm>
                    <a:prstGeom prst="rect">
                      <a:avLst/>
                    </a:prstGeom>
                  </pic:spPr>
                </pic:pic>
              </a:graphicData>
            </a:graphic>
          </wp:inline>
        </w:drawing>
      </w:r>
      <w:r>
        <w:rPr/>
        <w:t xml:space="preserve"> </w:t>
      </w:r>
    </w:p>
    <w:p>
      <w:pPr>
        <w:pStyle w:val="TextBody"/>
        <w:bidi w:val="0"/>
        <w:spacing w:before="240" w:after="0"/>
        <w:jc w:val="left"/>
        <w:rPr>
          <w:rFonts w:ascii="arial" w:hAnsi="arial"/>
          <w:b/>
          <w:color w:val="F7ACBA"/>
          <w:sz w:val="24"/>
        </w:rPr>
      </w:pPr>
      <w:r>
        <w:rPr>
          <w:rFonts w:ascii="arial" w:hAnsi="arial"/>
          <w:b/>
          <w:color w:val="F7ACBA"/>
          <w:sz w:val="24"/>
        </w:rPr>
        <w:t xml:space="preserve">Board Diversity Matrix (as of May 3, 2024) </w:t>
      </w:r>
    </w:p>
    <w:p>
      <w:pPr>
        <w:pStyle w:val="TextBody"/>
        <w:bidi w:val="0"/>
        <w:spacing w:before="0" w:after="0"/>
        <w:jc w:val="left"/>
        <w:rPr/>
      </w:pPr>
      <w:r>
        <w:rPr/>
        <w:t> </w:t>
      </w:r>
    </w:p>
    <w:tbl>
      <w:tblPr>
        <w:tblW w:w="7885" w:type="dxa"/>
        <w:jc w:val="left"/>
        <w:tblInd w:w="0" w:type="dxa"/>
        <w:tblLayout w:type="fixed"/>
        <w:tblCellMar>
          <w:top w:w="0" w:type="dxa"/>
          <w:left w:w="0" w:type="dxa"/>
          <w:bottom w:w="0" w:type="dxa"/>
          <w:right w:w="0" w:type="dxa"/>
        </w:tblCellMar>
      </w:tblPr>
      <w:tblGrid>
        <w:gridCol w:w="3590"/>
        <w:gridCol w:w="120"/>
        <w:gridCol w:w="244"/>
        <w:gridCol w:w="571"/>
        <w:gridCol w:w="120"/>
        <w:gridCol w:w="120"/>
        <w:gridCol w:w="145"/>
        <w:gridCol w:w="340"/>
        <w:gridCol w:w="120"/>
        <w:gridCol w:w="120"/>
        <w:gridCol w:w="370"/>
        <w:gridCol w:w="865"/>
        <w:gridCol w:w="120"/>
        <w:gridCol w:w="120"/>
        <w:gridCol w:w="235"/>
        <w:gridCol w:w="550"/>
        <w:gridCol w:w="135"/>
      </w:tblGrid>
      <w:tr>
        <w:trPr/>
        <w:tc>
          <w:tcPr>
            <w:tcW w:w="3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3590" w:type="dxa"/>
            <w:tcBorders/>
            <w:shd w:fill="FDEEF1" w:val="clear"/>
            <w:vAlign w:val="center"/>
          </w:tcPr>
          <w:p>
            <w:pPr>
              <w:pStyle w:val="TableContents"/>
              <w:bidi w:val="0"/>
              <w:spacing w:before="0" w:after="283"/>
              <w:jc w:val="left"/>
              <w:rPr>
                <w:sz w:val="4"/>
                <w:szCs w:val="4"/>
              </w:rPr>
            </w:pPr>
            <w:r>
              <w:rPr>
                <w:sz w:val="4"/>
                <w:szCs w:val="4"/>
              </w:rPr>
            </w:r>
          </w:p>
        </w:tc>
        <w:tc>
          <w:tcPr>
            <w:tcW w:w="1055" w:type="dxa"/>
            <w:gridSpan w:val="4"/>
            <w:tcBorders/>
            <w:shd w:fill="FDEEF1" w:val="clear"/>
            <w:vAlign w:val="center"/>
          </w:tcPr>
          <w:p>
            <w:pPr>
              <w:pStyle w:val="TableContents"/>
              <w:bidi w:val="0"/>
              <w:spacing w:before="0" w:after="283"/>
              <w:jc w:val="left"/>
              <w:rPr>
                <w:sz w:val="4"/>
                <w:szCs w:val="4"/>
              </w:rPr>
            </w:pPr>
            <w:r>
              <w:rPr>
                <w:sz w:val="4"/>
                <w:szCs w:val="4"/>
              </w:rPr>
            </w:r>
          </w:p>
        </w:tc>
        <w:tc>
          <w:tcPr>
            <w:tcW w:w="725" w:type="dxa"/>
            <w:gridSpan w:val="4"/>
            <w:tcBorders/>
            <w:shd w:fill="FDEEF1" w:val="clear"/>
            <w:vAlign w:val="center"/>
          </w:tcPr>
          <w:p>
            <w:pPr>
              <w:pStyle w:val="TableContents"/>
              <w:bidi w:val="0"/>
              <w:spacing w:before="0" w:after="283"/>
              <w:jc w:val="left"/>
              <w:rPr>
                <w:sz w:val="4"/>
                <w:szCs w:val="4"/>
              </w:rPr>
            </w:pPr>
            <w:r>
              <w:rPr>
                <w:sz w:val="4"/>
                <w:szCs w:val="4"/>
              </w:rPr>
            </w:r>
          </w:p>
        </w:tc>
        <w:tc>
          <w:tcPr>
            <w:tcW w:w="1475" w:type="dxa"/>
            <w:gridSpan w:val="4"/>
            <w:tcBorders/>
            <w:shd w:fill="FDEEF1" w:val="clear"/>
            <w:vAlign w:val="center"/>
          </w:tcPr>
          <w:p>
            <w:pPr>
              <w:pStyle w:val="TableContents"/>
              <w:bidi w:val="0"/>
              <w:spacing w:before="0" w:after="283"/>
              <w:jc w:val="left"/>
              <w:rPr>
                <w:sz w:val="4"/>
                <w:szCs w:val="4"/>
              </w:rPr>
            </w:pPr>
            <w:r>
              <w:rPr>
                <w:sz w:val="4"/>
                <w:szCs w:val="4"/>
              </w:rPr>
            </w:r>
          </w:p>
        </w:tc>
        <w:tc>
          <w:tcPr>
            <w:tcW w:w="1040" w:type="dxa"/>
            <w:gridSpan w:val="4"/>
            <w:tcBorders/>
            <w:shd w:fill="FDEEF1" w:val="clear"/>
            <w:vAlign w:val="center"/>
          </w:tcPr>
          <w:p>
            <w:pPr>
              <w:pStyle w:val="TableContents"/>
              <w:bidi w:val="0"/>
              <w:spacing w:before="0" w:after="283"/>
              <w:jc w:val="left"/>
              <w:rPr>
                <w:sz w:val="4"/>
                <w:szCs w:val="4"/>
              </w:rPr>
            </w:pPr>
            <w:r>
              <w:rPr>
                <w:sz w:val="4"/>
                <w:szCs w:val="4"/>
              </w:rPr>
            </w:r>
          </w:p>
        </w:tc>
      </w:tr>
      <w:tr>
        <w:trPr/>
        <w:tc>
          <w:tcPr>
            <w:tcW w:w="3590" w:type="dxa"/>
            <w:tcBorders/>
            <w:shd w:fill="FDEEF1" w:val="clear"/>
            <w:vAlign w:val="center"/>
          </w:tcPr>
          <w:p>
            <w:pPr>
              <w:pStyle w:val="TableContents"/>
              <w:bidi w:val="0"/>
              <w:spacing w:before="0" w:after="0"/>
              <w:jc w:val="left"/>
              <w:rPr>
                <w:rFonts w:ascii="arial" w:hAnsi="arial"/>
                <w:b/>
                <w:sz w:val="16"/>
              </w:rPr>
            </w:pPr>
            <w:r>
              <w:rPr>
                <w:rFonts w:ascii="arial" w:hAnsi="arial"/>
                <w:b/>
                <w:sz w:val="16"/>
              </w:rPr>
              <w:t>Total number of directors: 9</w:t>
            </w:r>
          </w:p>
        </w:tc>
        <w:tc>
          <w:tcPr>
            <w:tcW w:w="120" w:type="dxa"/>
            <w:tcBorders/>
            <w:shd w:fill="FDEEF1" w:val="clear"/>
            <w:vAlign w:val="center"/>
          </w:tcPr>
          <w:p>
            <w:pPr>
              <w:pStyle w:val="TableContents"/>
              <w:bidi w:val="0"/>
              <w:spacing w:before="0" w:after="283"/>
              <w:jc w:val="left"/>
              <w:rPr/>
            </w:pPr>
            <w:r>
              <w:rPr/>
              <w:t>  </w:t>
            </w:r>
          </w:p>
        </w:tc>
        <w:tc>
          <w:tcPr>
            <w:tcW w:w="815" w:type="dxa"/>
            <w:gridSpan w:val="2"/>
            <w:tcBorders/>
            <w:shd w:fill="FDEEF1" w:val="clear"/>
            <w:vAlign w:val="center"/>
          </w:tcPr>
          <w:p>
            <w:pPr>
              <w:pStyle w:val="TableContents"/>
              <w:bidi w:val="0"/>
              <w:spacing w:before="0" w:after="283"/>
              <w:jc w:val="center"/>
              <w:rPr>
                <w:b/>
              </w:rPr>
            </w:pPr>
            <w:r>
              <w:rPr>
                <w:b/>
              </w:rPr>
              <w:t>Women</w:t>
            </w:r>
          </w:p>
        </w:tc>
        <w:tc>
          <w:tcPr>
            <w:tcW w:w="120" w:type="dxa"/>
            <w:tcBorders/>
            <w:shd w:fill="FDEEF1" w:val="clear"/>
            <w:vAlign w:val="center"/>
          </w:tcPr>
          <w:p>
            <w:pPr>
              <w:pStyle w:val="TableContents"/>
              <w:bidi w:val="0"/>
              <w:spacing w:before="0" w:after="283"/>
              <w:jc w:val="left"/>
              <w:rPr/>
            </w:pPr>
            <w:r>
              <w:rPr/>
              <w:t> </w:t>
            </w:r>
          </w:p>
        </w:tc>
        <w:tc>
          <w:tcPr>
            <w:tcW w:w="120" w:type="dxa"/>
            <w:tcBorders/>
            <w:shd w:fill="FDEEF1" w:val="clear"/>
            <w:vAlign w:val="center"/>
          </w:tcPr>
          <w:p>
            <w:pPr>
              <w:pStyle w:val="TableContents"/>
              <w:bidi w:val="0"/>
              <w:spacing w:before="0" w:after="283"/>
              <w:jc w:val="left"/>
              <w:rPr/>
            </w:pPr>
            <w:r>
              <w:rPr/>
              <w:t>  </w:t>
            </w:r>
          </w:p>
        </w:tc>
        <w:tc>
          <w:tcPr>
            <w:tcW w:w="485" w:type="dxa"/>
            <w:gridSpan w:val="2"/>
            <w:tcBorders/>
            <w:shd w:fill="FDEEF1" w:val="clear"/>
            <w:vAlign w:val="center"/>
          </w:tcPr>
          <w:p>
            <w:pPr>
              <w:pStyle w:val="TableContents"/>
              <w:bidi w:val="0"/>
              <w:spacing w:before="0" w:after="283"/>
              <w:jc w:val="center"/>
              <w:rPr>
                <w:b/>
              </w:rPr>
            </w:pPr>
            <w:r>
              <w:rPr>
                <w:b/>
              </w:rPr>
              <w:t>Men</w:t>
            </w:r>
          </w:p>
        </w:tc>
        <w:tc>
          <w:tcPr>
            <w:tcW w:w="120" w:type="dxa"/>
            <w:tcBorders/>
            <w:shd w:fill="FDEEF1" w:val="clear"/>
            <w:vAlign w:val="center"/>
          </w:tcPr>
          <w:p>
            <w:pPr>
              <w:pStyle w:val="TableContents"/>
              <w:bidi w:val="0"/>
              <w:spacing w:before="0" w:after="283"/>
              <w:jc w:val="left"/>
              <w:rPr/>
            </w:pPr>
            <w:r>
              <w:rPr/>
              <w:t> </w:t>
            </w:r>
          </w:p>
        </w:tc>
        <w:tc>
          <w:tcPr>
            <w:tcW w:w="120" w:type="dxa"/>
            <w:tcBorders/>
            <w:shd w:fill="FDEEF1" w:val="clear"/>
            <w:vAlign w:val="center"/>
          </w:tcPr>
          <w:p>
            <w:pPr>
              <w:pStyle w:val="TableContents"/>
              <w:bidi w:val="0"/>
              <w:spacing w:before="0" w:after="283"/>
              <w:jc w:val="left"/>
              <w:rPr/>
            </w:pPr>
            <w:r>
              <w:rPr/>
              <w:t>  </w:t>
            </w:r>
          </w:p>
        </w:tc>
        <w:tc>
          <w:tcPr>
            <w:tcW w:w="1235" w:type="dxa"/>
            <w:gridSpan w:val="2"/>
            <w:tcBorders/>
            <w:shd w:fill="FDEEF1" w:val="clear"/>
            <w:vAlign w:val="center"/>
          </w:tcPr>
          <w:p>
            <w:pPr>
              <w:pStyle w:val="TableContents"/>
              <w:bidi w:val="0"/>
              <w:spacing w:before="0" w:after="283"/>
              <w:jc w:val="center"/>
              <w:rPr>
                <w:b/>
              </w:rPr>
            </w:pPr>
            <w:r>
              <w:rPr>
                <w:b/>
              </w:rPr>
              <w:t>Non-Binary</w:t>
            </w:r>
          </w:p>
        </w:tc>
        <w:tc>
          <w:tcPr>
            <w:tcW w:w="120" w:type="dxa"/>
            <w:tcBorders/>
            <w:shd w:fill="FDEEF1" w:val="clear"/>
            <w:vAlign w:val="center"/>
          </w:tcPr>
          <w:p>
            <w:pPr>
              <w:pStyle w:val="TableContents"/>
              <w:bidi w:val="0"/>
              <w:spacing w:before="0" w:after="283"/>
              <w:jc w:val="left"/>
              <w:rPr/>
            </w:pPr>
            <w:r>
              <w:rPr/>
              <w:t> </w:t>
            </w:r>
          </w:p>
        </w:tc>
        <w:tc>
          <w:tcPr>
            <w:tcW w:w="120" w:type="dxa"/>
            <w:tcBorders/>
            <w:shd w:fill="FDEEF1" w:val="clear"/>
            <w:vAlign w:val="center"/>
          </w:tcPr>
          <w:p>
            <w:pPr>
              <w:pStyle w:val="TableContents"/>
              <w:bidi w:val="0"/>
              <w:spacing w:before="0" w:after="283"/>
              <w:jc w:val="left"/>
              <w:rPr/>
            </w:pPr>
            <w:r>
              <w:rPr/>
              <w:t>  </w:t>
            </w:r>
          </w:p>
        </w:tc>
        <w:tc>
          <w:tcPr>
            <w:tcW w:w="785" w:type="dxa"/>
            <w:gridSpan w:val="2"/>
            <w:tcBorders/>
            <w:shd w:fill="FDEEF1" w:val="clear"/>
            <w:vAlign w:val="center"/>
          </w:tcPr>
          <w:p>
            <w:pPr>
              <w:pStyle w:val="TableContents"/>
              <w:bidi w:val="0"/>
              <w:spacing w:before="0" w:after="283"/>
              <w:jc w:val="center"/>
              <w:rPr>
                <w:b/>
              </w:rPr>
            </w:pPr>
            <w:r>
              <w:rPr>
                <w:b/>
              </w:rPr>
              <w:t>Did not</w:t>
              <w:br/>
              <w:t>disclose</w:t>
              <w:br/>
              <w:t>gender</w:t>
            </w:r>
          </w:p>
        </w:tc>
        <w:tc>
          <w:tcPr>
            <w:tcW w:w="135" w:type="dxa"/>
            <w:tcBorders/>
            <w:shd w:fill="FDEEF1" w:val="cle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r>
      <w:tr>
        <w:trPr/>
        <w:tc>
          <w:tcPr>
            <w:tcW w:w="3590" w:type="dxa"/>
            <w:tcBorders>
              <w:bottom w:val="single" w:sz="6" w:space="0" w:color="FBDDE3"/>
            </w:tcBorders>
            <w:tcMar>
              <w:bottom w:w="60" w:type="dxa"/>
            </w:tcMar>
            <w:vAlign w:val="center"/>
          </w:tcPr>
          <w:p>
            <w:pPr>
              <w:pStyle w:val="TableContents"/>
              <w:bidi w:val="0"/>
              <w:spacing w:before="0" w:after="0"/>
              <w:jc w:val="left"/>
              <w:rPr>
                <w:rFonts w:ascii="arial" w:hAnsi="arial"/>
                <w:b/>
                <w:sz w:val="18"/>
              </w:rPr>
            </w:pPr>
            <w:r>
              <w:rPr>
                <w:rFonts w:ascii="arial" w:hAnsi="arial"/>
                <w:b/>
                <w:sz w:val="18"/>
              </w:rPr>
              <w:t>Part I: Gender Identity</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44"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571"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34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37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6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3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55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3590" w:type="dxa"/>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r>
      <w:tr>
        <w:trPr/>
        <w:tc>
          <w:tcPr>
            <w:tcW w:w="359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Directors(1)</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44" w:type="dxa"/>
            <w:tcBorders>
              <w:bottom w:val="single" w:sz="6" w:space="0" w:color="FBDDE3"/>
            </w:tcBorders>
            <w:tcMar>
              <w:bottom w:w="60" w:type="dxa"/>
            </w:tcMar>
            <w:vAlign w:val="center"/>
          </w:tcPr>
          <w:p>
            <w:pPr>
              <w:pStyle w:val="TableContents"/>
              <w:bidi w:val="0"/>
              <w:spacing w:before="0" w:after="283"/>
              <w:jc w:val="left"/>
              <w:rPr/>
            </w:pPr>
            <w:r>
              <w:rPr/>
              <w:t> </w:t>
            </w:r>
          </w:p>
        </w:tc>
        <w:tc>
          <w:tcPr>
            <w:tcW w:w="571" w:type="dxa"/>
            <w:tcBorders>
              <w:bottom w:val="single" w:sz="6" w:space="0" w:color="FBDDE3"/>
            </w:tcBorders>
            <w:tcMar>
              <w:bottom w:w="60" w:type="dxa"/>
            </w:tcMar>
            <w:vAlign w:val="center"/>
          </w:tcPr>
          <w:p>
            <w:pPr>
              <w:pStyle w:val="TableContents"/>
              <w:bidi w:val="0"/>
              <w:spacing w:before="0" w:after="283"/>
              <w:jc w:val="right"/>
              <w:rPr/>
            </w:pPr>
            <w:r>
              <w:rPr/>
              <w:t>7</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5" w:type="dxa"/>
            <w:tcBorders>
              <w:bottom w:val="single" w:sz="6" w:space="0" w:color="FBDDE3"/>
            </w:tcBorders>
            <w:tcMar>
              <w:bottom w:w="60" w:type="dxa"/>
            </w:tcMar>
            <w:vAlign w:val="center"/>
          </w:tcPr>
          <w:p>
            <w:pPr>
              <w:pStyle w:val="TableContents"/>
              <w:bidi w:val="0"/>
              <w:spacing w:before="0" w:after="283"/>
              <w:jc w:val="left"/>
              <w:rPr/>
            </w:pPr>
            <w:r>
              <w:rPr/>
              <w:t> </w:t>
            </w:r>
          </w:p>
        </w:tc>
        <w:tc>
          <w:tcPr>
            <w:tcW w:w="340" w:type="dxa"/>
            <w:tcBorders>
              <w:bottom w:val="single" w:sz="6" w:space="0" w:color="FBDDE3"/>
            </w:tcBorders>
            <w:tcMar>
              <w:bottom w:w="60" w:type="dxa"/>
            </w:tcMar>
            <w:vAlign w:val="center"/>
          </w:tcPr>
          <w:p>
            <w:pPr>
              <w:pStyle w:val="TableContents"/>
              <w:bidi w:val="0"/>
              <w:spacing w:before="0" w:after="283"/>
              <w:jc w:val="right"/>
              <w:rPr/>
            </w:pPr>
            <w:r>
              <w:rPr/>
              <w:t>2</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370" w:type="dxa"/>
            <w:tcBorders>
              <w:bottom w:val="single" w:sz="6" w:space="0" w:color="FBDDE3"/>
            </w:tcBorders>
            <w:tcMar>
              <w:bottom w:w="60" w:type="dxa"/>
            </w:tcMar>
            <w:vAlign w:val="center"/>
          </w:tcPr>
          <w:p>
            <w:pPr>
              <w:pStyle w:val="TableContents"/>
              <w:bidi w:val="0"/>
              <w:spacing w:before="0" w:after="283"/>
              <w:jc w:val="left"/>
              <w:rPr/>
            </w:pPr>
            <w:r>
              <w:rPr/>
              <w:t> </w:t>
            </w:r>
          </w:p>
        </w:tc>
        <w:tc>
          <w:tcPr>
            <w:tcW w:w="865" w:type="dxa"/>
            <w:tcBorders>
              <w:bottom w:val="single" w:sz="6" w:space="0" w:color="FBDDE3"/>
            </w:tcBorders>
            <w:tcMar>
              <w:bottom w:w="60" w:type="dxa"/>
            </w:tcMar>
            <w:vAlign w:val="center"/>
          </w:tcPr>
          <w:p>
            <w:pPr>
              <w:pStyle w:val="TableContents"/>
              <w:bidi w:val="0"/>
              <w:spacing w:before="0" w:after="283"/>
              <w:jc w:val="right"/>
              <w:rPr/>
            </w:pPr>
            <w:r>
              <w:rPr/>
              <w:t>–</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35" w:type="dxa"/>
            <w:tcBorders>
              <w:bottom w:val="single" w:sz="6" w:space="0" w:color="FBDDE3"/>
            </w:tcBorders>
            <w:tcMar>
              <w:bottom w:w="60" w:type="dxa"/>
            </w:tcMar>
            <w:vAlign w:val="center"/>
          </w:tcPr>
          <w:p>
            <w:pPr>
              <w:pStyle w:val="TableContents"/>
              <w:bidi w:val="0"/>
              <w:spacing w:before="0" w:after="283"/>
              <w:jc w:val="left"/>
              <w:rPr/>
            </w:pPr>
            <w:r>
              <w:rPr/>
              <w:t> </w:t>
            </w:r>
          </w:p>
        </w:tc>
        <w:tc>
          <w:tcPr>
            <w:tcW w:w="550" w:type="dxa"/>
            <w:tcBorders>
              <w:bottom w:val="single" w:sz="6" w:space="0" w:color="FBDDE3"/>
            </w:tcBorders>
            <w:tcMar>
              <w:bottom w:w="60" w:type="dxa"/>
            </w:tcMar>
            <w:vAlign w:val="center"/>
          </w:tcPr>
          <w:p>
            <w:pPr>
              <w:pStyle w:val="TableContents"/>
              <w:bidi w:val="0"/>
              <w:spacing w:before="0" w:after="283"/>
              <w:jc w:val="right"/>
              <w:rPr/>
            </w:pPr>
            <w:r>
              <w:rPr/>
              <w:t>–</w:t>
            </w:r>
          </w:p>
        </w:tc>
        <w:tc>
          <w:tcPr>
            <w:tcW w:w="13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r>
      <w:tr>
        <w:trPr/>
        <w:tc>
          <w:tcPr>
            <w:tcW w:w="3590" w:type="dxa"/>
            <w:tcBorders>
              <w:bottom w:val="single" w:sz="6" w:space="0" w:color="FBDDE3"/>
            </w:tcBorders>
            <w:tcMar>
              <w:bottom w:w="60" w:type="dxa"/>
            </w:tcMar>
            <w:vAlign w:val="center"/>
          </w:tcPr>
          <w:p>
            <w:pPr>
              <w:pStyle w:val="TableContents"/>
              <w:bidi w:val="0"/>
              <w:spacing w:before="0" w:after="0"/>
              <w:jc w:val="left"/>
              <w:rPr>
                <w:rFonts w:ascii="arial" w:hAnsi="arial"/>
                <w:b/>
                <w:sz w:val="18"/>
              </w:rPr>
            </w:pPr>
            <w:r>
              <w:rPr>
                <w:rFonts w:ascii="arial" w:hAnsi="arial"/>
                <w:b/>
                <w:sz w:val="18"/>
              </w:rPr>
              <w:t>Part II: Demographic Background</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44"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571"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34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37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6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3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55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3590" w:type="dxa"/>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r>
      <w:tr>
        <w:trPr/>
        <w:tc>
          <w:tcPr>
            <w:tcW w:w="359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African American or Black(2)</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44" w:type="dxa"/>
            <w:tcBorders>
              <w:bottom w:val="single" w:sz="6" w:space="0" w:color="FBDDE3"/>
            </w:tcBorders>
            <w:tcMar>
              <w:bottom w:w="60" w:type="dxa"/>
            </w:tcMar>
            <w:vAlign w:val="center"/>
          </w:tcPr>
          <w:p>
            <w:pPr>
              <w:pStyle w:val="TableContents"/>
              <w:bidi w:val="0"/>
              <w:spacing w:before="0" w:after="283"/>
              <w:jc w:val="left"/>
              <w:rPr/>
            </w:pPr>
            <w:r>
              <w:rPr/>
              <w:t> </w:t>
            </w:r>
          </w:p>
        </w:tc>
        <w:tc>
          <w:tcPr>
            <w:tcW w:w="571" w:type="dxa"/>
            <w:tcBorders>
              <w:bottom w:val="single" w:sz="6" w:space="0" w:color="FBDDE3"/>
            </w:tcBorders>
            <w:tcMar>
              <w:bottom w:w="60" w:type="dxa"/>
            </w:tcMar>
            <w:vAlign w:val="center"/>
          </w:tcPr>
          <w:p>
            <w:pPr>
              <w:pStyle w:val="TableContents"/>
              <w:bidi w:val="0"/>
              <w:spacing w:before="0" w:after="283"/>
              <w:jc w:val="right"/>
              <w:rPr/>
            </w:pPr>
            <w:r>
              <w:rPr/>
              <w:t>1</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5" w:type="dxa"/>
            <w:tcBorders>
              <w:bottom w:val="single" w:sz="6" w:space="0" w:color="FBDDE3"/>
            </w:tcBorders>
            <w:tcMar>
              <w:bottom w:w="60" w:type="dxa"/>
            </w:tcMar>
            <w:vAlign w:val="center"/>
          </w:tcPr>
          <w:p>
            <w:pPr>
              <w:pStyle w:val="TableContents"/>
              <w:bidi w:val="0"/>
              <w:spacing w:before="0" w:after="283"/>
              <w:jc w:val="left"/>
              <w:rPr/>
            </w:pPr>
            <w:r>
              <w:rPr/>
              <w:t> </w:t>
            </w:r>
          </w:p>
        </w:tc>
        <w:tc>
          <w:tcPr>
            <w:tcW w:w="340" w:type="dxa"/>
            <w:tcBorders>
              <w:bottom w:val="single" w:sz="6" w:space="0" w:color="FBDDE3"/>
            </w:tcBorders>
            <w:tcMar>
              <w:bottom w:w="60" w:type="dxa"/>
            </w:tcMar>
            <w:vAlign w:val="center"/>
          </w:tcPr>
          <w:p>
            <w:pPr>
              <w:pStyle w:val="TableContents"/>
              <w:bidi w:val="0"/>
              <w:spacing w:before="0" w:after="283"/>
              <w:jc w:val="right"/>
              <w:rPr/>
            </w:pPr>
            <w:r>
              <w:rPr/>
              <w:t>–</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370" w:type="dxa"/>
            <w:tcBorders>
              <w:bottom w:val="single" w:sz="6" w:space="0" w:color="FBDDE3"/>
            </w:tcBorders>
            <w:tcMar>
              <w:bottom w:w="60" w:type="dxa"/>
            </w:tcMar>
            <w:vAlign w:val="center"/>
          </w:tcPr>
          <w:p>
            <w:pPr>
              <w:pStyle w:val="TableContents"/>
              <w:bidi w:val="0"/>
              <w:spacing w:before="0" w:after="283"/>
              <w:jc w:val="left"/>
              <w:rPr/>
            </w:pPr>
            <w:r>
              <w:rPr/>
              <w:t> </w:t>
            </w:r>
          </w:p>
        </w:tc>
        <w:tc>
          <w:tcPr>
            <w:tcW w:w="865" w:type="dxa"/>
            <w:tcBorders>
              <w:bottom w:val="single" w:sz="6" w:space="0" w:color="FBDDE3"/>
            </w:tcBorders>
            <w:tcMar>
              <w:bottom w:w="60" w:type="dxa"/>
            </w:tcMar>
            <w:vAlign w:val="center"/>
          </w:tcPr>
          <w:p>
            <w:pPr>
              <w:pStyle w:val="TableContents"/>
              <w:bidi w:val="0"/>
              <w:spacing w:before="0" w:after="283"/>
              <w:jc w:val="right"/>
              <w:rPr/>
            </w:pPr>
            <w:r>
              <w:rPr/>
              <w:t>–</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35" w:type="dxa"/>
            <w:tcBorders>
              <w:bottom w:val="single" w:sz="6" w:space="0" w:color="FBDDE3"/>
            </w:tcBorders>
            <w:tcMar>
              <w:bottom w:w="60" w:type="dxa"/>
            </w:tcMar>
            <w:vAlign w:val="center"/>
          </w:tcPr>
          <w:p>
            <w:pPr>
              <w:pStyle w:val="TableContents"/>
              <w:bidi w:val="0"/>
              <w:spacing w:before="0" w:after="283"/>
              <w:jc w:val="left"/>
              <w:rPr/>
            </w:pPr>
            <w:r>
              <w:rPr/>
              <w:t> </w:t>
            </w:r>
          </w:p>
        </w:tc>
        <w:tc>
          <w:tcPr>
            <w:tcW w:w="550" w:type="dxa"/>
            <w:tcBorders>
              <w:bottom w:val="single" w:sz="6" w:space="0" w:color="FBDDE3"/>
            </w:tcBorders>
            <w:tcMar>
              <w:bottom w:w="60" w:type="dxa"/>
            </w:tcMar>
            <w:vAlign w:val="center"/>
          </w:tcPr>
          <w:p>
            <w:pPr>
              <w:pStyle w:val="TableContents"/>
              <w:bidi w:val="0"/>
              <w:spacing w:before="0" w:after="283"/>
              <w:jc w:val="right"/>
              <w:rPr/>
            </w:pPr>
            <w:r>
              <w:rPr/>
              <w:t>–</w:t>
            </w:r>
          </w:p>
        </w:tc>
        <w:tc>
          <w:tcPr>
            <w:tcW w:w="13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r>
      <w:tr>
        <w:trPr/>
        <w:tc>
          <w:tcPr>
            <w:tcW w:w="359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Alaska Native or American Indian</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44" w:type="dxa"/>
            <w:tcBorders>
              <w:bottom w:val="single" w:sz="6" w:space="0" w:color="FBDDE3"/>
            </w:tcBorders>
            <w:tcMar>
              <w:bottom w:w="60" w:type="dxa"/>
            </w:tcMar>
            <w:vAlign w:val="center"/>
          </w:tcPr>
          <w:p>
            <w:pPr>
              <w:pStyle w:val="TableContents"/>
              <w:bidi w:val="0"/>
              <w:spacing w:before="0" w:after="283"/>
              <w:jc w:val="left"/>
              <w:rPr/>
            </w:pPr>
            <w:r>
              <w:rPr/>
              <w:t> </w:t>
            </w:r>
          </w:p>
        </w:tc>
        <w:tc>
          <w:tcPr>
            <w:tcW w:w="571" w:type="dxa"/>
            <w:tcBorders>
              <w:bottom w:val="single" w:sz="6" w:space="0" w:color="FBDDE3"/>
            </w:tcBorders>
            <w:tcMar>
              <w:bottom w:w="60" w:type="dxa"/>
            </w:tcMar>
            <w:vAlign w:val="center"/>
          </w:tcPr>
          <w:p>
            <w:pPr>
              <w:pStyle w:val="TableContents"/>
              <w:bidi w:val="0"/>
              <w:spacing w:before="0" w:after="283"/>
              <w:jc w:val="right"/>
              <w:rPr/>
            </w:pPr>
            <w:r>
              <w:rPr/>
              <w:t>–</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5" w:type="dxa"/>
            <w:tcBorders>
              <w:bottom w:val="single" w:sz="6" w:space="0" w:color="FBDDE3"/>
            </w:tcBorders>
            <w:tcMar>
              <w:bottom w:w="60" w:type="dxa"/>
            </w:tcMar>
            <w:vAlign w:val="center"/>
          </w:tcPr>
          <w:p>
            <w:pPr>
              <w:pStyle w:val="TableContents"/>
              <w:bidi w:val="0"/>
              <w:spacing w:before="0" w:after="283"/>
              <w:jc w:val="left"/>
              <w:rPr/>
            </w:pPr>
            <w:r>
              <w:rPr/>
              <w:t> </w:t>
            </w:r>
          </w:p>
        </w:tc>
        <w:tc>
          <w:tcPr>
            <w:tcW w:w="340" w:type="dxa"/>
            <w:tcBorders>
              <w:bottom w:val="single" w:sz="6" w:space="0" w:color="FBDDE3"/>
            </w:tcBorders>
            <w:tcMar>
              <w:bottom w:w="60" w:type="dxa"/>
            </w:tcMar>
            <w:vAlign w:val="center"/>
          </w:tcPr>
          <w:p>
            <w:pPr>
              <w:pStyle w:val="TableContents"/>
              <w:bidi w:val="0"/>
              <w:spacing w:before="0" w:after="283"/>
              <w:jc w:val="right"/>
              <w:rPr/>
            </w:pPr>
            <w:r>
              <w:rPr/>
              <w:t>–</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370" w:type="dxa"/>
            <w:tcBorders>
              <w:bottom w:val="single" w:sz="6" w:space="0" w:color="FBDDE3"/>
            </w:tcBorders>
            <w:tcMar>
              <w:bottom w:w="60" w:type="dxa"/>
            </w:tcMar>
            <w:vAlign w:val="center"/>
          </w:tcPr>
          <w:p>
            <w:pPr>
              <w:pStyle w:val="TableContents"/>
              <w:bidi w:val="0"/>
              <w:spacing w:before="0" w:after="283"/>
              <w:jc w:val="left"/>
              <w:rPr/>
            </w:pPr>
            <w:r>
              <w:rPr/>
              <w:t> </w:t>
            </w:r>
          </w:p>
        </w:tc>
        <w:tc>
          <w:tcPr>
            <w:tcW w:w="865" w:type="dxa"/>
            <w:tcBorders>
              <w:bottom w:val="single" w:sz="6" w:space="0" w:color="FBDDE3"/>
            </w:tcBorders>
            <w:tcMar>
              <w:bottom w:w="60" w:type="dxa"/>
            </w:tcMar>
            <w:vAlign w:val="center"/>
          </w:tcPr>
          <w:p>
            <w:pPr>
              <w:pStyle w:val="TableContents"/>
              <w:bidi w:val="0"/>
              <w:spacing w:before="0" w:after="283"/>
              <w:jc w:val="right"/>
              <w:rPr/>
            </w:pPr>
            <w:r>
              <w:rPr/>
              <w:t>–</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35" w:type="dxa"/>
            <w:tcBorders>
              <w:bottom w:val="single" w:sz="6" w:space="0" w:color="FBDDE3"/>
            </w:tcBorders>
            <w:tcMar>
              <w:bottom w:w="60" w:type="dxa"/>
            </w:tcMar>
            <w:vAlign w:val="center"/>
          </w:tcPr>
          <w:p>
            <w:pPr>
              <w:pStyle w:val="TableContents"/>
              <w:bidi w:val="0"/>
              <w:spacing w:before="0" w:after="283"/>
              <w:jc w:val="left"/>
              <w:rPr/>
            </w:pPr>
            <w:r>
              <w:rPr/>
              <w:t> </w:t>
            </w:r>
          </w:p>
        </w:tc>
        <w:tc>
          <w:tcPr>
            <w:tcW w:w="550" w:type="dxa"/>
            <w:tcBorders>
              <w:bottom w:val="single" w:sz="6" w:space="0" w:color="FBDDE3"/>
            </w:tcBorders>
            <w:tcMar>
              <w:bottom w:w="60" w:type="dxa"/>
            </w:tcMar>
            <w:vAlign w:val="center"/>
          </w:tcPr>
          <w:p>
            <w:pPr>
              <w:pStyle w:val="TableContents"/>
              <w:bidi w:val="0"/>
              <w:spacing w:before="0" w:after="283"/>
              <w:jc w:val="right"/>
              <w:rPr/>
            </w:pPr>
            <w:r>
              <w:rPr/>
              <w:t>–</w:t>
            </w:r>
          </w:p>
        </w:tc>
        <w:tc>
          <w:tcPr>
            <w:tcW w:w="13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r>
      <w:tr>
        <w:trPr/>
        <w:tc>
          <w:tcPr>
            <w:tcW w:w="359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Asian(3)</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44" w:type="dxa"/>
            <w:tcBorders>
              <w:bottom w:val="single" w:sz="6" w:space="0" w:color="FBDDE3"/>
            </w:tcBorders>
            <w:tcMar>
              <w:bottom w:w="60" w:type="dxa"/>
            </w:tcMar>
            <w:vAlign w:val="center"/>
          </w:tcPr>
          <w:p>
            <w:pPr>
              <w:pStyle w:val="TableContents"/>
              <w:bidi w:val="0"/>
              <w:spacing w:before="0" w:after="283"/>
              <w:jc w:val="left"/>
              <w:rPr/>
            </w:pPr>
            <w:r>
              <w:rPr/>
              <w:t> </w:t>
            </w:r>
          </w:p>
        </w:tc>
        <w:tc>
          <w:tcPr>
            <w:tcW w:w="571" w:type="dxa"/>
            <w:tcBorders>
              <w:bottom w:val="single" w:sz="6" w:space="0" w:color="FBDDE3"/>
            </w:tcBorders>
            <w:tcMar>
              <w:bottom w:w="60" w:type="dxa"/>
            </w:tcMar>
            <w:vAlign w:val="center"/>
          </w:tcPr>
          <w:p>
            <w:pPr>
              <w:pStyle w:val="TableContents"/>
              <w:bidi w:val="0"/>
              <w:spacing w:before="0" w:after="283"/>
              <w:jc w:val="right"/>
              <w:rPr/>
            </w:pPr>
            <w:r>
              <w:rPr/>
              <w:t>2</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5" w:type="dxa"/>
            <w:tcBorders>
              <w:bottom w:val="single" w:sz="6" w:space="0" w:color="FBDDE3"/>
            </w:tcBorders>
            <w:tcMar>
              <w:bottom w:w="60" w:type="dxa"/>
            </w:tcMar>
            <w:vAlign w:val="center"/>
          </w:tcPr>
          <w:p>
            <w:pPr>
              <w:pStyle w:val="TableContents"/>
              <w:bidi w:val="0"/>
              <w:spacing w:before="0" w:after="283"/>
              <w:jc w:val="left"/>
              <w:rPr/>
            </w:pPr>
            <w:r>
              <w:rPr/>
              <w:t> </w:t>
            </w:r>
          </w:p>
        </w:tc>
        <w:tc>
          <w:tcPr>
            <w:tcW w:w="340" w:type="dxa"/>
            <w:tcBorders>
              <w:bottom w:val="single" w:sz="6" w:space="0" w:color="FBDDE3"/>
            </w:tcBorders>
            <w:tcMar>
              <w:bottom w:w="60" w:type="dxa"/>
            </w:tcMar>
            <w:vAlign w:val="center"/>
          </w:tcPr>
          <w:p>
            <w:pPr>
              <w:pStyle w:val="TableContents"/>
              <w:bidi w:val="0"/>
              <w:spacing w:before="0" w:after="283"/>
              <w:jc w:val="right"/>
              <w:rPr/>
            </w:pPr>
            <w:r>
              <w:rPr/>
              <w:t>–</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370" w:type="dxa"/>
            <w:tcBorders>
              <w:bottom w:val="single" w:sz="6" w:space="0" w:color="FBDDE3"/>
            </w:tcBorders>
            <w:tcMar>
              <w:bottom w:w="60" w:type="dxa"/>
            </w:tcMar>
            <w:vAlign w:val="center"/>
          </w:tcPr>
          <w:p>
            <w:pPr>
              <w:pStyle w:val="TableContents"/>
              <w:bidi w:val="0"/>
              <w:spacing w:before="0" w:after="283"/>
              <w:jc w:val="left"/>
              <w:rPr/>
            </w:pPr>
            <w:r>
              <w:rPr/>
              <w:t> </w:t>
            </w:r>
          </w:p>
        </w:tc>
        <w:tc>
          <w:tcPr>
            <w:tcW w:w="865" w:type="dxa"/>
            <w:tcBorders>
              <w:bottom w:val="single" w:sz="6" w:space="0" w:color="FBDDE3"/>
            </w:tcBorders>
            <w:tcMar>
              <w:bottom w:w="60" w:type="dxa"/>
            </w:tcMar>
            <w:vAlign w:val="center"/>
          </w:tcPr>
          <w:p>
            <w:pPr>
              <w:pStyle w:val="TableContents"/>
              <w:bidi w:val="0"/>
              <w:spacing w:before="0" w:after="283"/>
              <w:jc w:val="right"/>
              <w:rPr/>
            </w:pPr>
            <w:r>
              <w:rPr/>
              <w:t>–</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35" w:type="dxa"/>
            <w:tcBorders>
              <w:bottom w:val="single" w:sz="6" w:space="0" w:color="FBDDE3"/>
            </w:tcBorders>
            <w:tcMar>
              <w:bottom w:w="60" w:type="dxa"/>
            </w:tcMar>
            <w:vAlign w:val="center"/>
          </w:tcPr>
          <w:p>
            <w:pPr>
              <w:pStyle w:val="TableContents"/>
              <w:bidi w:val="0"/>
              <w:spacing w:before="0" w:after="283"/>
              <w:jc w:val="left"/>
              <w:rPr/>
            </w:pPr>
            <w:r>
              <w:rPr/>
              <w:t> </w:t>
            </w:r>
          </w:p>
        </w:tc>
        <w:tc>
          <w:tcPr>
            <w:tcW w:w="550" w:type="dxa"/>
            <w:tcBorders>
              <w:bottom w:val="single" w:sz="6" w:space="0" w:color="FBDDE3"/>
            </w:tcBorders>
            <w:tcMar>
              <w:bottom w:w="60" w:type="dxa"/>
            </w:tcMar>
            <w:vAlign w:val="center"/>
          </w:tcPr>
          <w:p>
            <w:pPr>
              <w:pStyle w:val="TableContents"/>
              <w:bidi w:val="0"/>
              <w:spacing w:before="0" w:after="283"/>
              <w:jc w:val="right"/>
              <w:rPr/>
            </w:pPr>
            <w:r>
              <w:rPr/>
              <w:t>–</w:t>
            </w:r>
          </w:p>
        </w:tc>
        <w:tc>
          <w:tcPr>
            <w:tcW w:w="13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r>
      <w:tr>
        <w:trPr/>
        <w:tc>
          <w:tcPr>
            <w:tcW w:w="359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Hispanic or Latino/a/x(4)</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44" w:type="dxa"/>
            <w:tcBorders>
              <w:bottom w:val="single" w:sz="6" w:space="0" w:color="FBDDE3"/>
            </w:tcBorders>
            <w:tcMar>
              <w:bottom w:w="60" w:type="dxa"/>
            </w:tcMar>
            <w:vAlign w:val="center"/>
          </w:tcPr>
          <w:p>
            <w:pPr>
              <w:pStyle w:val="TableContents"/>
              <w:bidi w:val="0"/>
              <w:spacing w:before="0" w:after="283"/>
              <w:jc w:val="left"/>
              <w:rPr/>
            </w:pPr>
            <w:r>
              <w:rPr/>
              <w:t> </w:t>
            </w:r>
          </w:p>
        </w:tc>
        <w:tc>
          <w:tcPr>
            <w:tcW w:w="571" w:type="dxa"/>
            <w:tcBorders>
              <w:bottom w:val="single" w:sz="6" w:space="0" w:color="FBDDE3"/>
            </w:tcBorders>
            <w:tcMar>
              <w:bottom w:w="60" w:type="dxa"/>
            </w:tcMar>
            <w:vAlign w:val="center"/>
          </w:tcPr>
          <w:p>
            <w:pPr>
              <w:pStyle w:val="TableContents"/>
              <w:bidi w:val="0"/>
              <w:spacing w:before="0" w:after="283"/>
              <w:jc w:val="right"/>
              <w:rPr/>
            </w:pPr>
            <w:r>
              <w:rPr/>
              <w:t>1</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5" w:type="dxa"/>
            <w:tcBorders>
              <w:bottom w:val="single" w:sz="6" w:space="0" w:color="FBDDE3"/>
            </w:tcBorders>
            <w:tcMar>
              <w:bottom w:w="60" w:type="dxa"/>
            </w:tcMar>
            <w:vAlign w:val="center"/>
          </w:tcPr>
          <w:p>
            <w:pPr>
              <w:pStyle w:val="TableContents"/>
              <w:bidi w:val="0"/>
              <w:spacing w:before="0" w:after="283"/>
              <w:jc w:val="left"/>
              <w:rPr/>
            </w:pPr>
            <w:r>
              <w:rPr/>
              <w:t> </w:t>
            </w:r>
          </w:p>
        </w:tc>
        <w:tc>
          <w:tcPr>
            <w:tcW w:w="340" w:type="dxa"/>
            <w:tcBorders>
              <w:bottom w:val="single" w:sz="6" w:space="0" w:color="FBDDE3"/>
            </w:tcBorders>
            <w:tcMar>
              <w:bottom w:w="60" w:type="dxa"/>
            </w:tcMar>
            <w:vAlign w:val="center"/>
          </w:tcPr>
          <w:p>
            <w:pPr>
              <w:pStyle w:val="TableContents"/>
              <w:bidi w:val="0"/>
              <w:spacing w:before="0" w:after="283"/>
              <w:jc w:val="right"/>
              <w:rPr/>
            </w:pPr>
            <w:r>
              <w:rPr/>
              <w:t>–</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370" w:type="dxa"/>
            <w:tcBorders>
              <w:bottom w:val="single" w:sz="6" w:space="0" w:color="FBDDE3"/>
            </w:tcBorders>
            <w:tcMar>
              <w:bottom w:w="60" w:type="dxa"/>
            </w:tcMar>
            <w:vAlign w:val="center"/>
          </w:tcPr>
          <w:p>
            <w:pPr>
              <w:pStyle w:val="TableContents"/>
              <w:bidi w:val="0"/>
              <w:spacing w:before="0" w:after="283"/>
              <w:jc w:val="left"/>
              <w:rPr/>
            </w:pPr>
            <w:r>
              <w:rPr/>
              <w:t> </w:t>
            </w:r>
          </w:p>
        </w:tc>
        <w:tc>
          <w:tcPr>
            <w:tcW w:w="865" w:type="dxa"/>
            <w:tcBorders>
              <w:bottom w:val="single" w:sz="6" w:space="0" w:color="FBDDE3"/>
            </w:tcBorders>
            <w:tcMar>
              <w:bottom w:w="60" w:type="dxa"/>
            </w:tcMar>
            <w:vAlign w:val="center"/>
          </w:tcPr>
          <w:p>
            <w:pPr>
              <w:pStyle w:val="TableContents"/>
              <w:bidi w:val="0"/>
              <w:spacing w:before="0" w:after="283"/>
              <w:jc w:val="right"/>
              <w:rPr/>
            </w:pPr>
            <w:r>
              <w:rPr/>
              <w:t>–</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35" w:type="dxa"/>
            <w:tcBorders>
              <w:bottom w:val="single" w:sz="6" w:space="0" w:color="FBDDE3"/>
            </w:tcBorders>
            <w:tcMar>
              <w:bottom w:w="60" w:type="dxa"/>
            </w:tcMar>
            <w:vAlign w:val="center"/>
          </w:tcPr>
          <w:p>
            <w:pPr>
              <w:pStyle w:val="TableContents"/>
              <w:bidi w:val="0"/>
              <w:spacing w:before="0" w:after="283"/>
              <w:jc w:val="left"/>
              <w:rPr/>
            </w:pPr>
            <w:r>
              <w:rPr/>
              <w:t> </w:t>
            </w:r>
          </w:p>
        </w:tc>
        <w:tc>
          <w:tcPr>
            <w:tcW w:w="550" w:type="dxa"/>
            <w:tcBorders>
              <w:bottom w:val="single" w:sz="6" w:space="0" w:color="FBDDE3"/>
            </w:tcBorders>
            <w:tcMar>
              <w:bottom w:w="60" w:type="dxa"/>
            </w:tcMar>
            <w:vAlign w:val="center"/>
          </w:tcPr>
          <w:p>
            <w:pPr>
              <w:pStyle w:val="TableContents"/>
              <w:bidi w:val="0"/>
              <w:spacing w:before="0" w:after="283"/>
              <w:jc w:val="right"/>
              <w:rPr/>
            </w:pPr>
            <w:r>
              <w:rPr/>
              <w:t>–</w:t>
            </w:r>
          </w:p>
        </w:tc>
        <w:tc>
          <w:tcPr>
            <w:tcW w:w="13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r>
      <w:tr>
        <w:trPr/>
        <w:tc>
          <w:tcPr>
            <w:tcW w:w="359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Native Hawaiian or Pacific Islander</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44" w:type="dxa"/>
            <w:tcBorders>
              <w:bottom w:val="single" w:sz="6" w:space="0" w:color="FBDDE3"/>
            </w:tcBorders>
            <w:tcMar>
              <w:bottom w:w="60" w:type="dxa"/>
            </w:tcMar>
            <w:vAlign w:val="center"/>
          </w:tcPr>
          <w:p>
            <w:pPr>
              <w:pStyle w:val="TableContents"/>
              <w:bidi w:val="0"/>
              <w:spacing w:before="0" w:after="283"/>
              <w:jc w:val="left"/>
              <w:rPr/>
            </w:pPr>
            <w:r>
              <w:rPr/>
              <w:t> </w:t>
            </w:r>
          </w:p>
        </w:tc>
        <w:tc>
          <w:tcPr>
            <w:tcW w:w="571" w:type="dxa"/>
            <w:tcBorders>
              <w:bottom w:val="single" w:sz="6" w:space="0" w:color="FBDDE3"/>
            </w:tcBorders>
            <w:tcMar>
              <w:bottom w:w="60" w:type="dxa"/>
            </w:tcMar>
            <w:vAlign w:val="center"/>
          </w:tcPr>
          <w:p>
            <w:pPr>
              <w:pStyle w:val="TableContents"/>
              <w:bidi w:val="0"/>
              <w:spacing w:before="0" w:after="283"/>
              <w:jc w:val="right"/>
              <w:rPr/>
            </w:pPr>
            <w:r>
              <w:rPr/>
              <w:t>–</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5" w:type="dxa"/>
            <w:tcBorders>
              <w:bottom w:val="single" w:sz="6" w:space="0" w:color="FBDDE3"/>
            </w:tcBorders>
            <w:tcMar>
              <w:bottom w:w="60" w:type="dxa"/>
            </w:tcMar>
            <w:vAlign w:val="center"/>
          </w:tcPr>
          <w:p>
            <w:pPr>
              <w:pStyle w:val="TableContents"/>
              <w:bidi w:val="0"/>
              <w:spacing w:before="0" w:after="283"/>
              <w:jc w:val="left"/>
              <w:rPr/>
            </w:pPr>
            <w:r>
              <w:rPr/>
              <w:t> </w:t>
            </w:r>
          </w:p>
        </w:tc>
        <w:tc>
          <w:tcPr>
            <w:tcW w:w="340" w:type="dxa"/>
            <w:tcBorders>
              <w:bottom w:val="single" w:sz="6" w:space="0" w:color="FBDDE3"/>
            </w:tcBorders>
            <w:tcMar>
              <w:bottom w:w="60" w:type="dxa"/>
            </w:tcMar>
            <w:vAlign w:val="center"/>
          </w:tcPr>
          <w:p>
            <w:pPr>
              <w:pStyle w:val="TableContents"/>
              <w:bidi w:val="0"/>
              <w:spacing w:before="0" w:after="283"/>
              <w:jc w:val="right"/>
              <w:rPr/>
            </w:pPr>
            <w:r>
              <w:rPr/>
              <w:t>–</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370" w:type="dxa"/>
            <w:tcBorders>
              <w:bottom w:val="single" w:sz="6" w:space="0" w:color="FBDDE3"/>
            </w:tcBorders>
            <w:tcMar>
              <w:bottom w:w="60" w:type="dxa"/>
            </w:tcMar>
            <w:vAlign w:val="center"/>
          </w:tcPr>
          <w:p>
            <w:pPr>
              <w:pStyle w:val="TableContents"/>
              <w:bidi w:val="0"/>
              <w:spacing w:before="0" w:after="283"/>
              <w:jc w:val="left"/>
              <w:rPr/>
            </w:pPr>
            <w:r>
              <w:rPr/>
              <w:t> </w:t>
            </w:r>
          </w:p>
        </w:tc>
        <w:tc>
          <w:tcPr>
            <w:tcW w:w="865" w:type="dxa"/>
            <w:tcBorders>
              <w:bottom w:val="single" w:sz="6" w:space="0" w:color="FBDDE3"/>
            </w:tcBorders>
            <w:tcMar>
              <w:bottom w:w="60" w:type="dxa"/>
            </w:tcMar>
            <w:vAlign w:val="center"/>
          </w:tcPr>
          <w:p>
            <w:pPr>
              <w:pStyle w:val="TableContents"/>
              <w:bidi w:val="0"/>
              <w:spacing w:before="0" w:after="283"/>
              <w:jc w:val="right"/>
              <w:rPr/>
            </w:pPr>
            <w:r>
              <w:rPr/>
              <w:t>–</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35" w:type="dxa"/>
            <w:tcBorders>
              <w:bottom w:val="single" w:sz="6" w:space="0" w:color="FBDDE3"/>
            </w:tcBorders>
            <w:tcMar>
              <w:bottom w:w="60" w:type="dxa"/>
            </w:tcMar>
            <w:vAlign w:val="center"/>
          </w:tcPr>
          <w:p>
            <w:pPr>
              <w:pStyle w:val="TableContents"/>
              <w:bidi w:val="0"/>
              <w:spacing w:before="0" w:after="283"/>
              <w:jc w:val="left"/>
              <w:rPr/>
            </w:pPr>
            <w:r>
              <w:rPr/>
              <w:t> </w:t>
            </w:r>
          </w:p>
        </w:tc>
        <w:tc>
          <w:tcPr>
            <w:tcW w:w="550" w:type="dxa"/>
            <w:tcBorders>
              <w:bottom w:val="single" w:sz="6" w:space="0" w:color="FBDDE3"/>
            </w:tcBorders>
            <w:tcMar>
              <w:bottom w:w="60" w:type="dxa"/>
            </w:tcMar>
            <w:vAlign w:val="center"/>
          </w:tcPr>
          <w:p>
            <w:pPr>
              <w:pStyle w:val="TableContents"/>
              <w:bidi w:val="0"/>
              <w:spacing w:before="0" w:after="283"/>
              <w:jc w:val="right"/>
              <w:rPr/>
            </w:pPr>
            <w:r>
              <w:rPr/>
              <w:t>–</w:t>
            </w:r>
          </w:p>
        </w:tc>
        <w:tc>
          <w:tcPr>
            <w:tcW w:w="13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r>
      <w:tr>
        <w:trPr/>
        <w:tc>
          <w:tcPr>
            <w:tcW w:w="359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White(5)</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44" w:type="dxa"/>
            <w:tcBorders>
              <w:bottom w:val="single" w:sz="6" w:space="0" w:color="FBDDE3"/>
            </w:tcBorders>
            <w:tcMar>
              <w:bottom w:w="60" w:type="dxa"/>
            </w:tcMar>
            <w:vAlign w:val="center"/>
          </w:tcPr>
          <w:p>
            <w:pPr>
              <w:pStyle w:val="TableContents"/>
              <w:bidi w:val="0"/>
              <w:spacing w:before="0" w:after="283"/>
              <w:jc w:val="left"/>
              <w:rPr/>
            </w:pPr>
            <w:r>
              <w:rPr/>
              <w:t> </w:t>
            </w:r>
          </w:p>
        </w:tc>
        <w:tc>
          <w:tcPr>
            <w:tcW w:w="571" w:type="dxa"/>
            <w:tcBorders>
              <w:bottom w:val="single" w:sz="6" w:space="0" w:color="FBDDE3"/>
            </w:tcBorders>
            <w:tcMar>
              <w:bottom w:w="60" w:type="dxa"/>
            </w:tcMar>
            <w:vAlign w:val="center"/>
          </w:tcPr>
          <w:p>
            <w:pPr>
              <w:pStyle w:val="TableContents"/>
              <w:bidi w:val="0"/>
              <w:spacing w:before="0" w:after="283"/>
              <w:jc w:val="right"/>
              <w:rPr/>
            </w:pPr>
            <w:r>
              <w:rPr/>
              <w:t>3</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5" w:type="dxa"/>
            <w:tcBorders>
              <w:bottom w:val="single" w:sz="6" w:space="0" w:color="FBDDE3"/>
            </w:tcBorders>
            <w:tcMar>
              <w:bottom w:w="60" w:type="dxa"/>
            </w:tcMar>
            <w:vAlign w:val="center"/>
          </w:tcPr>
          <w:p>
            <w:pPr>
              <w:pStyle w:val="TableContents"/>
              <w:bidi w:val="0"/>
              <w:spacing w:before="0" w:after="283"/>
              <w:jc w:val="left"/>
              <w:rPr/>
            </w:pPr>
            <w:r>
              <w:rPr/>
              <w:t> </w:t>
            </w:r>
          </w:p>
        </w:tc>
        <w:tc>
          <w:tcPr>
            <w:tcW w:w="340" w:type="dxa"/>
            <w:tcBorders>
              <w:bottom w:val="single" w:sz="6" w:space="0" w:color="FBDDE3"/>
            </w:tcBorders>
            <w:tcMar>
              <w:bottom w:w="60" w:type="dxa"/>
            </w:tcMar>
            <w:vAlign w:val="center"/>
          </w:tcPr>
          <w:p>
            <w:pPr>
              <w:pStyle w:val="TableContents"/>
              <w:bidi w:val="0"/>
              <w:spacing w:before="0" w:after="283"/>
              <w:jc w:val="right"/>
              <w:rPr/>
            </w:pPr>
            <w:r>
              <w:rPr/>
              <w:t>2</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370" w:type="dxa"/>
            <w:tcBorders>
              <w:bottom w:val="single" w:sz="6" w:space="0" w:color="FBDDE3"/>
            </w:tcBorders>
            <w:tcMar>
              <w:bottom w:w="60" w:type="dxa"/>
            </w:tcMar>
            <w:vAlign w:val="center"/>
          </w:tcPr>
          <w:p>
            <w:pPr>
              <w:pStyle w:val="TableContents"/>
              <w:bidi w:val="0"/>
              <w:spacing w:before="0" w:after="283"/>
              <w:jc w:val="left"/>
              <w:rPr/>
            </w:pPr>
            <w:r>
              <w:rPr/>
              <w:t> </w:t>
            </w:r>
          </w:p>
        </w:tc>
        <w:tc>
          <w:tcPr>
            <w:tcW w:w="865" w:type="dxa"/>
            <w:tcBorders>
              <w:bottom w:val="single" w:sz="6" w:space="0" w:color="FBDDE3"/>
            </w:tcBorders>
            <w:tcMar>
              <w:bottom w:w="60" w:type="dxa"/>
            </w:tcMar>
            <w:vAlign w:val="center"/>
          </w:tcPr>
          <w:p>
            <w:pPr>
              <w:pStyle w:val="TableContents"/>
              <w:bidi w:val="0"/>
              <w:spacing w:before="0" w:after="283"/>
              <w:jc w:val="right"/>
              <w:rPr/>
            </w:pPr>
            <w:r>
              <w:rPr/>
              <w:t>–</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35" w:type="dxa"/>
            <w:tcBorders>
              <w:bottom w:val="single" w:sz="6" w:space="0" w:color="FBDDE3"/>
            </w:tcBorders>
            <w:tcMar>
              <w:bottom w:w="60" w:type="dxa"/>
            </w:tcMar>
            <w:vAlign w:val="center"/>
          </w:tcPr>
          <w:p>
            <w:pPr>
              <w:pStyle w:val="TableContents"/>
              <w:bidi w:val="0"/>
              <w:spacing w:before="0" w:after="283"/>
              <w:jc w:val="left"/>
              <w:rPr/>
            </w:pPr>
            <w:r>
              <w:rPr/>
              <w:t> </w:t>
            </w:r>
          </w:p>
        </w:tc>
        <w:tc>
          <w:tcPr>
            <w:tcW w:w="550" w:type="dxa"/>
            <w:tcBorders>
              <w:bottom w:val="single" w:sz="6" w:space="0" w:color="FBDDE3"/>
            </w:tcBorders>
            <w:tcMar>
              <w:bottom w:w="60" w:type="dxa"/>
            </w:tcMar>
            <w:vAlign w:val="center"/>
          </w:tcPr>
          <w:p>
            <w:pPr>
              <w:pStyle w:val="TableContents"/>
              <w:bidi w:val="0"/>
              <w:spacing w:before="0" w:after="283"/>
              <w:jc w:val="right"/>
              <w:rPr/>
            </w:pPr>
            <w:r>
              <w:rPr/>
              <w:t>–</w:t>
            </w:r>
          </w:p>
        </w:tc>
        <w:tc>
          <w:tcPr>
            <w:tcW w:w="13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r>
      <w:tr>
        <w:trPr/>
        <w:tc>
          <w:tcPr>
            <w:tcW w:w="359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Two or More Races or Ethnicities</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44" w:type="dxa"/>
            <w:tcBorders>
              <w:bottom w:val="single" w:sz="6" w:space="0" w:color="FBDDE3"/>
            </w:tcBorders>
            <w:tcMar>
              <w:bottom w:w="60" w:type="dxa"/>
            </w:tcMar>
            <w:vAlign w:val="center"/>
          </w:tcPr>
          <w:p>
            <w:pPr>
              <w:pStyle w:val="TableContents"/>
              <w:bidi w:val="0"/>
              <w:spacing w:before="0" w:after="283"/>
              <w:jc w:val="left"/>
              <w:rPr/>
            </w:pPr>
            <w:r>
              <w:rPr/>
              <w:t> </w:t>
            </w:r>
          </w:p>
        </w:tc>
        <w:tc>
          <w:tcPr>
            <w:tcW w:w="571" w:type="dxa"/>
            <w:tcBorders>
              <w:bottom w:val="single" w:sz="6" w:space="0" w:color="FBDDE3"/>
            </w:tcBorders>
            <w:tcMar>
              <w:bottom w:w="60" w:type="dxa"/>
            </w:tcMar>
            <w:vAlign w:val="center"/>
          </w:tcPr>
          <w:p>
            <w:pPr>
              <w:pStyle w:val="TableContents"/>
              <w:bidi w:val="0"/>
              <w:spacing w:before="0" w:after="283"/>
              <w:jc w:val="right"/>
              <w:rPr/>
            </w:pPr>
            <w:r>
              <w:rPr/>
              <w:t>–</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5" w:type="dxa"/>
            <w:tcBorders>
              <w:bottom w:val="single" w:sz="6" w:space="0" w:color="FBDDE3"/>
            </w:tcBorders>
            <w:tcMar>
              <w:bottom w:w="60" w:type="dxa"/>
            </w:tcMar>
            <w:vAlign w:val="center"/>
          </w:tcPr>
          <w:p>
            <w:pPr>
              <w:pStyle w:val="TableContents"/>
              <w:bidi w:val="0"/>
              <w:spacing w:before="0" w:after="283"/>
              <w:jc w:val="left"/>
              <w:rPr/>
            </w:pPr>
            <w:r>
              <w:rPr/>
              <w:t> </w:t>
            </w:r>
          </w:p>
        </w:tc>
        <w:tc>
          <w:tcPr>
            <w:tcW w:w="340" w:type="dxa"/>
            <w:tcBorders>
              <w:bottom w:val="single" w:sz="6" w:space="0" w:color="FBDDE3"/>
            </w:tcBorders>
            <w:tcMar>
              <w:bottom w:w="60" w:type="dxa"/>
            </w:tcMar>
            <w:vAlign w:val="center"/>
          </w:tcPr>
          <w:p>
            <w:pPr>
              <w:pStyle w:val="TableContents"/>
              <w:bidi w:val="0"/>
              <w:spacing w:before="0" w:after="283"/>
              <w:jc w:val="right"/>
              <w:rPr/>
            </w:pPr>
            <w:r>
              <w:rPr/>
              <w:t>–</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370" w:type="dxa"/>
            <w:tcBorders>
              <w:bottom w:val="single" w:sz="6" w:space="0" w:color="FBDDE3"/>
            </w:tcBorders>
            <w:tcMar>
              <w:bottom w:w="60" w:type="dxa"/>
            </w:tcMar>
            <w:vAlign w:val="center"/>
          </w:tcPr>
          <w:p>
            <w:pPr>
              <w:pStyle w:val="TableContents"/>
              <w:bidi w:val="0"/>
              <w:spacing w:before="0" w:after="283"/>
              <w:jc w:val="left"/>
              <w:rPr/>
            </w:pPr>
            <w:r>
              <w:rPr/>
              <w:t> </w:t>
            </w:r>
          </w:p>
        </w:tc>
        <w:tc>
          <w:tcPr>
            <w:tcW w:w="865" w:type="dxa"/>
            <w:tcBorders>
              <w:bottom w:val="single" w:sz="6" w:space="0" w:color="FBDDE3"/>
            </w:tcBorders>
            <w:tcMar>
              <w:bottom w:w="60" w:type="dxa"/>
            </w:tcMar>
            <w:vAlign w:val="center"/>
          </w:tcPr>
          <w:p>
            <w:pPr>
              <w:pStyle w:val="TableContents"/>
              <w:bidi w:val="0"/>
              <w:spacing w:before="0" w:after="283"/>
              <w:jc w:val="right"/>
              <w:rPr/>
            </w:pPr>
            <w:r>
              <w:rPr/>
              <w:t>–</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35" w:type="dxa"/>
            <w:tcBorders>
              <w:bottom w:val="single" w:sz="6" w:space="0" w:color="FBDDE3"/>
            </w:tcBorders>
            <w:tcMar>
              <w:bottom w:w="60" w:type="dxa"/>
            </w:tcMar>
            <w:vAlign w:val="center"/>
          </w:tcPr>
          <w:p>
            <w:pPr>
              <w:pStyle w:val="TableContents"/>
              <w:bidi w:val="0"/>
              <w:spacing w:before="0" w:after="283"/>
              <w:jc w:val="left"/>
              <w:rPr/>
            </w:pPr>
            <w:r>
              <w:rPr/>
              <w:t> </w:t>
            </w:r>
          </w:p>
        </w:tc>
        <w:tc>
          <w:tcPr>
            <w:tcW w:w="550" w:type="dxa"/>
            <w:tcBorders>
              <w:bottom w:val="single" w:sz="6" w:space="0" w:color="FBDDE3"/>
            </w:tcBorders>
            <w:tcMar>
              <w:bottom w:w="60" w:type="dxa"/>
            </w:tcMar>
            <w:vAlign w:val="center"/>
          </w:tcPr>
          <w:p>
            <w:pPr>
              <w:pStyle w:val="TableContents"/>
              <w:bidi w:val="0"/>
              <w:spacing w:before="0" w:after="283"/>
              <w:jc w:val="right"/>
              <w:rPr/>
            </w:pPr>
            <w:r>
              <w:rPr/>
              <w:t>–</w:t>
            </w:r>
          </w:p>
        </w:tc>
        <w:tc>
          <w:tcPr>
            <w:tcW w:w="13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r>
      <w:tr>
        <w:trPr/>
        <w:tc>
          <w:tcPr>
            <w:tcW w:w="359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LGBTQIA+</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44" w:type="dxa"/>
            <w:tcBorders>
              <w:bottom w:val="single" w:sz="6" w:space="0" w:color="FBDDE3"/>
            </w:tcBorders>
            <w:tcMar>
              <w:bottom w:w="60" w:type="dxa"/>
            </w:tcMar>
            <w:vAlign w:val="center"/>
          </w:tcPr>
          <w:p>
            <w:pPr>
              <w:pStyle w:val="TableContents"/>
              <w:bidi w:val="0"/>
              <w:spacing w:before="0" w:after="283"/>
              <w:jc w:val="left"/>
              <w:rPr/>
            </w:pPr>
            <w:r>
              <w:rPr/>
              <w:t> </w:t>
            </w:r>
          </w:p>
        </w:tc>
        <w:tc>
          <w:tcPr>
            <w:tcW w:w="571" w:type="dxa"/>
            <w:tcBorders>
              <w:bottom w:val="single" w:sz="6" w:space="0" w:color="FBDDE3"/>
            </w:tcBorders>
            <w:tcMar>
              <w:bottom w:w="60" w:type="dxa"/>
            </w:tcMar>
            <w:vAlign w:val="center"/>
          </w:tcPr>
          <w:p>
            <w:pPr>
              <w:pStyle w:val="TableContents"/>
              <w:bidi w:val="0"/>
              <w:spacing w:before="0" w:after="283"/>
              <w:jc w:val="right"/>
              <w:rPr/>
            </w:pPr>
            <w:r>
              <w:rPr/>
              <w:t>–</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5" w:type="dxa"/>
            <w:tcBorders>
              <w:bottom w:val="single" w:sz="6" w:space="0" w:color="FBDDE3"/>
            </w:tcBorders>
            <w:tcMar>
              <w:bottom w:w="60" w:type="dxa"/>
            </w:tcMar>
            <w:vAlign w:val="center"/>
          </w:tcPr>
          <w:p>
            <w:pPr>
              <w:pStyle w:val="TableContents"/>
              <w:bidi w:val="0"/>
              <w:spacing w:before="0" w:after="283"/>
              <w:jc w:val="left"/>
              <w:rPr/>
            </w:pPr>
            <w:r>
              <w:rPr/>
              <w:t> </w:t>
            </w:r>
          </w:p>
        </w:tc>
        <w:tc>
          <w:tcPr>
            <w:tcW w:w="340" w:type="dxa"/>
            <w:tcBorders>
              <w:bottom w:val="single" w:sz="6" w:space="0" w:color="FBDDE3"/>
            </w:tcBorders>
            <w:tcMar>
              <w:bottom w:w="60" w:type="dxa"/>
            </w:tcMar>
            <w:vAlign w:val="center"/>
          </w:tcPr>
          <w:p>
            <w:pPr>
              <w:pStyle w:val="TableContents"/>
              <w:bidi w:val="0"/>
              <w:spacing w:before="0" w:after="283"/>
              <w:jc w:val="right"/>
              <w:rPr/>
            </w:pPr>
            <w:r>
              <w:rPr/>
              <w:t>–</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370" w:type="dxa"/>
            <w:tcBorders>
              <w:bottom w:val="single" w:sz="6" w:space="0" w:color="FBDDE3"/>
            </w:tcBorders>
            <w:tcMar>
              <w:bottom w:w="60" w:type="dxa"/>
            </w:tcMar>
            <w:vAlign w:val="center"/>
          </w:tcPr>
          <w:p>
            <w:pPr>
              <w:pStyle w:val="TableContents"/>
              <w:bidi w:val="0"/>
              <w:spacing w:before="0" w:after="283"/>
              <w:jc w:val="left"/>
              <w:rPr/>
            </w:pPr>
            <w:r>
              <w:rPr/>
              <w:t> </w:t>
            </w:r>
          </w:p>
        </w:tc>
        <w:tc>
          <w:tcPr>
            <w:tcW w:w="865" w:type="dxa"/>
            <w:tcBorders>
              <w:bottom w:val="single" w:sz="6" w:space="0" w:color="FBDDE3"/>
            </w:tcBorders>
            <w:tcMar>
              <w:bottom w:w="60" w:type="dxa"/>
            </w:tcMar>
            <w:vAlign w:val="center"/>
          </w:tcPr>
          <w:p>
            <w:pPr>
              <w:pStyle w:val="TableContents"/>
              <w:bidi w:val="0"/>
              <w:spacing w:before="0" w:after="283"/>
              <w:jc w:val="right"/>
              <w:rPr/>
            </w:pPr>
            <w:r>
              <w:rPr/>
              <w:t>–</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35" w:type="dxa"/>
            <w:tcBorders>
              <w:bottom w:val="single" w:sz="6" w:space="0" w:color="FBDDE3"/>
            </w:tcBorders>
            <w:tcMar>
              <w:bottom w:w="60" w:type="dxa"/>
            </w:tcMar>
            <w:vAlign w:val="center"/>
          </w:tcPr>
          <w:p>
            <w:pPr>
              <w:pStyle w:val="TableContents"/>
              <w:bidi w:val="0"/>
              <w:spacing w:before="0" w:after="283"/>
              <w:jc w:val="left"/>
              <w:rPr/>
            </w:pPr>
            <w:r>
              <w:rPr/>
              <w:t> </w:t>
            </w:r>
          </w:p>
        </w:tc>
        <w:tc>
          <w:tcPr>
            <w:tcW w:w="550" w:type="dxa"/>
            <w:tcBorders>
              <w:bottom w:val="single" w:sz="6" w:space="0" w:color="FBDDE3"/>
            </w:tcBorders>
            <w:tcMar>
              <w:bottom w:w="60" w:type="dxa"/>
            </w:tcMar>
            <w:vAlign w:val="center"/>
          </w:tcPr>
          <w:p>
            <w:pPr>
              <w:pStyle w:val="TableContents"/>
              <w:bidi w:val="0"/>
              <w:spacing w:before="0" w:after="283"/>
              <w:jc w:val="right"/>
              <w:rPr/>
            </w:pPr>
            <w:r>
              <w:rPr/>
              <w:t>–</w:t>
            </w:r>
          </w:p>
        </w:tc>
        <w:tc>
          <w:tcPr>
            <w:tcW w:w="13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r>
      <w:tr>
        <w:trPr/>
        <w:tc>
          <w:tcPr>
            <w:tcW w:w="3590" w:type="dxa"/>
            <w:tcBorders>
              <w:bottom w:val="single" w:sz="8" w:space="0" w:color="F7ACBA"/>
            </w:tcBorders>
            <w:tcMar>
              <w:bottom w:w="80" w:type="dxa"/>
            </w:tcMar>
            <w:vAlign w:val="center"/>
          </w:tcPr>
          <w:p>
            <w:pPr>
              <w:pStyle w:val="TableContents"/>
              <w:bidi w:val="0"/>
              <w:spacing w:before="0" w:after="0"/>
              <w:jc w:val="left"/>
              <w:rPr>
                <w:rFonts w:ascii="arial" w:hAnsi="arial"/>
                <w:sz w:val="18"/>
              </w:rPr>
            </w:pPr>
            <w:r>
              <w:rPr>
                <w:rFonts w:ascii="arial" w:hAnsi="arial"/>
                <w:sz w:val="18"/>
              </w:rPr>
              <w:t>Did Not Disclose Demographic Background</w:t>
            </w:r>
          </w:p>
        </w:tc>
        <w:tc>
          <w:tcPr>
            <w:tcW w:w="120" w:type="dxa"/>
            <w:tcBorders>
              <w:bottom w:val="single" w:sz="8" w:space="0" w:color="F7ACBA"/>
            </w:tcBorders>
            <w:tcMar>
              <w:bottom w:w="28" w:type="dxa"/>
            </w:tcMar>
            <w:vAlign w:val="center"/>
          </w:tcPr>
          <w:p>
            <w:pPr>
              <w:pStyle w:val="TableContents"/>
              <w:bidi w:val="0"/>
              <w:spacing w:before="0" w:after="283"/>
              <w:jc w:val="left"/>
              <w:rPr/>
            </w:pPr>
            <w:r>
              <w:rPr/>
              <w:t>  </w:t>
            </w:r>
          </w:p>
        </w:tc>
        <w:tc>
          <w:tcPr>
            <w:tcW w:w="244" w:type="dxa"/>
            <w:tcBorders>
              <w:bottom w:val="single" w:sz="8" w:space="0" w:color="F7ACBA"/>
            </w:tcBorders>
            <w:tcMar>
              <w:bottom w:w="80" w:type="dxa"/>
            </w:tcMar>
            <w:vAlign w:val="center"/>
          </w:tcPr>
          <w:p>
            <w:pPr>
              <w:pStyle w:val="TableContents"/>
              <w:bidi w:val="0"/>
              <w:spacing w:before="0" w:after="283"/>
              <w:jc w:val="left"/>
              <w:rPr/>
            </w:pPr>
            <w:r>
              <w:rPr/>
              <w:t> </w:t>
            </w:r>
          </w:p>
        </w:tc>
        <w:tc>
          <w:tcPr>
            <w:tcW w:w="571" w:type="dxa"/>
            <w:tcBorders>
              <w:bottom w:val="single" w:sz="8" w:space="0" w:color="F7ACBA"/>
            </w:tcBorders>
            <w:tcMar>
              <w:bottom w:w="80" w:type="dxa"/>
            </w:tcMar>
            <w:vAlign w:val="center"/>
          </w:tcPr>
          <w:p>
            <w:pPr>
              <w:pStyle w:val="TableContents"/>
              <w:bidi w:val="0"/>
              <w:spacing w:before="0" w:after="283"/>
              <w:jc w:val="right"/>
              <w:rPr/>
            </w:pPr>
            <w:r>
              <w:rPr/>
              <w:t>–</w:t>
            </w:r>
          </w:p>
        </w:tc>
        <w:tc>
          <w:tcPr>
            <w:tcW w:w="120" w:type="dxa"/>
            <w:tcBorders>
              <w:bottom w:val="single" w:sz="8" w:space="0" w:color="F7ACBA"/>
            </w:tcBorders>
            <w:tcMar>
              <w:bottom w:w="80" w:type="dxa"/>
            </w:tcMar>
            <w:vAlign w:val="center"/>
          </w:tcPr>
          <w:p>
            <w:pPr>
              <w:pStyle w:val="TableContents"/>
              <w:bidi w:val="0"/>
              <w:spacing w:before="0" w:after="283"/>
              <w:jc w:val="left"/>
              <w:rPr/>
            </w:pPr>
            <w:r>
              <w:rPr/>
              <w:t> </w:t>
            </w:r>
          </w:p>
        </w:tc>
        <w:tc>
          <w:tcPr>
            <w:tcW w:w="120" w:type="dxa"/>
            <w:tcBorders>
              <w:bottom w:val="single" w:sz="8" w:space="0" w:color="F7ACBA"/>
            </w:tcBorders>
            <w:tcMar>
              <w:bottom w:w="28" w:type="dxa"/>
            </w:tcMar>
            <w:vAlign w:val="center"/>
          </w:tcPr>
          <w:p>
            <w:pPr>
              <w:pStyle w:val="TableContents"/>
              <w:bidi w:val="0"/>
              <w:spacing w:before="0" w:after="283"/>
              <w:jc w:val="left"/>
              <w:rPr/>
            </w:pPr>
            <w:r>
              <w:rPr/>
              <w:t>  </w:t>
            </w:r>
          </w:p>
        </w:tc>
        <w:tc>
          <w:tcPr>
            <w:tcW w:w="145" w:type="dxa"/>
            <w:tcBorders>
              <w:bottom w:val="single" w:sz="8" w:space="0" w:color="F7ACBA"/>
            </w:tcBorders>
            <w:tcMar>
              <w:bottom w:w="80" w:type="dxa"/>
            </w:tcMar>
            <w:vAlign w:val="center"/>
          </w:tcPr>
          <w:p>
            <w:pPr>
              <w:pStyle w:val="TableContents"/>
              <w:bidi w:val="0"/>
              <w:spacing w:before="0" w:after="283"/>
              <w:jc w:val="left"/>
              <w:rPr/>
            </w:pPr>
            <w:r>
              <w:rPr/>
              <w:t> </w:t>
            </w:r>
          </w:p>
        </w:tc>
        <w:tc>
          <w:tcPr>
            <w:tcW w:w="340" w:type="dxa"/>
            <w:tcBorders>
              <w:bottom w:val="single" w:sz="8" w:space="0" w:color="F7ACBA"/>
            </w:tcBorders>
            <w:tcMar>
              <w:bottom w:w="80" w:type="dxa"/>
            </w:tcMar>
            <w:vAlign w:val="center"/>
          </w:tcPr>
          <w:p>
            <w:pPr>
              <w:pStyle w:val="TableContents"/>
              <w:bidi w:val="0"/>
              <w:spacing w:before="0" w:after="283"/>
              <w:jc w:val="right"/>
              <w:rPr/>
            </w:pPr>
            <w:r>
              <w:rPr/>
              <w:t>–</w:t>
            </w:r>
          </w:p>
        </w:tc>
        <w:tc>
          <w:tcPr>
            <w:tcW w:w="120" w:type="dxa"/>
            <w:tcBorders>
              <w:bottom w:val="single" w:sz="8" w:space="0" w:color="F7ACBA"/>
            </w:tcBorders>
            <w:tcMar>
              <w:bottom w:w="80" w:type="dxa"/>
            </w:tcMar>
            <w:vAlign w:val="center"/>
          </w:tcPr>
          <w:p>
            <w:pPr>
              <w:pStyle w:val="TableContents"/>
              <w:bidi w:val="0"/>
              <w:spacing w:before="0" w:after="283"/>
              <w:jc w:val="left"/>
              <w:rPr/>
            </w:pPr>
            <w:r>
              <w:rPr/>
              <w:t> </w:t>
            </w:r>
          </w:p>
        </w:tc>
        <w:tc>
          <w:tcPr>
            <w:tcW w:w="120" w:type="dxa"/>
            <w:tcBorders>
              <w:bottom w:val="single" w:sz="8" w:space="0" w:color="F7ACBA"/>
            </w:tcBorders>
            <w:tcMar>
              <w:bottom w:w="28" w:type="dxa"/>
            </w:tcMar>
            <w:vAlign w:val="center"/>
          </w:tcPr>
          <w:p>
            <w:pPr>
              <w:pStyle w:val="TableContents"/>
              <w:bidi w:val="0"/>
              <w:spacing w:before="0" w:after="283"/>
              <w:jc w:val="left"/>
              <w:rPr/>
            </w:pPr>
            <w:r>
              <w:rPr/>
              <w:t>  </w:t>
            </w:r>
          </w:p>
        </w:tc>
        <w:tc>
          <w:tcPr>
            <w:tcW w:w="370" w:type="dxa"/>
            <w:tcBorders>
              <w:bottom w:val="single" w:sz="8" w:space="0" w:color="F7ACBA"/>
            </w:tcBorders>
            <w:tcMar>
              <w:bottom w:w="80" w:type="dxa"/>
            </w:tcMar>
            <w:vAlign w:val="center"/>
          </w:tcPr>
          <w:p>
            <w:pPr>
              <w:pStyle w:val="TableContents"/>
              <w:bidi w:val="0"/>
              <w:spacing w:before="0" w:after="283"/>
              <w:jc w:val="left"/>
              <w:rPr/>
            </w:pPr>
            <w:r>
              <w:rPr/>
              <w:t> </w:t>
            </w:r>
          </w:p>
        </w:tc>
        <w:tc>
          <w:tcPr>
            <w:tcW w:w="865" w:type="dxa"/>
            <w:tcBorders>
              <w:bottom w:val="single" w:sz="8" w:space="0" w:color="F7ACBA"/>
            </w:tcBorders>
            <w:tcMar>
              <w:bottom w:w="80" w:type="dxa"/>
            </w:tcMar>
            <w:vAlign w:val="center"/>
          </w:tcPr>
          <w:p>
            <w:pPr>
              <w:pStyle w:val="TableContents"/>
              <w:bidi w:val="0"/>
              <w:spacing w:before="0" w:after="283"/>
              <w:jc w:val="right"/>
              <w:rPr/>
            </w:pPr>
            <w:r>
              <w:rPr/>
              <w:t>–</w:t>
            </w:r>
          </w:p>
        </w:tc>
        <w:tc>
          <w:tcPr>
            <w:tcW w:w="120" w:type="dxa"/>
            <w:tcBorders>
              <w:bottom w:val="single" w:sz="8" w:space="0" w:color="F7ACBA"/>
            </w:tcBorders>
            <w:tcMar>
              <w:bottom w:w="80" w:type="dxa"/>
            </w:tcMar>
            <w:vAlign w:val="center"/>
          </w:tcPr>
          <w:p>
            <w:pPr>
              <w:pStyle w:val="TableContents"/>
              <w:bidi w:val="0"/>
              <w:spacing w:before="0" w:after="283"/>
              <w:jc w:val="left"/>
              <w:rPr/>
            </w:pPr>
            <w:r>
              <w:rPr/>
              <w:t> </w:t>
            </w:r>
          </w:p>
        </w:tc>
        <w:tc>
          <w:tcPr>
            <w:tcW w:w="120" w:type="dxa"/>
            <w:tcBorders>
              <w:bottom w:val="single" w:sz="8" w:space="0" w:color="F7ACBA"/>
            </w:tcBorders>
            <w:tcMar>
              <w:bottom w:w="28" w:type="dxa"/>
            </w:tcMar>
            <w:vAlign w:val="center"/>
          </w:tcPr>
          <w:p>
            <w:pPr>
              <w:pStyle w:val="TableContents"/>
              <w:bidi w:val="0"/>
              <w:spacing w:before="0" w:after="283"/>
              <w:jc w:val="left"/>
              <w:rPr/>
            </w:pPr>
            <w:r>
              <w:rPr/>
              <w:t>  </w:t>
            </w:r>
          </w:p>
        </w:tc>
        <w:tc>
          <w:tcPr>
            <w:tcW w:w="235" w:type="dxa"/>
            <w:tcBorders>
              <w:bottom w:val="single" w:sz="8" w:space="0" w:color="F7ACBA"/>
            </w:tcBorders>
            <w:tcMar>
              <w:bottom w:w="80" w:type="dxa"/>
            </w:tcMar>
            <w:vAlign w:val="center"/>
          </w:tcPr>
          <w:p>
            <w:pPr>
              <w:pStyle w:val="TableContents"/>
              <w:bidi w:val="0"/>
              <w:spacing w:before="0" w:after="283"/>
              <w:jc w:val="left"/>
              <w:rPr/>
            </w:pPr>
            <w:r>
              <w:rPr/>
              <w:t> </w:t>
            </w:r>
          </w:p>
        </w:tc>
        <w:tc>
          <w:tcPr>
            <w:tcW w:w="550" w:type="dxa"/>
            <w:tcBorders>
              <w:bottom w:val="single" w:sz="8" w:space="0" w:color="F7ACBA"/>
            </w:tcBorders>
            <w:tcMar>
              <w:bottom w:w="80" w:type="dxa"/>
            </w:tcMar>
            <w:vAlign w:val="center"/>
          </w:tcPr>
          <w:p>
            <w:pPr>
              <w:pStyle w:val="TableContents"/>
              <w:bidi w:val="0"/>
              <w:spacing w:before="0" w:after="283"/>
              <w:jc w:val="right"/>
              <w:rPr/>
            </w:pPr>
            <w:r>
              <w:rPr/>
              <w:t>–</w:t>
            </w:r>
          </w:p>
        </w:tc>
        <w:tc>
          <w:tcPr>
            <w:tcW w:w="135" w:type="dxa"/>
            <w:tcBorders>
              <w:bottom w:val="single" w:sz="8" w:space="0" w:color="F7ACBA"/>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pPr>
            <w:r>
              <w:rPr/>
              <w:t>(1)</w:t>
            </w:r>
          </w:p>
        </w:tc>
        <w:tc>
          <w:tcPr>
            <w:tcW w:w="9906" w:type="dxa"/>
            <w:tcBorders/>
            <w:vAlign w:val="center"/>
          </w:tcPr>
          <w:p>
            <w:pPr>
              <w:pStyle w:val="TableContents"/>
              <w:bidi w:val="0"/>
              <w:spacing w:before="0" w:after="0"/>
              <w:jc w:val="left"/>
              <w:rPr>
                <w:rFonts w:ascii="arial" w:hAnsi="arial"/>
                <w:sz w:val="14"/>
              </w:rPr>
            </w:pPr>
            <w:r>
              <w:rPr>
                <w:rFonts w:ascii="arial" w:hAnsi="arial"/>
                <w:sz w:val="14"/>
              </w:rPr>
              <w:t xml:space="preserve">Irene Chang Britt, Sarah Davis, Jacqueline Hernández, Donna James, Mariam Naficy, Lauren Peters, and Anne Sheehan are women. Rod Little and Martin Waters are men. </w:t>
            </w:r>
          </w:p>
        </w:tc>
      </w:tr>
    </w:tbl>
    <w:p>
      <w:pPr>
        <w:pStyle w:val="TextBody"/>
        <w:bidi w:val="0"/>
        <w:spacing w:before="0" w:after="0"/>
        <w:jc w:val="left"/>
        <w:rPr/>
      </w:pPr>
      <w:r>
        <w:rPr/>
        <w:t> </w:t>
      </w:r>
    </w:p>
    <w:tbl>
      <w:tblPr>
        <w:tblW w:w="2890" w:type="dxa"/>
        <w:jc w:val="left"/>
        <w:tblInd w:w="0" w:type="dxa"/>
        <w:tblLayout w:type="fixed"/>
        <w:tblCellMar>
          <w:top w:w="0" w:type="dxa"/>
          <w:left w:w="0" w:type="dxa"/>
          <w:bottom w:w="0" w:type="dxa"/>
          <w:right w:w="0" w:type="dxa"/>
        </w:tblCellMar>
      </w:tblPr>
      <w:tblGrid>
        <w:gridCol w:w="305"/>
        <w:gridCol w:w="2585"/>
      </w:tblGrid>
      <w:tr>
        <w:trPr/>
        <w:tc>
          <w:tcPr>
            <w:tcW w:w="305" w:type="dxa"/>
            <w:tcBorders/>
            <w:vAlign w:val="center"/>
          </w:tcPr>
          <w:p>
            <w:pPr>
              <w:pStyle w:val="TableContents"/>
              <w:bidi w:val="0"/>
              <w:spacing w:before="0" w:after="283"/>
              <w:jc w:val="left"/>
              <w:rPr/>
            </w:pPr>
            <w:r>
              <w:rPr/>
              <w:t>(2)</w:t>
            </w:r>
          </w:p>
        </w:tc>
        <w:tc>
          <w:tcPr>
            <w:tcW w:w="2585" w:type="dxa"/>
            <w:tcBorders/>
            <w:vAlign w:val="center"/>
          </w:tcPr>
          <w:p>
            <w:pPr>
              <w:pStyle w:val="TableContents"/>
              <w:bidi w:val="0"/>
              <w:spacing w:before="0" w:after="0"/>
              <w:jc w:val="left"/>
              <w:rPr>
                <w:rFonts w:ascii="arial" w:hAnsi="arial"/>
                <w:sz w:val="14"/>
              </w:rPr>
            </w:pPr>
            <w:r>
              <w:rPr>
                <w:rFonts w:ascii="arial" w:hAnsi="arial"/>
                <w:sz w:val="14"/>
              </w:rPr>
              <w:t xml:space="preserve">Donna James’ race or ethnicity is Black. </w:t>
            </w:r>
          </w:p>
        </w:tc>
      </w:tr>
    </w:tbl>
    <w:p>
      <w:pPr>
        <w:pStyle w:val="TextBody"/>
        <w:bidi w:val="0"/>
        <w:spacing w:before="0" w:after="0"/>
        <w:jc w:val="left"/>
        <w:rPr/>
      </w:pPr>
      <w:r>
        <w:rPr/>
        <w:t> </w:t>
      </w:r>
    </w:p>
    <w:tbl>
      <w:tblPr>
        <w:tblW w:w="4465" w:type="dxa"/>
        <w:jc w:val="left"/>
        <w:tblInd w:w="0" w:type="dxa"/>
        <w:tblLayout w:type="fixed"/>
        <w:tblCellMar>
          <w:top w:w="0" w:type="dxa"/>
          <w:left w:w="0" w:type="dxa"/>
          <w:bottom w:w="0" w:type="dxa"/>
          <w:right w:w="0" w:type="dxa"/>
        </w:tblCellMar>
      </w:tblPr>
      <w:tblGrid>
        <w:gridCol w:w="305"/>
        <w:gridCol w:w="4160"/>
      </w:tblGrid>
      <w:tr>
        <w:trPr/>
        <w:tc>
          <w:tcPr>
            <w:tcW w:w="305" w:type="dxa"/>
            <w:tcBorders/>
            <w:vAlign w:val="center"/>
          </w:tcPr>
          <w:p>
            <w:pPr>
              <w:pStyle w:val="TableContents"/>
              <w:bidi w:val="0"/>
              <w:spacing w:before="0" w:after="283"/>
              <w:jc w:val="left"/>
              <w:rPr/>
            </w:pPr>
            <w:r>
              <w:rPr/>
              <w:t>(3)</w:t>
            </w:r>
          </w:p>
        </w:tc>
        <w:tc>
          <w:tcPr>
            <w:tcW w:w="4160" w:type="dxa"/>
            <w:tcBorders/>
            <w:vAlign w:val="center"/>
          </w:tcPr>
          <w:p>
            <w:pPr>
              <w:pStyle w:val="TableContents"/>
              <w:bidi w:val="0"/>
              <w:spacing w:before="0" w:after="0"/>
              <w:jc w:val="left"/>
              <w:rPr>
                <w:rFonts w:ascii="arial" w:hAnsi="arial"/>
                <w:sz w:val="14"/>
              </w:rPr>
            </w:pPr>
            <w:r>
              <w:rPr>
                <w:rFonts w:ascii="arial" w:hAnsi="arial"/>
                <w:sz w:val="14"/>
              </w:rPr>
              <w:t xml:space="preserve">Irene Chang Britt’s and Mariam Naficy’s race or ethnicity is Asian. </w:t>
            </w:r>
          </w:p>
        </w:tc>
      </w:tr>
    </w:tbl>
    <w:p>
      <w:pPr>
        <w:pStyle w:val="TextBody"/>
        <w:bidi w:val="0"/>
        <w:spacing w:before="0" w:after="0"/>
        <w:jc w:val="left"/>
        <w:rPr/>
      </w:pPr>
      <w:r>
        <w:rPr/>
        <w:t> </w:t>
      </w:r>
    </w:p>
    <w:tbl>
      <w:tblPr>
        <w:tblW w:w="3670" w:type="dxa"/>
        <w:jc w:val="left"/>
        <w:tblInd w:w="0" w:type="dxa"/>
        <w:tblLayout w:type="fixed"/>
        <w:tblCellMar>
          <w:top w:w="0" w:type="dxa"/>
          <w:left w:w="0" w:type="dxa"/>
          <w:bottom w:w="0" w:type="dxa"/>
          <w:right w:w="0" w:type="dxa"/>
        </w:tblCellMar>
      </w:tblPr>
      <w:tblGrid>
        <w:gridCol w:w="305"/>
        <w:gridCol w:w="3365"/>
      </w:tblGrid>
      <w:tr>
        <w:trPr/>
        <w:tc>
          <w:tcPr>
            <w:tcW w:w="305" w:type="dxa"/>
            <w:tcBorders/>
            <w:vAlign w:val="center"/>
          </w:tcPr>
          <w:p>
            <w:pPr>
              <w:pStyle w:val="TableContents"/>
              <w:bidi w:val="0"/>
              <w:spacing w:before="0" w:after="283"/>
              <w:jc w:val="left"/>
              <w:rPr/>
            </w:pPr>
            <w:r>
              <w:rPr/>
              <w:t>(4)</w:t>
            </w:r>
          </w:p>
        </w:tc>
        <w:tc>
          <w:tcPr>
            <w:tcW w:w="3365" w:type="dxa"/>
            <w:tcBorders/>
            <w:vAlign w:val="center"/>
          </w:tcPr>
          <w:p>
            <w:pPr>
              <w:pStyle w:val="TableContents"/>
              <w:bidi w:val="0"/>
              <w:spacing w:before="0" w:after="0"/>
              <w:jc w:val="left"/>
              <w:rPr>
                <w:rFonts w:ascii="arial" w:hAnsi="arial"/>
                <w:sz w:val="14"/>
              </w:rPr>
            </w:pPr>
            <w:r>
              <w:rPr>
                <w:rFonts w:ascii="arial" w:hAnsi="arial"/>
                <w:sz w:val="14"/>
              </w:rPr>
              <w:t xml:space="preserve">Jacqueline Hernández’s race or ethnicity is Hispanic. </w:t>
            </w:r>
          </w:p>
        </w:tc>
      </w:tr>
    </w:tbl>
    <w:p>
      <w:pPr>
        <w:pStyle w:val="TextBody"/>
        <w:bidi w:val="0"/>
        <w:spacing w:before="0" w:after="0"/>
        <w:jc w:val="left"/>
        <w:rPr/>
      </w:pPr>
      <w:r>
        <w:rPr/>
        <w:t> </w:t>
      </w:r>
    </w:p>
    <w:tbl>
      <w:tblPr>
        <w:tblW w:w="6985" w:type="dxa"/>
        <w:jc w:val="left"/>
        <w:tblInd w:w="0" w:type="dxa"/>
        <w:tblLayout w:type="fixed"/>
        <w:tblCellMar>
          <w:top w:w="0" w:type="dxa"/>
          <w:left w:w="0" w:type="dxa"/>
          <w:bottom w:w="0" w:type="dxa"/>
          <w:right w:w="0" w:type="dxa"/>
        </w:tblCellMar>
      </w:tblPr>
      <w:tblGrid>
        <w:gridCol w:w="305"/>
        <w:gridCol w:w="6680"/>
      </w:tblGrid>
      <w:tr>
        <w:trPr/>
        <w:tc>
          <w:tcPr>
            <w:tcW w:w="305" w:type="dxa"/>
            <w:tcBorders/>
            <w:vAlign w:val="center"/>
          </w:tcPr>
          <w:p>
            <w:pPr>
              <w:pStyle w:val="TableContents"/>
              <w:bidi w:val="0"/>
              <w:spacing w:before="0" w:after="283"/>
              <w:jc w:val="left"/>
              <w:rPr/>
            </w:pPr>
            <w:r>
              <w:rPr/>
              <w:t>(5)</w:t>
            </w:r>
          </w:p>
        </w:tc>
        <w:tc>
          <w:tcPr>
            <w:tcW w:w="6680" w:type="dxa"/>
            <w:tcBorders/>
            <w:vAlign w:val="center"/>
          </w:tcPr>
          <w:p>
            <w:pPr>
              <w:pStyle w:val="TableContents"/>
              <w:bidi w:val="0"/>
              <w:spacing w:before="0" w:after="0"/>
              <w:jc w:val="left"/>
              <w:rPr>
                <w:rFonts w:ascii="arial" w:hAnsi="arial"/>
                <w:sz w:val="14"/>
              </w:rPr>
            </w:pPr>
            <w:r>
              <w:rPr>
                <w:rFonts w:ascii="arial" w:hAnsi="arial"/>
                <w:sz w:val="14"/>
              </w:rPr>
              <w:t xml:space="preserve">Sarah Davis’s, Rod Little’s, Lauren Peters’, Anne Sheehan’s, and Martin Waters’ race or ethnicity is White. </w:t>
            </w:r>
          </w:p>
        </w:tc>
      </w:tr>
    </w:tbl>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69"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0" descr=""/>
                          <pic:cNvPicPr>
                            <a:picLocks noChangeAspect="1" noChangeArrowheads="1"/>
                          </pic:cNvPicPr>
                        </pic:nvPicPr>
                        <pic:blipFill>
                          <a:blip r:embed="rId61"/>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24 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CORPORATE GOVERNANCE </w:t>
      </w:r>
    </w:p>
    <w:p>
      <w:pPr>
        <w:pStyle w:val="TextBody"/>
        <w:bidi w:val="0"/>
        <w:spacing w:before="0" w:after="0"/>
        <w:jc w:val="left"/>
        <w:rPr/>
      </w:pPr>
      <w:r>
        <w:rPr/>
        <w:t> </w:t>
      </w:r>
    </w:p>
    <w:p>
      <w:pPr>
        <w:pStyle w:val="TextBody"/>
        <w:bidi w:val="0"/>
        <w:spacing w:before="0" w:after="0"/>
        <w:jc w:val="left"/>
        <w:rPr>
          <w:rFonts w:ascii="arial" w:hAnsi="arial"/>
          <w:sz w:val="30"/>
        </w:rPr>
      </w:pPr>
      <w:bookmarkStart w:id="10" w:name="toc540996_7"/>
      <w:bookmarkEnd w:id="10"/>
      <w:r>
        <w:rPr>
          <w:rFonts w:ascii="arial" w:hAnsi="arial"/>
          <w:sz w:val="30"/>
        </w:rPr>
        <w:t xml:space="preserve">Board Policies and Practices </w:t>
      </w:r>
    </w:p>
    <w:p>
      <w:pPr>
        <w:pStyle w:val="TextBody"/>
        <w:bidi w:val="0"/>
        <w:spacing w:before="240" w:after="0"/>
        <w:jc w:val="left"/>
        <w:rPr>
          <w:rFonts w:ascii="arial" w:hAnsi="arial"/>
          <w:b/>
          <w:color w:val="F7ACBA"/>
          <w:sz w:val="24"/>
        </w:rPr>
      </w:pPr>
      <w:r>
        <w:rPr>
          <w:rFonts w:ascii="arial" w:hAnsi="arial"/>
          <w:b/>
          <w:color w:val="F7ACBA"/>
          <w:sz w:val="24"/>
        </w:rPr>
        <w:t xml:space="preserve">Director Attendance </w:t>
      </w:r>
    </w:p>
    <w:p>
      <w:pPr>
        <w:pStyle w:val="TextBody"/>
        <w:bidi w:val="0"/>
        <w:spacing w:before="60" w:after="0"/>
        <w:jc w:val="left"/>
        <w:rPr>
          <w:rFonts w:ascii="arial" w:hAnsi="arial"/>
          <w:sz w:val="18"/>
        </w:rPr>
      </w:pPr>
      <w:r>
        <w:rPr>
          <w:rFonts w:ascii="arial" w:hAnsi="arial"/>
          <w:sz w:val="18"/>
        </w:rPr>
        <w:t xml:space="preserve">Our directors are called upon to be knowledgeable about and interested in the business of VS&amp;Co. Directors are expected to attend all or substantially all of the Board and applicable Board committee meetings and to devote the time necessary to diligently discharge their duties. All directors are invited to attend all Board committee meetings, even if they are not a member of that committee. </w:t>
      </w:r>
    </w:p>
    <w:p>
      <w:pPr>
        <w:pStyle w:val="TextBody"/>
        <w:bidi w:val="0"/>
        <w:spacing w:before="0" w:after="0"/>
        <w:jc w:val="left"/>
        <w:rPr/>
      </w:pPr>
      <w:r>
        <w:rPr/>
        <w:t> </w:t>
      </w:r>
    </w:p>
    <w:p>
      <w:pPr>
        <w:pStyle w:val="TextBody"/>
        <w:bidi w:val="0"/>
        <w:spacing w:before="0" w:after="0"/>
        <w:jc w:val="center"/>
        <w:rPr/>
      </w:pPr>
      <w:r>
        <w:rPr/>
        <w:drawing>
          <wp:inline distT="0" distB="0" distL="0" distR="0">
            <wp:extent cx="375920" cy="157480"/>
            <wp:effectExtent l="0" t="0" r="0" b="0"/>
            <wp:docPr id="70"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1" descr=""/>
                    <pic:cNvPicPr>
                      <a:picLocks noChangeAspect="1" noChangeArrowheads="1"/>
                    </pic:cNvPicPr>
                  </pic:nvPicPr>
                  <pic:blipFill>
                    <a:blip r:embed="rId62"/>
                    <a:stretch>
                      <a:fillRect/>
                    </a:stretch>
                  </pic:blipFill>
                  <pic:spPr bwMode="auto">
                    <a:xfrm>
                      <a:off x="0" y="0"/>
                      <a:ext cx="375920" cy="157480"/>
                    </a:xfrm>
                    <a:prstGeom prst="rect">
                      <a:avLst/>
                    </a:prstGeom>
                  </pic:spPr>
                </pic:pic>
              </a:graphicData>
            </a:graphic>
          </wp:inline>
        </w:drawing>
      </w:r>
      <w:r>
        <w:rPr/>
        <w:t xml:space="preserve"> </w:t>
      </w:r>
    </w:p>
    <w:p>
      <w:pPr>
        <w:pStyle w:val="TextBody"/>
        <w:bidi w:val="0"/>
        <w:spacing w:before="240" w:after="0"/>
        <w:jc w:val="left"/>
        <w:rPr>
          <w:rFonts w:ascii="arial" w:hAnsi="arial"/>
          <w:sz w:val="18"/>
        </w:rPr>
      </w:pPr>
      <w:r>
        <w:rPr>
          <w:rFonts w:ascii="arial" w:hAnsi="arial"/>
          <w:sz w:val="18"/>
        </w:rPr>
        <w:t xml:space="preserve">Directors are required to attend the annual meeting of stockholders, unless unable to do so due to extraordinary circumstances. All directors attended the annual meeting of stockholders in 2023 except Mariam Naficy. All directors are expected to attend the 2024 Annual Meeting. </w:t>
      </w:r>
    </w:p>
    <w:p>
      <w:pPr>
        <w:pStyle w:val="TextBody"/>
        <w:bidi w:val="0"/>
        <w:spacing w:before="240" w:after="0"/>
        <w:jc w:val="left"/>
        <w:rPr>
          <w:rFonts w:ascii="arial" w:hAnsi="arial"/>
          <w:b/>
          <w:color w:val="F7ACBA"/>
          <w:sz w:val="24"/>
        </w:rPr>
      </w:pPr>
      <w:r>
        <w:rPr>
          <w:rFonts w:ascii="arial" w:hAnsi="arial"/>
          <w:b/>
          <w:color w:val="F7ACBA"/>
          <w:sz w:val="24"/>
        </w:rPr>
        <w:t xml:space="preserve">Board Meetings </w:t>
      </w:r>
    </w:p>
    <w:p>
      <w:pPr>
        <w:pStyle w:val="TextBody"/>
        <w:bidi w:val="0"/>
        <w:spacing w:before="60" w:after="0"/>
        <w:jc w:val="left"/>
        <w:rPr>
          <w:rFonts w:ascii="arial" w:hAnsi="arial"/>
          <w:sz w:val="18"/>
        </w:rPr>
      </w:pPr>
      <w:r>
        <w:rPr>
          <w:rFonts w:ascii="arial" w:hAnsi="arial"/>
          <w:sz w:val="18"/>
        </w:rPr>
        <w:t xml:space="preserve">The Board met ten times in fiscal 2023. During fiscal 2023, each director attended more than 75% of the meetings of the Board and the Board committees on which the director served during the director’s tenure. For any Board meeting, the presence of a majority of the directors constitutes a quorum, which is required for the Board to transact business. Except as otherwise required by law or our Certificate of Incorporation or Bylaws, Board action requires the vote of a majority of the directors present at a meeting with quorum. Each director has one vote. </w:t>
      </w:r>
    </w:p>
    <w:p>
      <w:pPr>
        <w:pStyle w:val="TextBody"/>
        <w:bidi w:val="0"/>
        <w:spacing w:before="240" w:after="0"/>
        <w:jc w:val="left"/>
        <w:rPr>
          <w:rFonts w:ascii="arial" w:hAnsi="arial"/>
          <w:b/>
          <w:color w:val="F7ACBA"/>
          <w:sz w:val="24"/>
        </w:rPr>
      </w:pPr>
      <w:r>
        <w:rPr>
          <w:rFonts w:ascii="arial" w:hAnsi="arial"/>
          <w:b/>
          <w:color w:val="F7ACBA"/>
          <w:sz w:val="24"/>
        </w:rPr>
        <w:t xml:space="preserve">Executive Sessions of Independent Directors </w:t>
      </w:r>
    </w:p>
    <w:p>
      <w:pPr>
        <w:pStyle w:val="TextBody"/>
        <w:bidi w:val="0"/>
        <w:spacing w:before="60" w:after="0"/>
        <w:jc w:val="left"/>
        <w:rPr>
          <w:rFonts w:ascii="arial" w:hAnsi="arial"/>
          <w:sz w:val="18"/>
        </w:rPr>
      </w:pPr>
      <w:r>
        <w:rPr>
          <w:rFonts w:ascii="arial" w:hAnsi="arial"/>
          <w:sz w:val="18"/>
        </w:rPr>
        <w:t xml:space="preserve">Our independent directors are ensured adequate opportunity to meet in executive session, without management or non-independent directors present, at each meeting of the Board and the Board committees. The independent directors are required to meet in executive session at least once per year and have established a custom of meeting in executive session at nearly all Board and Board committee meetings. In fiscal 2023, all Board meetings included an executive session. </w:t>
      </w:r>
    </w:p>
    <w:p>
      <w:pPr>
        <w:pStyle w:val="TextBody"/>
        <w:bidi w:val="0"/>
        <w:spacing w:before="240" w:after="0"/>
        <w:jc w:val="left"/>
        <w:rPr>
          <w:rFonts w:ascii="arial" w:hAnsi="arial"/>
          <w:b/>
          <w:color w:val="F7ACBA"/>
          <w:sz w:val="24"/>
        </w:rPr>
      </w:pPr>
      <w:r>
        <w:rPr>
          <w:rFonts w:ascii="arial" w:hAnsi="arial"/>
          <w:b/>
          <w:color w:val="F7ACBA"/>
          <w:sz w:val="24"/>
        </w:rPr>
        <w:t xml:space="preserve">Stock Ownership Guidelines </w:t>
      </w:r>
    </w:p>
    <w:p>
      <w:pPr>
        <w:pStyle w:val="TextBody"/>
        <w:bidi w:val="0"/>
        <w:spacing w:before="60" w:after="0"/>
        <w:jc w:val="left"/>
        <w:rPr>
          <w:rFonts w:ascii="arial" w:hAnsi="arial"/>
          <w:sz w:val="18"/>
        </w:rPr>
      </w:pPr>
      <w:r>
        <w:rPr>
          <w:rFonts w:ascii="arial" w:hAnsi="arial"/>
          <w:sz w:val="18"/>
        </w:rPr>
        <w:t xml:space="preserve">Directors are expected to comply with our stock ownership guidelines. Once a director has served on the Board for four years, he or she must maintain ownership of a number of shares of VS&amp;Co common stock equal to the sum of the net shares he or she received as Board compensation over the preceding four-year period. For purposes of these guidelines, “net shares” means the number of shares that would remain if shares received by the director are sold to satisfy any associated tax obligations (assuming a tax rate of 40%) upon receipt. </w:t>
      </w:r>
    </w:p>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71"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2" descr=""/>
                          <pic:cNvPicPr>
                            <a:picLocks noChangeAspect="1" noChangeArrowheads="1"/>
                          </pic:cNvPicPr>
                        </pic:nvPicPr>
                        <pic:blipFill>
                          <a:blip r:embed="rId63"/>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25 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CORPORATE GOVERNANCE </w:t>
      </w:r>
    </w:p>
    <w:p>
      <w:pPr>
        <w:pStyle w:val="TextBody"/>
        <w:bidi w:val="0"/>
        <w:spacing w:before="0" w:after="0"/>
        <w:jc w:val="left"/>
        <w:rPr/>
      </w:pPr>
      <w:r>
        <w:rPr/>
        <w:t> </w:t>
      </w:r>
    </w:p>
    <w:p>
      <w:pPr>
        <w:pStyle w:val="TextBody"/>
        <w:bidi w:val="0"/>
        <w:spacing w:before="0" w:after="0"/>
        <w:jc w:val="left"/>
        <w:rPr>
          <w:rFonts w:ascii="arial" w:hAnsi="arial"/>
          <w:b/>
          <w:color w:val="F7ACBA"/>
          <w:sz w:val="24"/>
        </w:rPr>
      </w:pPr>
      <w:r>
        <w:rPr>
          <w:rFonts w:ascii="arial" w:hAnsi="arial"/>
          <w:b/>
          <w:color w:val="F7ACBA"/>
          <w:sz w:val="24"/>
        </w:rPr>
        <w:t xml:space="preserve">Director Orientation and Continuing Education </w:t>
      </w:r>
    </w:p>
    <w:p>
      <w:pPr>
        <w:pStyle w:val="TextBody"/>
        <w:bidi w:val="0"/>
        <w:spacing w:before="60" w:after="0"/>
        <w:jc w:val="left"/>
        <w:rPr>
          <w:rFonts w:ascii="arial" w:hAnsi="arial"/>
          <w:sz w:val="18"/>
        </w:rPr>
      </w:pPr>
      <w:r>
        <w:rPr>
          <w:rFonts w:ascii="arial" w:hAnsi="arial"/>
          <w:sz w:val="18"/>
        </w:rPr>
        <w:t xml:space="preserve">Ongoing director education is an important priority of the Company and the Board. Meetings of the Board and its standing committees regularly include presentations on educational topics and updates on emerging issues. In addition, directors are encouraged to participate in and attend, at VS&amp;Co’s expense, additional continuing education programs, including programs recommended by the Nominating and Governance Committee. </w:t>
      </w:r>
    </w:p>
    <w:p>
      <w:pPr>
        <w:pStyle w:val="TextBody"/>
        <w:bidi w:val="0"/>
        <w:spacing w:before="120" w:after="0"/>
        <w:jc w:val="left"/>
        <w:rPr>
          <w:rFonts w:ascii="arial" w:hAnsi="arial"/>
          <w:sz w:val="18"/>
        </w:rPr>
      </w:pPr>
      <w:r>
        <w:rPr>
          <w:rFonts w:ascii="arial" w:hAnsi="arial"/>
          <w:sz w:val="18"/>
        </w:rPr>
        <w:t xml:space="preserve">New members of the Board receive a formal orientation designed and implemented under the supervision of the Nominating and Governance Committee. New Board members meet with the CEO, the Chief Financial Officer, the Chief Legal Officer and Chief Human Resources Officer, and other members of management to learn about the Company’s history, business operations, long-term strategy, finances, and governance policies. </w:t>
      </w:r>
    </w:p>
    <w:p>
      <w:pPr>
        <w:pStyle w:val="TextBody"/>
        <w:bidi w:val="0"/>
        <w:spacing w:before="240" w:after="0"/>
        <w:jc w:val="left"/>
        <w:rPr>
          <w:rFonts w:ascii="arial" w:hAnsi="arial"/>
          <w:b/>
          <w:color w:val="F7ACBA"/>
          <w:sz w:val="24"/>
        </w:rPr>
      </w:pPr>
      <w:r>
        <w:rPr>
          <w:rFonts w:ascii="arial" w:hAnsi="arial"/>
          <w:b/>
          <w:color w:val="F7ACBA"/>
          <w:sz w:val="24"/>
        </w:rPr>
        <w:t xml:space="preserve">Performance Evaluations </w:t>
      </w:r>
    </w:p>
    <w:p>
      <w:pPr>
        <w:pStyle w:val="TextBody"/>
        <w:bidi w:val="0"/>
        <w:spacing w:before="60" w:after="0"/>
        <w:jc w:val="left"/>
        <w:rPr>
          <w:rFonts w:ascii="arial" w:hAnsi="arial"/>
          <w:sz w:val="18"/>
        </w:rPr>
      </w:pPr>
      <w:r>
        <w:rPr>
          <w:rFonts w:ascii="arial" w:hAnsi="arial"/>
          <w:sz w:val="18"/>
        </w:rPr>
        <w:t xml:space="preserve">The Board, each standing Board committee, and each director undergoes a structured annual performance evaluation designed and overseen by the Nominating and Governance Committee. Each director completes a detailed assessment of the Board, each committee on which such director serves, as well as his or her own performance as a director. The Nominating and Governance Committee reviews each director’s self-assessment and recommends opportunities for improvement. The Board and committee evaluation questionnaires include questions related to Board or committee operations, culture, composition, structure, meetings, meeting materials, communication with management and external advisors, and initiatives the Board or committee should address in the near future. The Board and each of the standing committees discuss the performance evaluation results and explore ideas for improvement during an executive session of the next Board or committee meeting. </w:t>
      </w:r>
    </w:p>
    <w:p>
      <w:pPr>
        <w:pStyle w:val="TextBody"/>
        <w:bidi w:val="0"/>
        <w:spacing w:before="240" w:after="0"/>
        <w:jc w:val="left"/>
        <w:rPr>
          <w:rFonts w:ascii="arial" w:hAnsi="arial"/>
          <w:b/>
          <w:color w:val="F7ACBA"/>
          <w:sz w:val="24"/>
        </w:rPr>
      </w:pPr>
      <w:r>
        <w:rPr>
          <w:rFonts w:ascii="arial" w:hAnsi="arial"/>
          <w:b/>
          <w:color w:val="F7ACBA"/>
          <w:sz w:val="24"/>
        </w:rPr>
        <w:t xml:space="preserve">Board Term Limits and Age Limits </w:t>
      </w:r>
    </w:p>
    <w:p>
      <w:pPr>
        <w:pStyle w:val="TextBody"/>
        <w:bidi w:val="0"/>
        <w:spacing w:before="60" w:after="0"/>
        <w:jc w:val="left"/>
        <w:rPr>
          <w:rFonts w:ascii="arial" w:hAnsi="arial"/>
          <w:sz w:val="18"/>
        </w:rPr>
      </w:pPr>
      <w:r>
        <w:rPr>
          <w:rFonts w:ascii="arial" w:hAnsi="arial"/>
          <w:sz w:val="18"/>
        </w:rPr>
        <w:t xml:space="preserve">We have not established term limits for directors. The Board strives to maintain a balance between short-tenured directors with new perspectives and longer-tenured directors with a deep understanding of VS&amp;Co’s history, operations and markets. Through the Board performance evaluation process and annual nomination for re-election, the Board believes that it can effectively manage and maintain the right balance of Board tenure. We have not established age limits for directors for these same reasons. </w:t>
      </w:r>
    </w:p>
    <w:p>
      <w:pPr>
        <w:pStyle w:val="TextBody"/>
        <w:bidi w:val="0"/>
        <w:spacing w:before="0" w:after="0"/>
        <w:jc w:val="left"/>
        <w:rPr/>
      </w:pPr>
      <w:r>
        <w:rPr/>
        <w:t> </w:t>
      </w:r>
    </w:p>
    <w:p>
      <w:pPr>
        <w:pStyle w:val="TextBody"/>
        <w:bidi w:val="0"/>
        <w:spacing w:before="0" w:after="0"/>
        <w:jc w:val="center"/>
        <w:rPr/>
      </w:pPr>
      <w:r>
        <w:rPr/>
        <w:drawing>
          <wp:inline distT="0" distB="0" distL="0" distR="0">
            <wp:extent cx="485775" cy="206375"/>
            <wp:effectExtent l="0" t="0" r="0" b="0"/>
            <wp:docPr id="72"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3" descr=""/>
                    <pic:cNvPicPr>
                      <a:picLocks noChangeAspect="1" noChangeArrowheads="1"/>
                    </pic:cNvPicPr>
                  </pic:nvPicPr>
                  <pic:blipFill>
                    <a:blip r:embed="rId64"/>
                    <a:stretch>
                      <a:fillRect/>
                    </a:stretch>
                  </pic:blipFill>
                  <pic:spPr bwMode="auto">
                    <a:xfrm>
                      <a:off x="0" y="0"/>
                      <a:ext cx="485775" cy="206375"/>
                    </a:xfrm>
                    <a:prstGeom prst="rect">
                      <a:avLst/>
                    </a:prstGeom>
                  </pic:spPr>
                </pic:pic>
              </a:graphicData>
            </a:graphic>
          </wp:inline>
        </w:drawing>
      </w:r>
      <w:r>
        <w:rPr/>
        <w:t xml:space="preserve"> </w:t>
      </w:r>
    </w:p>
    <w:p>
      <w:pPr>
        <w:pStyle w:val="TextBody"/>
        <w:bidi w:val="0"/>
        <w:spacing w:before="240" w:after="0"/>
        <w:jc w:val="left"/>
        <w:rPr>
          <w:rFonts w:ascii="arial" w:hAnsi="arial"/>
          <w:b/>
          <w:color w:val="F7ACBA"/>
          <w:sz w:val="24"/>
        </w:rPr>
      </w:pPr>
      <w:r>
        <w:rPr>
          <w:rFonts w:ascii="arial" w:hAnsi="arial"/>
          <w:b/>
          <w:color w:val="F7ACBA"/>
          <w:sz w:val="24"/>
        </w:rPr>
        <w:t xml:space="preserve">Service on Other Public Company Boards </w:t>
      </w:r>
    </w:p>
    <w:p>
      <w:pPr>
        <w:pStyle w:val="TextBody"/>
        <w:bidi w:val="0"/>
        <w:spacing w:before="60" w:after="0"/>
        <w:jc w:val="left"/>
        <w:rPr>
          <w:rFonts w:ascii="arial" w:hAnsi="arial"/>
          <w:sz w:val="18"/>
        </w:rPr>
      </w:pPr>
      <w:r>
        <w:rPr>
          <w:rFonts w:ascii="arial" w:hAnsi="arial"/>
          <w:sz w:val="18"/>
        </w:rPr>
        <w:t xml:space="preserve">In order to ensure sufficient time to dedicate to Board duties, any director who is a current CEO or other named executive officer of a public company may serve on no more than one public company board in addition to our Board. Any director who is not a current CEO or named executive officer of a public company may serve on up to three public company boards in addition to our Board. Further, due to the enhanced time commitment associated with being a member of an audit committee, no director may serve on more than three audit committees (including our Audit Committee) at any time. </w:t>
      </w:r>
    </w:p>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73"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4" descr=""/>
                          <pic:cNvPicPr>
                            <a:picLocks noChangeAspect="1" noChangeArrowheads="1"/>
                          </pic:cNvPicPr>
                        </pic:nvPicPr>
                        <pic:blipFill>
                          <a:blip r:embed="rId65"/>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26 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CORPORATE GOVERNANCE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Directors are required to notify the Chair of the Board prior to accepting any public company director role in order to avoid potential conflicts of interest and to allow the Board to assess compliance with the limitation on public company board service described above. </w:t>
      </w:r>
    </w:p>
    <w:p>
      <w:pPr>
        <w:pStyle w:val="TextBody"/>
        <w:bidi w:val="0"/>
        <w:spacing w:before="240" w:after="0"/>
        <w:jc w:val="left"/>
        <w:rPr>
          <w:rFonts w:ascii="arial" w:hAnsi="arial"/>
          <w:b/>
          <w:color w:val="F7ACBA"/>
          <w:sz w:val="24"/>
        </w:rPr>
      </w:pPr>
      <w:r>
        <w:rPr>
          <w:rFonts w:ascii="arial" w:hAnsi="arial"/>
          <w:b/>
          <w:color w:val="F7ACBA"/>
          <w:sz w:val="24"/>
        </w:rPr>
        <w:t xml:space="preserve">Change in Circumstances </w:t>
      </w:r>
    </w:p>
    <w:p>
      <w:pPr>
        <w:pStyle w:val="TextBody"/>
        <w:bidi w:val="0"/>
        <w:spacing w:before="60" w:after="0"/>
        <w:jc w:val="left"/>
        <w:rPr>
          <w:rFonts w:ascii="arial" w:hAnsi="arial"/>
          <w:sz w:val="18"/>
        </w:rPr>
      </w:pPr>
      <w:r>
        <w:rPr>
          <w:rFonts w:ascii="arial" w:hAnsi="arial"/>
          <w:sz w:val="18"/>
        </w:rPr>
        <w:t xml:space="preserve">If a director has a change in his or her primary occupation, employer, consulting status, investor status or other personal or professional circumstances that may adversely impact the director’s ability to dedicate the time and attention necessary to the Board, call into question his or her independence, or negatively impact our business or reputation, the director must submit his or her resignation to the Chair of the Board for consideration by the Nominating and Governance Committee. The Nominating and Governance Committee will make a recommendation to the Board as to whether to accept or decline the director’s resignation, taking into account the relevant circumstances and the best interests of VS&amp;Co and its stockholders. </w:t>
      </w:r>
    </w:p>
    <w:p>
      <w:pPr>
        <w:pStyle w:val="TextBody"/>
        <w:bidi w:val="0"/>
        <w:spacing w:before="240" w:after="0"/>
        <w:jc w:val="left"/>
        <w:rPr>
          <w:rFonts w:ascii="arial" w:hAnsi="arial"/>
          <w:b/>
          <w:color w:val="F7ACBA"/>
          <w:sz w:val="24"/>
        </w:rPr>
      </w:pPr>
      <w:r>
        <w:rPr>
          <w:rFonts w:ascii="arial" w:hAnsi="arial"/>
          <w:b/>
          <w:color w:val="F7ACBA"/>
          <w:sz w:val="24"/>
        </w:rPr>
        <w:t xml:space="preserve">Conflicts of Interest and Compliance with Code of Conduct </w:t>
      </w:r>
    </w:p>
    <w:p>
      <w:pPr>
        <w:pStyle w:val="TextBody"/>
        <w:bidi w:val="0"/>
        <w:spacing w:before="60" w:after="0"/>
        <w:jc w:val="left"/>
        <w:rPr>
          <w:rFonts w:ascii="arial" w:hAnsi="arial"/>
          <w:sz w:val="18"/>
        </w:rPr>
      </w:pPr>
      <w:r>
        <w:rPr>
          <w:rFonts w:ascii="arial" w:hAnsi="arial"/>
          <w:sz w:val="18"/>
        </w:rPr>
        <w:t xml:space="preserve">Directors are expected to avoid any action or relationship that creates, or creates the appearance of, a conflict between VS&amp;Co’s interests and their personal or immediate family’s interests. Directors must make prompt, complete, and continuing disclosure of all facts relating to any actual or potential conflict to the Chair of the Audit Committee. The Chair will then consult with counsel and, as appropriate, the full Audit Committee regarding the resolution of the matter in accordance with applicable law and VS&amp;Co policies. </w:t>
      </w:r>
    </w:p>
    <w:p>
      <w:pPr>
        <w:pStyle w:val="TextBody"/>
        <w:bidi w:val="0"/>
        <w:spacing w:before="120" w:after="0"/>
        <w:jc w:val="left"/>
        <w:rPr>
          <w:rFonts w:ascii="arial" w:hAnsi="arial"/>
          <w:sz w:val="18"/>
        </w:rPr>
      </w:pPr>
      <w:r>
        <w:rPr>
          <w:rFonts w:ascii="arial" w:hAnsi="arial"/>
          <w:sz w:val="18"/>
        </w:rPr>
        <w:t xml:space="preserve">Directors are expected to comply with all applicable provisions of our Code of Conduct. Directors are also expected to comply with all other applicable policies that may be adopted from time to time, including, but not limited to, our Insider Trading Policy, Related Person Transaction Policy and Global Anti-Corruption Policy. </w:t>
      </w:r>
    </w:p>
    <w:p>
      <w:pPr>
        <w:pStyle w:val="TextBody"/>
        <w:bidi w:val="0"/>
        <w:spacing w:before="240" w:after="0"/>
        <w:jc w:val="left"/>
        <w:rPr>
          <w:rFonts w:ascii="arial" w:hAnsi="arial"/>
          <w:b/>
          <w:color w:val="F7ACBA"/>
          <w:sz w:val="24"/>
        </w:rPr>
      </w:pPr>
      <w:r>
        <w:rPr>
          <w:rFonts w:ascii="arial" w:hAnsi="arial"/>
          <w:b/>
          <w:color w:val="F7ACBA"/>
          <w:sz w:val="24"/>
        </w:rPr>
        <w:t xml:space="preserve">Compensation Committee Interlocks and Insider Participation </w:t>
      </w:r>
    </w:p>
    <w:p>
      <w:pPr>
        <w:pStyle w:val="TextBody"/>
        <w:bidi w:val="0"/>
        <w:spacing w:before="60" w:after="0"/>
        <w:jc w:val="left"/>
        <w:rPr>
          <w:rFonts w:ascii="arial" w:hAnsi="arial"/>
          <w:sz w:val="18"/>
        </w:rPr>
      </w:pPr>
      <w:r>
        <w:rPr>
          <w:rFonts w:ascii="arial" w:hAnsi="arial"/>
          <w:sz w:val="18"/>
        </w:rPr>
        <w:t xml:space="preserve">The Human Capital and Compensation Committee is comprised entirely of directors who are not current or former employees of VS&amp;Co or any of its subsidiaries and who qualify as independent under applicable NYSE standards and SEC rules. During fiscal 2023, (i) none of the members of the Human Capital and Compensation Committee had any relationships requiring disclosure under the SEC’s related party transaction rules, (ii) none of the members of the Human Capital and Compensation Committee was an executive officer of a company for which one of our executive officers is a director, and (iii) none of our executive officers served as a director or member of the compensation committee of an entity that has an executive officer who is a director of VS&amp;Co or member of the Human Capital and Compensation Committee. Accordingly, no compensation committee interlocking relationships exist between the members of the Human Capital and Compensation Committee and the board or compensation committee of any other company. </w:t>
      </w:r>
    </w:p>
    <w:p>
      <w:pPr>
        <w:pStyle w:val="TextBody"/>
        <w:bidi w:val="0"/>
        <w:spacing w:before="360" w:after="0"/>
        <w:jc w:val="left"/>
        <w:rPr>
          <w:rFonts w:ascii="arial" w:hAnsi="arial"/>
          <w:sz w:val="30"/>
        </w:rPr>
      </w:pPr>
      <w:bookmarkStart w:id="11" w:name="toc540996_8"/>
      <w:bookmarkEnd w:id="11"/>
      <w:r>
        <w:rPr>
          <w:rFonts w:ascii="arial" w:hAnsi="arial"/>
          <w:sz w:val="30"/>
        </w:rPr>
        <w:t xml:space="preserve">Board Committees </w:t>
      </w:r>
    </w:p>
    <w:p>
      <w:pPr>
        <w:pStyle w:val="TextBody"/>
        <w:bidi w:val="0"/>
        <w:spacing w:before="120" w:after="0"/>
        <w:jc w:val="left"/>
        <w:rPr>
          <w:rFonts w:ascii="arial" w:hAnsi="arial"/>
          <w:sz w:val="18"/>
        </w:rPr>
      </w:pPr>
      <w:r>
        <w:rPr>
          <w:rFonts w:ascii="arial" w:hAnsi="arial"/>
          <w:sz w:val="18"/>
        </w:rPr>
        <w:t xml:space="preserve">The Board has three standing committees: the Audit Committee, the Human Capital and Compensation Committee, and the Nominating and Governance Committee. Each committee is governed by a written charter that has been approved by the applicable committee and the full Board. These charters can be accessed on the Investors section of our website, </w:t>
      </w:r>
      <w:r>
        <w:rPr>
          <w:rFonts w:ascii="arial" w:hAnsi="arial"/>
          <w:i/>
          <w:sz w:val="18"/>
        </w:rPr>
        <w:t>www.victoriassecretandco.com</w:t>
      </w:r>
      <w:r>
        <w:rPr>
          <w:rFonts w:ascii="arial" w:hAnsi="arial"/>
          <w:sz w:val="18"/>
        </w:rPr>
        <w:t xml:space="preserve">, under Corporate Governance, Governance Materials. </w:t>
      </w:r>
    </w:p>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74"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5" descr=""/>
                          <pic:cNvPicPr>
                            <a:picLocks noChangeAspect="1" noChangeArrowheads="1"/>
                          </pic:cNvPicPr>
                        </pic:nvPicPr>
                        <pic:blipFill>
                          <a:blip r:embed="rId66"/>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27 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CORPORATE GOVERNANCE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The roles and responsibilities of each Board committee are described below. The following table shows the current membership of the Board’s standing committees. An asterisk indicates members of the Audit Committee who the Board has determined qualify as an “audit committee financial expert” in accordance with SEC rules. </w:t>
      </w:r>
    </w:p>
    <w:p>
      <w:pPr>
        <w:pStyle w:val="TextBody"/>
        <w:bidi w:val="0"/>
        <w:spacing w:before="0" w:after="0"/>
        <w:jc w:val="left"/>
        <w:rPr/>
      </w:pPr>
      <w:r>
        <w:rPr/>
        <w:t> </w:t>
      </w:r>
    </w:p>
    <w:tbl>
      <w:tblPr>
        <w:tblW w:w="8600" w:type="dxa"/>
        <w:jc w:val="left"/>
        <w:tblInd w:w="0" w:type="dxa"/>
        <w:tblLayout w:type="fixed"/>
        <w:tblCellMar>
          <w:top w:w="0" w:type="dxa"/>
          <w:left w:w="0" w:type="dxa"/>
          <w:bottom w:w="0" w:type="dxa"/>
          <w:right w:w="0" w:type="dxa"/>
        </w:tblCellMar>
      </w:tblPr>
      <w:tblGrid>
        <w:gridCol w:w="2795"/>
        <w:gridCol w:w="120"/>
        <w:gridCol w:w="1775"/>
        <w:gridCol w:w="60"/>
        <w:gridCol w:w="2045"/>
        <w:gridCol w:w="120"/>
        <w:gridCol w:w="1685"/>
      </w:tblGrid>
      <w:tr>
        <w:trPr/>
        <w:tc>
          <w:tcPr>
            <w:tcW w:w="27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r>
      <w:tr>
        <w:trPr/>
        <w:tc>
          <w:tcPr>
            <w:tcW w:w="2795" w:type="dxa"/>
            <w:tcBorders/>
            <w:shd w:fill="FDEEF1" w:val="clear"/>
            <w:vAlign w:val="center"/>
          </w:tcPr>
          <w:p>
            <w:pPr>
              <w:pStyle w:val="TableContents"/>
              <w:bidi w:val="0"/>
              <w:spacing w:before="0" w:after="283"/>
              <w:jc w:val="left"/>
              <w:rPr>
                <w:sz w:val="4"/>
                <w:szCs w:val="4"/>
              </w:rPr>
            </w:pPr>
            <w:r>
              <w:rPr>
                <w:sz w:val="4"/>
                <w:szCs w:val="4"/>
              </w:rPr>
            </w:r>
          </w:p>
        </w:tc>
        <w:tc>
          <w:tcPr>
            <w:tcW w:w="1895" w:type="dxa"/>
            <w:gridSpan w:val="2"/>
            <w:tcBorders/>
            <w:shd w:fill="FDEEF1" w:val="clear"/>
            <w:vAlign w:val="center"/>
          </w:tcPr>
          <w:p>
            <w:pPr>
              <w:pStyle w:val="TableContents"/>
              <w:bidi w:val="0"/>
              <w:spacing w:before="0" w:after="283"/>
              <w:jc w:val="left"/>
              <w:rPr>
                <w:sz w:val="4"/>
                <w:szCs w:val="4"/>
              </w:rPr>
            </w:pPr>
            <w:r>
              <w:rPr>
                <w:sz w:val="4"/>
                <w:szCs w:val="4"/>
              </w:rPr>
            </w:r>
          </w:p>
        </w:tc>
        <w:tc>
          <w:tcPr>
            <w:tcW w:w="2105" w:type="dxa"/>
            <w:gridSpan w:val="2"/>
            <w:tcBorders/>
            <w:shd w:fill="FDEEF1" w:val="clear"/>
            <w:vAlign w:val="center"/>
          </w:tcPr>
          <w:p>
            <w:pPr>
              <w:pStyle w:val="TableContents"/>
              <w:bidi w:val="0"/>
              <w:spacing w:before="0" w:after="283"/>
              <w:jc w:val="left"/>
              <w:rPr>
                <w:sz w:val="4"/>
                <w:szCs w:val="4"/>
              </w:rPr>
            </w:pPr>
            <w:r>
              <w:rPr>
                <w:sz w:val="4"/>
                <w:szCs w:val="4"/>
              </w:rPr>
            </w:r>
          </w:p>
        </w:tc>
        <w:tc>
          <w:tcPr>
            <w:tcW w:w="1805" w:type="dxa"/>
            <w:gridSpan w:val="2"/>
            <w:tcBorders/>
            <w:shd w:fill="FDEEF1" w:val="clear"/>
            <w:vAlign w:val="center"/>
          </w:tcPr>
          <w:p>
            <w:pPr>
              <w:pStyle w:val="TableContents"/>
              <w:bidi w:val="0"/>
              <w:spacing w:before="0" w:after="283"/>
              <w:jc w:val="left"/>
              <w:rPr>
                <w:sz w:val="4"/>
                <w:szCs w:val="4"/>
              </w:rPr>
            </w:pPr>
            <w:r>
              <w:rPr>
                <w:sz w:val="4"/>
                <w:szCs w:val="4"/>
              </w:rPr>
            </w:r>
          </w:p>
        </w:tc>
      </w:tr>
      <w:tr>
        <w:trPr/>
        <w:tc>
          <w:tcPr>
            <w:tcW w:w="2795" w:type="dxa"/>
            <w:tcBorders/>
            <w:shd w:fill="FDEEF1" w:val="clear"/>
            <w:vAlign w:val="center"/>
          </w:tcPr>
          <w:p>
            <w:pPr>
              <w:pStyle w:val="TableContents"/>
              <w:bidi w:val="0"/>
              <w:spacing w:before="0" w:after="0"/>
              <w:jc w:val="left"/>
              <w:rPr>
                <w:rFonts w:ascii="arial" w:hAnsi="arial"/>
                <w:b/>
                <w:sz w:val="16"/>
              </w:rPr>
            </w:pPr>
            <w:r>
              <w:rPr>
                <w:rFonts w:ascii="arial" w:hAnsi="arial"/>
                <w:b/>
                <w:sz w:val="16"/>
              </w:rPr>
              <w:t>Director</w:t>
            </w:r>
          </w:p>
        </w:tc>
        <w:tc>
          <w:tcPr>
            <w:tcW w:w="120" w:type="dxa"/>
            <w:tcBorders/>
            <w:shd w:fill="FDEEF1" w:val="clear"/>
            <w:vAlign w:val="center"/>
          </w:tcPr>
          <w:p>
            <w:pPr>
              <w:pStyle w:val="TableContents"/>
              <w:bidi w:val="0"/>
              <w:spacing w:before="0" w:after="283"/>
              <w:jc w:val="left"/>
              <w:rPr/>
            </w:pPr>
            <w:r>
              <w:rPr/>
              <w:t>  </w:t>
            </w:r>
          </w:p>
        </w:tc>
        <w:tc>
          <w:tcPr>
            <w:tcW w:w="1775" w:type="dxa"/>
            <w:tcBorders/>
            <w:shd w:fill="FDEEF1" w:val="clear"/>
            <w:vAlign w:val="center"/>
          </w:tcPr>
          <w:p>
            <w:pPr>
              <w:pStyle w:val="TableContents"/>
              <w:bidi w:val="0"/>
              <w:spacing w:before="0" w:after="283"/>
              <w:jc w:val="center"/>
              <w:rPr>
                <w:b/>
              </w:rPr>
            </w:pPr>
            <w:r>
              <w:rPr>
                <w:b/>
              </w:rPr>
              <w:t>Audit Committee</w:t>
            </w:r>
          </w:p>
        </w:tc>
        <w:tc>
          <w:tcPr>
            <w:tcW w:w="60" w:type="dxa"/>
            <w:tcBorders/>
            <w:shd w:fill="FDEEF1" w:val="clear"/>
            <w:vAlign w:val="center"/>
          </w:tcPr>
          <w:p>
            <w:pPr>
              <w:pStyle w:val="TableContents"/>
              <w:bidi w:val="0"/>
              <w:spacing w:before="0" w:after="283"/>
              <w:jc w:val="left"/>
              <w:rPr/>
            </w:pPr>
            <w:r>
              <w:rPr/>
              <w:t> </w:t>
            </w:r>
          </w:p>
        </w:tc>
        <w:tc>
          <w:tcPr>
            <w:tcW w:w="2045" w:type="dxa"/>
            <w:tcBorders/>
            <w:shd w:fill="FDEEF1" w:val="clear"/>
            <w:vAlign w:val="center"/>
          </w:tcPr>
          <w:p>
            <w:pPr>
              <w:pStyle w:val="TableContents"/>
              <w:bidi w:val="0"/>
              <w:spacing w:before="0" w:after="283"/>
              <w:jc w:val="center"/>
              <w:rPr>
                <w:b/>
              </w:rPr>
            </w:pPr>
            <w:r>
              <w:rPr>
                <w:b/>
              </w:rPr>
              <w:t>Human Capital and</w:t>
              <w:br/>
              <w:t>Compensation</w:t>
              <w:br/>
              <w:t>Committee</w:t>
            </w:r>
          </w:p>
        </w:tc>
        <w:tc>
          <w:tcPr>
            <w:tcW w:w="120" w:type="dxa"/>
            <w:tcBorders/>
            <w:shd w:fill="FDEEF1" w:val="clear"/>
            <w:vAlign w:val="center"/>
          </w:tcPr>
          <w:p>
            <w:pPr>
              <w:pStyle w:val="TableContents"/>
              <w:bidi w:val="0"/>
              <w:spacing w:before="0" w:after="283"/>
              <w:jc w:val="left"/>
              <w:rPr/>
            </w:pPr>
            <w:r>
              <w:rPr/>
              <w:t>  </w:t>
            </w:r>
          </w:p>
        </w:tc>
        <w:tc>
          <w:tcPr>
            <w:tcW w:w="1685" w:type="dxa"/>
            <w:tcBorders/>
            <w:shd w:fill="FDEEF1" w:val="clear"/>
            <w:vAlign w:val="center"/>
          </w:tcPr>
          <w:p>
            <w:pPr>
              <w:pStyle w:val="TableContents"/>
              <w:bidi w:val="0"/>
              <w:spacing w:before="0" w:after="283"/>
              <w:jc w:val="center"/>
              <w:rPr>
                <w:b/>
              </w:rPr>
            </w:pPr>
            <w:r>
              <w:rPr>
                <w:b/>
              </w:rPr>
              <w:t>Nominating and</w:t>
              <w:br/>
              <w:t>Governance</w:t>
              <w:br/>
              <w:t>Committee</w:t>
            </w:r>
          </w:p>
        </w:tc>
      </w:tr>
      <w:tr>
        <w:trPr/>
        <w:tc>
          <w:tcPr>
            <w:tcW w:w="2795" w:type="dxa"/>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c>
          <w:tcPr>
            <w:tcW w:w="2105" w:type="dxa"/>
            <w:gridSpan w:val="2"/>
            <w:tcBorders/>
            <w:vAlign w:val="center"/>
          </w:tcPr>
          <w:p>
            <w:pPr>
              <w:pStyle w:val="TableContents"/>
              <w:bidi w:val="0"/>
              <w:spacing w:before="0" w:after="283"/>
              <w:jc w:val="left"/>
              <w:rPr>
                <w:sz w:val="4"/>
                <w:szCs w:val="4"/>
              </w:rPr>
            </w:pPr>
            <w:r>
              <w:rPr>
                <w:sz w:val="4"/>
                <w:szCs w:val="4"/>
              </w:rPr>
            </w:r>
          </w:p>
        </w:tc>
        <w:tc>
          <w:tcPr>
            <w:tcW w:w="1805" w:type="dxa"/>
            <w:gridSpan w:val="2"/>
            <w:tcBorders/>
            <w:vAlign w:val="center"/>
          </w:tcPr>
          <w:p>
            <w:pPr>
              <w:pStyle w:val="TableContents"/>
              <w:bidi w:val="0"/>
              <w:spacing w:before="0" w:after="283"/>
              <w:jc w:val="left"/>
              <w:rPr>
                <w:sz w:val="4"/>
                <w:szCs w:val="4"/>
              </w:rPr>
            </w:pPr>
            <w:r>
              <w:rPr>
                <w:sz w:val="4"/>
                <w:szCs w:val="4"/>
              </w:rPr>
            </w:r>
          </w:p>
        </w:tc>
      </w:tr>
      <w:tr>
        <w:trPr/>
        <w:tc>
          <w:tcPr>
            <w:tcW w:w="2795" w:type="dxa"/>
            <w:tcBorders>
              <w:bottom w:val="single" w:sz="6" w:space="0" w:color="FBDDE3"/>
            </w:tcBorders>
            <w:tcMar>
              <w:bottom w:w="60" w:type="dxa"/>
            </w:tcMar>
            <w:vAlign w:val="center"/>
          </w:tcPr>
          <w:p>
            <w:pPr>
              <w:pStyle w:val="TableContents"/>
              <w:bidi w:val="0"/>
              <w:spacing w:before="0" w:after="0"/>
              <w:jc w:val="left"/>
              <w:rPr>
                <w:rFonts w:ascii="arial" w:hAnsi="arial"/>
                <w:b/>
                <w:sz w:val="18"/>
              </w:rPr>
            </w:pPr>
            <w:r>
              <w:rPr>
                <w:rFonts w:ascii="arial" w:hAnsi="arial"/>
                <w:b/>
                <w:sz w:val="18"/>
              </w:rPr>
              <w:t>Irene Chang Britt</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775" w:type="dxa"/>
            <w:tcBorders>
              <w:bottom w:val="single" w:sz="6" w:space="0" w:color="FBDDE3"/>
            </w:tcBorders>
            <w:tcMar>
              <w:bottom w:w="60" w:type="dxa"/>
            </w:tcMar>
            <w:vAlign w:val="center"/>
          </w:tcPr>
          <w:p>
            <w:pPr>
              <w:pStyle w:val="TableContents"/>
              <w:bidi w:val="0"/>
              <w:spacing w:before="0" w:after="283"/>
              <w:jc w:val="center"/>
              <w:rPr/>
            </w:pPr>
            <w:r>
              <w:rPr>
                <w:color w:val="F7ACBA"/>
              </w:rPr>
              <w:t>∎</w:t>
            </w: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2045" w:type="dxa"/>
            <w:tcBorders>
              <w:bottom w:val="single" w:sz="6" w:space="0" w:color="FBDDE3"/>
            </w:tcBorders>
            <w:tcMar>
              <w:bottom w:w="60" w:type="dxa"/>
            </w:tcMar>
            <w:vAlign w:val="center"/>
          </w:tcPr>
          <w:p>
            <w:pPr>
              <w:pStyle w:val="TableContents"/>
              <w:bidi w:val="0"/>
              <w:spacing w:before="0" w:after="283"/>
              <w:jc w:val="center"/>
              <w:rPr/>
            </w:pPr>
            <w:r>
              <w:rPr/>
              <w:t>CHAIR</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68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2795" w:type="dxa"/>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c>
          <w:tcPr>
            <w:tcW w:w="2105" w:type="dxa"/>
            <w:gridSpan w:val="2"/>
            <w:tcBorders/>
            <w:vAlign w:val="center"/>
          </w:tcPr>
          <w:p>
            <w:pPr>
              <w:pStyle w:val="TableContents"/>
              <w:bidi w:val="0"/>
              <w:spacing w:before="0" w:after="283"/>
              <w:jc w:val="left"/>
              <w:rPr>
                <w:sz w:val="4"/>
                <w:szCs w:val="4"/>
              </w:rPr>
            </w:pPr>
            <w:r>
              <w:rPr>
                <w:sz w:val="4"/>
                <w:szCs w:val="4"/>
              </w:rPr>
            </w:r>
          </w:p>
        </w:tc>
        <w:tc>
          <w:tcPr>
            <w:tcW w:w="1805" w:type="dxa"/>
            <w:gridSpan w:val="2"/>
            <w:tcBorders/>
            <w:vAlign w:val="center"/>
          </w:tcPr>
          <w:p>
            <w:pPr>
              <w:pStyle w:val="TableContents"/>
              <w:bidi w:val="0"/>
              <w:spacing w:before="0" w:after="283"/>
              <w:jc w:val="left"/>
              <w:rPr>
                <w:sz w:val="4"/>
                <w:szCs w:val="4"/>
              </w:rPr>
            </w:pPr>
            <w:r>
              <w:rPr>
                <w:sz w:val="4"/>
                <w:szCs w:val="4"/>
              </w:rPr>
            </w:r>
          </w:p>
        </w:tc>
      </w:tr>
      <w:tr>
        <w:trPr/>
        <w:tc>
          <w:tcPr>
            <w:tcW w:w="2795" w:type="dxa"/>
            <w:tcBorders>
              <w:bottom w:val="single" w:sz="6" w:space="0" w:color="FBDDE3"/>
            </w:tcBorders>
            <w:tcMar>
              <w:bottom w:w="60" w:type="dxa"/>
            </w:tcMar>
            <w:vAlign w:val="center"/>
          </w:tcPr>
          <w:p>
            <w:pPr>
              <w:pStyle w:val="TableContents"/>
              <w:bidi w:val="0"/>
              <w:spacing w:before="0" w:after="0"/>
              <w:jc w:val="left"/>
              <w:rPr>
                <w:rFonts w:ascii="arial" w:hAnsi="arial"/>
                <w:b/>
                <w:sz w:val="18"/>
              </w:rPr>
            </w:pPr>
            <w:r>
              <w:rPr>
                <w:rFonts w:ascii="arial" w:hAnsi="arial"/>
                <w:b/>
                <w:sz w:val="18"/>
              </w:rPr>
              <w:t>Sarah Davis</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775" w:type="dxa"/>
            <w:tcBorders>
              <w:bottom w:val="single" w:sz="6" w:space="0" w:color="FBDDE3"/>
            </w:tcBorders>
            <w:tcMar>
              <w:bottom w:w="60" w:type="dxa"/>
            </w:tcMar>
            <w:vAlign w:val="center"/>
          </w:tcPr>
          <w:p>
            <w:pPr>
              <w:pStyle w:val="TableContents"/>
              <w:bidi w:val="0"/>
              <w:spacing w:before="0" w:after="283"/>
              <w:jc w:val="center"/>
              <w:rPr/>
            </w:pPr>
            <w:r>
              <w:rPr/>
              <w:t>CHAIR*</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204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685" w:type="dxa"/>
            <w:tcBorders>
              <w:bottom w:val="single" w:sz="6" w:space="0" w:color="FBDDE3"/>
            </w:tcBorders>
            <w:tcMar>
              <w:bottom w:w="60" w:type="dxa"/>
            </w:tcMar>
            <w:vAlign w:val="center"/>
          </w:tcPr>
          <w:p>
            <w:pPr>
              <w:pStyle w:val="TableContents"/>
              <w:bidi w:val="0"/>
              <w:spacing w:before="0" w:after="283"/>
              <w:jc w:val="center"/>
              <w:rPr>
                <w:color w:val="F7ACBA"/>
              </w:rPr>
            </w:pPr>
            <w:r>
              <w:rPr>
                <w:color w:val="F7ACBA"/>
              </w:rPr>
              <w:t>∎</w:t>
            </w:r>
          </w:p>
        </w:tc>
      </w:tr>
      <w:tr>
        <w:trPr/>
        <w:tc>
          <w:tcPr>
            <w:tcW w:w="2795" w:type="dxa"/>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c>
          <w:tcPr>
            <w:tcW w:w="2105" w:type="dxa"/>
            <w:gridSpan w:val="2"/>
            <w:tcBorders/>
            <w:vAlign w:val="center"/>
          </w:tcPr>
          <w:p>
            <w:pPr>
              <w:pStyle w:val="TableContents"/>
              <w:bidi w:val="0"/>
              <w:spacing w:before="0" w:after="283"/>
              <w:jc w:val="left"/>
              <w:rPr>
                <w:sz w:val="4"/>
                <w:szCs w:val="4"/>
              </w:rPr>
            </w:pPr>
            <w:r>
              <w:rPr>
                <w:sz w:val="4"/>
                <w:szCs w:val="4"/>
              </w:rPr>
            </w:r>
          </w:p>
        </w:tc>
        <w:tc>
          <w:tcPr>
            <w:tcW w:w="1805" w:type="dxa"/>
            <w:gridSpan w:val="2"/>
            <w:tcBorders/>
            <w:vAlign w:val="center"/>
          </w:tcPr>
          <w:p>
            <w:pPr>
              <w:pStyle w:val="TableContents"/>
              <w:bidi w:val="0"/>
              <w:spacing w:before="0" w:after="283"/>
              <w:jc w:val="left"/>
              <w:rPr>
                <w:sz w:val="4"/>
                <w:szCs w:val="4"/>
              </w:rPr>
            </w:pPr>
            <w:r>
              <w:rPr>
                <w:sz w:val="4"/>
                <w:szCs w:val="4"/>
              </w:rPr>
            </w:r>
          </w:p>
        </w:tc>
      </w:tr>
      <w:tr>
        <w:trPr/>
        <w:tc>
          <w:tcPr>
            <w:tcW w:w="2795" w:type="dxa"/>
            <w:tcBorders>
              <w:bottom w:val="single" w:sz="6" w:space="0" w:color="FBDDE3"/>
            </w:tcBorders>
            <w:tcMar>
              <w:bottom w:w="60" w:type="dxa"/>
            </w:tcMar>
            <w:vAlign w:val="center"/>
          </w:tcPr>
          <w:p>
            <w:pPr>
              <w:pStyle w:val="TableContents"/>
              <w:bidi w:val="0"/>
              <w:spacing w:before="0" w:after="0"/>
              <w:jc w:val="left"/>
              <w:rPr>
                <w:rFonts w:ascii="arial" w:hAnsi="arial"/>
                <w:b/>
                <w:sz w:val="18"/>
              </w:rPr>
            </w:pPr>
            <w:r>
              <w:rPr>
                <w:rFonts w:ascii="arial" w:hAnsi="arial"/>
                <w:b/>
                <w:sz w:val="18"/>
              </w:rPr>
              <w:t>Jacqueline Hernández</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77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2045" w:type="dxa"/>
            <w:tcBorders>
              <w:bottom w:val="single" w:sz="6" w:space="0" w:color="FBDDE3"/>
            </w:tcBorders>
            <w:tcMar>
              <w:bottom w:w="60" w:type="dxa"/>
            </w:tcMar>
            <w:vAlign w:val="center"/>
          </w:tcPr>
          <w:p>
            <w:pPr>
              <w:pStyle w:val="TableContents"/>
              <w:bidi w:val="0"/>
              <w:spacing w:before="0" w:after="283"/>
              <w:jc w:val="center"/>
              <w:rPr>
                <w:color w:val="F7ACBA"/>
              </w:rPr>
            </w:pPr>
            <w:r>
              <w:rPr>
                <w:color w:val="F7ACBA"/>
              </w:rPr>
              <w:t>∎</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685" w:type="dxa"/>
            <w:tcBorders>
              <w:bottom w:val="single" w:sz="6" w:space="0" w:color="FBDDE3"/>
            </w:tcBorders>
            <w:tcMar>
              <w:bottom w:w="60" w:type="dxa"/>
            </w:tcMar>
            <w:vAlign w:val="center"/>
          </w:tcPr>
          <w:p>
            <w:pPr>
              <w:pStyle w:val="TableContents"/>
              <w:bidi w:val="0"/>
              <w:spacing w:before="0" w:after="283"/>
              <w:jc w:val="center"/>
              <w:rPr>
                <w:color w:val="F7ACBA"/>
              </w:rPr>
            </w:pPr>
            <w:r>
              <w:rPr>
                <w:color w:val="F7ACBA"/>
              </w:rPr>
              <w:t>∎</w:t>
            </w:r>
          </w:p>
        </w:tc>
      </w:tr>
      <w:tr>
        <w:trPr/>
        <w:tc>
          <w:tcPr>
            <w:tcW w:w="2795" w:type="dxa"/>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c>
          <w:tcPr>
            <w:tcW w:w="2105" w:type="dxa"/>
            <w:gridSpan w:val="2"/>
            <w:tcBorders/>
            <w:vAlign w:val="center"/>
          </w:tcPr>
          <w:p>
            <w:pPr>
              <w:pStyle w:val="TableContents"/>
              <w:bidi w:val="0"/>
              <w:spacing w:before="0" w:after="283"/>
              <w:jc w:val="left"/>
              <w:rPr>
                <w:sz w:val="4"/>
                <w:szCs w:val="4"/>
              </w:rPr>
            </w:pPr>
            <w:r>
              <w:rPr>
                <w:sz w:val="4"/>
                <w:szCs w:val="4"/>
              </w:rPr>
            </w:r>
          </w:p>
        </w:tc>
        <w:tc>
          <w:tcPr>
            <w:tcW w:w="1805" w:type="dxa"/>
            <w:gridSpan w:val="2"/>
            <w:tcBorders/>
            <w:vAlign w:val="center"/>
          </w:tcPr>
          <w:p>
            <w:pPr>
              <w:pStyle w:val="TableContents"/>
              <w:bidi w:val="0"/>
              <w:spacing w:before="0" w:after="283"/>
              <w:jc w:val="left"/>
              <w:rPr>
                <w:sz w:val="4"/>
                <w:szCs w:val="4"/>
              </w:rPr>
            </w:pPr>
            <w:r>
              <w:rPr>
                <w:sz w:val="4"/>
                <w:szCs w:val="4"/>
              </w:rPr>
            </w:r>
          </w:p>
        </w:tc>
      </w:tr>
      <w:tr>
        <w:trPr/>
        <w:tc>
          <w:tcPr>
            <w:tcW w:w="2795"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b/>
                <w:sz w:val="18"/>
              </w:rPr>
              <w:t>Donna James,</w:t>
            </w:r>
            <w:r>
              <w:rPr>
                <w:rFonts w:ascii="arial" w:hAnsi="arial"/>
                <w:sz w:val="18"/>
              </w:rPr>
              <w:t xml:space="preserve"> </w:t>
            </w:r>
            <w:r>
              <w:rPr>
                <w:rFonts w:ascii="arial" w:hAnsi="arial"/>
                <w:i/>
                <w:sz w:val="18"/>
              </w:rPr>
              <w:t>Chair of the Board</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775" w:type="dxa"/>
            <w:tcBorders>
              <w:bottom w:val="single" w:sz="6" w:space="0" w:color="FBDDE3"/>
            </w:tcBorders>
            <w:tcMar>
              <w:bottom w:w="60" w:type="dxa"/>
            </w:tcMar>
            <w:vAlign w:val="center"/>
          </w:tcPr>
          <w:p>
            <w:pPr>
              <w:pStyle w:val="TableContents"/>
              <w:bidi w:val="0"/>
              <w:spacing w:before="0" w:after="283"/>
              <w:jc w:val="center"/>
              <w:rPr/>
            </w:pPr>
            <w:r>
              <w:rPr>
                <w:color w:val="F7ACBA"/>
              </w:rPr>
              <w:t>∎</w:t>
            </w:r>
            <w:r>
              <w:rPr/>
              <w:t>*</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204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685" w:type="dxa"/>
            <w:tcBorders>
              <w:bottom w:val="single" w:sz="6" w:space="0" w:color="FBDDE3"/>
            </w:tcBorders>
            <w:tcMar>
              <w:bottom w:w="60" w:type="dxa"/>
            </w:tcMar>
            <w:vAlign w:val="center"/>
          </w:tcPr>
          <w:p>
            <w:pPr>
              <w:pStyle w:val="TableContents"/>
              <w:bidi w:val="0"/>
              <w:spacing w:before="0" w:after="283"/>
              <w:jc w:val="center"/>
              <w:rPr>
                <w:color w:val="F7ACBA"/>
              </w:rPr>
            </w:pPr>
            <w:r>
              <w:rPr>
                <w:color w:val="F7ACBA"/>
              </w:rPr>
              <w:t>∎</w:t>
            </w:r>
          </w:p>
        </w:tc>
      </w:tr>
      <w:tr>
        <w:trPr/>
        <w:tc>
          <w:tcPr>
            <w:tcW w:w="2795" w:type="dxa"/>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c>
          <w:tcPr>
            <w:tcW w:w="2105" w:type="dxa"/>
            <w:gridSpan w:val="2"/>
            <w:tcBorders/>
            <w:vAlign w:val="center"/>
          </w:tcPr>
          <w:p>
            <w:pPr>
              <w:pStyle w:val="TableContents"/>
              <w:bidi w:val="0"/>
              <w:spacing w:before="0" w:after="283"/>
              <w:jc w:val="left"/>
              <w:rPr>
                <w:sz w:val="4"/>
                <w:szCs w:val="4"/>
              </w:rPr>
            </w:pPr>
            <w:r>
              <w:rPr>
                <w:sz w:val="4"/>
                <w:szCs w:val="4"/>
              </w:rPr>
            </w:r>
          </w:p>
        </w:tc>
        <w:tc>
          <w:tcPr>
            <w:tcW w:w="1805" w:type="dxa"/>
            <w:gridSpan w:val="2"/>
            <w:tcBorders/>
            <w:vAlign w:val="center"/>
          </w:tcPr>
          <w:p>
            <w:pPr>
              <w:pStyle w:val="TableContents"/>
              <w:bidi w:val="0"/>
              <w:spacing w:before="0" w:after="283"/>
              <w:jc w:val="left"/>
              <w:rPr>
                <w:sz w:val="4"/>
                <w:szCs w:val="4"/>
              </w:rPr>
            </w:pPr>
            <w:r>
              <w:rPr>
                <w:sz w:val="4"/>
                <w:szCs w:val="4"/>
              </w:rPr>
            </w:r>
          </w:p>
        </w:tc>
      </w:tr>
      <w:tr>
        <w:trPr/>
        <w:tc>
          <w:tcPr>
            <w:tcW w:w="2795" w:type="dxa"/>
            <w:tcBorders>
              <w:bottom w:val="single" w:sz="6" w:space="0" w:color="FBDDE3"/>
            </w:tcBorders>
            <w:tcMar>
              <w:bottom w:w="60" w:type="dxa"/>
            </w:tcMar>
            <w:vAlign w:val="center"/>
          </w:tcPr>
          <w:p>
            <w:pPr>
              <w:pStyle w:val="TableContents"/>
              <w:bidi w:val="0"/>
              <w:spacing w:before="0" w:after="0"/>
              <w:jc w:val="left"/>
              <w:rPr>
                <w:rFonts w:ascii="arial" w:hAnsi="arial"/>
                <w:b/>
                <w:sz w:val="18"/>
              </w:rPr>
            </w:pPr>
            <w:r>
              <w:rPr>
                <w:rFonts w:ascii="arial" w:hAnsi="arial"/>
                <w:b/>
                <w:sz w:val="18"/>
              </w:rPr>
              <w:t>Rod Little</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775" w:type="dxa"/>
            <w:tcBorders>
              <w:bottom w:val="single" w:sz="6" w:space="0" w:color="FBDDE3"/>
            </w:tcBorders>
            <w:tcMar>
              <w:bottom w:w="60" w:type="dxa"/>
            </w:tcMar>
            <w:vAlign w:val="center"/>
          </w:tcPr>
          <w:p>
            <w:pPr>
              <w:pStyle w:val="TableContents"/>
              <w:bidi w:val="0"/>
              <w:spacing w:before="0" w:after="283"/>
              <w:jc w:val="center"/>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2045" w:type="dxa"/>
            <w:tcBorders>
              <w:bottom w:val="single" w:sz="6" w:space="0" w:color="FBDDE3"/>
            </w:tcBorders>
            <w:tcMar>
              <w:bottom w:w="60" w:type="dxa"/>
            </w:tcMar>
            <w:vAlign w:val="center"/>
          </w:tcPr>
          <w:p>
            <w:pPr>
              <w:pStyle w:val="TableContents"/>
              <w:bidi w:val="0"/>
              <w:spacing w:before="0" w:after="283"/>
              <w:jc w:val="center"/>
              <w:rPr>
                <w:color w:val="F7ACBA"/>
              </w:rPr>
            </w:pPr>
            <w:r>
              <w:rPr>
                <w:color w:val="F7ACBA"/>
              </w:rPr>
              <w:t>∎</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68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2795" w:type="dxa"/>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c>
          <w:tcPr>
            <w:tcW w:w="2105" w:type="dxa"/>
            <w:gridSpan w:val="2"/>
            <w:tcBorders/>
            <w:vAlign w:val="center"/>
          </w:tcPr>
          <w:p>
            <w:pPr>
              <w:pStyle w:val="TableContents"/>
              <w:bidi w:val="0"/>
              <w:spacing w:before="0" w:after="283"/>
              <w:jc w:val="left"/>
              <w:rPr>
                <w:sz w:val="4"/>
                <w:szCs w:val="4"/>
              </w:rPr>
            </w:pPr>
            <w:r>
              <w:rPr>
                <w:sz w:val="4"/>
                <w:szCs w:val="4"/>
              </w:rPr>
            </w:r>
          </w:p>
        </w:tc>
        <w:tc>
          <w:tcPr>
            <w:tcW w:w="1805" w:type="dxa"/>
            <w:gridSpan w:val="2"/>
            <w:tcBorders/>
            <w:vAlign w:val="center"/>
          </w:tcPr>
          <w:p>
            <w:pPr>
              <w:pStyle w:val="TableContents"/>
              <w:bidi w:val="0"/>
              <w:spacing w:before="0" w:after="283"/>
              <w:jc w:val="left"/>
              <w:rPr>
                <w:sz w:val="4"/>
                <w:szCs w:val="4"/>
              </w:rPr>
            </w:pPr>
            <w:r>
              <w:rPr>
                <w:sz w:val="4"/>
                <w:szCs w:val="4"/>
              </w:rPr>
            </w:r>
          </w:p>
        </w:tc>
      </w:tr>
      <w:tr>
        <w:trPr/>
        <w:tc>
          <w:tcPr>
            <w:tcW w:w="2795" w:type="dxa"/>
            <w:tcBorders>
              <w:bottom w:val="single" w:sz="6" w:space="0" w:color="FBDDE3"/>
            </w:tcBorders>
            <w:tcMar>
              <w:bottom w:w="60" w:type="dxa"/>
            </w:tcMar>
            <w:vAlign w:val="center"/>
          </w:tcPr>
          <w:p>
            <w:pPr>
              <w:pStyle w:val="TableContents"/>
              <w:bidi w:val="0"/>
              <w:spacing w:before="0" w:after="0"/>
              <w:jc w:val="left"/>
              <w:rPr>
                <w:rFonts w:ascii="arial" w:hAnsi="arial"/>
                <w:b/>
                <w:sz w:val="18"/>
              </w:rPr>
            </w:pPr>
            <w:r>
              <w:rPr>
                <w:rFonts w:ascii="arial" w:hAnsi="arial"/>
                <w:b/>
                <w:sz w:val="18"/>
              </w:rPr>
              <w:t>Mariam Naficy</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77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204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685" w:type="dxa"/>
            <w:tcBorders>
              <w:bottom w:val="single" w:sz="6" w:space="0" w:color="FBDDE3"/>
            </w:tcBorders>
            <w:tcMar>
              <w:bottom w:w="60" w:type="dxa"/>
            </w:tcMar>
            <w:vAlign w:val="center"/>
          </w:tcPr>
          <w:p>
            <w:pPr>
              <w:pStyle w:val="TableContents"/>
              <w:bidi w:val="0"/>
              <w:spacing w:before="0" w:after="283"/>
              <w:jc w:val="center"/>
              <w:rPr>
                <w:color w:val="F7ACBA"/>
              </w:rPr>
            </w:pPr>
            <w:r>
              <w:rPr>
                <w:color w:val="F7ACBA"/>
              </w:rPr>
              <w:t>∎</w:t>
            </w:r>
          </w:p>
        </w:tc>
      </w:tr>
      <w:tr>
        <w:trPr/>
        <w:tc>
          <w:tcPr>
            <w:tcW w:w="2795" w:type="dxa"/>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c>
          <w:tcPr>
            <w:tcW w:w="2105" w:type="dxa"/>
            <w:gridSpan w:val="2"/>
            <w:tcBorders/>
            <w:vAlign w:val="center"/>
          </w:tcPr>
          <w:p>
            <w:pPr>
              <w:pStyle w:val="TableContents"/>
              <w:bidi w:val="0"/>
              <w:spacing w:before="0" w:after="283"/>
              <w:jc w:val="left"/>
              <w:rPr>
                <w:sz w:val="4"/>
                <w:szCs w:val="4"/>
              </w:rPr>
            </w:pPr>
            <w:r>
              <w:rPr>
                <w:sz w:val="4"/>
                <w:szCs w:val="4"/>
              </w:rPr>
            </w:r>
          </w:p>
        </w:tc>
        <w:tc>
          <w:tcPr>
            <w:tcW w:w="1805" w:type="dxa"/>
            <w:gridSpan w:val="2"/>
            <w:tcBorders/>
            <w:vAlign w:val="center"/>
          </w:tcPr>
          <w:p>
            <w:pPr>
              <w:pStyle w:val="TableContents"/>
              <w:bidi w:val="0"/>
              <w:spacing w:before="0" w:after="283"/>
              <w:jc w:val="left"/>
              <w:rPr>
                <w:sz w:val="4"/>
                <w:szCs w:val="4"/>
              </w:rPr>
            </w:pPr>
            <w:r>
              <w:rPr>
                <w:sz w:val="4"/>
                <w:szCs w:val="4"/>
              </w:rPr>
            </w:r>
          </w:p>
        </w:tc>
      </w:tr>
      <w:tr>
        <w:trPr/>
        <w:tc>
          <w:tcPr>
            <w:tcW w:w="2795" w:type="dxa"/>
            <w:tcBorders>
              <w:bottom w:val="single" w:sz="6" w:space="0" w:color="FBDDE3"/>
            </w:tcBorders>
            <w:tcMar>
              <w:bottom w:w="60" w:type="dxa"/>
            </w:tcMar>
            <w:vAlign w:val="center"/>
          </w:tcPr>
          <w:p>
            <w:pPr>
              <w:pStyle w:val="TableContents"/>
              <w:bidi w:val="0"/>
              <w:spacing w:before="0" w:after="0"/>
              <w:jc w:val="left"/>
              <w:rPr>
                <w:rFonts w:ascii="arial" w:hAnsi="arial"/>
                <w:b/>
                <w:sz w:val="18"/>
              </w:rPr>
            </w:pPr>
            <w:r>
              <w:rPr>
                <w:rFonts w:ascii="arial" w:hAnsi="arial"/>
                <w:b/>
                <w:sz w:val="18"/>
              </w:rPr>
              <w:t>Lauren Peters</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775" w:type="dxa"/>
            <w:tcBorders>
              <w:bottom w:val="single" w:sz="6" w:space="0" w:color="FBDDE3"/>
            </w:tcBorders>
            <w:tcMar>
              <w:bottom w:w="60" w:type="dxa"/>
            </w:tcMar>
            <w:vAlign w:val="center"/>
          </w:tcPr>
          <w:p>
            <w:pPr>
              <w:pStyle w:val="TableContents"/>
              <w:bidi w:val="0"/>
              <w:spacing w:before="0" w:after="283"/>
              <w:jc w:val="center"/>
              <w:rPr/>
            </w:pPr>
            <w:r>
              <w:rPr>
                <w:color w:val="F7ACBA"/>
              </w:rPr>
              <w:t>∎</w:t>
            </w:r>
            <w:r>
              <w:rPr/>
              <w:t>*</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2045" w:type="dxa"/>
            <w:tcBorders>
              <w:bottom w:val="single" w:sz="6" w:space="0" w:color="FBDDE3"/>
            </w:tcBorders>
            <w:tcMar>
              <w:bottom w:w="60" w:type="dxa"/>
            </w:tcMar>
            <w:vAlign w:val="center"/>
          </w:tcPr>
          <w:p>
            <w:pPr>
              <w:pStyle w:val="TableContents"/>
              <w:bidi w:val="0"/>
              <w:spacing w:before="0" w:after="283"/>
              <w:jc w:val="center"/>
              <w:rPr>
                <w:color w:val="F7ACBA"/>
              </w:rPr>
            </w:pPr>
            <w:r>
              <w:rPr>
                <w:color w:val="F7ACBA"/>
              </w:rPr>
              <w:t>∎</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68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2795" w:type="dxa"/>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c>
          <w:tcPr>
            <w:tcW w:w="2105" w:type="dxa"/>
            <w:gridSpan w:val="2"/>
            <w:tcBorders/>
            <w:vAlign w:val="center"/>
          </w:tcPr>
          <w:p>
            <w:pPr>
              <w:pStyle w:val="TableContents"/>
              <w:bidi w:val="0"/>
              <w:spacing w:before="0" w:after="283"/>
              <w:jc w:val="left"/>
              <w:rPr>
                <w:sz w:val="4"/>
                <w:szCs w:val="4"/>
              </w:rPr>
            </w:pPr>
            <w:r>
              <w:rPr>
                <w:sz w:val="4"/>
                <w:szCs w:val="4"/>
              </w:rPr>
            </w:r>
          </w:p>
        </w:tc>
        <w:tc>
          <w:tcPr>
            <w:tcW w:w="1805" w:type="dxa"/>
            <w:gridSpan w:val="2"/>
            <w:tcBorders/>
            <w:vAlign w:val="center"/>
          </w:tcPr>
          <w:p>
            <w:pPr>
              <w:pStyle w:val="TableContents"/>
              <w:bidi w:val="0"/>
              <w:spacing w:before="0" w:after="283"/>
              <w:jc w:val="left"/>
              <w:rPr>
                <w:sz w:val="4"/>
                <w:szCs w:val="4"/>
              </w:rPr>
            </w:pPr>
            <w:r>
              <w:rPr>
                <w:sz w:val="4"/>
                <w:szCs w:val="4"/>
              </w:rPr>
            </w:r>
          </w:p>
        </w:tc>
      </w:tr>
      <w:tr>
        <w:trPr/>
        <w:tc>
          <w:tcPr>
            <w:tcW w:w="2795" w:type="dxa"/>
            <w:tcBorders>
              <w:bottom w:val="single" w:sz="6" w:space="0" w:color="FBDDE3"/>
            </w:tcBorders>
            <w:tcMar>
              <w:bottom w:w="60" w:type="dxa"/>
            </w:tcMar>
            <w:vAlign w:val="center"/>
          </w:tcPr>
          <w:p>
            <w:pPr>
              <w:pStyle w:val="TableContents"/>
              <w:bidi w:val="0"/>
              <w:spacing w:before="0" w:after="0"/>
              <w:jc w:val="left"/>
              <w:rPr>
                <w:rFonts w:ascii="arial" w:hAnsi="arial"/>
                <w:b/>
                <w:sz w:val="18"/>
              </w:rPr>
            </w:pPr>
            <w:r>
              <w:rPr>
                <w:rFonts w:ascii="arial" w:hAnsi="arial"/>
                <w:b/>
                <w:sz w:val="18"/>
              </w:rPr>
              <w:t>Anne Sheehan</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77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2045" w:type="dxa"/>
            <w:tcBorders>
              <w:bottom w:val="single" w:sz="6" w:space="0" w:color="FBDDE3"/>
            </w:tcBorders>
            <w:tcMar>
              <w:bottom w:w="60" w:type="dxa"/>
            </w:tcMar>
            <w:vAlign w:val="center"/>
          </w:tcPr>
          <w:p>
            <w:pPr>
              <w:pStyle w:val="TableContents"/>
              <w:bidi w:val="0"/>
              <w:spacing w:before="0" w:after="283"/>
              <w:jc w:val="center"/>
              <w:rPr>
                <w:color w:val="F7ACBA"/>
              </w:rPr>
            </w:pPr>
            <w:r>
              <w:rPr>
                <w:color w:val="F7ACBA"/>
              </w:rPr>
              <w:t>∎</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685" w:type="dxa"/>
            <w:tcBorders>
              <w:bottom w:val="single" w:sz="6" w:space="0" w:color="FBDDE3"/>
            </w:tcBorders>
            <w:tcMar>
              <w:bottom w:w="60" w:type="dxa"/>
            </w:tcMar>
            <w:vAlign w:val="center"/>
          </w:tcPr>
          <w:p>
            <w:pPr>
              <w:pStyle w:val="TableContents"/>
              <w:bidi w:val="0"/>
              <w:spacing w:before="0" w:after="283"/>
              <w:jc w:val="center"/>
              <w:rPr/>
            </w:pPr>
            <w:r>
              <w:rPr/>
              <w:t>CHAIR</w:t>
            </w:r>
          </w:p>
        </w:tc>
      </w:tr>
      <w:tr>
        <w:trPr/>
        <w:tc>
          <w:tcPr>
            <w:tcW w:w="2795" w:type="dxa"/>
            <w:tcBorders/>
            <w:vAlign w:val="center"/>
          </w:tcPr>
          <w:p>
            <w:pPr>
              <w:pStyle w:val="TableContents"/>
              <w:bidi w:val="0"/>
              <w:spacing w:before="0" w:after="283"/>
              <w:jc w:val="left"/>
              <w:rPr>
                <w:sz w:val="4"/>
                <w:szCs w:val="4"/>
              </w:rPr>
            </w:pPr>
            <w:r>
              <w:rPr>
                <w:sz w:val="4"/>
                <w:szCs w:val="4"/>
              </w:rPr>
            </w:r>
          </w:p>
        </w:tc>
        <w:tc>
          <w:tcPr>
            <w:tcW w:w="1895" w:type="dxa"/>
            <w:gridSpan w:val="2"/>
            <w:tcBorders/>
            <w:vAlign w:val="center"/>
          </w:tcPr>
          <w:p>
            <w:pPr>
              <w:pStyle w:val="TableContents"/>
              <w:bidi w:val="0"/>
              <w:spacing w:before="0" w:after="283"/>
              <w:jc w:val="left"/>
              <w:rPr>
                <w:sz w:val="4"/>
                <w:szCs w:val="4"/>
              </w:rPr>
            </w:pPr>
            <w:r>
              <w:rPr>
                <w:sz w:val="4"/>
                <w:szCs w:val="4"/>
              </w:rPr>
            </w:r>
          </w:p>
        </w:tc>
        <w:tc>
          <w:tcPr>
            <w:tcW w:w="2105" w:type="dxa"/>
            <w:gridSpan w:val="2"/>
            <w:tcBorders/>
            <w:vAlign w:val="center"/>
          </w:tcPr>
          <w:p>
            <w:pPr>
              <w:pStyle w:val="TableContents"/>
              <w:bidi w:val="0"/>
              <w:spacing w:before="0" w:after="283"/>
              <w:jc w:val="left"/>
              <w:rPr>
                <w:sz w:val="4"/>
                <w:szCs w:val="4"/>
              </w:rPr>
            </w:pPr>
            <w:r>
              <w:rPr>
                <w:sz w:val="4"/>
                <w:szCs w:val="4"/>
              </w:rPr>
            </w:r>
          </w:p>
        </w:tc>
        <w:tc>
          <w:tcPr>
            <w:tcW w:w="1805" w:type="dxa"/>
            <w:gridSpan w:val="2"/>
            <w:tcBorders/>
            <w:vAlign w:val="center"/>
          </w:tcPr>
          <w:p>
            <w:pPr>
              <w:pStyle w:val="TableContents"/>
              <w:bidi w:val="0"/>
              <w:spacing w:before="0" w:after="283"/>
              <w:jc w:val="left"/>
              <w:rPr>
                <w:sz w:val="4"/>
                <w:szCs w:val="4"/>
              </w:rPr>
            </w:pPr>
            <w:r>
              <w:rPr>
                <w:sz w:val="4"/>
                <w:szCs w:val="4"/>
              </w:rPr>
            </w:r>
          </w:p>
        </w:tc>
      </w:tr>
      <w:tr>
        <w:trPr/>
        <w:tc>
          <w:tcPr>
            <w:tcW w:w="2795" w:type="dxa"/>
            <w:tcBorders>
              <w:bottom w:val="single" w:sz="8" w:space="0" w:color="F7ACBA"/>
            </w:tcBorders>
            <w:tcMar>
              <w:bottom w:w="80" w:type="dxa"/>
            </w:tcMar>
            <w:vAlign w:val="center"/>
          </w:tcPr>
          <w:p>
            <w:pPr>
              <w:pStyle w:val="TableContents"/>
              <w:bidi w:val="0"/>
              <w:spacing w:before="0" w:after="0"/>
              <w:jc w:val="left"/>
              <w:rPr>
                <w:rFonts w:ascii="arial" w:hAnsi="arial"/>
                <w:sz w:val="18"/>
              </w:rPr>
            </w:pPr>
            <w:r>
              <w:rPr>
                <w:rFonts w:ascii="arial" w:hAnsi="arial"/>
                <w:b/>
                <w:sz w:val="18"/>
              </w:rPr>
              <w:t>Martin Waters,</w:t>
            </w:r>
            <w:r>
              <w:rPr>
                <w:rFonts w:ascii="arial" w:hAnsi="arial"/>
                <w:sz w:val="18"/>
              </w:rPr>
              <w:t xml:space="preserve"> </w:t>
            </w:r>
            <w:r>
              <w:rPr>
                <w:rFonts w:ascii="arial" w:hAnsi="arial"/>
                <w:i/>
                <w:sz w:val="18"/>
              </w:rPr>
              <w:t>CEO</w:t>
            </w:r>
          </w:p>
        </w:tc>
        <w:tc>
          <w:tcPr>
            <w:tcW w:w="120" w:type="dxa"/>
            <w:tcBorders>
              <w:bottom w:val="single" w:sz="8" w:space="0" w:color="F7ACBA"/>
            </w:tcBorders>
            <w:tcMar>
              <w:bottom w:w="28" w:type="dxa"/>
            </w:tcMar>
            <w:vAlign w:val="center"/>
          </w:tcPr>
          <w:p>
            <w:pPr>
              <w:pStyle w:val="TableContents"/>
              <w:bidi w:val="0"/>
              <w:spacing w:before="0" w:after="283"/>
              <w:jc w:val="left"/>
              <w:rPr/>
            </w:pPr>
            <w:r>
              <w:rPr/>
              <w:t>  </w:t>
            </w:r>
          </w:p>
        </w:tc>
        <w:tc>
          <w:tcPr>
            <w:tcW w:w="1775"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2045"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F7ACBA"/>
            </w:tcBorders>
            <w:tcMar>
              <w:bottom w:w="28" w:type="dxa"/>
            </w:tcMar>
            <w:vAlign w:val="center"/>
          </w:tcPr>
          <w:p>
            <w:pPr>
              <w:pStyle w:val="TableContents"/>
              <w:bidi w:val="0"/>
              <w:spacing w:before="0" w:after="283"/>
              <w:jc w:val="left"/>
              <w:rPr/>
            </w:pPr>
            <w:r>
              <w:rPr/>
              <w:t>  </w:t>
            </w:r>
          </w:p>
        </w:tc>
        <w:tc>
          <w:tcPr>
            <w:tcW w:w="1685"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bl>
    <w:p>
      <w:pPr>
        <w:pStyle w:val="TextBody"/>
        <w:bidi w:val="0"/>
        <w:spacing w:before="240" w:after="0"/>
        <w:jc w:val="left"/>
        <w:rPr>
          <w:rFonts w:ascii="arial" w:hAnsi="arial"/>
          <w:b/>
          <w:color w:val="F7ACBA"/>
          <w:sz w:val="24"/>
        </w:rPr>
      </w:pPr>
      <w:r>
        <w:rPr>
          <w:rFonts w:ascii="arial" w:hAnsi="arial"/>
          <w:b/>
          <w:color w:val="F7ACBA"/>
          <w:sz w:val="24"/>
        </w:rPr>
        <w:t xml:space="preserve">Audit Committee </w:t>
      </w:r>
    </w:p>
    <w:p>
      <w:pPr>
        <w:pStyle w:val="TextBody"/>
        <w:bidi w:val="0"/>
        <w:spacing w:before="60" w:after="0"/>
        <w:jc w:val="left"/>
        <w:rPr>
          <w:rFonts w:ascii="arial" w:hAnsi="arial"/>
          <w:sz w:val="18"/>
        </w:rPr>
      </w:pPr>
      <w:r>
        <w:rPr>
          <w:rFonts w:ascii="arial" w:hAnsi="arial"/>
          <w:sz w:val="18"/>
        </w:rPr>
        <w:t xml:space="preserve">Each member of the Audit Committee is financially literate and independent, as required by NYSE listing standards, and also meets the heightened independence standards for audit committee members under applicable SEC rules. In addition, the Board has determined that each of Sarah Davis, who serves as Chair of the Audit Committee, Donna James, and Lauren Peters is an “audit committee financial expert” under SEC rules. This designation does not impose any duties, obligations or liabilities that are greater than are generally imposed on members of the Audit Committee or the Board. </w:t>
      </w:r>
    </w:p>
    <w:p>
      <w:pPr>
        <w:pStyle w:val="TextBody"/>
        <w:bidi w:val="0"/>
        <w:spacing w:before="120" w:after="0"/>
        <w:jc w:val="left"/>
        <w:rPr>
          <w:rFonts w:ascii="arial" w:hAnsi="arial"/>
          <w:sz w:val="18"/>
        </w:rPr>
      </w:pPr>
      <w:r>
        <w:rPr>
          <w:rFonts w:ascii="arial" w:hAnsi="arial"/>
          <w:sz w:val="18"/>
        </w:rPr>
        <w:t xml:space="preserve">The Audit Committee met six times during fiscal 2023. Members of the Audit Committee attended 96% of committee meetings during fiscal 2023. The responsibilities of the Audit Committee include, among other duties: </w:t>
      </w:r>
    </w:p>
    <w:p>
      <w:pPr>
        <w:pStyle w:val="TextBody"/>
        <w:bidi w:val="0"/>
        <w:spacing w:before="0" w:after="0"/>
        <w:jc w:val="left"/>
        <w:rPr/>
      </w:pPr>
      <w:r>
        <w:rPr/>
        <w:t> </w:t>
      </w:r>
    </w:p>
    <w:tbl>
      <w:tblPr>
        <w:tblW w:w="8605" w:type="dxa"/>
        <w:jc w:val="left"/>
        <w:tblInd w:w="0" w:type="dxa"/>
        <w:tblLayout w:type="fixed"/>
        <w:tblCellMar>
          <w:top w:w="0" w:type="dxa"/>
          <w:left w:w="0" w:type="dxa"/>
          <w:bottom w:w="0" w:type="dxa"/>
          <w:right w:w="0" w:type="dxa"/>
        </w:tblCellMar>
      </w:tblPr>
      <w:tblGrid>
        <w:gridCol w:w="125"/>
        <w:gridCol w:w="60"/>
        <w:gridCol w:w="84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8420" w:type="dxa"/>
            <w:tcBorders/>
            <w:vAlign w:val="center"/>
          </w:tcPr>
          <w:p>
            <w:pPr>
              <w:pStyle w:val="TableContents"/>
              <w:bidi w:val="0"/>
              <w:spacing w:before="0" w:after="0"/>
              <w:jc w:val="left"/>
              <w:rPr>
                <w:rFonts w:ascii="arial" w:hAnsi="arial"/>
                <w:sz w:val="18"/>
              </w:rPr>
            </w:pPr>
            <w:r>
              <w:rPr>
                <w:rFonts w:ascii="arial" w:hAnsi="arial"/>
                <w:sz w:val="18"/>
              </w:rPr>
              <w:t xml:space="preserve">Appoint, compensate, retain, oversee, and terminate our independent registered public accounting firm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Review and approve the scope, timing, and staffing of the audit conducted by the independent registered public accounting firm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Discuss any critical audit matters and significant findings from the audit conducted by the independent registered public accounting firm, as well as any significant problems or difficulties encountered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Evaluate the independent registered public accounting firm’s qualifications, performance, and independence and present such findings to the Board </w:t>
            </w:r>
          </w:p>
        </w:tc>
      </w:tr>
    </w:tbl>
    <w:p>
      <w:pPr>
        <w:pStyle w:val="TextBody"/>
        <w:bidi w:val="0"/>
        <w:spacing w:before="0" w:after="0"/>
        <w:jc w:val="left"/>
        <w:rPr/>
      </w:pPr>
      <w:r>
        <w:rPr/>
        <w:t> </w:t>
      </w:r>
    </w:p>
    <w:tbl>
      <w:tblPr>
        <w:tblW w:w="7690" w:type="dxa"/>
        <w:jc w:val="left"/>
        <w:tblInd w:w="0" w:type="dxa"/>
        <w:tblLayout w:type="fixed"/>
        <w:tblCellMar>
          <w:top w:w="0" w:type="dxa"/>
          <w:left w:w="0" w:type="dxa"/>
          <w:bottom w:w="0" w:type="dxa"/>
          <w:right w:w="0" w:type="dxa"/>
        </w:tblCellMar>
      </w:tblPr>
      <w:tblGrid>
        <w:gridCol w:w="125"/>
        <w:gridCol w:w="60"/>
        <w:gridCol w:w="7505"/>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0"/>
              <w:jc w:val="left"/>
              <w:rPr>
                <w:rFonts w:ascii="arial" w:hAnsi="arial"/>
                <w:sz w:val="18"/>
              </w:rPr>
            </w:pPr>
            <w:r>
              <w:rPr>
                <w:rFonts w:ascii="arial" w:hAnsi="arial"/>
                <w:sz w:val="18"/>
              </w:rPr>
              <w:t xml:space="preserve">Evaluate the performance, responsibilities, budget, and staffing of our internal audit function </w:t>
            </w:r>
          </w:p>
        </w:tc>
      </w:tr>
    </w:tbl>
    <w:p>
      <w:pPr>
        <w:pStyle w:val="TextBody"/>
        <w:bidi w:val="0"/>
        <w:spacing w:before="0" w:after="0"/>
        <w:jc w:val="left"/>
        <w:rPr/>
      </w:pPr>
      <w:r>
        <w:rPr/>
        <w:t> </w:t>
      </w:r>
    </w:p>
    <w:tbl>
      <w:tblPr>
        <w:tblW w:w="3640" w:type="dxa"/>
        <w:jc w:val="left"/>
        <w:tblInd w:w="0" w:type="dxa"/>
        <w:tblLayout w:type="fixed"/>
        <w:tblCellMar>
          <w:top w:w="0" w:type="dxa"/>
          <w:left w:w="0" w:type="dxa"/>
          <w:bottom w:w="0" w:type="dxa"/>
          <w:right w:w="0" w:type="dxa"/>
        </w:tblCellMar>
      </w:tblPr>
      <w:tblGrid>
        <w:gridCol w:w="125"/>
        <w:gridCol w:w="60"/>
        <w:gridCol w:w="3455"/>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0"/>
              <w:jc w:val="left"/>
              <w:rPr>
                <w:rFonts w:ascii="arial" w:hAnsi="arial"/>
                <w:sz w:val="18"/>
              </w:rPr>
            </w:pPr>
            <w:r>
              <w:rPr>
                <w:rFonts w:ascii="arial" w:hAnsi="arial"/>
                <w:sz w:val="18"/>
              </w:rPr>
              <w:t xml:space="preserve">Review the internal audit plan and results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Review and discuss with management, the internal auditors, and the independent registered public accounting firm our annual and quarterly financial statements and disclosures under the “Management’s Discussion and Analysis of Financial Condition and Results of Operations” section of our Annual Report on Form 10-K prior to filing with the SEC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Review earnings press releases and our policies with respect to financial information and earnings guidance provided to the market </w:t>
            </w:r>
          </w:p>
        </w:tc>
      </w:tr>
    </w:tbl>
    <w:p>
      <w:pPr>
        <w:pStyle w:val="TextBody"/>
        <w:bidi w:val="0"/>
        <w:spacing w:before="0" w:after="0"/>
        <w:jc w:val="left"/>
        <w:rPr/>
      </w:pPr>
      <w:r>
        <w:rPr/>
        <w:t> </w:t>
      </w:r>
    </w:p>
    <w:tbl>
      <w:tblPr>
        <w:tblW w:w="6625" w:type="dxa"/>
        <w:jc w:val="left"/>
        <w:tblInd w:w="0" w:type="dxa"/>
        <w:tblLayout w:type="fixed"/>
        <w:tblCellMar>
          <w:top w:w="0" w:type="dxa"/>
          <w:left w:w="0" w:type="dxa"/>
          <w:bottom w:w="0" w:type="dxa"/>
          <w:right w:w="0" w:type="dxa"/>
        </w:tblCellMar>
      </w:tblPr>
      <w:tblGrid>
        <w:gridCol w:w="125"/>
        <w:gridCol w:w="60"/>
        <w:gridCol w:w="644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6440" w:type="dxa"/>
            <w:tcBorders/>
            <w:vAlign w:val="center"/>
          </w:tcPr>
          <w:p>
            <w:pPr>
              <w:pStyle w:val="TableContents"/>
              <w:bidi w:val="0"/>
              <w:spacing w:before="0" w:after="0"/>
              <w:jc w:val="left"/>
              <w:rPr>
                <w:rFonts w:ascii="arial" w:hAnsi="arial"/>
                <w:sz w:val="18"/>
              </w:rPr>
            </w:pPr>
            <w:r>
              <w:rPr>
                <w:rFonts w:ascii="arial" w:hAnsi="arial"/>
                <w:sz w:val="18"/>
              </w:rPr>
              <w:t xml:space="preserve">Review our system of internal controls and disclosure controls and procedures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Review our policies and practices with respect to enterprise risk management, enterprise risk assessment, cybersecurity risk, and our data security policies </w:t>
            </w:r>
          </w:p>
        </w:tc>
      </w:tr>
    </w:tbl>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75"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6" descr=""/>
                          <pic:cNvPicPr>
                            <a:picLocks noChangeAspect="1" noChangeArrowheads="1"/>
                          </pic:cNvPicPr>
                        </pic:nvPicPr>
                        <pic:blipFill>
                          <a:blip r:embed="rId67"/>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28 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CORPORATE GOVERNANCE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Discuss with management our major financial risk exposures and the steps that have been taken to monitor and control such exposures </w:t>
            </w:r>
          </w:p>
        </w:tc>
      </w:tr>
    </w:tbl>
    <w:p>
      <w:pPr>
        <w:pStyle w:val="TextBody"/>
        <w:bidi w:val="0"/>
        <w:spacing w:before="0" w:after="0"/>
        <w:jc w:val="left"/>
        <w:rPr/>
      </w:pPr>
      <w:r>
        <w:rPr/>
        <w:t> </w:t>
      </w:r>
    </w:p>
    <w:tbl>
      <w:tblPr>
        <w:tblW w:w="6940" w:type="dxa"/>
        <w:jc w:val="left"/>
        <w:tblInd w:w="0" w:type="dxa"/>
        <w:tblLayout w:type="fixed"/>
        <w:tblCellMar>
          <w:top w:w="0" w:type="dxa"/>
          <w:left w:w="0" w:type="dxa"/>
          <w:bottom w:w="0" w:type="dxa"/>
          <w:right w:w="0" w:type="dxa"/>
        </w:tblCellMar>
      </w:tblPr>
      <w:tblGrid>
        <w:gridCol w:w="125"/>
        <w:gridCol w:w="60"/>
        <w:gridCol w:w="6755"/>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6755" w:type="dxa"/>
            <w:tcBorders/>
            <w:vAlign w:val="center"/>
          </w:tcPr>
          <w:p>
            <w:pPr>
              <w:pStyle w:val="TableContents"/>
              <w:bidi w:val="0"/>
              <w:spacing w:before="0" w:after="0"/>
              <w:jc w:val="left"/>
              <w:rPr>
                <w:rFonts w:ascii="arial" w:hAnsi="arial"/>
                <w:sz w:val="18"/>
              </w:rPr>
            </w:pPr>
            <w:r>
              <w:rPr>
                <w:rFonts w:ascii="arial" w:hAnsi="arial"/>
                <w:sz w:val="18"/>
              </w:rPr>
              <w:t xml:space="preserve">Review our anti-fraud programs and controls and report such findings to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Oversee the investigation and resolution of significant legal or regulatory matters affecting VS&amp;Co as well as significant matters arising under the Code of Conduct </w:t>
            </w:r>
          </w:p>
        </w:tc>
      </w:tr>
    </w:tbl>
    <w:p>
      <w:pPr>
        <w:pStyle w:val="TextBody"/>
        <w:bidi w:val="0"/>
        <w:spacing w:before="0" w:after="0"/>
        <w:jc w:val="left"/>
        <w:rPr/>
      </w:pPr>
      <w:r>
        <w:rPr/>
        <w:t> </w:t>
      </w:r>
    </w:p>
    <w:tbl>
      <w:tblPr>
        <w:tblW w:w="10015" w:type="dxa"/>
        <w:jc w:val="left"/>
        <w:tblInd w:w="0" w:type="dxa"/>
        <w:tblLayout w:type="fixed"/>
        <w:tblCellMar>
          <w:top w:w="0" w:type="dxa"/>
          <w:left w:w="0" w:type="dxa"/>
          <w:bottom w:w="0" w:type="dxa"/>
          <w:right w:w="0" w:type="dxa"/>
        </w:tblCellMar>
      </w:tblPr>
      <w:tblGrid>
        <w:gridCol w:w="125"/>
        <w:gridCol w:w="60"/>
        <w:gridCol w:w="983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9830" w:type="dxa"/>
            <w:tcBorders/>
            <w:vAlign w:val="center"/>
          </w:tcPr>
          <w:p>
            <w:pPr>
              <w:pStyle w:val="TableContents"/>
              <w:bidi w:val="0"/>
              <w:spacing w:before="0" w:after="0"/>
              <w:jc w:val="left"/>
              <w:rPr>
                <w:rFonts w:ascii="arial" w:hAnsi="arial"/>
                <w:sz w:val="18"/>
              </w:rPr>
            </w:pPr>
            <w:r>
              <w:rPr>
                <w:rFonts w:ascii="arial" w:hAnsi="arial"/>
                <w:sz w:val="18"/>
              </w:rPr>
              <w:t xml:space="preserve">Review and, if appropriate, approve related party transactions in accordance with the Related Person Transaction Policy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Stay abreast of current accounting trends and developments and discuss with the independent registered public accounting firm and management any resultant action or changes that may be appropriate </w:t>
            </w:r>
          </w:p>
        </w:tc>
      </w:tr>
    </w:tbl>
    <w:p>
      <w:pPr>
        <w:pStyle w:val="TextBody"/>
        <w:bidi w:val="0"/>
        <w:spacing w:before="240" w:after="0"/>
        <w:jc w:val="left"/>
        <w:rPr>
          <w:rFonts w:ascii="arial" w:hAnsi="arial"/>
          <w:b/>
          <w:color w:val="F7ACBA"/>
          <w:sz w:val="24"/>
        </w:rPr>
      </w:pPr>
      <w:r>
        <w:rPr>
          <w:rFonts w:ascii="arial" w:hAnsi="arial"/>
          <w:b/>
          <w:color w:val="F7ACBA"/>
          <w:sz w:val="24"/>
        </w:rPr>
        <w:t xml:space="preserve">Human Capital and Compensation Committee </w:t>
      </w:r>
    </w:p>
    <w:p>
      <w:pPr>
        <w:pStyle w:val="TextBody"/>
        <w:bidi w:val="0"/>
        <w:spacing w:before="60" w:after="0"/>
        <w:jc w:val="left"/>
        <w:rPr>
          <w:rFonts w:ascii="arial" w:hAnsi="arial"/>
          <w:sz w:val="18"/>
        </w:rPr>
      </w:pPr>
      <w:r>
        <w:rPr>
          <w:rFonts w:ascii="arial" w:hAnsi="arial"/>
          <w:sz w:val="18"/>
        </w:rPr>
        <w:t xml:space="preserve">The Human Capital and Compensation Committee, chaired by Irene Chang Britt, is comprised of directors who qualify as independent, including under the additional NYSE independence requirements applicable to compensation committee members. The Human Capital and Compensation Committee met ten times during fiscal 2023. Members of the Human Capital and Compensation Committee attended 95% of committee meetings during fiscal 2023 held during their service on the committee. The responsibilities of the Human Capital and Compensation Committee include, among other duties: </w:t>
      </w:r>
    </w:p>
    <w:p>
      <w:pPr>
        <w:pStyle w:val="TextBody"/>
        <w:bidi w:val="0"/>
        <w:spacing w:before="0" w:after="0"/>
        <w:jc w:val="left"/>
        <w:rPr/>
      </w:pPr>
      <w:r>
        <w:rPr/>
        <w:t> </w:t>
      </w:r>
    </w:p>
    <w:tbl>
      <w:tblPr>
        <w:tblW w:w="9985" w:type="dxa"/>
        <w:jc w:val="left"/>
        <w:tblInd w:w="0" w:type="dxa"/>
        <w:tblLayout w:type="fixed"/>
        <w:tblCellMar>
          <w:top w:w="0" w:type="dxa"/>
          <w:left w:w="0" w:type="dxa"/>
          <w:bottom w:w="0" w:type="dxa"/>
          <w:right w:w="0" w:type="dxa"/>
        </w:tblCellMar>
      </w:tblPr>
      <w:tblGrid>
        <w:gridCol w:w="125"/>
        <w:gridCol w:w="60"/>
        <w:gridCol w:w="980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9800" w:type="dxa"/>
            <w:tcBorders/>
            <w:vAlign w:val="center"/>
          </w:tcPr>
          <w:p>
            <w:pPr>
              <w:pStyle w:val="TableContents"/>
              <w:bidi w:val="0"/>
              <w:spacing w:before="0" w:after="0"/>
              <w:jc w:val="left"/>
              <w:rPr>
                <w:rFonts w:ascii="arial" w:hAnsi="arial"/>
                <w:sz w:val="18"/>
              </w:rPr>
            </w:pPr>
            <w:r>
              <w:rPr>
                <w:rFonts w:ascii="arial" w:hAnsi="arial"/>
                <w:sz w:val="18"/>
              </w:rPr>
              <w:t xml:space="preserve">Oversee our human capital management, including our diversity, equity and inclusion programs, policies, and strategies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Review and approve our compensation and benefits philosophy and policies, including any incentive compensation plans and equity-based plans </w:t>
            </w:r>
          </w:p>
        </w:tc>
      </w:tr>
    </w:tbl>
    <w:p>
      <w:pPr>
        <w:pStyle w:val="TextBody"/>
        <w:bidi w:val="0"/>
        <w:spacing w:before="0" w:after="0"/>
        <w:jc w:val="left"/>
        <w:rPr/>
      </w:pPr>
      <w:r>
        <w:rPr/>
        <w:t> </w:t>
      </w:r>
    </w:p>
    <w:tbl>
      <w:tblPr>
        <w:tblW w:w="9700" w:type="dxa"/>
        <w:jc w:val="left"/>
        <w:tblInd w:w="0" w:type="dxa"/>
        <w:tblLayout w:type="fixed"/>
        <w:tblCellMar>
          <w:top w:w="0" w:type="dxa"/>
          <w:left w:w="0" w:type="dxa"/>
          <w:bottom w:w="0" w:type="dxa"/>
          <w:right w:w="0" w:type="dxa"/>
        </w:tblCellMar>
      </w:tblPr>
      <w:tblGrid>
        <w:gridCol w:w="125"/>
        <w:gridCol w:w="60"/>
        <w:gridCol w:w="9515"/>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9515" w:type="dxa"/>
            <w:tcBorders/>
            <w:vAlign w:val="center"/>
          </w:tcPr>
          <w:p>
            <w:pPr>
              <w:pStyle w:val="TableContents"/>
              <w:bidi w:val="0"/>
              <w:spacing w:before="0" w:after="0"/>
              <w:jc w:val="left"/>
              <w:rPr>
                <w:rFonts w:ascii="arial" w:hAnsi="arial"/>
                <w:sz w:val="18"/>
              </w:rPr>
            </w:pPr>
            <w:r>
              <w:rPr>
                <w:rFonts w:ascii="arial" w:hAnsi="arial"/>
                <w:sz w:val="18"/>
              </w:rPr>
              <w:t xml:space="preserve">Review and assess risks arising from our compensation policies and programs and report such findings to the Board </w:t>
            </w:r>
          </w:p>
        </w:tc>
      </w:tr>
    </w:tbl>
    <w:p>
      <w:pPr>
        <w:pStyle w:val="TextBody"/>
        <w:bidi w:val="0"/>
        <w:spacing w:before="0" w:after="0"/>
        <w:jc w:val="left"/>
        <w:rPr/>
      </w:pPr>
      <w:r>
        <w:rPr/>
        <w:t> </w:t>
      </w:r>
    </w:p>
    <w:tbl>
      <w:tblPr>
        <w:tblW w:w="8515" w:type="dxa"/>
        <w:jc w:val="left"/>
        <w:tblInd w:w="0" w:type="dxa"/>
        <w:tblLayout w:type="fixed"/>
        <w:tblCellMar>
          <w:top w:w="0" w:type="dxa"/>
          <w:left w:w="0" w:type="dxa"/>
          <w:bottom w:w="0" w:type="dxa"/>
          <w:right w:w="0" w:type="dxa"/>
        </w:tblCellMar>
      </w:tblPr>
      <w:tblGrid>
        <w:gridCol w:w="125"/>
        <w:gridCol w:w="60"/>
        <w:gridCol w:w="833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8330" w:type="dxa"/>
            <w:tcBorders/>
            <w:vAlign w:val="center"/>
          </w:tcPr>
          <w:p>
            <w:pPr>
              <w:pStyle w:val="TableContents"/>
              <w:bidi w:val="0"/>
              <w:spacing w:before="0" w:after="0"/>
              <w:jc w:val="left"/>
              <w:rPr>
                <w:rFonts w:ascii="arial" w:hAnsi="arial"/>
                <w:sz w:val="18"/>
              </w:rPr>
            </w:pPr>
            <w:r>
              <w:rPr>
                <w:rFonts w:ascii="arial" w:hAnsi="arial"/>
                <w:sz w:val="18"/>
              </w:rPr>
              <w:t xml:space="preserve">Evaluate the CEO’s performance and approve his or her compensation, with the input of the full Board </w:t>
            </w:r>
          </w:p>
        </w:tc>
      </w:tr>
    </w:tbl>
    <w:p>
      <w:pPr>
        <w:pStyle w:val="TextBody"/>
        <w:bidi w:val="0"/>
        <w:spacing w:before="0" w:after="0"/>
        <w:jc w:val="left"/>
        <w:rPr/>
      </w:pPr>
      <w:r>
        <w:rPr/>
        <w:t> </w:t>
      </w:r>
    </w:p>
    <w:tbl>
      <w:tblPr>
        <w:tblW w:w="6625" w:type="dxa"/>
        <w:jc w:val="left"/>
        <w:tblInd w:w="0" w:type="dxa"/>
        <w:tblLayout w:type="fixed"/>
        <w:tblCellMar>
          <w:top w:w="0" w:type="dxa"/>
          <w:left w:w="0" w:type="dxa"/>
          <w:bottom w:w="0" w:type="dxa"/>
          <w:right w:w="0" w:type="dxa"/>
        </w:tblCellMar>
      </w:tblPr>
      <w:tblGrid>
        <w:gridCol w:w="125"/>
        <w:gridCol w:w="60"/>
        <w:gridCol w:w="644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6440" w:type="dxa"/>
            <w:tcBorders/>
            <w:vAlign w:val="center"/>
          </w:tcPr>
          <w:p>
            <w:pPr>
              <w:pStyle w:val="TableContents"/>
              <w:bidi w:val="0"/>
              <w:spacing w:before="0" w:after="0"/>
              <w:jc w:val="left"/>
              <w:rPr>
                <w:rFonts w:ascii="arial" w:hAnsi="arial"/>
                <w:sz w:val="18"/>
              </w:rPr>
            </w:pPr>
            <w:r>
              <w:rPr>
                <w:rFonts w:ascii="arial" w:hAnsi="arial"/>
                <w:sz w:val="18"/>
              </w:rPr>
              <w:t xml:space="preserve">Review and approve the compensation structure of the other executive officers </w:t>
            </w:r>
          </w:p>
        </w:tc>
      </w:tr>
    </w:tbl>
    <w:p>
      <w:pPr>
        <w:pStyle w:val="TextBody"/>
        <w:bidi w:val="0"/>
        <w:spacing w:before="0" w:after="0"/>
        <w:jc w:val="left"/>
        <w:rPr/>
      </w:pPr>
      <w:r>
        <w:rPr/>
        <w:t> </w:t>
      </w:r>
    </w:p>
    <w:tbl>
      <w:tblPr>
        <w:tblW w:w="5095" w:type="dxa"/>
        <w:jc w:val="left"/>
        <w:tblInd w:w="0" w:type="dxa"/>
        <w:tblLayout w:type="fixed"/>
        <w:tblCellMar>
          <w:top w:w="0" w:type="dxa"/>
          <w:left w:w="0" w:type="dxa"/>
          <w:bottom w:w="0" w:type="dxa"/>
          <w:right w:w="0" w:type="dxa"/>
        </w:tblCellMar>
      </w:tblPr>
      <w:tblGrid>
        <w:gridCol w:w="125"/>
        <w:gridCol w:w="60"/>
        <w:gridCol w:w="491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0"/>
              <w:jc w:val="left"/>
              <w:rPr>
                <w:rFonts w:ascii="arial" w:hAnsi="arial"/>
                <w:sz w:val="18"/>
              </w:rPr>
            </w:pPr>
            <w:r>
              <w:rPr>
                <w:rFonts w:ascii="arial" w:hAnsi="arial"/>
                <w:sz w:val="18"/>
              </w:rPr>
              <w:t xml:space="preserve">Recommend to the Board the compensation of the directors </w:t>
            </w:r>
          </w:p>
        </w:tc>
      </w:tr>
    </w:tbl>
    <w:p>
      <w:pPr>
        <w:pStyle w:val="TextBody"/>
        <w:bidi w:val="0"/>
        <w:spacing w:before="0" w:after="0"/>
        <w:jc w:val="left"/>
        <w:rPr/>
      </w:pPr>
      <w:r>
        <w:rPr/>
        <w:t> </w:t>
      </w:r>
    </w:p>
    <w:tbl>
      <w:tblPr>
        <w:tblW w:w="10165" w:type="dxa"/>
        <w:jc w:val="left"/>
        <w:tblInd w:w="0" w:type="dxa"/>
        <w:tblLayout w:type="fixed"/>
        <w:tblCellMar>
          <w:top w:w="0" w:type="dxa"/>
          <w:left w:w="0" w:type="dxa"/>
          <w:bottom w:w="0" w:type="dxa"/>
          <w:right w:w="0" w:type="dxa"/>
        </w:tblCellMar>
      </w:tblPr>
      <w:tblGrid>
        <w:gridCol w:w="125"/>
        <w:gridCol w:w="60"/>
        <w:gridCol w:w="998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9980" w:type="dxa"/>
            <w:tcBorders/>
            <w:vAlign w:val="center"/>
          </w:tcPr>
          <w:p>
            <w:pPr>
              <w:pStyle w:val="TableContents"/>
              <w:bidi w:val="0"/>
              <w:spacing w:before="0" w:after="0"/>
              <w:jc w:val="left"/>
              <w:rPr>
                <w:rFonts w:ascii="arial" w:hAnsi="arial"/>
                <w:sz w:val="18"/>
              </w:rPr>
            </w:pPr>
            <w:r>
              <w:rPr>
                <w:rFonts w:ascii="arial" w:hAnsi="arial"/>
                <w:sz w:val="18"/>
              </w:rPr>
              <w:t xml:space="preserve">Review and discuss with management the “Compensation Discussion and Analysis” portion of the annual proxy statement </w:t>
            </w:r>
          </w:p>
        </w:tc>
      </w:tr>
    </w:tbl>
    <w:p>
      <w:pPr>
        <w:pStyle w:val="TextBody"/>
        <w:bidi w:val="0"/>
        <w:spacing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125"/>
        <w:gridCol w:w="60"/>
        <w:gridCol w:w="5795"/>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5795" w:type="dxa"/>
            <w:tcBorders/>
            <w:vAlign w:val="center"/>
          </w:tcPr>
          <w:p>
            <w:pPr>
              <w:pStyle w:val="TableContents"/>
              <w:bidi w:val="0"/>
              <w:spacing w:before="0" w:after="0"/>
              <w:jc w:val="left"/>
              <w:rPr>
                <w:rFonts w:ascii="arial" w:hAnsi="arial"/>
                <w:sz w:val="18"/>
              </w:rPr>
            </w:pPr>
            <w:r>
              <w:rPr>
                <w:rFonts w:ascii="arial" w:hAnsi="arial"/>
                <w:sz w:val="18"/>
              </w:rPr>
              <w:t xml:space="preserve">Oversee the succession plans for the CEO and other executive officers </w:t>
            </w:r>
          </w:p>
        </w:tc>
      </w:tr>
    </w:tbl>
    <w:p>
      <w:pPr>
        <w:pStyle w:val="TextBody"/>
        <w:bidi w:val="0"/>
        <w:spacing w:before="0" w:after="0"/>
        <w:jc w:val="left"/>
        <w:rPr/>
      </w:pPr>
      <w:r>
        <w:rPr/>
        <w:t> </w:t>
      </w:r>
    </w:p>
    <w:tbl>
      <w:tblPr>
        <w:tblW w:w="7720" w:type="dxa"/>
        <w:jc w:val="left"/>
        <w:tblInd w:w="0" w:type="dxa"/>
        <w:tblLayout w:type="fixed"/>
        <w:tblCellMar>
          <w:top w:w="0" w:type="dxa"/>
          <w:left w:w="0" w:type="dxa"/>
          <w:bottom w:w="0" w:type="dxa"/>
          <w:right w:w="0" w:type="dxa"/>
        </w:tblCellMar>
      </w:tblPr>
      <w:tblGrid>
        <w:gridCol w:w="125"/>
        <w:gridCol w:w="60"/>
        <w:gridCol w:w="7535"/>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7535" w:type="dxa"/>
            <w:tcBorders/>
            <w:vAlign w:val="center"/>
          </w:tcPr>
          <w:p>
            <w:pPr>
              <w:pStyle w:val="TableContents"/>
              <w:bidi w:val="0"/>
              <w:spacing w:before="0" w:after="0"/>
              <w:jc w:val="left"/>
              <w:rPr>
                <w:rFonts w:ascii="arial" w:hAnsi="arial"/>
                <w:sz w:val="18"/>
              </w:rPr>
            </w:pPr>
            <w:r>
              <w:rPr>
                <w:rFonts w:ascii="arial" w:hAnsi="arial"/>
                <w:sz w:val="18"/>
              </w:rPr>
              <w:t xml:space="preserve">Review our key workforce management and human capital policies and practices related to: </w:t>
            </w:r>
          </w:p>
        </w:tc>
      </w:tr>
    </w:tbl>
    <w:p>
      <w:pPr>
        <w:pStyle w:val="TextBody"/>
        <w:bidi w:val="0"/>
        <w:spacing w:before="0" w:after="0"/>
        <w:jc w:val="left"/>
        <w:rPr/>
      </w:pPr>
      <w:r>
        <w:rPr/>
        <w:t> </w:t>
      </w:r>
    </w:p>
    <w:tbl>
      <w:tblPr>
        <w:tblW w:w="4075" w:type="dxa"/>
        <w:jc w:val="left"/>
        <w:tblInd w:w="0" w:type="dxa"/>
        <w:tblLayout w:type="fixed"/>
        <w:tblCellMar>
          <w:top w:w="0" w:type="dxa"/>
          <w:left w:w="0" w:type="dxa"/>
          <w:bottom w:w="0" w:type="dxa"/>
          <w:right w:w="0" w:type="dxa"/>
        </w:tblCellMar>
      </w:tblPr>
      <w:tblGrid>
        <w:gridCol w:w="75"/>
        <w:gridCol w:w="110"/>
        <w:gridCol w:w="60"/>
        <w:gridCol w:w="38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jc w:val="left"/>
              <w:rPr>
                <w:rFonts w:ascii="arial" w:hAnsi="arial"/>
                <w:sz w:val="18"/>
              </w:rPr>
            </w:pPr>
            <w:r>
              <w:rPr>
                <w:rFonts w:ascii="arial" w:hAnsi="arial"/>
                <w:sz w:val="18"/>
              </w:rPr>
              <w:t xml:space="preserve">Organizational engagement and effectiveness </w:t>
            </w:r>
          </w:p>
        </w:tc>
      </w:tr>
    </w:tbl>
    <w:p>
      <w:pPr>
        <w:pStyle w:val="TextBody"/>
        <w:bidi w:val="0"/>
        <w:spacing w:before="0" w:after="0"/>
        <w:jc w:val="left"/>
        <w:rPr/>
      </w:pPr>
      <w:r>
        <w:rPr/>
        <w:t> </w:t>
      </w:r>
    </w:p>
    <w:tbl>
      <w:tblPr>
        <w:tblW w:w="925" w:type="dxa"/>
        <w:jc w:val="left"/>
        <w:tblInd w:w="0" w:type="dxa"/>
        <w:tblLayout w:type="fixed"/>
        <w:tblCellMar>
          <w:top w:w="0" w:type="dxa"/>
          <w:left w:w="0" w:type="dxa"/>
          <w:bottom w:w="0" w:type="dxa"/>
          <w:right w:w="0" w:type="dxa"/>
        </w:tblCellMar>
      </w:tblPr>
      <w:tblGrid>
        <w:gridCol w:w="75"/>
        <w:gridCol w:w="110"/>
        <w:gridCol w:w="60"/>
        <w:gridCol w:w="6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0"/>
              <w:jc w:val="left"/>
              <w:rPr>
                <w:rFonts w:ascii="arial" w:hAnsi="arial"/>
                <w:sz w:val="18"/>
              </w:rPr>
            </w:pPr>
            <w:r>
              <w:rPr>
                <w:rFonts w:ascii="arial" w:hAnsi="arial"/>
                <w:sz w:val="18"/>
              </w:rPr>
              <w:t xml:space="preserve">Culture </w:t>
            </w:r>
          </w:p>
        </w:tc>
      </w:tr>
    </w:tbl>
    <w:p>
      <w:pPr>
        <w:pStyle w:val="TextBody"/>
        <w:bidi w:val="0"/>
        <w:spacing w:before="0" w:after="0"/>
        <w:jc w:val="left"/>
        <w:rPr/>
      </w:pPr>
      <w:r>
        <w:rPr/>
        <w:t> </w:t>
      </w:r>
    </w:p>
    <w:tbl>
      <w:tblPr>
        <w:tblW w:w="2800" w:type="dxa"/>
        <w:jc w:val="left"/>
        <w:tblInd w:w="0" w:type="dxa"/>
        <w:tblLayout w:type="fixed"/>
        <w:tblCellMar>
          <w:top w:w="0" w:type="dxa"/>
          <w:left w:w="0" w:type="dxa"/>
          <w:bottom w:w="0" w:type="dxa"/>
          <w:right w:w="0" w:type="dxa"/>
        </w:tblCellMar>
      </w:tblPr>
      <w:tblGrid>
        <w:gridCol w:w="75"/>
        <w:gridCol w:w="110"/>
        <w:gridCol w:w="60"/>
        <w:gridCol w:w="2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jc w:val="left"/>
              <w:rPr>
                <w:rFonts w:ascii="arial" w:hAnsi="arial"/>
                <w:sz w:val="18"/>
              </w:rPr>
            </w:pPr>
            <w:r>
              <w:rPr>
                <w:rFonts w:ascii="arial" w:hAnsi="arial"/>
                <w:sz w:val="18"/>
              </w:rPr>
              <w:t xml:space="preserve">Diversity, equity, and inclusion </w:t>
            </w:r>
          </w:p>
        </w:tc>
      </w:tr>
    </w:tbl>
    <w:p>
      <w:pPr>
        <w:pStyle w:val="TextBody"/>
        <w:bidi w:val="0"/>
        <w:spacing w:before="0" w:after="0"/>
        <w:jc w:val="left"/>
        <w:rPr/>
      </w:pPr>
      <w:r>
        <w:rPr/>
        <w:t> </w:t>
      </w:r>
    </w:p>
    <w:tbl>
      <w:tblPr>
        <w:tblW w:w="2815" w:type="dxa"/>
        <w:jc w:val="left"/>
        <w:tblInd w:w="0" w:type="dxa"/>
        <w:tblLayout w:type="fixed"/>
        <w:tblCellMar>
          <w:top w:w="0" w:type="dxa"/>
          <w:left w:w="0" w:type="dxa"/>
          <w:bottom w:w="0" w:type="dxa"/>
          <w:right w:w="0" w:type="dxa"/>
        </w:tblCellMar>
      </w:tblPr>
      <w:tblGrid>
        <w:gridCol w:w="75"/>
        <w:gridCol w:w="110"/>
        <w:gridCol w:w="60"/>
        <w:gridCol w:w="2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0"/>
              <w:jc w:val="left"/>
              <w:rPr>
                <w:rFonts w:ascii="arial" w:hAnsi="arial"/>
                <w:sz w:val="18"/>
              </w:rPr>
            </w:pPr>
            <w:r>
              <w:rPr>
                <w:rFonts w:ascii="arial" w:hAnsi="arial"/>
                <w:sz w:val="18"/>
              </w:rPr>
              <w:t xml:space="preserve">Equal employment opportunity </w:t>
            </w:r>
          </w:p>
        </w:tc>
      </w:tr>
    </w:tbl>
    <w:p>
      <w:pPr>
        <w:pStyle w:val="TextBody"/>
        <w:bidi w:val="0"/>
        <w:spacing w:before="0" w:after="0"/>
        <w:jc w:val="left"/>
        <w:rPr/>
      </w:pPr>
      <w:r>
        <w:rPr/>
        <w:t> </w:t>
      </w:r>
    </w:p>
    <w:tbl>
      <w:tblPr>
        <w:tblW w:w="2920" w:type="dxa"/>
        <w:jc w:val="left"/>
        <w:tblInd w:w="0" w:type="dxa"/>
        <w:tblLayout w:type="fixed"/>
        <w:tblCellMar>
          <w:top w:w="0" w:type="dxa"/>
          <w:left w:w="0" w:type="dxa"/>
          <w:bottom w:w="0" w:type="dxa"/>
          <w:right w:w="0" w:type="dxa"/>
        </w:tblCellMar>
      </w:tblPr>
      <w:tblGrid>
        <w:gridCol w:w="75"/>
        <w:gridCol w:w="110"/>
        <w:gridCol w:w="60"/>
        <w:gridCol w:w="2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0"/>
              <w:jc w:val="left"/>
              <w:rPr>
                <w:rFonts w:ascii="arial" w:hAnsi="arial"/>
                <w:sz w:val="18"/>
              </w:rPr>
            </w:pPr>
            <w:r>
              <w:rPr>
                <w:rFonts w:ascii="arial" w:hAnsi="arial"/>
                <w:sz w:val="18"/>
              </w:rPr>
              <w:t xml:space="preserve">Talent recruitment and retention </w:t>
            </w:r>
          </w:p>
        </w:tc>
      </w:tr>
    </w:tbl>
    <w:p>
      <w:pPr>
        <w:pStyle w:val="TextBody"/>
        <w:bidi w:val="0"/>
        <w:spacing w:before="0" w:after="0"/>
        <w:jc w:val="left"/>
        <w:rPr/>
      </w:pPr>
      <w:r>
        <w:rPr/>
        <w:t> </w:t>
      </w:r>
    </w:p>
    <w:tbl>
      <w:tblPr>
        <w:tblW w:w="3055" w:type="dxa"/>
        <w:jc w:val="left"/>
        <w:tblInd w:w="0" w:type="dxa"/>
        <w:tblLayout w:type="fixed"/>
        <w:tblCellMar>
          <w:top w:w="0" w:type="dxa"/>
          <w:left w:w="0" w:type="dxa"/>
          <w:bottom w:w="0" w:type="dxa"/>
          <w:right w:w="0" w:type="dxa"/>
        </w:tblCellMar>
      </w:tblPr>
      <w:tblGrid>
        <w:gridCol w:w="75"/>
        <w:gridCol w:w="110"/>
        <w:gridCol w:w="60"/>
        <w:gridCol w:w="2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0"/>
              <w:jc w:val="left"/>
              <w:rPr>
                <w:rFonts w:ascii="arial" w:hAnsi="arial"/>
                <w:sz w:val="18"/>
              </w:rPr>
            </w:pPr>
            <w:r>
              <w:rPr>
                <w:rFonts w:ascii="arial" w:hAnsi="arial"/>
                <w:sz w:val="18"/>
              </w:rPr>
              <w:t xml:space="preserve">Associate development programs </w:t>
            </w:r>
          </w:p>
        </w:tc>
      </w:tr>
    </w:tbl>
    <w:p>
      <w:pPr>
        <w:pStyle w:val="TextBody"/>
        <w:bidi w:val="0"/>
        <w:spacing w:before="0" w:after="0"/>
        <w:jc w:val="left"/>
        <w:rPr/>
      </w:pPr>
      <w:r>
        <w:rPr/>
        <w:t> </w:t>
      </w:r>
    </w:p>
    <w:tbl>
      <w:tblPr>
        <w:tblW w:w="3175" w:type="dxa"/>
        <w:jc w:val="left"/>
        <w:tblInd w:w="0" w:type="dxa"/>
        <w:tblLayout w:type="fixed"/>
        <w:tblCellMar>
          <w:top w:w="0" w:type="dxa"/>
          <w:left w:w="0" w:type="dxa"/>
          <w:bottom w:w="0" w:type="dxa"/>
          <w:right w:w="0" w:type="dxa"/>
        </w:tblCellMar>
      </w:tblPr>
      <w:tblGrid>
        <w:gridCol w:w="75"/>
        <w:gridCol w:w="110"/>
        <w:gridCol w:w="60"/>
        <w:gridCol w:w="2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2930" w:type="dxa"/>
            <w:tcBorders/>
            <w:vAlign w:val="center"/>
          </w:tcPr>
          <w:p>
            <w:pPr>
              <w:pStyle w:val="TableContents"/>
              <w:bidi w:val="0"/>
              <w:spacing w:before="0" w:after="0"/>
              <w:jc w:val="left"/>
              <w:rPr>
                <w:rFonts w:ascii="arial" w:hAnsi="arial"/>
                <w:sz w:val="18"/>
              </w:rPr>
            </w:pPr>
            <w:r>
              <w:rPr>
                <w:rFonts w:ascii="arial" w:hAnsi="arial"/>
                <w:sz w:val="18"/>
              </w:rPr>
              <w:t xml:space="preserve">Performance and skills evaluations </w:t>
            </w:r>
          </w:p>
        </w:tc>
      </w:tr>
    </w:tbl>
    <w:p>
      <w:pPr>
        <w:pStyle w:val="TextBody"/>
        <w:bidi w:val="0"/>
        <w:spacing w:before="240" w:after="0"/>
        <w:jc w:val="left"/>
        <w:rPr>
          <w:rFonts w:ascii="arial" w:hAnsi="arial"/>
          <w:b/>
          <w:color w:val="F7ACBA"/>
          <w:sz w:val="24"/>
        </w:rPr>
      </w:pPr>
      <w:r>
        <w:rPr>
          <w:rFonts w:ascii="arial" w:hAnsi="arial"/>
          <w:b/>
          <w:color w:val="F7ACBA"/>
          <w:sz w:val="24"/>
        </w:rPr>
        <w:t xml:space="preserve">Nominating and Governance Committee </w:t>
      </w:r>
    </w:p>
    <w:p>
      <w:pPr>
        <w:pStyle w:val="TextBody"/>
        <w:bidi w:val="0"/>
        <w:spacing w:before="120" w:after="0"/>
        <w:jc w:val="left"/>
        <w:rPr>
          <w:rFonts w:ascii="arial" w:hAnsi="arial"/>
          <w:sz w:val="18"/>
        </w:rPr>
      </w:pPr>
      <w:r>
        <w:rPr>
          <w:rFonts w:ascii="arial" w:hAnsi="arial"/>
          <w:sz w:val="18"/>
        </w:rPr>
        <w:t xml:space="preserve">Anne Sheehan is the Chair of the Nominating and Governance Committee. The Board has determined that each member of the committee is independent under NYSE listing standards. The Nominating and Governance Committee met five times during fiscal 2023. Members of the Nominating and Governance Committee attended 92% of committee meetings during fiscal 2023. The responsibilities of the Nominating and Governance Committee include, among other duties: </w:t>
      </w:r>
    </w:p>
    <w:p>
      <w:pPr>
        <w:pStyle w:val="TextBody"/>
        <w:bidi w:val="0"/>
        <w:spacing w:before="0" w:after="0"/>
        <w:jc w:val="left"/>
        <w:rPr/>
      </w:pPr>
      <w:r>
        <w:rPr/>
        <w:t> </w:t>
      </w:r>
    </w:p>
    <w:tbl>
      <w:tblPr>
        <w:tblW w:w="8650" w:type="dxa"/>
        <w:jc w:val="left"/>
        <w:tblInd w:w="0" w:type="dxa"/>
        <w:tblLayout w:type="fixed"/>
        <w:tblCellMar>
          <w:top w:w="0" w:type="dxa"/>
          <w:left w:w="0" w:type="dxa"/>
          <w:bottom w:w="0" w:type="dxa"/>
          <w:right w:w="0" w:type="dxa"/>
        </w:tblCellMar>
      </w:tblPr>
      <w:tblGrid>
        <w:gridCol w:w="125"/>
        <w:gridCol w:w="60"/>
        <w:gridCol w:w="8465"/>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8465" w:type="dxa"/>
            <w:tcBorders/>
            <w:vAlign w:val="center"/>
          </w:tcPr>
          <w:p>
            <w:pPr>
              <w:pStyle w:val="TableContents"/>
              <w:bidi w:val="0"/>
              <w:spacing w:before="0" w:after="0"/>
              <w:jc w:val="left"/>
              <w:rPr>
                <w:rFonts w:ascii="arial" w:hAnsi="arial"/>
                <w:sz w:val="18"/>
              </w:rPr>
            </w:pPr>
            <w:r>
              <w:rPr>
                <w:rFonts w:ascii="arial" w:hAnsi="arial"/>
                <w:sz w:val="18"/>
              </w:rPr>
              <w:t xml:space="preserve">Develop and recommend to the Board the criteria and procedures for the selection of director nominees </w:t>
            </w:r>
          </w:p>
        </w:tc>
      </w:tr>
    </w:tbl>
    <w:p>
      <w:pPr>
        <w:pStyle w:val="TextBody"/>
        <w:bidi w:val="0"/>
        <w:spacing w:before="0" w:after="0"/>
        <w:jc w:val="left"/>
        <w:rPr/>
      </w:pPr>
      <w:r>
        <w:rPr/>
        <w:t> </w:t>
      </w:r>
    </w:p>
    <w:tbl>
      <w:tblPr>
        <w:tblW w:w="5875" w:type="dxa"/>
        <w:jc w:val="left"/>
        <w:tblInd w:w="0" w:type="dxa"/>
        <w:tblLayout w:type="fixed"/>
        <w:tblCellMar>
          <w:top w:w="0" w:type="dxa"/>
          <w:left w:w="0" w:type="dxa"/>
          <w:bottom w:w="0" w:type="dxa"/>
          <w:right w:w="0" w:type="dxa"/>
        </w:tblCellMar>
      </w:tblPr>
      <w:tblGrid>
        <w:gridCol w:w="125"/>
        <w:gridCol w:w="60"/>
        <w:gridCol w:w="569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0"/>
              <w:jc w:val="left"/>
              <w:rPr>
                <w:rFonts w:ascii="arial" w:hAnsi="arial"/>
                <w:sz w:val="18"/>
              </w:rPr>
            </w:pPr>
            <w:r>
              <w:rPr>
                <w:rFonts w:ascii="arial" w:hAnsi="arial"/>
                <w:sz w:val="18"/>
              </w:rPr>
              <w:t xml:space="preserve">Identify and recommend to the Board qualified candidates for director </w:t>
            </w:r>
          </w:p>
        </w:tc>
      </w:tr>
    </w:tbl>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76"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67" descr=""/>
                          <pic:cNvPicPr>
                            <a:picLocks noChangeAspect="1" noChangeArrowheads="1"/>
                          </pic:cNvPicPr>
                        </pic:nvPicPr>
                        <pic:blipFill>
                          <a:blip r:embed="rId68"/>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29 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CORPORATE GOVERNANCE </w:t>
      </w:r>
    </w:p>
    <w:p>
      <w:pPr>
        <w:pStyle w:val="TextBody"/>
        <w:bidi w:val="0"/>
        <w:spacing w:before="0" w:after="0"/>
        <w:jc w:val="left"/>
        <w:rPr/>
      </w:pPr>
      <w:r>
        <w:rPr/>
        <w:t> </w:t>
      </w:r>
    </w:p>
    <w:tbl>
      <w:tblPr>
        <w:tblW w:w="9190" w:type="dxa"/>
        <w:jc w:val="left"/>
        <w:tblInd w:w="0" w:type="dxa"/>
        <w:tblLayout w:type="fixed"/>
        <w:tblCellMar>
          <w:top w:w="0" w:type="dxa"/>
          <w:left w:w="0" w:type="dxa"/>
          <w:bottom w:w="0" w:type="dxa"/>
          <w:right w:w="0" w:type="dxa"/>
        </w:tblCellMar>
      </w:tblPr>
      <w:tblGrid>
        <w:gridCol w:w="125"/>
        <w:gridCol w:w="60"/>
        <w:gridCol w:w="9005"/>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jc w:val="left"/>
              <w:rPr>
                <w:rFonts w:ascii="arial" w:hAnsi="arial"/>
                <w:sz w:val="18"/>
              </w:rPr>
            </w:pPr>
            <w:r>
              <w:rPr>
                <w:rFonts w:ascii="arial" w:hAnsi="arial"/>
                <w:sz w:val="18"/>
              </w:rPr>
              <w:t xml:space="preserve">Review and consider the qualifications of any individual nominated by stockholders as a candidate for director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Review and make recommendations to the Board regarding the composition, size, structure, practices, policies, and activities of the Board and the Board committees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Oversee the annual evaluation of the performance of the Board, the Board committees, and the individual directors, and recommend ways to improve such performance </w:t>
            </w:r>
          </w:p>
        </w:tc>
      </w:tr>
    </w:tbl>
    <w:p>
      <w:pPr>
        <w:pStyle w:val="TextBody"/>
        <w:bidi w:val="0"/>
        <w:spacing w:before="0" w:after="0"/>
        <w:jc w:val="left"/>
        <w:rPr/>
      </w:pPr>
      <w:r>
        <w:rPr/>
        <w:t> </w:t>
      </w:r>
    </w:p>
    <w:tbl>
      <w:tblPr>
        <w:tblW w:w="9670" w:type="dxa"/>
        <w:jc w:val="left"/>
        <w:tblInd w:w="0" w:type="dxa"/>
        <w:tblLayout w:type="fixed"/>
        <w:tblCellMar>
          <w:top w:w="0" w:type="dxa"/>
          <w:left w:w="0" w:type="dxa"/>
          <w:bottom w:w="0" w:type="dxa"/>
          <w:right w:w="0" w:type="dxa"/>
        </w:tblCellMar>
      </w:tblPr>
      <w:tblGrid>
        <w:gridCol w:w="125"/>
        <w:gridCol w:w="60"/>
        <w:gridCol w:w="9485"/>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0"/>
              <w:jc w:val="left"/>
              <w:rPr>
                <w:rFonts w:ascii="arial" w:hAnsi="arial"/>
                <w:sz w:val="18"/>
              </w:rPr>
            </w:pPr>
            <w:r>
              <w:rPr>
                <w:rFonts w:ascii="arial" w:hAnsi="arial"/>
                <w:sz w:val="18"/>
              </w:rPr>
              <w:t xml:space="preserve">Design and oversee orientation programs for new directors and continuing education programs for existing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Oversee and review our programs, policies, and strategies relating to corporate social responsibility, including, but not limited to, environmental, sustainability, climate change, social issues involving supply chain, philanthropic initiatives and, together with the Human Capital and Compensation Committee, human capital management and diversity, equity and inclusion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Review our government affairs and political participation, including advocacy, lobbying, political contributions, and trade association memberships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Develop and recommend to the Board the VS&amp;Co Corporate Governance Guidelines and monitor compliance with such guidelines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Stay abreast of developments in the area of corporate governance generally to ensure that we remain current with respect to our governance policies </w:t>
            </w:r>
          </w:p>
        </w:tc>
      </w:tr>
    </w:tbl>
    <w:p>
      <w:pPr>
        <w:pStyle w:val="TextBody"/>
        <w:bidi w:val="0"/>
        <w:spacing w:before="360" w:after="0"/>
        <w:jc w:val="left"/>
        <w:rPr>
          <w:rFonts w:ascii="arial" w:hAnsi="arial"/>
          <w:sz w:val="30"/>
        </w:rPr>
      </w:pPr>
      <w:bookmarkStart w:id="12" w:name="toc540996_9"/>
      <w:bookmarkEnd w:id="12"/>
      <w:r>
        <w:rPr>
          <w:rFonts w:ascii="arial" w:hAnsi="arial"/>
          <w:sz w:val="30"/>
        </w:rPr>
        <w:t xml:space="preserve">Corporate Governance Policies and Practices </w:t>
      </w:r>
    </w:p>
    <w:p>
      <w:pPr>
        <w:pStyle w:val="TextBody"/>
        <w:bidi w:val="0"/>
        <w:spacing w:before="120" w:after="0"/>
        <w:jc w:val="left"/>
        <w:rPr>
          <w:rFonts w:ascii="arial" w:hAnsi="arial"/>
          <w:sz w:val="18"/>
        </w:rPr>
      </w:pPr>
      <w:r>
        <w:rPr>
          <w:rFonts w:ascii="arial" w:hAnsi="arial"/>
          <w:sz w:val="18"/>
        </w:rPr>
        <w:t xml:space="preserve">The following section describes certain of our key corporate governance-related policies and practices. We also maintain a myriad of additional policies related to ethics complaint escalation, anti-corruption, partnering with responsible suppliers, environmental responsibility, product quality, use of company property and more. </w:t>
      </w:r>
    </w:p>
    <w:p>
      <w:pPr>
        <w:pStyle w:val="TextBody"/>
        <w:bidi w:val="0"/>
        <w:spacing w:before="240" w:after="0"/>
        <w:jc w:val="left"/>
        <w:rPr>
          <w:rFonts w:ascii="arial" w:hAnsi="arial"/>
          <w:b/>
          <w:color w:val="F7ACBA"/>
          <w:sz w:val="24"/>
        </w:rPr>
      </w:pPr>
      <w:r>
        <w:rPr>
          <w:rFonts w:ascii="arial" w:hAnsi="arial"/>
          <w:b/>
          <w:color w:val="F7ACBA"/>
          <w:sz w:val="24"/>
        </w:rPr>
        <w:t xml:space="preserve">Corporate Governance Guidelines </w:t>
      </w:r>
    </w:p>
    <w:p>
      <w:pPr>
        <w:pStyle w:val="TextBody"/>
        <w:bidi w:val="0"/>
        <w:spacing w:before="60" w:after="0"/>
        <w:jc w:val="left"/>
        <w:rPr>
          <w:rFonts w:ascii="arial" w:hAnsi="arial"/>
          <w:sz w:val="18"/>
        </w:rPr>
      </w:pPr>
      <w:r>
        <w:rPr>
          <w:rFonts w:ascii="arial" w:hAnsi="arial"/>
          <w:sz w:val="18"/>
        </w:rPr>
        <w:t xml:space="preserve">The Board has adopted a set of Corporate Governance Guidelines to support our commitment to sound and effective corporate governance practices. The guidelines address the selection of directors, director independence, Board structure and operations, including the size of the Board, executive sessions of independent directors, and Board committees, responsibilities of the Board, director compensation and stock ownership guidelines, and other governance-related matters. The Nominating and Governance Committee periodically reviews the Corporate Governance Guidelines and will recommend to the Board any changes it deems appropriate. The Nominating and Governance Committee also monitors compliance with the guidelines. The Corporate Governance Guidelines are available on the Investors section of our website, </w:t>
      </w:r>
      <w:r>
        <w:rPr>
          <w:rFonts w:ascii="arial" w:hAnsi="arial"/>
          <w:i/>
          <w:sz w:val="18"/>
        </w:rPr>
        <w:t>www.victoriassecretandco.com</w:t>
      </w:r>
      <w:r>
        <w:rPr>
          <w:rFonts w:ascii="arial" w:hAnsi="arial"/>
          <w:sz w:val="18"/>
        </w:rPr>
        <w:t xml:space="preserve">, under Corporate Governance, Governance Materials. </w:t>
      </w:r>
    </w:p>
    <w:p>
      <w:pPr>
        <w:pStyle w:val="TextBody"/>
        <w:bidi w:val="0"/>
        <w:spacing w:before="240" w:after="0"/>
        <w:jc w:val="left"/>
        <w:rPr>
          <w:rFonts w:ascii="arial" w:hAnsi="arial"/>
          <w:b/>
          <w:color w:val="F7ACBA"/>
          <w:sz w:val="24"/>
        </w:rPr>
      </w:pPr>
      <w:r>
        <w:rPr>
          <w:rFonts w:ascii="arial" w:hAnsi="arial"/>
          <w:b/>
          <w:color w:val="F7ACBA"/>
          <w:sz w:val="24"/>
        </w:rPr>
        <w:t xml:space="preserve">Code of Conduct and Ethics Hotline </w:t>
      </w:r>
    </w:p>
    <w:p>
      <w:pPr>
        <w:pStyle w:val="TextBody"/>
        <w:bidi w:val="0"/>
        <w:spacing w:before="60" w:after="0"/>
        <w:jc w:val="left"/>
        <w:rPr>
          <w:rFonts w:ascii="arial" w:hAnsi="arial"/>
          <w:sz w:val="18"/>
        </w:rPr>
      </w:pPr>
      <w:r>
        <w:rPr>
          <w:rFonts w:ascii="arial" w:hAnsi="arial"/>
          <w:sz w:val="18"/>
        </w:rPr>
        <w:t xml:space="preserve">The VS&amp;Co Code of Conduct applies to all directors, officers, and associates. The Code of Conduct is based on our values and sets forth standards and expectations with respect to honesty, workplace health and safety, civility and anti-harassment, equal opportunity, global trade, conflicts of interest, political engagement, bribery and corruption, protecting personal and business information, insider trading, and related behaviors. All associates are required to certify that they have read and agree to abide by our values and Code of Conduct. Our Code of Conduct also references our VS&amp;Co Speak Up Policy, which reinforces the reporting channels associates may use to report ethics-related issues, provides a high-level framework for how we investigate wrongdoing, and includes additional detail on our commitment that no associate will be subject to retaliation for raising concerns. </w:t>
      </w:r>
    </w:p>
    <w:p>
      <w:pPr>
        <w:pStyle w:val="TextBody"/>
        <w:bidi w:val="0"/>
        <w:spacing w:before="120" w:after="0"/>
        <w:jc w:val="left"/>
        <w:rPr>
          <w:rFonts w:ascii="arial" w:hAnsi="arial"/>
          <w:sz w:val="18"/>
        </w:rPr>
      </w:pPr>
      <w:r>
        <w:rPr>
          <w:rFonts w:ascii="arial" w:hAnsi="arial"/>
          <w:sz w:val="18"/>
        </w:rPr>
        <w:t xml:space="preserve">The Code of Conduct has been approved by the Board. It is available on the Investors section of our website, </w:t>
      </w:r>
      <w:r>
        <w:rPr>
          <w:rFonts w:ascii="arial" w:hAnsi="arial"/>
          <w:i/>
          <w:sz w:val="18"/>
        </w:rPr>
        <w:t>www.victoriassecretandco.com</w:t>
      </w:r>
      <w:r>
        <w:rPr>
          <w:rFonts w:ascii="arial" w:hAnsi="arial"/>
          <w:sz w:val="18"/>
        </w:rPr>
        <w:t xml:space="preserve">, under Corporate Governance, Governance Materials. The Audit Committee must approve any waiver of the Code of Conduct for any director, officer, or executive in the position of Senior Vice President or above. All other waivers must be approved by the Chief Legal Officer or the Chief Ethics and Compliance Officer. </w:t>
      </w:r>
    </w:p>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77"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68" descr=""/>
                          <pic:cNvPicPr>
                            <a:picLocks noChangeAspect="1" noChangeArrowheads="1"/>
                          </pic:cNvPicPr>
                        </pic:nvPicPr>
                        <pic:blipFill>
                          <a:blip r:embed="rId69"/>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30 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CORPORATE GOVERNANCE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We also maintain an Ethics Hotline where associates may anonymously report potential instances of unethical conduct and potential violations of law or company policies at any time. The Ethics Hotline is accessible to all associates globally by country-specific phonelines or via website, available in ten languages. The Ethics Hotline is operated by an independent third party and provides translation services to support associates who call and wish to make reports in a language other than English. We are committed to undertaking a fair, prompt and, when possible, confidential review of concerns reported to the Ethics Hotline. </w:t>
      </w:r>
    </w:p>
    <w:p>
      <w:pPr>
        <w:pStyle w:val="TextBody"/>
        <w:bidi w:val="0"/>
        <w:spacing w:before="240" w:after="0"/>
        <w:jc w:val="left"/>
        <w:rPr>
          <w:rFonts w:ascii="arial" w:hAnsi="arial"/>
          <w:b/>
          <w:color w:val="F7ACBA"/>
          <w:sz w:val="24"/>
        </w:rPr>
      </w:pPr>
      <w:r>
        <w:rPr>
          <w:rFonts w:ascii="arial" w:hAnsi="arial"/>
          <w:b/>
          <w:color w:val="F7ACBA"/>
          <w:sz w:val="24"/>
        </w:rPr>
        <w:t xml:space="preserve">Insider Trading Policy </w:t>
      </w:r>
    </w:p>
    <w:p>
      <w:pPr>
        <w:pStyle w:val="TextBody"/>
        <w:bidi w:val="0"/>
        <w:spacing w:before="60" w:after="0"/>
        <w:jc w:val="left"/>
        <w:rPr>
          <w:rFonts w:ascii="arial" w:hAnsi="arial"/>
          <w:sz w:val="18"/>
        </w:rPr>
      </w:pPr>
      <w:r>
        <w:rPr>
          <w:rFonts w:ascii="arial" w:hAnsi="arial"/>
          <w:sz w:val="18"/>
        </w:rPr>
        <w:t xml:space="preserve">The VS&amp;Co Insider Trading Policy prohibits insider trading and certain other transactions of our common stock. The policy applies to all directors, officers, associates, consultants and contractors of VS&amp;Co. The Insider Trading Policy provides that any person who is aware of material nonpublic information about VS&amp;Co is prohibited from trading our securities and from disclosing material nonpublic information to other persons who may trade on the basis of that information. Certain individuals who are more likely than others to have material nonpublic information about us, including directors, are subject to additional restrictions, such as specified trading windows, pre-clearance requirements, and transaction reporting. </w:t>
      </w:r>
    </w:p>
    <w:p>
      <w:pPr>
        <w:pStyle w:val="TextBody"/>
        <w:bidi w:val="0"/>
        <w:spacing w:before="120" w:after="0"/>
        <w:jc w:val="left"/>
        <w:rPr>
          <w:rFonts w:ascii="arial" w:hAnsi="arial"/>
          <w:sz w:val="18"/>
        </w:rPr>
      </w:pPr>
      <w:r>
        <w:rPr>
          <w:rFonts w:ascii="arial" w:hAnsi="arial"/>
          <w:sz w:val="18"/>
        </w:rPr>
        <w:t xml:space="preserve">The Insider Trading Policy also prohibits our directors, executive officers, and other associates who have frequent or special access to material nonpublic information (“insiders”) from engaging in transactions in publicly-traded put options, call options, or other derivatives of our securities, transactions “hedging” the risk of ownership of our securities, including the use of financial instruments such as prepaid variable forwards, equity swaps, and collars, and short sales of our securities. In addition, directors and insiders are prohibited from holding our securities in margin accounts or pledging our securities as collateral for loans. This prohibition applies to all shares held by directors and insiders without exception. Accordingly, none of our directors or executive officers have pledged shares of VS&amp;Co common stock. </w:t>
      </w:r>
    </w:p>
    <w:p>
      <w:pPr>
        <w:pStyle w:val="TextBody"/>
        <w:bidi w:val="0"/>
        <w:spacing w:before="240" w:after="0"/>
        <w:jc w:val="left"/>
        <w:rPr>
          <w:rFonts w:ascii="arial" w:hAnsi="arial"/>
          <w:b/>
          <w:color w:val="F7ACBA"/>
          <w:sz w:val="24"/>
        </w:rPr>
      </w:pPr>
      <w:r>
        <w:rPr>
          <w:rFonts w:ascii="arial" w:hAnsi="arial"/>
          <w:b/>
          <w:color w:val="F7ACBA"/>
          <w:sz w:val="24"/>
        </w:rPr>
        <w:t xml:space="preserve">Stockholder Outreach </w:t>
      </w:r>
    </w:p>
    <w:p>
      <w:pPr>
        <w:pStyle w:val="TextBody"/>
        <w:bidi w:val="0"/>
        <w:spacing w:before="60" w:after="0"/>
        <w:jc w:val="left"/>
        <w:rPr>
          <w:rFonts w:ascii="arial" w:hAnsi="arial"/>
          <w:sz w:val="18"/>
        </w:rPr>
      </w:pPr>
      <w:r>
        <w:rPr>
          <w:rFonts w:ascii="arial" w:hAnsi="arial"/>
          <w:sz w:val="18"/>
        </w:rPr>
        <w:t xml:space="preserve">We are committed to ongoing and constructive engagement with our stockholders and consider this critical to achieving our long-term strategic goals. The Board and executive management team welcome and value dialogue with stockholders and intend to foster transparent engagement with stockholders on a year-round basis. Directors and members of the executive management team are available to meet with stockholders at their request and convenience to discuss our performance, long-term strategy, governance, and other related topics, as well as gain understanding of the perspectives and concerns of our stockholders. </w:t>
      </w:r>
    </w:p>
    <w:p>
      <w:pPr>
        <w:pStyle w:val="TextBody"/>
        <w:bidi w:val="0"/>
        <w:spacing w:before="120" w:after="0"/>
        <w:jc w:val="left"/>
        <w:rPr>
          <w:rFonts w:ascii="arial" w:hAnsi="arial"/>
          <w:sz w:val="18"/>
        </w:rPr>
      </w:pPr>
      <w:r>
        <w:rPr>
          <w:rFonts w:ascii="arial" w:hAnsi="arial"/>
          <w:sz w:val="18"/>
        </w:rPr>
        <w:t xml:space="preserve">Throughout fiscal 2023, our CEO, Chief Financial Officer, Chair of the Board and other members of our Board and executive management team met with numerous stockholders and participated in several investor conferences. In October 2023, we hosted an Investor Day to discuss our strategic vision and long-term strategic growth plan. Stockholders, analysts, and other interested parties were invited to attend the meeting in person or via live webcast. A replay of the webcast and presentation materials are available on the Investors section of our website, </w:t>
      </w:r>
      <w:r>
        <w:rPr>
          <w:rFonts w:ascii="arial" w:hAnsi="arial"/>
          <w:i/>
          <w:sz w:val="18"/>
        </w:rPr>
        <w:t>www.victoriassecretandco.com</w:t>
      </w:r>
      <w:r>
        <w:rPr>
          <w:rFonts w:ascii="arial" w:hAnsi="arial"/>
          <w:sz w:val="18"/>
        </w:rPr>
        <w:t xml:space="preserve">, under Financial Information, Events and Presentations. </w:t>
      </w:r>
    </w:p>
    <w:p>
      <w:pPr>
        <w:pStyle w:val="TextBody"/>
        <w:bidi w:val="0"/>
        <w:spacing w:before="120" w:after="0"/>
        <w:jc w:val="left"/>
        <w:rPr>
          <w:rFonts w:ascii="arial" w:hAnsi="arial"/>
          <w:sz w:val="18"/>
        </w:rPr>
      </w:pPr>
      <w:r>
        <w:rPr>
          <w:rFonts w:ascii="arial" w:hAnsi="arial"/>
          <w:sz w:val="18"/>
        </w:rPr>
        <w:t xml:space="preserve">The Board periodically receives reports from management and outside consultants on stockholder and analyst feedback. </w:t>
      </w:r>
    </w:p>
    <w:p>
      <w:pPr>
        <w:pStyle w:val="TextBody"/>
        <w:bidi w:val="0"/>
        <w:spacing w:before="240" w:after="0"/>
        <w:jc w:val="left"/>
        <w:rPr>
          <w:rFonts w:ascii="arial" w:hAnsi="arial"/>
          <w:b/>
          <w:color w:val="F7ACBA"/>
          <w:sz w:val="24"/>
        </w:rPr>
      </w:pPr>
      <w:r>
        <w:rPr>
          <w:rFonts w:ascii="arial" w:hAnsi="arial"/>
          <w:b/>
          <w:color w:val="F7ACBA"/>
          <w:sz w:val="24"/>
        </w:rPr>
        <w:t xml:space="preserve">Communications with the Board </w:t>
      </w:r>
    </w:p>
    <w:p>
      <w:pPr>
        <w:pStyle w:val="TextBody"/>
        <w:bidi w:val="0"/>
        <w:spacing w:before="60" w:after="0"/>
        <w:jc w:val="left"/>
        <w:rPr>
          <w:rFonts w:ascii="arial" w:hAnsi="arial"/>
          <w:sz w:val="18"/>
        </w:rPr>
      </w:pPr>
      <w:r>
        <w:rPr>
          <w:rFonts w:ascii="arial" w:hAnsi="arial"/>
          <w:sz w:val="18"/>
        </w:rPr>
        <w:t xml:space="preserve">The Board provides a process for stockholders and other interested parties to send communications to the full Board, a specific Board committee, or one or more specific directors, including the independent directors as a group. Stockholders and other interested parties wishing to communicate with the Board may send an email to BoardOfDirectors@victoria.com or mail to: Board of Directors, Four Limited Parkway, Reynoldsburg, Ohio 43068. Communications intended for one or more specific directors should be addressed to her, his, or their attention. Company management previews communications to directors and will send all appropriate communications as addressed. This information is also available on the Investors section of our website, </w:t>
      </w:r>
      <w:r>
        <w:rPr>
          <w:rFonts w:ascii="arial" w:hAnsi="arial"/>
          <w:i/>
          <w:sz w:val="18"/>
        </w:rPr>
        <w:t>www.victoriassecretandco.com</w:t>
      </w:r>
      <w:r>
        <w:rPr>
          <w:rFonts w:ascii="arial" w:hAnsi="arial"/>
          <w:sz w:val="18"/>
        </w:rPr>
        <w:t xml:space="preserve">, under Corporate Governance, Contact the Board. </w:t>
      </w:r>
    </w:p>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78"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69" descr=""/>
                          <pic:cNvPicPr>
                            <a:picLocks noChangeAspect="1" noChangeArrowheads="1"/>
                          </pic:cNvPicPr>
                        </pic:nvPicPr>
                        <pic:blipFill>
                          <a:blip r:embed="rId70"/>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31 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CORPORATE GOVERNANCE </w:t>
      </w:r>
    </w:p>
    <w:p>
      <w:pPr>
        <w:pStyle w:val="TextBody"/>
        <w:bidi w:val="0"/>
        <w:spacing w:before="0" w:after="0"/>
        <w:jc w:val="left"/>
        <w:rPr/>
      </w:pPr>
      <w:r>
        <w:rPr/>
        <w:t> </w:t>
      </w:r>
    </w:p>
    <w:p>
      <w:pPr>
        <w:pStyle w:val="TextBody"/>
        <w:bidi w:val="0"/>
        <w:spacing w:before="0" w:after="0"/>
        <w:jc w:val="left"/>
        <w:rPr>
          <w:rFonts w:ascii="arial" w:hAnsi="arial"/>
          <w:sz w:val="30"/>
        </w:rPr>
      </w:pPr>
      <w:bookmarkStart w:id="13" w:name="toc540996_10"/>
      <w:bookmarkEnd w:id="13"/>
      <w:r>
        <w:rPr>
          <w:rFonts w:ascii="arial" w:hAnsi="arial"/>
          <w:sz w:val="30"/>
        </w:rPr>
        <w:t xml:space="preserve">Related Party Transactions </w:t>
      </w:r>
    </w:p>
    <w:p>
      <w:pPr>
        <w:pStyle w:val="TextBody"/>
        <w:bidi w:val="0"/>
        <w:spacing w:before="120" w:after="0"/>
        <w:jc w:val="left"/>
        <w:rPr>
          <w:rFonts w:ascii="arial" w:hAnsi="arial"/>
          <w:sz w:val="18"/>
        </w:rPr>
      </w:pPr>
      <w:r>
        <w:rPr>
          <w:rFonts w:ascii="arial" w:hAnsi="arial"/>
          <w:sz w:val="18"/>
        </w:rPr>
        <w:t xml:space="preserve">The Board has adopted a written Related Person Transaction Policy that governs the review and, if deemed appropriate pursuant to the policy, approval and disclosure of related party transactions. The policy applies to directors, nominees for director, executive officers, stockholders owning 5% or more of our outstanding common stock, and immediate family members of those persons (each, a “related person”). Subject to certain exceptions, any financial or commercial transaction, arrangement or relationship involving VS&amp;Co or one of its subsidiaries, in which a related person has a direct or indirect material interest, must be approved or ratified by the Board or a designated committee consisting solely of independent directors. Examples of transactions that would fall under the scope of the Related Person Transaction Policy include indebtedness, guarantees of indebtedness, the purchase or sale of goods or services, and the lease of real estate. Each director, director nominee, and executive officer must promptly inform the Corporate Secretary of any potential related party transaction, which notice must include a description of the material terms of the transaction. In reviewing any such transaction, the Board or committee will consider all material facts and circumstances and will approve or ratify the transaction only if it determines that the transaction is in, or not inconsistent with, the interests of VS&amp;Co and its stockholders. </w:t>
      </w:r>
    </w:p>
    <w:p>
      <w:pPr>
        <w:pStyle w:val="TextBody"/>
        <w:bidi w:val="0"/>
        <w:spacing w:before="120" w:after="0"/>
        <w:jc w:val="left"/>
        <w:rPr>
          <w:rFonts w:ascii="arial" w:hAnsi="arial"/>
          <w:sz w:val="18"/>
        </w:rPr>
      </w:pPr>
      <w:r>
        <w:rPr>
          <w:rFonts w:ascii="arial" w:hAnsi="arial"/>
          <w:sz w:val="18"/>
        </w:rPr>
        <w:t xml:space="preserve">Other than employment and compensation arrangements described under “Compensation Discussion and Analysis,” since January 29, 2023, there were no transactions or series of transactions, nor is there any currently proposed transaction, (i) in which VS&amp;Co was or is to be a participant, (ii) the amount involved exceeds $120,000, and (iii) in which any related person had or will have a direct or indirect material interest. </w:t>
      </w:r>
    </w:p>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79"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0" descr=""/>
                          <pic:cNvPicPr>
                            <a:picLocks noChangeAspect="1" noChangeArrowheads="1"/>
                          </pic:cNvPicPr>
                        </pic:nvPicPr>
                        <pic:blipFill>
                          <a:blip r:embed="rId71"/>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32 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rFonts w:ascii="Times New Roman" w:hAnsi="Times New Roman"/>
          <w:i/>
          <w:sz w:val="36"/>
        </w:rPr>
      </w:pPr>
      <w:bookmarkStart w:id="14" w:name="toc540996_10a"/>
      <w:bookmarkEnd w:id="14"/>
      <w:r>
        <w:rPr>
          <w:rFonts w:ascii="Times New Roman" w:hAnsi="Times New Roman"/>
          <w:i/>
          <w:sz w:val="36"/>
        </w:rPr>
        <w:t xml:space="preserve">Proposal Two: </w:t>
      </w:r>
    </w:p>
    <w:p>
      <w:pPr>
        <w:pStyle w:val="TextBody"/>
        <w:bidi w:val="0"/>
        <w:spacing w:before="0" w:after="0"/>
        <w:jc w:val="center"/>
        <w:rPr>
          <w:rFonts w:ascii="Times New Roman" w:hAnsi="Times New Roman"/>
          <w:b/>
          <w:sz w:val="60"/>
        </w:rPr>
      </w:pPr>
      <w:bookmarkStart w:id="15" w:name="txa540996_102"/>
      <w:bookmarkEnd w:id="15"/>
      <w:r>
        <w:rPr>
          <w:rFonts w:ascii="Times New Roman" w:hAnsi="Times New Roman"/>
          <w:b/>
          <w:sz w:val="60"/>
        </w:rPr>
        <w:t xml:space="preserve">AMENDMENT TO CERTIFICATE OF INCORPORATION </w:t>
      </w:r>
    </w:p>
    <w:p>
      <w:pPr>
        <w:pStyle w:val="TextBody"/>
        <w:bidi w:val="0"/>
        <w:spacing w:before="0" w:after="0"/>
        <w:jc w:val="left"/>
        <w:rPr/>
      </w:pPr>
      <w:r>
        <w:rPr/>
        <w:t> </w:t>
      </w:r>
    </w:p>
    <w:p>
      <w:pPr>
        <w:pStyle w:val="TextBody"/>
        <w:pBdr>
          <w:bottom w:val="single" w:sz="2" w:space="1" w:color="000000"/>
        </w:pBdr>
        <w:bidi w:val="0"/>
        <w:spacing w:lineRule="atLeast" w:line="142" w:before="0" w:after="40"/>
        <w:jc w:val="center"/>
        <w:rPr/>
      </w:pPr>
      <w:r>
        <w:rPr/>
        <w:t> </w:t>
      </w:r>
    </w:p>
    <w:p>
      <w:pPr>
        <w:pStyle w:val="TextBody"/>
        <w:bidi w:val="0"/>
        <w:spacing w:before="360" w:after="0"/>
        <w:jc w:val="left"/>
        <w:rPr>
          <w:rFonts w:ascii="arial" w:hAnsi="arial"/>
          <w:sz w:val="18"/>
        </w:rPr>
      </w:pPr>
      <w:r>
        <w:rPr>
          <w:rFonts w:ascii="arial" w:hAnsi="arial"/>
          <w:sz w:val="18"/>
        </w:rPr>
        <w:t xml:space="preserve">Our Certificate of Incorporation allows us to protect our directors from personal liability under limited circumstances (referred to as “exculpation”) in accordance with Section 102(b)(7) of the Delaware General Corporation Law (“DGCL”). Effective August 1, 2022, Section 102(b)(7) of the DGCL was amended to authorize Delaware corporations to expand exculpation protection to certain of their officers under limited circumstances. Prior to this amendment, Delaware corporations were permitted to offer exculpation protection only to their directors. Section 102(b)(7) of the DGCL was amended to rectify the inconsistent treatment between a corporation’s officers and directors. Corporations wishing to offer similar protection for their officers must do so through an amendment to the company’s certificate of incorporation. </w:t>
      </w:r>
    </w:p>
    <w:p>
      <w:pPr>
        <w:pStyle w:val="TextBody"/>
        <w:bidi w:val="0"/>
        <w:spacing w:before="120" w:after="0"/>
        <w:jc w:val="left"/>
        <w:rPr>
          <w:rFonts w:ascii="arial" w:hAnsi="arial"/>
          <w:sz w:val="18"/>
        </w:rPr>
      </w:pPr>
      <w:r>
        <w:rPr>
          <w:rFonts w:ascii="arial" w:hAnsi="arial"/>
          <w:sz w:val="18"/>
        </w:rPr>
        <w:t xml:space="preserve">Officers, like directors, perform roles that require swift, informed decision making on critical issues that have the potential to lead to investigations or lawsuits that may seek to impose personal liability. In the absence of protection against personal liability in certain circumstances, qualified officers may be deterred from serving as an officer of the Company due to the exposure of personal liability and the risk of spending significant time and resources defending lawsuits, regardless of merit. The Board believes that amending our Certificate of Incorporation to provide for exculpation of our officers as permitted by the DGCL better aligns officers’ protections with those of our directors and enables our officers to exercise their best business judgment in furtherance of the Company’s and stockholders’ best interests without the risk of personal liability for decisions made in good faith. Further, many public companies, including several of the Company’s peers, have adopted officer exculpation provisions, and the Board believes that extending exculpation protection to officers, under the circumstances permitted by Delaware law, enhances our ability to attract and retain qualified and experienced executive talent. </w:t>
      </w:r>
    </w:p>
    <w:p>
      <w:pPr>
        <w:pStyle w:val="TextBody"/>
        <w:bidi w:val="0"/>
        <w:spacing w:before="120" w:after="0"/>
        <w:jc w:val="left"/>
        <w:rPr>
          <w:rFonts w:ascii="arial" w:hAnsi="arial"/>
          <w:sz w:val="18"/>
        </w:rPr>
      </w:pPr>
      <w:r>
        <w:rPr>
          <w:rFonts w:ascii="arial" w:hAnsi="arial"/>
          <w:sz w:val="18"/>
        </w:rPr>
        <w:t xml:space="preserve">The proposed amendment to our Certificate of Incorporation would eliminate personal liability for certain of our officers only in those limited circumstances permitted by Delaware law. Pursuant to Section 102(b)(7) of the DGCL, officers would be protected from personal liability only for monetary damages for direct claims for breach of the duty of care. The proposed amendment, in line with Section 102(b)(7), would not eliminate officers’ personal monetary liability with respect to breach of fiduciary duty claims brought by or in the right of the Company (including any claims brought by our stockholders derivatively in the name of the Company), breach of duty of loyalty claims, acts or omissions not in good faith, intentional misconduct or knowing violations of law, or transactions in which the officer receives an improper personal benefit. Further, the proposed amendment would not apply to acts or omissions occurring prior to the date that the amendment becomes effective. </w:t>
      </w:r>
    </w:p>
    <w:p>
      <w:pPr>
        <w:pStyle w:val="TextBody"/>
        <w:bidi w:val="0"/>
        <w:spacing w:before="120" w:after="0"/>
        <w:jc w:val="left"/>
        <w:rPr>
          <w:rFonts w:ascii="arial" w:hAnsi="arial"/>
          <w:sz w:val="18"/>
        </w:rPr>
      </w:pPr>
      <w:r>
        <w:rPr>
          <w:rFonts w:ascii="arial" w:hAnsi="arial"/>
          <w:sz w:val="18"/>
        </w:rPr>
        <w:t xml:space="preserve">For the foregoing reasons, the Board has determined that it is advisable and in the best interests of the Company and its stockholders to amend our Certificate of Incorporation. The Board has unanimously approved an amendment to the Company’s Certificate of Incorporation to limit the personal liability of certain of the Company’s officers in limited circumstances, as permitted by Delaware law, and recommends that our stockholders approve such amendment at the 2024 Annual Meeting. </w:t>
      </w:r>
    </w:p>
    <w:p>
      <w:pPr>
        <w:pStyle w:val="TextBody"/>
        <w:bidi w:val="0"/>
        <w:spacing w:before="120" w:after="0"/>
        <w:jc w:val="left"/>
        <w:rPr>
          <w:rFonts w:ascii="arial" w:hAnsi="arial"/>
          <w:sz w:val="18"/>
        </w:rPr>
      </w:pPr>
      <w:r>
        <w:rPr>
          <w:rFonts w:ascii="arial" w:hAnsi="arial"/>
          <w:sz w:val="18"/>
        </w:rPr>
        <w:t xml:space="preserve">If approved by our stockholders, the proposed amendment would modify Article SIXTH Section 2 of the Company’s Certificate of Incorporation to read as follows (with the changes from our current Certificate of Incorporation marked in underlined font): </w:t>
      </w:r>
    </w:p>
    <w:p>
      <w:pPr>
        <w:pStyle w:val="TextBody"/>
        <w:bidi w:val="0"/>
        <w:spacing w:before="120" w:after="0"/>
        <w:jc w:val="left"/>
        <w:rPr/>
      </w:pPr>
      <w:r>
        <w:rPr/>
        <w:t>“</w:t>
      </w:r>
      <w:r>
        <w:rPr>
          <w:rFonts w:ascii="arial" w:hAnsi="arial"/>
          <w:sz w:val="18"/>
        </w:rPr>
        <w:t xml:space="preserve">A director </w:t>
      </w:r>
      <w:r>
        <w:rPr>
          <w:rFonts w:ascii="arial" w:hAnsi="arial"/>
          <w:sz w:val="18"/>
          <w:u w:val="single"/>
        </w:rPr>
        <w:t>or officer</w:t>
      </w:r>
      <w:r>
        <w:rPr>
          <w:rFonts w:ascii="arial" w:hAnsi="arial"/>
          <w:sz w:val="18"/>
        </w:rPr>
        <w:t xml:space="preserve"> of this Corporation shall not be personally liable to the Corporation or its stockholders for monetary damages for breach of any fiduciary duty as a director </w:t>
      </w:r>
      <w:r>
        <w:rPr>
          <w:rFonts w:ascii="arial" w:hAnsi="arial"/>
          <w:sz w:val="18"/>
          <w:u w:val="single"/>
        </w:rPr>
        <w:t>or officer</w:t>
      </w:r>
      <w:r>
        <w:rPr>
          <w:rFonts w:ascii="arial" w:hAnsi="arial"/>
          <w:sz w:val="18"/>
        </w:rPr>
        <w:t xml:space="preserve">, except for liability (i) for any breach of the director’s </w:t>
      </w:r>
      <w:r>
        <w:rPr>
          <w:rFonts w:ascii="arial" w:hAnsi="arial"/>
          <w:sz w:val="18"/>
          <w:u w:val="single"/>
        </w:rPr>
        <w:t>or officer’s</w:t>
      </w:r>
      <w:r>
        <w:rPr>
          <w:rFonts w:ascii="arial" w:hAnsi="arial"/>
          <w:sz w:val="18"/>
        </w:rPr>
        <w:t xml:space="preserve"> duty of loyalty to the Corporation or its stockholders, (ii) for acts or omissions not in good faith or which involve </w:t>
      </w:r>
    </w:p>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80"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1" descr=""/>
                          <pic:cNvPicPr>
                            <a:picLocks noChangeAspect="1" noChangeArrowheads="1"/>
                          </pic:cNvPicPr>
                        </pic:nvPicPr>
                        <pic:blipFill>
                          <a:blip r:embed="rId72"/>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33 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PROPOSAL TWO: AMENDMENT TO CERTIFICATE OF INCORPORATION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intentional misconduct or a knowing violation of law, (iii) </w:t>
      </w:r>
      <w:r>
        <w:rPr>
          <w:rFonts w:ascii="arial" w:hAnsi="arial"/>
          <w:sz w:val="18"/>
          <w:u w:val="single"/>
        </w:rPr>
        <w:t>for directors</w:t>
      </w:r>
      <w:r>
        <w:rPr>
          <w:rFonts w:ascii="arial" w:hAnsi="arial"/>
          <w:sz w:val="18"/>
        </w:rPr>
        <w:t xml:space="preserve"> under Section 174 of the DGCL, </w:t>
      </w:r>
      <w:r>
        <w:rPr>
          <w:rFonts w:ascii="arial" w:hAnsi="arial"/>
          <w:strike/>
          <w:sz w:val="18"/>
        </w:rPr>
        <w:t>or</w:t>
      </w:r>
      <w:r>
        <w:rPr>
          <w:rFonts w:ascii="arial" w:hAnsi="arial"/>
          <w:sz w:val="18"/>
        </w:rPr>
        <w:t xml:space="preserve"> (iv) for any transaction from which the director </w:t>
      </w:r>
      <w:r>
        <w:rPr>
          <w:rFonts w:ascii="arial" w:hAnsi="arial"/>
          <w:sz w:val="18"/>
          <w:u w:val="single"/>
        </w:rPr>
        <w:t>or officer</w:t>
      </w:r>
      <w:r>
        <w:rPr>
          <w:rFonts w:ascii="arial" w:hAnsi="arial"/>
          <w:sz w:val="18"/>
        </w:rPr>
        <w:t xml:space="preserve"> derives an improper personal benefit, </w:t>
      </w:r>
      <w:r>
        <w:rPr>
          <w:rFonts w:ascii="arial" w:hAnsi="arial"/>
          <w:sz w:val="18"/>
          <w:u w:val="single"/>
        </w:rPr>
        <w:t>or (v) for an officer in any action by or in the right of the Corporation</w:t>
      </w:r>
      <w:r>
        <w:rPr>
          <w:rFonts w:ascii="arial" w:hAnsi="arial"/>
          <w:sz w:val="18"/>
        </w:rPr>
        <w:t xml:space="preserve">. If the DGCL is amended after approval by the stockholders of this Section to authorize corporate action further eliminating or limiting the personal liability of directors </w:t>
      </w:r>
      <w:r>
        <w:rPr>
          <w:rFonts w:ascii="arial" w:hAnsi="arial"/>
          <w:sz w:val="18"/>
          <w:u w:val="single"/>
        </w:rPr>
        <w:t>or officers</w:t>
      </w:r>
      <w:r>
        <w:rPr>
          <w:rFonts w:ascii="arial" w:hAnsi="arial"/>
          <w:sz w:val="18"/>
        </w:rPr>
        <w:t xml:space="preserve">, then the liability of a director </w:t>
      </w:r>
      <w:r>
        <w:rPr>
          <w:rFonts w:ascii="arial" w:hAnsi="arial"/>
          <w:sz w:val="18"/>
          <w:u w:val="single"/>
        </w:rPr>
        <w:t>or officer</w:t>
      </w:r>
      <w:r>
        <w:rPr>
          <w:rFonts w:ascii="arial" w:hAnsi="arial"/>
          <w:sz w:val="18"/>
        </w:rPr>
        <w:t xml:space="preserve"> of the Corporation shall be eliminated or limited to the fullest extent permitted by the DGCL, as so amended. The foregoing limitation on liability shall not apply to acts or omissions occurring prior to the effective date of this Section.” </w:t>
      </w:r>
    </w:p>
    <w:p>
      <w:pPr>
        <w:pStyle w:val="TextBody"/>
        <w:bidi w:val="0"/>
        <w:spacing w:before="120" w:after="0"/>
        <w:jc w:val="left"/>
        <w:rPr>
          <w:rFonts w:ascii="arial" w:hAnsi="arial"/>
          <w:sz w:val="18"/>
        </w:rPr>
      </w:pPr>
      <w:r>
        <w:rPr>
          <w:rFonts w:ascii="arial" w:hAnsi="arial"/>
          <w:sz w:val="18"/>
        </w:rPr>
        <w:t xml:space="preserve">Replacing Article SIXTH Section 2 of our Certificate of Incorporation with the proposed Article SIXTH Section 2 above is the only proposed change to our Certificate of Incorporation. </w:t>
      </w:r>
    </w:p>
    <w:p>
      <w:pPr>
        <w:pStyle w:val="TextBody"/>
        <w:bidi w:val="0"/>
        <w:spacing w:before="120" w:after="0"/>
        <w:jc w:val="left"/>
        <w:rPr>
          <w:rFonts w:ascii="arial" w:hAnsi="arial"/>
          <w:sz w:val="18"/>
        </w:rPr>
      </w:pPr>
      <w:r>
        <w:rPr>
          <w:rFonts w:ascii="arial" w:hAnsi="arial"/>
          <w:sz w:val="18"/>
        </w:rPr>
        <w:t xml:space="preserve">The form of proposed Amended and Restated Certificate of Incorporation to effect the proposed amendment to our Certificate of Incorporation is attached to this Proxy Statement as Appendix B. If this proposal is approved by our stockholders at the 2024 Annual Meeting, we intend to file the Amended and Restated Certificate of Incorporation with the Secretary of State of the State of Delaware promptly following the 2024 Annual Meeting. </w:t>
      </w:r>
    </w:p>
    <w:p>
      <w:pPr>
        <w:pStyle w:val="TextBody"/>
        <w:bidi w:val="0"/>
        <w:spacing w:before="120" w:after="0"/>
        <w:jc w:val="left"/>
        <w:rPr>
          <w:rFonts w:ascii="arial" w:hAnsi="arial"/>
          <w:sz w:val="18"/>
        </w:rPr>
      </w:pPr>
      <w:r>
        <w:rPr>
          <w:rFonts w:ascii="arial" w:hAnsi="arial"/>
          <w:sz w:val="18"/>
        </w:rPr>
        <w:t xml:space="preserve">The approval of the proposed amendment to our Certificate of Incorporation requires the affirmative vote of the majority of the outstanding shares entitled to vote at the 2024 Annual Meeting. Abstentions and broker non-votes, since broker discretionary voting on this proposal is not permitted, will have the same effect as a vote against the proposal.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81"/>
        <w:gridCol w:w="120"/>
        <w:gridCol w:w="9604"/>
      </w:tblGrid>
      <w:tr>
        <w:trPr/>
        <w:tc>
          <w:tcPr>
            <w:tcW w:w="4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04" w:type="dxa"/>
            <w:tcBorders/>
            <w:vAlign w:val="center"/>
          </w:tcPr>
          <w:p>
            <w:pPr>
              <w:pStyle w:val="TableContents"/>
              <w:bidi w:val="0"/>
              <w:spacing w:before="0" w:after="283"/>
              <w:jc w:val="left"/>
              <w:rPr>
                <w:sz w:val="4"/>
                <w:szCs w:val="4"/>
              </w:rPr>
            </w:pPr>
            <w:r>
              <w:rPr>
                <w:sz w:val="4"/>
                <w:szCs w:val="4"/>
              </w:rPr>
            </w:r>
          </w:p>
        </w:tc>
      </w:tr>
      <w:tr>
        <w:trPr/>
        <w:tc>
          <w:tcPr>
            <w:tcW w:w="481"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100330" cy="55880"/>
                  <wp:effectExtent l="0" t="0" r="0" b="0"/>
                  <wp:docPr id="81"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2" descr=""/>
                          <pic:cNvPicPr>
                            <a:picLocks noChangeAspect="1" noChangeArrowheads="1"/>
                          </pic:cNvPicPr>
                        </pic:nvPicPr>
                        <pic:blipFill>
                          <a:blip r:embed="rId73"/>
                          <a:stretch>
                            <a:fillRect/>
                          </a:stretch>
                        </pic:blipFill>
                        <pic:spPr bwMode="auto">
                          <a:xfrm>
                            <a:off x="0" y="0"/>
                            <a:ext cx="100330" cy="55880"/>
                          </a:xfrm>
                          <a:prstGeom prst="rect">
                            <a:avLst/>
                          </a:prstGeom>
                        </pic:spPr>
                      </pic:pic>
                    </a:graphicData>
                  </a:graphic>
                </wp:inline>
              </w:drawing>
            </w:r>
            <w:r>
              <w:rPr/>
              <w:t xml:space="preserve">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604" w:type="dxa"/>
            <w:tcBorders>
              <w:bottom w:val="single" w:sz="6" w:space="0" w:color="000000"/>
            </w:tcBorders>
            <w:tcMar>
              <w:bottom w:w="28" w:type="dxa"/>
            </w:tcMar>
            <w:vAlign w:val="center"/>
          </w:tcPr>
          <w:p>
            <w:pPr>
              <w:pStyle w:val="TableContents"/>
              <w:bidi w:val="0"/>
              <w:spacing w:before="0" w:after="0"/>
              <w:jc w:val="left"/>
              <w:rPr>
                <w:rFonts w:ascii="Times New Roman" w:hAnsi="Times New Roman"/>
                <w:i/>
                <w:sz w:val="28"/>
              </w:rPr>
            </w:pPr>
            <w:r>
              <w:rPr>
                <w:rFonts w:ascii="Times New Roman" w:hAnsi="Times New Roman"/>
                <w:i/>
                <w:sz w:val="28"/>
              </w:rPr>
              <w:t>The Board unanimously recommends a vote “FOR” the approval of the amendment to our Certificate of Incorporation to permit the exculpation of officers as permitted by Delaware law.</w:t>
            </w:r>
          </w:p>
          <w:p>
            <w:pPr>
              <w:pStyle w:val="TableContents"/>
              <w:bidi w:val="0"/>
              <w:spacing w:before="0" w:after="20"/>
              <w:jc w:val="left"/>
              <w:rPr/>
            </w:pPr>
            <w:r>
              <w:rPr/>
              <w:t> </w:t>
            </w:r>
          </w:p>
        </w:tc>
      </w:tr>
    </w:tbl>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82"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3" descr=""/>
                          <pic:cNvPicPr>
                            <a:picLocks noChangeAspect="1" noChangeArrowheads="1"/>
                          </pic:cNvPicPr>
                        </pic:nvPicPr>
                        <pic:blipFill>
                          <a:blip r:embed="rId74"/>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34 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center"/>
        <w:rPr>
          <w:rFonts w:ascii="Times New Roman" w:hAnsi="Times New Roman"/>
          <w:b/>
          <w:sz w:val="60"/>
        </w:rPr>
      </w:pPr>
      <w:bookmarkStart w:id="16" w:name="toc540996_11"/>
      <w:bookmarkEnd w:id="16"/>
      <w:r>
        <w:rPr>
          <w:rFonts w:ascii="Times New Roman" w:hAnsi="Times New Roman"/>
          <w:b/>
          <w:sz w:val="60"/>
        </w:rPr>
        <w:t xml:space="preserve">ESG AT VS&amp;CO: DRIVING POSITIVE CHANGE WITH WOMEN, FOR WOMEN </w:t>
      </w:r>
    </w:p>
    <w:p>
      <w:pPr>
        <w:pStyle w:val="TextBody"/>
        <w:bidi w:val="0"/>
        <w:spacing w:before="0" w:after="0"/>
        <w:jc w:val="left"/>
        <w:rPr/>
      </w:pPr>
      <w:r>
        <w:rPr/>
        <w:t> </w:t>
      </w:r>
    </w:p>
    <w:p>
      <w:pPr>
        <w:pStyle w:val="TextBody"/>
        <w:pBdr>
          <w:bottom w:val="single" w:sz="2" w:space="1" w:color="000000"/>
        </w:pBdr>
        <w:bidi w:val="0"/>
        <w:spacing w:lineRule="atLeast" w:line="142" w:before="0" w:after="40"/>
        <w:jc w:val="center"/>
        <w:rPr/>
      </w:pPr>
      <w:r>
        <w:rPr/>
        <w:t> </w:t>
      </w:r>
    </w:p>
    <w:p>
      <w:pPr>
        <w:pStyle w:val="TextBody"/>
        <w:bidi w:val="0"/>
        <w:spacing w:before="360" w:after="0"/>
        <w:jc w:val="left"/>
        <w:rPr>
          <w:rFonts w:ascii="arial" w:hAnsi="arial"/>
          <w:sz w:val="18"/>
        </w:rPr>
      </w:pPr>
      <w:r>
        <w:rPr>
          <w:rFonts w:ascii="arial" w:hAnsi="arial"/>
          <w:sz w:val="18"/>
        </w:rPr>
        <w:t xml:space="preserve">We are committed to driving positive change with women, for women. This is the foundation of our ESG strategy, and imperative to ensure the stability and sustainability of our operations, workforce, communities, and the environment. Our customers, associates and other key stakeholders expect us to offer products they feel good about, lead with integrity, champion women’s empowerment, and maintain ethical practices across all aspects of our operations. By prioritizing ESG initiatives that align with these expectations, we’re not only meeting our stakeholders’ needs but also supporting the creation of long-term value for our stockholders and contributing to a more equitable and sustainable future. This strategic focus demonstrates our unwavering belief in the transformative power of women to drive positive change. </w:t>
      </w:r>
    </w:p>
    <w:p>
      <w:pPr>
        <w:pStyle w:val="TextBody"/>
        <w:bidi w:val="0"/>
        <w:spacing w:before="240" w:after="0"/>
        <w:jc w:val="left"/>
        <w:rPr>
          <w:rFonts w:ascii="arial" w:hAnsi="arial"/>
          <w:b/>
          <w:color w:val="F7ACBA"/>
          <w:sz w:val="24"/>
        </w:rPr>
      </w:pPr>
      <w:r>
        <w:rPr>
          <w:rFonts w:ascii="arial" w:hAnsi="arial"/>
          <w:b/>
          <w:color w:val="F7ACBA"/>
          <w:sz w:val="24"/>
        </w:rPr>
        <w:t xml:space="preserve">Board Oversight </w:t>
      </w:r>
    </w:p>
    <w:p>
      <w:pPr>
        <w:pStyle w:val="TextBody"/>
        <w:bidi w:val="0"/>
        <w:spacing w:before="60" w:after="0"/>
        <w:jc w:val="left"/>
        <w:rPr>
          <w:rFonts w:ascii="arial" w:hAnsi="arial"/>
          <w:sz w:val="18"/>
        </w:rPr>
      </w:pPr>
      <w:r>
        <w:rPr>
          <w:rFonts w:ascii="arial" w:hAnsi="arial"/>
          <w:sz w:val="18"/>
        </w:rPr>
        <w:t xml:space="preserve">The Board, with the support of the Human Capital and Compensation Committee and the Nominating and Governance Committee, oversees issues of social responsibility, including diversity, equity, and inclusion, ESG and philanthropic initiatives, and our policies, practices and progress with respect to such issues. </w:t>
      </w:r>
    </w:p>
    <w:p>
      <w:pPr>
        <w:pStyle w:val="TextBody"/>
        <w:bidi w:val="0"/>
        <w:spacing w:before="240" w:after="0"/>
        <w:jc w:val="left"/>
        <w:rPr>
          <w:rFonts w:ascii="arial" w:hAnsi="arial"/>
          <w:b/>
          <w:color w:val="F7ACBA"/>
          <w:sz w:val="24"/>
        </w:rPr>
      </w:pPr>
      <w:r>
        <w:rPr>
          <w:rFonts w:ascii="arial" w:hAnsi="arial"/>
          <w:b/>
          <w:color w:val="F7ACBA"/>
          <w:sz w:val="24"/>
        </w:rPr>
        <w:t xml:space="preserve">ESG Reporting </w:t>
      </w:r>
    </w:p>
    <w:p>
      <w:pPr>
        <w:pStyle w:val="TextBody"/>
        <w:bidi w:val="0"/>
        <w:spacing w:before="60" w:after="0"/>
        <w:jc w:val="left"/>
        <w:rPr>
          <w:rFonts w:ascii="arial" w:hAnsi="arial"/>
          <w:sz w:val="18"/>
        </w:rPr>
      </w:pPr>
      <w:r>
        <w:rPr>
          <w:rFonts w:ascii="arial" w:hAnsi="arial"/>
          <w:sz w:val="18"/>
        </w:rPr>
        <w:t xml:space="preserve">VS&amp;Co’s third annual ESG report (“2023 ESG Report”) was published on April 12, 2024 to provide a comprehensive view of our environmental, social, and governance performance. Our report is guided by the Sustainability Accounting Standards Board (SASB) framework’s Apparel, Accessories, and Footwear industry standard, and with reference to the Global Reporting Initiative (GRI) framework and International Financial Reporting Standards Standard 2 (IFRS S2) framework. Our 2023 ESG Report is available on the Corporate Responsibility section of our website, </w:t>
      </w:r>
      <w:r>
        <w:rPr>
          <w:rFonts w:ascii="arial" w:hAnsi="arial"/>
          <w:i/>
          <w:sz w:val="18"/>
        </w:rPr>
        <w:t>www.victoriassecretandco.com</w:t>
      </w:r>
      <w:r>
        <w:rPr>
          <w:rFonts w:ascii="arial" w:hAnsi="arial"/>
          <w:sz w:val="18"/>
        </w:rPr>
        <w:t xml:space="preserve">, under ESG at VS&amp;Co. The information contained on or accessible through our website, including the 2023 ESG Report, is not incorporated by reference into this Proxy Statement or any of our other filings with the SEC. </w:t>
      </w:r>
    </w:p>
    <w:p>
      <w:pPr>
        <w:pStyle w:val="TextBody"/>
        <w:bidi w:val="0"/>
        <w:spacing w:before="240" w:after="0"/>
        <w:jc w:val="left"/>
        <w:rPr>
          <w:rFonts w:ascii="arial" w:hAnsi="arial"/>
          <w:b/>
          <w:color w:val="F7ACBA"/>
          <w:sz w:val="24"/>
        </w:rPr>
      </w:pPr>
      <w:r>
        <w:rPr>
          <w:rFonts w:ascii="arial" w:hAnsi="arial"/>
          <w:b/>
          <w:color w:val="F7ACBA"/>
          <w:sz w:val="24"/>
        </w:rPr>
        <w:t xml:space="preserve">Ethics and Integrity </w:t>
      </w:r>
    </w:p>
    <w:p>
      <w:pPr>
        <w:pStyle w:val="TextBody"/>
        <w:bidi w:val="0"/>
        <w:spacing w:before="60" w:after="0"/>
        <w:jc w:val="left"/>
        <w:rPr>
          <w:rFonts w:ascii="arial" w:hAnsi="arial"/>
          <w:sz w:val="18"/>
        </w:rPr>
      </w:pPr>
      <w:r>
        <w:rPr>
          <w:rFonts w:ascii="arial" w:hAnsi="arial"/>
          <w:sz w:val="18"/>
        </w:rPr>
        <w:t xml:space="preserve">VS&amp;Co’s Global Ethics and Compliance Program, led by our Chief Ethics and Compliance Officer and supervised by the Chief Legal Officer, encompasses a 24/7 multilingual ethics hotline, a formal case management workflow, and detailed investigation protocols. </w:t>
      </w:r>
    </w:p>
    <w:p>
      <w:pPr>
        <w:pStyle w:val="TextBody"/>
        <w:bidi w:val="0"/>
        <w:spacing w:before="120" w:after="0"/>
        <w:jc w:val="left"/>
        <w:rPr>
          <w:rFonts w:ascii="arial" w:hAnsi="arial"/>
          <w:sz w:val="18"/>
        </w:rPr>
      </w:pPr>
      <w:r>
        <w:rPr>
          <w:rFonts w:ascii="arial" w:hAnsi="arial"/>
          <w:sz w:val="18"/>
        </w:rPr>
        <w:t xml:space="preserve">Our recently updated Code of Conduct aligns with our corporate values, detailing associates’ rights, investigation frameworks, and the responsible use of generative AI technologies. It emphasizes our zero-tolerance policy towards retaliation, discrimination, harassment, and bullying. Our ethics and compliance training program includes mandatory annual and new hire Code of Conduct training. In 2023, enhancements to our training included new anti-harassment modules, updated compliance training, and modernized communication methods. Our independent Ethics Hotline facilitates confidential reporting, with a rigorous investigation process and a clear escalation protocol for serious allegations. </w:t>
      </w:r>
    </w:p>
    <w:p>
      <w:pPr>
        <w:pStyle w:val="TextBody"/>
        <w:bidi w:val="0"/>
        <w:spacing w:before="120" w:after="0"/>
        <w:jc w:val="left"/>
        <w:rPr>
          <w:rFonts w:ascii="arial" w:hAnsi="arial"/>
          <w:sz w:val="18"/>
        </w:rPr>
      </w:pPr>
      <w:r>
        <w:rPr>
          <w:rFonts w:ascii="arial" w:hAnsi="arial"/>
          <w:sz w:val="18"/>
        </w:rPr>
        <w:t xml:space="preserve">Additionally, we’ve strengthened our Anti-Bribery, Anti-Corruption, and Third-Party Risk Management Program, incorporating comprehensive screening, risk assessments, and targeted training. Our Photo Shoot Compliance Procedures ensure the integrity of photo and video shoots, supported by compliance monitors and new software for process efficiency. Overall, these measures underscore our commitment to maintaining a high ethical standard and a healthy, safe, and inclusive workplace environment. </w:t>
      </w:r>
    </w:p>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83"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4" descr=""/>
                          <pic:cNvPicPr>
                            <a:picLocks noChangeAspect="1" noChangeArrowheads="1"/>
                          </pic:cNvPicPr>
                        </pic:nvPicPr>
                        <pic:blipFill>
                          <a:blip r:embed="rId75"/>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35 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DRIVING POSITIVE CHANGE WITH WOMEN, FOR WOMEN — ESG AT VS&amp;CO </w:t>
      </w:r>
    </w:p>
    <w:p>
      <w:pPr>
        <w:pStyle w:val="TextBody"/>
        <w:bidi w:val="0"/>
        <w:spacing w:before="0" w:after="0"/>
        <w:jc w:val="left"/>
        <w:rPr/>
      </w:pPr>
      <w:r>
        <w:rPr/>
        <w:t> </w:t>
      </w:r>
    </w:p>
    <w:p>
      <w:pPr>
        <w:pStyle w:val="TextBody"/>
        <w:bidi w:val="0"/>
        <w:spacing w:before="0" w:after="0"/>
        <w:jc w:val="left"/>
        <w:rPr>
          <w:rFonts w:ascii="arial" w:hAnsi="arial"/>
          <w:b/>
          <w:color w:val="F7ACBA"/>
          <w:sz w:val="24"/>
        </w:rPr>
      </w:pPr>
      <w:r>
        <w:rPr>
          <w:rFonts w:ascii="arial" w:hAnsi="arial"/>
          <w:b/>
          <w:color w:val="F7ACBA"/>
          <w:sz w:val="24"/>
        </w:rPr>
        <w:t xml:space="preserve">A Healthy and Thriving Culture of Belonging </w:t>
      </w:r>
    </w:p>
    <w:p>
      <w:pPr>
        <w:pStyle w:val="TextBody"/>
        <w:bidi w:val="0"/>
        <w:spacing w:before="60" w:after="0"/>
        <w:jc w:val="left"/>
        <w:rPr>
          <w:rFonts w:ascii="arial" w:hAnsi="arial"/>
          <w:sz w:val="18"/>
        </w:rPr>
      </w:pPr>
      <w:r>
        <w:rPr>
          <w:rFonts w:ascii="arial" w:hAnsi="arial"/>
          <w:sz w:val="18"/>
        </w:rPr>
        <w:t xml:space="preserve">VS&amp;Co is dedicated to fostering a strong company culture characterized by competitive pay, comprehensive benefits, and advancement opportunities, all aimed at ensuring a happy, healthy workforce. Emphasizing a sense of belonging, we’ve created an environment where our entire workforce feels valued and respected, reflecting our global communities. </w:t>
      </w:r>
    </w:p>
    <w:p>
      <w:pPr>
        <w:pStyle w:val="TextBody"/>
        <w:bidi w:val="0"/>
        <w:spacing w:before="120" w:after="0"/>
        <w:jc w:val="left"/>
        <w:rPr>
          <w:rFonts w:ascii="arial" w:hAnsi="arial"/>
          <w:sz w:val="18"/>
        </w:rPr>
      </w:pPr>
      <w:r>
        <w:rPr>
          <w:rFonts w:ascii="arial" w:hAnsi="arial"/>
          <w:sz w:val="18"/>
        </w:rPr>
        <w:t xml:space="preserve">We pride ourselves on a culture of idea-sharing and innovation, underscored by our commitment to diversity, equity, and inclusion. In 2023, the positive impact of these efforts was evident. Eighty-four percent of associates completed our Associate Opinion Survey and 85 percent of those associates reported being proud to work for VS&amp;Co. Additionally, we’ve achieved third-party certification for pay equity and continuously invest in associate well-being and leadership development, including the launch of the Emerging Leaders Rotational Program. Our initiatives extend to actively promoting workforce diversity, with significant representation of women and people of color, supported by Inclusion Resource Groups and DEI-focused programming. This comprehensive approach ensures our associates not only contribute to but thrive in our inclusive, forward-thinking company culture. </w:t>
      </w:r>
    </w:p>
    <w:p>
      <w:pPr>
        <w:pStyle w:val="TextBody"/>
        <w:bidi w:val="0"/>
        <w:spacing w:before="240" w:after="0"/>
        <w:jc w:val="left"/>
        <w:rPr>
          <w:rFonts w:ascii="arial" w:hAnsi="arial"/>
          <w:b/>
          <w:color w:val="F7ACBA"/>
          <w:sz w:val="24"/>
        </w:rPr>
      </w:pPr>
      <w:r>
        <w:rPr>
          <w:rFonts w:ascii="arial" w:hAnsi="arial"/>
          <w:b/>
          <w:color w:val="F7ACBA"/>
          <w:sz w:val="24"/>
        </w:rPr>
        <w:t xml:space="preserve">Inclusive Products, Marketing and Operations </w:t>
      </w:r>
    </w:p>
    <w:p>
      <w:pPr>
        <w:pStyle w:val="TextBody"/>
        <w:bidi w:val="0"/>
        <w:spacing w:before="60" w:after="0"/>
        <w:jc w:val="left"/>
        <w:rPr>
          <w:rFonts w:ascii="arial" w:hAnsi="arial"/>
          <w:sz w:val="18"/>
        </w:rPr>
      </w:pPr>
      <w:r>
        <w:rPr>
          <w:rFonts w:ascii="arial" w:hAnsi="arial"/>
          <w:sz w:val="18"/>
        </w:rPr>
        <w:t xml:space="preserve">VS&amp;Co is dedicated to championing inclusivity and diversity across all facets of our operations, from product design to marketing, and through strategic partnerships. Our products cater to a wide range of sizes and needs, reflecting our belief that beauty transcends boundaries. We actively partner with brands that share our commitment to innovation and inclusivity, with a significant portion being women-founded, owned, or led, including our investments in brands like For Love &amp; Lemons and Frankies Bikinis. </w:t>
      </w:r>
    </w:p>
    <w:p>
      <w:pPr>
        <w:pStyle w:val="TextBody"/>
        <w:bidi w:val="0"/>
        <w:spacing w:before="120" w:after="0"/>
        <w:jc w:val="left"/>
        <w:rPr>
          <w:rFonts w:ascii="arial" w:hAnsi="arial"/>
          <w:sz w:val="18"/>
        </w:rPr>
      </w:pPr>
      <w:r>
        <w:rPr>
          <w:rFonts w:ascii="arial" w:hAnsi="arial"/>
          <w:sz w:val="18"/>
        </w:rPr>
        <w:t xml:space="preserve">Our marketing efforts strive to mirror the diverse experiences and backgrounds of our customers, fostering a sense of belonging and representation. Additionally, our operations extend support to diverse suppliers, with a focus on women, BIPOC, LGBTQIA+, veterans, and people with disabilities, aiming to reflect our values in our supply chain. In 2023, we enhanced our supplier diversity programs and celebrated cultural moments, further embedding our dedication to DEI into our brand ethos. This approach is exemplified by our reimagined Victoria’s Secret 2023 World Tour, showcasing our evolution towards a more inclusive and culturally relevant brand. Through these initiatives, VS&amp;Co is not only setting new industry benchmarks for inclusivity but also creating a sustainable and empowering environment for all stakeholders. </w:t>
      </w:r>
    </w:p>
    <w:p>
      <w:pPr>
        <w:pStyle w:val="TextBody"/>
        <w:bidi w:val="0"/>
        <w:spacing w:before="240" w:after="0"/>
        <w:jc w:val="left"/>
        <w:rPr>
          <w:rFonts w:ascii="arial" w:hAnsi="arial"/>
          <w:b/>
          <w:color w:val="F7ACBA"/>
          <w:sz w:val="24"/>
        </w:rPr>
      </w:pPr>
      <w:r>
        <w:rPr>
          <w:rFonts w:ascii="arial" w:hAnsi="arial"/>
          <w:b/>
          <w:color w:val="F7ACBA"/>
          <w:sz w:val="24"/>
        </w:rPr>
        <w:t xml:space="preserve">Responsible Sourcing and Human Rights </w:t>
      </w:r>
    </w:p>
    <w:p>
      <w:pPr>
        <w:pStyle w:val="TextBody"/>
        <w:bidi w:val="0"/>
        <w:spacing w:before="60" w:after="0"/>
        <w:jc w:val="left"/>
        <w:rPr>
          <w:rFonts w:ascii="arial" w:hAnsi="arial"/>
          <w:sz w:val="18"/>
        </w:rPr>
      </w:pPr>
      <w:r>
        <w:rPr>
          <w:rFonts w:ascii="arial" w:hAnsi="arial"/>
          <w:sz w:val="18"/>
        </w:rPr>
        <w:t xml:space="preserve">At VS&amp;Co, we have a long history of maintaining rigorous labor standards for our suppliers, and believe we play an important role in empowering workers and improving working conditions across our supply chain. </w:t>
      </w:r>
    </w:p>
    <w:p>
      <w:pPr>
        <w:pStyle w:val="TextBody"/>
        <w:bidi w:val="0"/>
        <w:spacing w:before="120" w:after="0"/>
        <w:jc w:val="left"/>
        <w:rPr>
          <w:rFonts w:ascii="arial" w:hAnsi="arial"/>
          <w:sz w:val="18"/>
        </w:rPr>
      </w:pPr>
      <w:r>
        <w:rPr>
          <w:rFonts w:ascii="arial" w:hAnsi="arial"/>
          <w:sz w:val="18"/>
        </w:rPr>
        <w:t xml:space="preserve">For our lingerie and apparel products, our top 10 lingerie and apparel suppliers represent more than 88 percent of our production spend; we have worked with the majority of these partners for 20 years or more. We are committed to mapping our supply chain at every stage of the manufacturing process, from finished goods to raw materials. We have mapped 100 percent of our Tier 1 and Tier 2 supply chain for our lingerie and apparel products, and have mapped our Tier 3 cotton spinners. We publicly share an updated list of our Tier 1 Core Apparel Suppliers twice per year on our website, </w:t>
      </w:r>
      <w:r>
        <w:rPr>
          <w:rFonts w:ascii="arial" w:hAnsi="arial"/>
          <w:i/>
          <w:sz w:val="18"/>
        </w:rPr>
        <w:t>www.victoriassecretandco.com</w:t>
      </w:r>
      <w:r>
        <w:rPr>
          <w:rFonts w:ascii="arial" w:hAnsi="arial"/>
          <w:sz w:val="18"/>
        </w:rPr>
        <w:t xml:space="preserve">, under Corporate Responsibility, Supply Chain, Social Compliance Program, Traceability &amp; Risk Assessment. </w:t>
      </w:r>
    </w:p>
    <w:p>
      <w:pPr>
        <w:pStyle w:val="TextBody"/>
        <w:bidi w:val="0"/>
        <w:spacing w:before="120" w:after="0"/>
        <w:jc w:val="left"/>
        <w:rPr>
          <w:rFonts w:ascii="arial" w:hAnsi="arial"/>
          <w:sz w:val="18"/>
        </w:rPr>
      </w:pPr>
      <w:r>
        <w:rPr>
          <w:rFonts w:ascii="arial" w:hAnsi="arial"/>
          <w:sz w:val="18"/>
        </w:rPr>
        <w:t xml:space="preserve">Given the complexity and nature of our supply chain, we have adopted stringent measures to promote the fair and ethical treatment of workers in our suppliers’ facilities. We require our suppliers to adhere to our Supplier Code of Conduct and detailed Supplier Guidebook, and we regularly audit in-scope supplier facilities for compliance. Our Supplier Code of Conduct clearly outlines our prohibitions against forced or child labor, corruption, bribery, discrimination, corporal punishment, unauthorized subcontracting, and more. The code must be posted in common areas by all our factories in English and the local language. The Supplier Code of Conduct and the Supplier Guidebook are available on our website, </w:t>
      </w:r>
      <w:r>
        <w:rPr>
          <w:rFonts w:ascii="arial" w:hAnsi="arial"/>
          <w:i/>
          <w:sz w:val="18"/>
        </w:rPr>
        <w:t>www.victoriassecretandco.com</w:t>
      </w:r>
      <w:r>
        <w:rPr>
          <w:rFonts w:ascii="arial" w:hAnsi="arial"/>
          <w:sz w:val="18"/>
        </w:rPr>
        <w:t xml:space="preserve">, under Corporate Responsibility, Supply Chain. </w:t>
      </w:r>
    </w:p>
    <w:p>
      <w:pPr>
        <w:pStyle w:val="TextBody"/>
        <w:bidi w:val="0"/>
        <w:spacing w:before="240" w:after="0"/>
        <w:jc w:val="left"/>
        <w:rPr>
          <w:rFonts w:ascii="arial" w:hAnsi="arial"/>
          <w:b/>
          <w:color w:val="F7ACBA"/>
          <w:sz w:val="24"/>
        </w:rPr>
      </w:pPr>
      <w:r>
        <w:rPr>
          <w:rFonts w:ascii="arial" w:hAnsi="arial"/>
          <w:b/>
          <w:color w:val="F7ACBA"/>
          <w:sz w:val="24"/>
        </w:rPr>
        <w:t xml:space="preserve">Environmental Impact </w:t>
      </w:r>
    </w:p>
    <w:p>
      <w:pPr>
        <w:pStyle w:val="TextBody"/>
        <w:bidi w:val="0"/>
        <w:spacing w:before="60" w:after="0"/>
        <w:jc w:val="left"/>
        <w:rPr>
          <w:rFonts w:ascii="arial" w:hAnsi="arial"/>
          <w:sz w:val="18"/>
        </w:rPr>
      </w:pPr>
      <w:r>
        <w:rPr>
          <w:rFonts w:ascii="arial" w:hAnsi="arial"/>
          <w:sz w:val="18"/>
        </w:rPr>
        <w:t xml:space="preserve">Our sustainability journey is focused on evaluating and improving our environmental impact across our entire value chain, with a special focus on partnering with women and championing women. We recognize that women are disproportionately </w:t>
      </w:r>
    </w:p>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84"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5" descr=""/>
                          <pic:cNvPicPr>
                            <a:picLocks noChangeAspect="1" noChangeArrowheads="1"/>
                          </pic:cNvPicPr>
                        </pic:nvPicPr>
                        <pic:blipFill>
                          <a:blip r:embed="rId76"/>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36 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DRIVING POSITIVE CHANGE WITH WOMEN, FOR WOMEN — ESG AT VS&amp;CO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affected by environmental challenges, from climate change impacts to access to clean water and resources. By improving our practices, we aim not only to reduce our footprint but also to uplift and support women globally. As we work towards our sustainability goals, we are dedicated to fostering a world where women thrive and have an equitable share in the benefits of a healthier planet. </w:t>
      </w:r>
    </w:p>
    <w:p>
      <w:pPr>
        <w:pStyle w:val="TextBody"/>
        <w:bidi w:val="0"/>
        <w:spacing w:before="240" w:after="0"/>
        <w:jc w:val="left"/>
        <w:rPr>
          <w:rFonts w:ascii="arial" w:hAnsi="arial"/>
          <w:b/>
          <w:color w:val="F7ACBA"/>
          <w:sz w:val="24"/>
        </w:rPr>
      </w:pPr>
      <w:r>
        <w:rPr>
          <w:rFonts w:ascii="arial" w:hAnsi="arial"/>
          <w:b/>
          <w:color w:val="F7ACBA"/>
          <w:sz w:val="24"/>
        </w:rPr>
        <w:t xml:space="preserve">Greenhouse Gas Emissions and Climate Action </w:t>
      </w:r>
    </w:p>
    <w:p>
      <w:pPr>
        <w:pStyle w:val="TextBody"/>
        <w:bidi w:val="0"/>
        <w:spacing w:before="60" w:after="0"/>
        <w:jc w:val="left"/>
        <w:rPr>
          <w:rFonts w:ascii="arial" w:hAnsi="arial"/>
          <w:sz w:val="18"/>
        </w:rPr>
      </w:pPr>
      <w:r>
        <w:rPr>
          <w:rFonts w:ascii="arial" w:hAnsi="arial"/>
          <w:sz w:val="18"/>
        </w:rPr>
        <w:t xml:space="preserve">We recognize that the retail industry and its supply chain are significant contributors to climate change. How we manage the impacts of climate change provides both a risk and opportunity for our organization. Our Greenhouse Gas Task Force, established in May 2022, is responsible for collecting our emissions inventory, evaluating and actioning on the climate risks and opportunities to our organization, and developing a climate roadmap aligned with best practices. </w:t>
      </w:r>
    </w:p>
    <w:p>
      <w:pPr>
        <w:pStyle w:val="TextBody"/>
        <w:bidi w:val="0"/>
        <w:spacing w:before="120" w:after="0"/>
        <w:jc w:val="left"/>
        <w:rPr>
          <w:rFonts w:ascii="arial" w:hAnsi="arial"/>
          <w:sz w:val="18"/>
        </w:rPr>
      </w:pPr>
      <w:r>
        <w:rPr>
          <w:rFonts w:ascii="arial" w:hAnsi="arial"/>
          <w:sz w:val="18"/>
        </w:rPr>
        <w:t>We completed our first climate-related risk and opportunity assessment in 2023, analyzing both the physical and transition risks throughout our supply chain and direct business operations. This assessment identified and prioritized vulnerabilities to climate hazards, paving the way to develop targeted strategies to bolster our resilience. In this assessment, we analyzed how climate-related impacts would affect our direct operations, suppliers, processes, and the materials we use to make our products through 2025, 2030, and 2050. Our risk assessment followed a comprehensive approach that utilized climate, regulatory, technological, and market data and internal stakeholder perspectives to understand which areas of climate risk are most impactful to our business.</w:t>
      </w:r>
    </w:p>
    <w:p>
      <w:pPr>
        <w:pStyle w:val="TextBody"/>
        <w:bidi w:val="0"/>
        <w:spacing w:before="120" w:after="0"/>
        <w:jc w:val="left"/>
        <w:rPr>
          <w:rFonts w:ascii="arial" w:hAnsi="arial"/>
          <w:sz w:val="18"/>
        </w:rPr>
      </w:pPr>
      <w:r>
        <w:rPr>
          <w:rFonts w:ascii="arial" w:hAnsi="arial"/>
          <w:sz w:val="18"/>
        </w:rPr>
        <w:t xml:space="preserve">To address climate risks and reduce our footprint, we actively support our supply chain partners in their climate action efforts, notably through sponsoring participation in the Carbon Leadership Program (“CLP”) administered by the Apparel Impact Institute. This initiative empowers factories to set and pursue their own carbon reduction targets by developing tailored action plans focused on energy efficiency and transitioning to cleaner energy. </w:t>
      </w:r>
    </w:p>
    <w:p>
      <w:pPr>
        <w:pStyle w:val="TextBody"/>
        <w:bidi w:val="0"/>
        <w:spacing w:before="120" w:after="0"/>
        <w:jc w:val="left"/>
        <w:rPr>
          <w:rFonts w:ascii="arial" w:hAnsi="arial"/>
          <w:sz w:val="18"/>
        </w:rPr>
      </w:pPr>
      <w:r>
        <w:rPr>
          <w:rFonts w:ascii="arial" w:hAnsi="arial"/>
          <w:sz w:val="18"/>
        </w:rPr>
        <w:t xml:space="preserve">Our emissions inventory and IFRS S2 Climate-Related Disclosures are included in our 2023 ESG Report, available under the Corporate Responsibility section of our website, </w:t>
      </w:r>
      <w:r>
        <w:rPr>
          <w:rFonts w:ascii="arial" w:hAnsi="arial"/>
          <w:i/>
          <w:sz w:val="18"/>
        </w:rPr>
        <w:t>www.victoriassecretandco.com</w:t>
      </w:r>
      <w:r>
        <w:rPr>
          <w:rFonts w:ascii="arial" w:hAnsi="arial"/>
          <w:sz w:val="18"/>
        </w:rPr>
        <w:t xml:space="preserve">, under ESG at VS&amp;Co. </w:t>
      </w:r>
    </w:p>
    <w:p>
      <w:pPr>
        <w:pStyle w:val="TextBody"/>
        <w:bidi w:val="0"/>
        <w:spacing w:before="240" w:after="0"/>
        <w:jc w:val="left"/>
        <w:rPr>
          <w:rFonts w:ascii="arial" w:hAnsi="arial"/>
          <w:b/>
          <w:color w:val="F7ACBA"/>
          <w:sz w:val="24"/>
        </w:rPr>
      </w:pPr>
      <w:r>
        <w:rPr>
          <w:rFonts w:ascii="arial" w:hAnsi="arial"/>
          <w:b/>
          <w:color w:val="F7ACBA"/>
          <w:sz w:val="24"/>
        </w:rPr>
        <w:t xml:space="preserve">Products and Manufacturing </w:t>
      </w:r>
    </w:p>
    <w:p>
      <w:pPr>
        <w:pStyle w:val="TextBody"/>
        <w:bidi w:val="0"/>
        <w:spacing w:before="60" w:after="0"/>
        <w:jc w:val="left"/>
        <w:rPr>
          <w:rFonts w:ascii="Times New Roman" w:hAnsi="Times New Roman"/>
          <w:i/>
          <w:sz w:val="22"/>
        </w:rPr>
      </w:pPr>
      <w:r>
        <w:rPr>
          <w:rFonts w:ascii="Times New Roman" w:hAnsi="Times New Roman"/>
          <w:i/>
          <w:sz w:val="22"/>
        </w:rPr>
        <w:t xml:space="preserve">Materials </w:t>
      </w:r>
    </w:p>
    <w:p>
      <w:pPr>
        <w:pStyle w:val="TextBody"/>
        <w:bidi w:val="0"/>
        <w:spacing w:before="60" w:after="0"/>
        <w:jc w:val="left"/>
        <w:rPr>
          <w:rFonts w:ascii="arial" w:hAnsi="arial"/>
          <w:sz w:val="18"/>
        </w:rPr>
      </w:pPr>
      <w:r>
        <w:rPr>
          <w:rFonts w:ascii="arial" w:hAnsi="arial"/>
          <w:sz w:val="18"/>
        </w:rPr>
        <w:t xml:space="preserve">We are increasing our use of cellulosic fibers from reputable suppliers Lenzing Group and Birla Cellulose, increasing use of recycled alternatives to synthetic materials, and increasing our purchase of cotton directly from women and Black-owned farms. Read more about our cotton sourcing in our Cotton Journey Report on the Corporate Responsibility section of our website, </w:t>
      </w:r>
      <w:r>
        <w:rPr>
          <w:rFonts w:ascii="arial" w:hAnsi="arial"/>
          <w:i/>
          <w:sz w:val="18"/>
        </w:rPr>
        <w:t>www.victoriassecretandco.com</w:t>
      </w:r>
      <w:r>
        <w:rPr>
          <w:rFonts w:ascii="arial" w:hAnsi="arial"/>
          <w:sz w:val="18"/>
        </w:rPr>
        <w:t xml:space="preserve">, under ESG at VS&amp;Co. </w:t>
      </w:r>
    </w:p>
    <w:p>
      <w:pPr>
        <w:pStyle w:val="TextBody"/>
        <w:bidi w:val="0"/>
        <w:spacing w:before="240" w:after="0"/>
        <w:jc w:val="left"/>
        <w:rPr>
          <w:rFonts w:ascii="Times New Roman" w:hAnsi="Times New Roman"/>
          <w:i/>
          <w:sz w:val="22"/>
        </w:rPr>
      </w:pPr>
      <w:r>
        <w:rPr>
          <w:rFonts w:ascii="Times New Roman" w:hAnsi="Times New Roman"/>
          <w:i/>
          <w:sz w:val="22"/>
        </w:rPr>
        <w:t xml:space="preserve">Processes </w:t>
      </w:r>
    </w:p>
    <w:p>
      <w:pPr>
        <w:pStyle w:val="TextBody"/>
        <w:bidi w:val="0"/>
        <w:spacing w:before="60" w:after="0"/>
        <w:jc w:val="left"/>
        <w:rPr>
          <w:rFonts w:ascii="arial" w:hAnsi="arial"/>
          <w:sz w:val="18"/>
        </w:rPr>
      </w:pPr>
      <w:r>
        <w:rPr>
          <w:rFonts w:ascii="arial" w:hAnsi="arial"/>
          <w:sz w:val="18"/>
        </w:rPr>
        <w:t xml:space="preserve">We have a robust chemical management program in place in our lingerie and apparel manufacturing to deliver on two key goals: ensuring our products are safe for our customers and minimizing the environmental impact of manufacturing. To deliver on this, we require our lingerie and apparel suppliers to adhere to several rigorous policies and standards governing chemical management, including the Zero Discharge of Hazardous Chemicals Manufacturing Restricted Substance List (“MRSL”), which is a list of chemical substances, including detergents, dyes and finishing agents, banned from use in textile operations. We actively verify MRSL conformance of the chemicals from wet-processing suppliers (e.g., dyeing mills and laundries) who produce more than 90% of our materials (based on material value). Raw materials used in our lingerie and apparel products must be certified to Oeko-Tex® Standard 100 or tested to VS&amp;Co’s Restricted Substances List by a third-party laboratory to ensure substances used in making our products meet its requirements. </w:t>
      </w:r>
    </w:p>
    <w:p>
      <w:pPr>
        <w:pStyle w:val="TextBody"/>
        <w:bidi w:val="0"/>
        <w:spacing w:before="120" w:after="0"/>
        <w:jc w:val="left"/>
        <w:rPr>
          <w:rFonts w:ascii="arial" w:hAnsi="arial"/>
          <w:sz w:val="18"/>
        </w:rPr>
      </w:pPr>
      <w:r>
        <w:rPr>
          <w:rFonts w:ascii="arial" w:hAnsi="arial"/>
          <w:sz w:val="18"/>
        </w:rPr>
        <w:t xml:space="preserve">Further, we are partnering with suppliers to move toward renewable or preferred energy sources and are continuing to evaluate opportunities to reduce water impact during production. </w:t>
      </w:r>
    </w:p>
    <w:p>
      <w:pPr>
        <w:pStyle w:val="TextBody"/>
        <w:bidi w:val="0"/>
        <w:spacing w:before="240" w:after="0"/>
        <w:jc w:val="left"/>
        <w:rPr>
          <w:rFonts w:ascii="Times New Roman" w:hAnsi="Times New Roman"/>
          <w:i/>
          <w:sz w:val="22"/>
        </w:rPr>
      </w:pPr>
      <w:r>
        <w:rPr>
          <w:rFonts w:ascii="Times New Roman" w:hAnsi="Times New Roman"/>
          <w:i/>
          <w:sz w:val="22"/>
        </w:rPr>
        <w:t xml:space="preserve">Circularity </w:t>
      </w:r>
    </w:p>
    <w:p>
      <w:pPr>
        <w:pStyle w:val="TextBody"/>
        <w:bidi w:val="0"/>
        <w:spacing w:before="60" w:after="0"/>
        <w:jc w:val="left"/>
        <w:rPr>
          <w:rFonts w:ascii="arial" w:hAnsi="arial"/>
          <w:sz w:val="18"/>
        </w:rPr>
      </w:pPr>
      <w:r>
        <w:rPr>
          <w:rFonts w:ascii="arial" w:hAnsi="arial"/>
          <w:sz w:val="18"/>
        </w:rPr>
        <w:t xml:space="preserve">We understand the imperative of redefining the lifecycle of our products in a system that supports the circular economy. We continue to work toward a product lifecycle where products are reused for as long as possible and then recycled in an effort </w:t>
      </w:r>
    </w:p>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85"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76" descr=""/>
                          <pic:cNvPicPr>
                            <a:picLocks noChangeAspect="1" noChangeArrowheads="1"/>
                          </pic:cNvPicPr>
                        </pic:nvPicPr>
                        <pic:blipFill>
                          <a:blip r:embed="rId77"/>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37 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DRIVING POSITIVE CHANGE WITH WOMEN, FOR WOMEN — ESG AT VS&amp;CO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to reduce waste, reduce emissions and protect nature. In support of this, we are piloting four key circularity initiatives: Take Back Program in U.S. stores to explore effective end-of-life product management for returned and damaged products; launching products designed for circularity, like the recyclable Forever Bra and the 360 Circular Collection to learn how we can better integrate circularity principles into product design; implementing Digital IDs to enhance product traceability and customer information sharing; and repurposing and reselling deadstock material to prevent waste and support our VS&amp;Co Essentials donation program. These efforts mark significant steps towards embedding circularity into our operations. </w:t>
      </w:r>
    </w:p>
    <w:p>
      <w:pPr>
        <w:pStyle w:val="TextBody"/>
        <w:bidi w:val="0"/>
        <w:spacing w:before="240" w:after="0"/>
        <w:jc w:val="left"/>
        <w:rPr>
          <w:rFonts w:ascii="arial" w:hAnsi="arial"/>
          <w:b/>
          <w:color w:val="F7ACBA"/>
          <w:sz w:val="24"/>
        </w:rPr>
      </w:pPr>
      <w:r>
        <w:rPr>
          <w:rFonts w:ascii="arial" w:hAnsi="arial"/>
          <w:b/>
          <w:color w:val="F7ACBA"/>
          <w:sz w:val="24"/>
        </w:rPr>
        <w:t xml:space="preserve">Packaging </w:t>
      </w:r>
    </w:p>
    <w:p>
      <w:pPr>
        <w:pStyle w:val="TextBody"/>
        <w:bidi w:val="0"/>
        <w:spacing w:before="60" w:after="0"/>
        <w:jc w:val="left"/>
        <w:rPr>
          <w:rFonts w:ascii="arial" w:hAnsi="arial"/>
          <w:sz w:val="18"/>
        </w:rPr>
      </w:pPr>
      <w:r>
        <w:rPr>
          <w:rFonts w:ascii="arial" w:hAnsi="arial"/>
          <w:sz w:val="18"/>
        </w:rPr>
        <w:t xml:space="preserve">Packaging plays a vital role in safeguarding our products during transport and enhancing our customers’ experience, yet we acknowledge its substantial role in generating waste and emissions. Over the past year, we have developed a strategy to reduce our packaging impact across the organization. We began by evaluating our use of primary, secondary, and tertiary packaging throughout our retail, e-commerce, logistics, and merchandise functions. This enabled us to identify key areas for improvement and establish a set of guiding principles for our packaging sustainability efforts. </w:t>
      </w:r>
    </w:p>
    <w:p>
      <w:pPr>
        <w:pStyle w:val="TextBody"/>
        <w:bidi w:val="0"/>
        <w:spacing w:before="120" w:after="0"/>
        <w:jc w:val="left"/>
        <w:rPr>
          <w:rFonts w:ascii="arial" w:hAnsi="arial"/>
          <w:sz w:val="18"/>
        </w:rPr>
      </w:pPr>
      <w:r>
        <w:rPr>
          <w:rFonts w:ascii="arial" w:hAnsi="arial"/>
          <w:sz w:val="18"/>
        </w:rPr>
        <w:t xml:space="preserve">Our first priority is to eliminate unnecessary packaging. For essential packaging, we focus on five principles to improve our environmental impact: weight-optimized, mono-material, fully recyclable, reusable and free of virgin content. Read more about our packaging efforts underway in our 2023 ESG Report on the Corporate Responsibility section of our website, </w:t>
      </w:r>
      <w:r>
        <w:rPr>
          <w:rFonts w:ascii="arial" w:hAnsi="arial"/>
          <w:i/>
          <w:sz w:val="18"/>
        </w:rPr>
        <w:t>www.victoriassecretandco.com</w:t>
      </w:r>
      <w:r>
        <w:rPr>
          <w:rFonts w:ascii="arial" w:hAnsi="arial"/>
          <w:sz w:val="18"/>
        </w:rPr>
        <w:t xml:space="preserve">, under ESG at VS&amp;Co. </w:t>
      </w:r>
    </w:p>
    <w:p>
      <w:pPr>
        <w:pStyle w:val="TextBody"/>
        <w:bidi w:val="0"/>
        <w:spacing w:before="0" w:after="0"/>
        <w:jc w:val="left"/>
        <w:rPr/>
      </w:pPr>
      <w:r>
        <w:rPr/>
        <w:t> </w:t>
      </w:r>
    </w:p>
    <w:p>
      <w:pPr>
        <w:pStyle w:val="TextBody"/>
        <w:bidi w:val="0"/>
        <w:spacing w:before="0" w:after="0"/>
        <w:jc w:val="center"/>
        <w:rPr/>
      </w:pPr>
      <w:r>
        <w:rPr/>
        <w:drawing>
          <wp:inline distT="0" distB="0" distL="0" distR="0">
            <wp:extent cx="1527175" cy="859790"/>
            <wp:effectExtent l="0" t="0" r="0" b="0"/>
            <wp:docPr id="86"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77" descr=""/>
                    <pic:cNvPicPr>
                      <a:picLocks noChangeAspect="1" noChangeArrowheads="1"/>
                    </pic:cNvPicPr>
                  </pic:nvPicPr>
                  <pic:blipFill>
                    <a:blip r:embed="rId78"/>
                    <a:stretch>
                      <a:fillRect/>
                    </a:stretch>
                  </pic:blipFill>
                  <pic:spPr bwMode="auto">
                    <a:xfrm>
                      <a:off x="0" y="0"/>
                      <a:ext cx="1527175" cy="85979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87"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78" descr=""/>
                          <pic:cNvPicPr>
                            <a:picLocks noChangeAspect="1" noChangeArrowheads="1"/>
                          </pic:cNvPicPr>
                        </pic:nvPicPr>
                        <pic:blipFill>
                          <a:blip r:embed="rId79"/>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38 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center"/>
        <w:rPr>
          <w:rFonts w:ascii="Times New Roman" w:hAnsi="Times New Roman"/>
          <w:b/>
          <w:sz w:val="60"/>
        </w:rPr>
      </w:pPr>
      <w:bookmarkStart w:id="17" w:name="toc540996_12"/>
      <w:bookmarkEnd w:id="17"/>
      <w:r>
        <w:rPr>
          <w:rFonts w:ascii="Times New Roman" w:hAnsi="Times New Roman"/>
          <w:b/>
          <w:sz w:val="60"/>
        </w:rPr>
        <w:t xml:space="preserve">HUMAN CAPITAL MANAGEMENT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center"/>
        <w:rPr/>
      </w:pPr>
      <w:r>
        <w:rPr/>
        <w:t> </w:t>
      </w:r>
    </w:p>
    <w:p>
      <w:pPr>
        <w:pStyle w:val="TextBody"/>
        <w:bidi w:val="0"/>
        <w:spacing w:before="360" w:after="0"/>
        <w:jc w:val="left"/>
        <w:rPr>
          <w:rFonts w:ascii="arial" w:hAnsi="arial"/>
          <w:sz w:val="18"/>
        </w:rPr>
      </w:pPr>
      <w:r>
        <w:rPr>
          <w:rFonts w:ascii="arial" w:hAnsi="arial"/>
          <w:sz w:val="18"/>
        </w:rPr>
        <w:t xml:space="preserve">We believe that the way we view human capital management is a strength, and we are committed to continuing to build a responsible and inclusive business based on uncompromising transparency, fairness, diversity, and integrity, consistent with our values. </w:t>
      </w:r>
    </w:p>
    <w:p>
      <w:pPr>
        <w:pStyle w:val="TextBody"/>
        <w:bidi w:val="0"/>
        <w:spacing w:before="240" w:after="0"/>
        <w:jc w:val="left"/>
        <w:rPr>
          <w:rFonts w:ascii="arial" w:hAnsi="arial"/>
          <w:b/>
          <w:color w:val="F7ACBA"/>
          <w:sz w:val="24"/>
        </w:rPr>
      </w:pPr>
      <w:r>
        <w:rPr>
          <w:rFonts w:ascii="arial" w:hAnsi="arial"/>
          <w:b/>
          <w:color w:val="F7ACBA"/>
          <w:sz w:val="24"/>
        </w:rPr>
        <w:t xml:space="preserve">Diversity, Equity, and Inclusion </w:t>
      </w:r>
    </w:p>
    <w:p>
      <w:pPr>
        <w:pStyle w:val="TextBody"/>
        <w:bidi w:val="0"/>
        <w:spacing w:before="60" w:after="0"/>
        <w:jc w:val="left"/>
        <w:rPr>
          <w:rFonts w:ascii="arial" w:hAnsi="arial"/>
          <w:sz w:val="18"/>
        </w:rPr>
      </w:pPr>
      <w:r>
        <w:rPr>
          <w:rFonts w:ascii="arial" w:hAnsi="arial"/>
          <w:sz w:val="18"/>
        </w:rPr>
        <w:t xml:space="preserve">Diversity, equity, and inclusion (“DEI”) are key components of our culture and fundamental in achieving our strategic priorities and goals. At VS&amp;Co, our DEI vision is to celebrate, honor and reflect the diversity of our customers, our associates and the communities where we engage. </w:t>
      </w:r>
    </w:p>
    <w:p>
      <w:pPr>
        <w:pStyle w:val="TextBody"/>
        <w:bidi w:val="0"/>
        <w:spacing w:before="120" w:after="0"/>
        <w:jc w:val="left"/>
        <w:rPr>
          <w:rFonts w:ascii="arial" w:hAnsi="arial"/>
          <w:sz w:val="18"/>
        </w:rPr>
      </w:pPr>
      <w:r>
        <w:rPr>
          <w:rFonts w:ascii="arial" w:hAnsi="arial"/>
          <w:sz w:val="18"/>
        </w:rPr>
        <w:t xml:space="preserve">Our mission is to inspire and empower all by reflecting experiences, expanding access, and recognizing diversity. We pledge to welcome and celebrate every associate, partner and customer—from all backgrounds, all abilities and all life stages. </w:t>
      </w:r>
    </w:p>
    <w:p>
      <w:pPr>
        <w:pStyle w:val="TextBody"/>
        <w:bidi w:val="0"/>
        <w:spacing w:before="120" w:after="0"/>
        <w:jc w:val="left"/>
        <w:rPr>
          <w:rFonts w:ascii="arial" w:hAnsi="arial"/>
          <w:sz w:val="18"/>
        </w:rPr>
      </w:pPr>
      <w:r>
        <w:rPr>
          <w:rFonts w:ascii="arial" w:hAnsi="arial"/>
          <w:sz w:val="18"/>
        </w:rPr>
        <w:t xml:space="preserve">As we strive to create a better future for our organization and our world, we are committed to consciously and continuously learning and growing from our past and present. For us, it is not just about selling products—it is about using our scale and platform to champion every voice and drive forward inclusion and equity for every individual. </w:t>
      </w:r>
    </w:p>
    <w:p>
      <w:pPr>
        <w:pStyle w:val="TextBody"/>
        <w:bidi w:val="0"/>
        <w:spacing w:before="240" w:after="0"/>
        <w:jc w:val="left"/>
        <w:rPr>
          <w:rFonts w:ascii="Times New Roman" w:hAnsi="Times New Roman"/>
          <w:i/>
          <w:sz w:val="22"/>
        </w:rPr>
      </w:pPr>
      <w:r>
        <w:rPr>
          <w:rFonts w:ascii="Times New Roman" w:hAnsi="Times New Roman"/>
          <w:i/>
          <w:sz w:val="22"/>
        </w:rPr>
        <w:t xml:space="preserve">Our DEI Strategic Framework </w:t>
      </w:r>
    </w:p>
    <w:p>
      <w:pPr>
        <w:pStyle w:val="TextBody"/>
        <w:bidi w:val="0"/>
        <w:spacing w:before="60" w:after="0"/>
        <w:jc w:val="left"/>
        <w:rPr>
          <w:rFonts w:ascii="arial" w:hAnsi="arial"/>
          <w:sz w:val="18"/>
        </w:rPr>
      </w:pPr>
      <w:r>
        <w:rPr>
          <w:rFonts w:ascii="arial" w:hAnsi="arial"/>
          <w:sz w:val="18"/>
        </w:rPr>
        <w:t xml:space="preserve">We believe that integrating DEI into everything we do is not just the right thing to do but is critical to driving performance and doing well for our associates, customers and communities. We are committed to bringing this to life through strategic actions with measurable goals, focused on three key pillars: People, Experience, and Purpose.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75"/>
        <w:gridCol w:w="120"/>
        <w:gridCol w:w="8910"/>
      </w:tblGrid>
      <w:tr>
        <w:trPr/>
        <w:tc>
          <w:tcPr>
            <w:tcW w:w="1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10" w:type="dxa"/>
            <w:tcBorders/>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b/>
                <w:color w:val="F7ACBA"/>
              </w:rPr>
            </w:pPr>
            <w:r>
              <w:rPr>
                <w:b/>
                <w:color w:val="F7ACBA"/>
              </w:rPr>
              <w:t>People</w:t>
            </w:r>
          </w:p>
        </w:tc>
        <w:tc>
          <w:tcPr>
            <w:tcW w:w="12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rFonts w:ascii="arial" w:hAnsi="arial"/>
                <w:sz w:val="18"/>
              </w:rPr>
            </w:pPr>
            <w:r>
              <w:rPr>
                <w:rFonts w:ascii="arial" w:hAnsi="arial"/>
                <w:sz w:val="18"/>
              </w:rPr>
              <w:t>More than stores, more than products, VS&amp;Co is a community of people with different backgrounds, qualities, abilities, and talents. Embracing and fostering that diversity is what makes us strong. Our DEI People work is focused on:</w:t>
            </w:r>
          </w:p>
          <w:p>
            <w:pPr>
              <w:pStyle w:val="TableContents"/>
              <w:bidi w:val="0"/>
              <w:spacing w:before="0" w:after="20"/>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color w:val="F7ACBA"/>
              </w:rPr>
              <w:t>•</w:t>
            </w:r>
            <w:r>
              <w:rPr/>
              <w:t>  </w:t>
            </w:r>
            <w:r>
              <w:rPr>
                <w:rFonts w:ascii="arial" w:hAnsi="arial"/>
                <w:sz w:val="18"/>
              </w:rPr>
              <w:t>Retaining associates of all backgrounds, including those in underrepresented groups</w:t>
            </w:r>
          </w:p>
          <w:p>
            <w:pPr>
              <w:pStyle w:val="TableContents"/>
              <w:bidi w:val="0"/>
              <w:spacing w:before="0" w:after="20"/>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color w:val="F7ACBA"/>
              </w:rPr>
              <w:t>•</w:t>
            </w:r>
            <w:r>
              <w:rPr/>
              <w:t>  </w:t>
            </w:r>
            <w:r>
              <w:rPr>
                <w:rFonts w:ascii="arial" w:hAnsi="arial"/>
                <w:sz w:val="18"/>
              </w:rPr>
              <w:t>Increasing diversity within our workforce</w:t>
            </w:r>
          </w:p>
          <w:p>
            <w:pPr>
              <w:pStyle w:val="TableContents"/>
              <w:bidi w:val="0"/>
              <w:spacing w:before="0" w:after="20"/>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color w:val="F7ACBA"/>
              </w:rPr>
              <w:t>•</w:t>
            </w:r>
            <w:r>
              <w:rPr/>
              <w:t>  </w:t>
            </w:r>
            <w:r>
              <w:rPr>
                <w:rFonts w:ascii="arial" w:hAnsi="arial"/>
                <w:sz w:val="18"/>
              </w:rPr>
              <w:t>Enabling the growth and advancement of all our talent</w:t>
            </w:r>
          </w:p>
          <w:p>
            <w:pPr>
              <w:pStyle w:val="TableContents"/>
              <w:bidi w:val="0"/>
              <w:spacing w:before="0" w:after="20"/>
              <w:jc w:val="left"/>
              <w:rPr/>
            </w:pPr>
            <w:r>
              <w:rPr/>
              <w:t> </w:t>
            </w:r>
          </w:p>
        </w:tc>
      </w:tr>
      <w:tr>
        <w:trPr/>
        <w:tc>
          <w:tcPr>
            <w:tcW w:w="1175" w:type="dxa"/>
            <w:tcBorders/>
            <w:vAlign w:val="center"/>
          </w:tcPr>
          <w:p>
            <w:pPr>
              <w:pStyle w:val="TableContents"/>
              <w:bidi w:val="0"/>
              <w:spacing w:before="0" w:after="283"/>
              <w:jc w:val="left"/>
              <w:rPr>
                <w:b/>
                <w:color w:val="F7ACBA"/>
              </w:rPr>
            </w:pPr>
            <w:r>
              <w:rPr>
                <w:b/>
                <w:color w:val="F7ACBA"/>
              </w:rPr>
              <w:t>Experience</w:t>
            </w:r>
          </w:p>
        </w:tc>
        <w:tc>
          <w:tcPr>
            <w:tcW w:w="12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rFonts w:ascii="arial" w:hAnsi="arial"/>
                <w:sz w:val="18"/>
              </w:rPr>
            </w:pPr>
            <w:r>
              <w:rPr>
                <w:rFonts w:ascii="arial" w:hAnsi="arial"/>
                <w:sz w:val="18"/>
              </w:rPr>
              <w:t>When our people are at their best, our company is at its best. We are committed to creating a workplace where everyone can bring their whole selves to work and thrive. Our DEI Experience work is focused on:</w:t>
            </w:r>
          </w:p>
          <w:p>
            <w:pPr>
              <w:pStyle w:val="TableContents"/>
              <w:bidi w:val="0"/>
              <w:spacing w:before="0" w:after="20"/>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color w:val="F7ACBA"/>
              </w:rPr>
              <w:t>•</w:t>
            </w:r>
            <w:r>
              <w:rPr/>
              <w:t>  </w:t>
            </w:r>
            <w:r>
              <w:rPr>
                <w:rFonts w:ascii="arial" w:hAnsi="arial"/>
                <w:sz w:val="18"/>
              </w:rPr>
              <w:t>Increasing associate engagement on our DEI journey</w:t>
            </w:r>
          </w:p>
          <w:p>
            <w:pPr>
              <w:pStyle w:val="TableContents"/>
              <w:bidi w:val="0"/>
              <w:spacing w:before="0" w:after="20"/>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color w:val="F7ACBA"/>
              </w:rPr>
              <w:t>•</w:t>
            </w:r>
            <w:r>
              <w:rPr/>
              <w:t>  </w:t>
            </w:r>
            <w:r>
              <w:rPr>
                <w:rFonts w:ascii="arial" w:hAnsi="arial"/>
                <w:sz w:val="18"/>
              </w:rPr>
              <w:t>Driving inclusive leadership across our organization</w:t>
            </w:r>
          </w:p>
          <w:p>
            <w:pPr>
              <w:pStyle w:val="TableContents"/>
              <w:bidi w:val="0"/>
              <w:spacing w:before="0" w:after="20"/>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color w:val="F7ACBA"/>
              </w:rPr>
              <w:t>•</w:t>
            </w:r>
            <w:r>
              <w:rPr/>
              <w:t>  </w:t>
            </w:r>
            <w:r>
              <w:rPr>
                <w:rFonts w:ascii="arial" w:hAnsi="arial"/>
                <w:sz w:val="18"/>
              </w:rPr>
              <w:t>Fostering a happy and healthy culture</w:t>
            </w:r>
          </w:p>
          <w:p>
            <w:pPr>
              <w:pStyle w:val="TableContents"/>
              <w:bidi w:val="0"/>
              <w:spacing w:before="0" w:after="20"/>
              <w:jc w:val="left"/>
              <w:rPr/>
            </w:pPr>
            <w:r>
              <w:rPr/>
              <w:t> </w:t>
            </w:r>
          </w:p>
        </w:tc>
      </w:tr>
      <w:tr>
        <w:trPr/>
        <w:tc>
          <w:tcPr>
            <w:tcW w:w="1175" w:type="dxa"/>
            <w:tcBorders/>
            <w:vAlign w:val="center"/>
          </w:tcPr>
          <w:p>
            <w:pPr>
              <w:pStyle w:val="TableContents"/>
              <w:bidi w:val="0"/>
              <w:spacing w:before="0" w:after="283"/>
              <w:jc w:val="left"/>
              <w:rPr>
                <w:b/>
                <w:color w:val="F7ACBA"/>
              </w:rPr>
            </w:pPr>
            <w:r>
              <w:rPr>
                <w:b/>
                <w:color w:val="F7ACBA"/>
              </w:rPr>
              <w:t>Purpose</w:t>
            </w:r>
          </w:p>
        </w:tc>
        <w:tc>
          <w:tcPr>
            <w:tcW w:w="12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rFonts w:ascii="arial" w:hAnsi="arial"/>
                <w:sz w:val="18"/>
              </w:rPr>
            </w:pPr>
            <w:r>
              <w:rPr>
                <w:rFonts w:ascii="arial" w:hAnsi="arial"/>
                <w:sz w:val="18"/>
              </w:rPr>
              <w:t>We don’t just sell products, we inspire and uplift. We are passionate about creating products that meet our customers’ diverse needs and telling stories that reflect their journeys while empowering the communities where we live and work. Our DEI Purpose work is focused on:</w:t>
            </w:r>
          </w:p>
          <w:p>
            <w:pPr>
              <w:pStyle w:val="TableContents"/>
              <w:bidi w:val="0"/>
              <w:spacing w:before="0" w:after="20"/>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color w:val="F7ACBA"/>
              </w:rPr>
              <w:t>•</w:t>
            </w:r>
            <w:r>
              <w:rPr/>
              <w:t>  </w:t>
            </w:r>
            <w:r>
              <w:rPr>
                <w:rFonts w:ascii="arial" w:hAnsi="arial"/>
                <w:sz w:val="18"/>
              </w:rPr>
              <w:t>Reaching and serving more diverse customers</w:t>
            </w:r>
          </w:p>
          <w:p>
            <w:pPr>
              <w:pStyle w:val="TableContents"/>
              <w:bidi w:val="0"/>
              <w:spacing w:before="0" w:after="20"/>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color w:val="F7ACBA"/>
              </w:rPr>
              <w:t>•</w:t>
            </w:r>
            <w:r>
              <w:rPr/>
              <w:t>  </w:t>
            </w:r>
            <w:r>
              <w:rPr>
                <w:rFonts w:ascii="arial" w:hAnsi="arial"/>
                <w:sz w:val="18"/>
              </w:rPr>
              <w:t>Investing in more women-, BIPOC-, LGBTQIA+-, Veteran- and People With Disabilities-owned businesses and suppliers</w:t>
            </w:r>
          </w:p>
          <w:p>
            <w:pPr>
              <w:pStyle w:val="TableContents"/>
              <w:bidi w:val="0"/>
              <w:spacing w:before="0" w:after="20"/>
              <w:jc w:val="left"/>
              <w:rPr/>
            </w:pPr>
            <w:r>
              <w:rPr/>
              <w:t> </w:t>
            </w:r>
          </w:p>
        </w:tc>
      </w:tr>
      <w:tr>
        <w:trPr/>
        <w:tc>
          <w:tcPr>
            <w:tcW w:w="1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910" w:type="dxa"/>
            <w:tcBorders/>
            <w:vAlign w:val="center"/>
          </w:tcPr>
          <w:p>
            <w:pPr>
              <w:pStyle w:val="TableContents"/>
              <w:bidi w:val="0"/>
              <w:spacing w:before="0" w:after="0"/>
              <w:jc w:val="left"/>
              <w:rPr/>
            </w:pPr>
            <w:r>
              <w:rPr>
                <w:color w:val="F7ACBA"/>
              </w:rPr>
              <w:t>•</w:t>
            </w:r>
            <w:r>
              <w:rPr/>
              <w:t>  </w:t>
            </w:r>
            <w:r>
              <w:rPr>
                <w:rFonts w:ascii="arial" w:hAnsi="arial"/>
                <w:sz w:val="18"/>
              </w:rPr>
              <w:t>Using our platform and resources to empower our communities, advance racial and ethnic equity and promote social justice</w:t>
            </w:r>
          </w:p>
        </w:tc>
      </w:tr>
    </w:tbl>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88"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79" descr=""/>
                          <pic:cNvPicPr>
                            <a:picLocks noChangeAspect="1" noChangeArrowheads="1"/>
                          </pic:cNvPicPr>
                        </pic:nvPicPr>
                        <pic:blipFill>
                          <a:blip r:embed="rId80"/>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39 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HUMAN CAPITAL MANAGEMENT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To strengthen our workforce and better reflect and serve our customers, it’s critical that we have diverse voices at the table. We are committed to retaining associates of all backgrounds, including those in underrepresented groups, attracting diverse talent and empowering the growth and advancement of all our associates. </w:t>
      </w:r>
    </w:p>
    <w:p>
      <w:pPr>
        <w:pStyle w:val="TextBody"/>
        <w:bidi w:val="0"/>
        <w:spacing w:before="120" w:after="0"/>
        <w:jc w:val="left"/>
        <w:rPr>
          <w:rFonts w:ascii="arial" w:hAnsi="arial"/>
          <w:sz w:val="18"/>
        </w:rPr>
      </w:pPr>
      <w:r>
        <w:rPr>
          <w:rFonts w:ascii="arial" w:hAnsi="arial"/>
          <w:sz w:val="18"/>
        </w:rPr>
        <w:t xml:space="preserve">The following data relative to associates’ gender identity reflects our global workforce; all data regarding race or ethnicity reflects only U.S.-based associates. All representation data is self-disclosed by our associates. </w:t>
      </w:r>
    </w:p>
    <w:p>
      <w:pPr>
        <w:pStyle w:val="TextBody"/>
        <w:bidi w:val="0"/>
        <w:spacing w:before="120" w:after="0"/>
        <w:jc w:val="left"/>
        <w:rPr>
          <w:rFonts w:ascii="arial" w:hAnsi="arial"/>
          <w:sz w:val="18"/>
        </w:rPr>
      </w:pPr>
      <w:r>
        <w:rPr>
          <w:rFonts w:ascii="arial" w:hAnsi="arial"/>
          <w:sz w:val="18"/>
        </w:rPr>
        <w:t xml:space="preserve">We are excited to share that in 2023, nearly 85 percent of associates were women and nearly 61 percent were people of color. Looking deeper, in our stores, more than 95 percent of associates were women and nearly 65 percent were people of color. In our distribution centers, more than 54 percent of our associates were women and more than 70 percent were people of color. In our home office, more than 59 percent of associates were women and nearly 29 percent were people of color. </w:t>
      </w:r>
    </w:p>
    <w:p>
      <w:pPr>
        <w:pStyle w:val="TextBody"/>
        <w:bidi w:val="0"/>
        <w:spacing w:before="0" w:after="0"/>
        <w:jc w:val="left"/>
        <w:rPr/>
      </w:pPr>
      <w:r>
        <w:rPr/>
        <w:t> </w:t>
      </w:r>
    </w:p>
    <w:p>
      <w:pPr>
        <w:pStyle w:val="TextBody"/>
        <w:bidi w:val="0"/>
        <w:spacing w:before="0" w:after="0"/>
        <w:jc w:val="center"/>
        <w:rPr/>
      </w:pPr>
      <w:r>
        <w:rPr/>
        <w:drawing>
          <wp:inline distT="0" distB="0" distL="0" distR="0">
            <wp:extent cx="367030" cy="127000"/>
            <wp:effectExtent l="0" t="0" r="0" b="0"/>
            <wp:docPr id="89"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0" descr=""/>
                    <pic:cNvPicPr>
                      <a:picLocks noChangeAspect="1" noChangeArrowheads="1"/>
                    </pic:cNvPicPr>
                  </pic:nvPicPr>
                  <pic:blipFill>
                    <a:blip r:embed="rId81"/>
                    <a:stretch>
                      <a:fillRect/>
                    </a:stretch>
                  </pic:blipFill>
                  <pic:spPr bwMode="auto">
                    <a:xfrm>
                      <a:off x="0" y="0"/>
                      <a:ext cx="367030" cy="1270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367665" cy="125730"/>
            <wp:effectExtent l="0" t="0" r="0" b="0"/>
            <wp:docPr id="90"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1" descr=""/>
                    <pic:cNvPicPr>
                      <a:picLocks noChangeAspect="1" noChangeArrowheads="1"/>
                    </pic:cNvPicPr>
                  </pic:nvPicPr>
                  <pic:blipFill>
                    <a:blip r:embed="rId82"/>
                    <a:stretch>
                      <a:fillRect/>
                    </a:stretch>
                  </pic:blipFill>
                  <pic:spPr bwMode="auto">
                    <a:xfrm>
                      <a:off x="0" y="0"/>
                      <a:ext cx="367665" cy="125730"/>
                    </a:xfrm>
                    <a:prstGeom prst="rect">
                      <a:avLst/>
                    </a:prstGeom>
                  </pic:spPr>
                </pic:pic>
              </a:graphicData>
            </a:graphic>
          </wp:inline>
        </w:drawing>
      </w:r>
      <w:r>
        <w:rPr/>
        <w:t xml:space="preserve"> </w:t>
      </w:r>
    </w:p>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91"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2" descr=""/>
                          <pic:cNvPicPr>
                            <a:picLocks noChangeAspect="1" noChangeArrowheads="1"/>
                          </pic:cNvPicPr>
                        </pic:nvPicPr>
                        <pic:blipFill>
                          <a:blip r:embed="rId83"/>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40 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HUMAN CAPITAL MANAGEMENT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Diversity in leadership drives innovation, fosters inclusion and ensures a brighter future for our organization and our world. Our Board is 78 percent women and 44 percent people of color. In 2023, of our director and above roles, nearly 61 percent were filled by women and more than 16 percent were filled by people of color. Women of color make up more than 7 percent of these leadership positions. </w:t>
      </w:r>
    </w:p>
    <w:p>
      <w:pPr>
        <w:pStyle w:val="TextBody"/>
        <w:bidi w:val="0"/>
        <w:spacing w:before="0" w:after="0"/>
        <w:jc w:val="left"/>
        <w:rPr/>
      </w:pPr>
      <w:r>
        <w:rPr/>
        <w:t> </w:t>
      </w:r>
    </w:p>
    <w:p>
      <w:pPr>
        <w:pStyle w:val="TextBody"/>
        <w:bidi w:val="0"/>
        <w:spacing w:before="0" w:after="0"/>
        <w:jc w:val="center"/>
        <w:rPr/>
      </w:pPr>
      <w:r>
        <w:rPr/>
        <w:drawing>
          <wp:inline distT="0" distB="0" distL="0" distR="0">
            <wp:extent cx="373380" cy="143510"/>
            <wp:effectExtent l="0" t="0" r="0" b="0"/>
            <wp:docPr id="92"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3" descr=""/>
                    <pic:cNvPicPr>
                      <a:picLocks noChangeAspect="1" noChangeArrowheads="1"/>
                    </pic:cNvPicPr>
                  </pic:nvPicPr>
                  <pic:blipFill>
                    <a:blip r:embed="rId84"/>
                    <a:stretch>
                      <a:fillRect/>
                    </a:stretch>
                  </pic:blipFill>
                  <pic:spPr bwMode="auto">
                    <a:xfrm>
                      <a:off x="0" y="0"/>
                      <a:ext cx="373380" cy="143510"/>
                    </a:xfrm>
                    <a:prstGeom prst="rect">
                      <a:avLst/>
                    </a:prstGeom>
                  </pic:spPr>
                </pic:pic>
              </a:graphicData>
            </a:graphic>
          </wp:inline>
        </w:drawing>
      </w:r>
      <w:r>
        <w:rPr/>
        <w:t xml:space="preserve"> </w:t>
      </w:r>
    </w:p>
    <w:p>
      <w:pPr>
        <w:pStyle w:val="TextBody"/>
        <w:bidi w:val="0"/>
        <w:spacing w:before="240" w:after="0"/>
        <w:jc w:val="left"/>
        <w:rPr>
          <w:rFonts w:ascii="arial" w:hAnsi="arial"/>
          <w:sz w:val="18"/>
        </w:rPr>
      </w:pPr>
      <w:r>
        <w:rPr>
          <w:rFonts w:ascii="arial" w:hAnsi="arial"/>
          <w:sz w:val="18"/>
        </w:rPr>
        <w:t xml:space="preserve">We recognize we have opportunity to increase our workforce and leadership representation in certain groups, and will drive progress by: </w:t>
      </w:r>
    </w:p>
    <w:p>
      <w:pPr>
        <w:pStyle w:val="TextBody"/>
        <w:bidi w:val="0"/>
        <w:spacing w:before="0" w:after="0"/>
        <w:jc w:val="left"/>
        <w:rPr/>
      </w:pPr>
      <w:r>
        <w:rPr/>
        <w:t> </w:t>
      </w:r>
    </w:p>
    <w:tbl>
      <w:tblPr>
        <w:tblW w:w="9190" w:type="dxa"/>
        <w:jc w:val="left"/>
        <w:tblInd w:w="0" w:type="dxa"/>
        <w:tblLayout w:type="fixed"/>
        <w:tblCellMar>
          <w:top w:w="0" w:type="dxa"/>
          <w:left w:w="0" w:type="dxa"/>
          <w:bottom w:w="0" w:type="dxa"/>
          <w:right w:w="0" w:type="dxa"/>
        </w:tblCellMar>
      </w:tblPr>
      <w:tblGrid>
        <w:gridCol w:w="125"/>
        <w:gridCol w:w="60"/>
        <w:gridCol w:w="9005"/>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jc w:val="left"/>
              <w:rPr>
                <w:rFonts w:ascii="arial" w:hAnsi="arial"/>
                <w:sz w:val="18"/>
              </w:rPr>
            </w:pPr>
            <w:r>
              <w:rPr>
                <w:rFonts w:ascii="arial" w:hAnsi="arial"/>
                <w:sz w:val="18"/>
              </w:rPr>
              <w:t xml:space="preserve">Being intentional about ensuring opportunities for promotion and advancement for women and people of color </w:t>
            </w:r>
          </w:p>
        </w:tc>
      </w:tr>
    </w:tbl>
    <w:p>
      <w:pPr>
        <w:pStyle w:val="TextBody"/>
        <w:bidi w:val="0"/>
        <w:spacing w:before="0" w:after="0"/>
        <w:jc w:val="left"/>
        <w:rPr/>
      </w:pPr>
      <w:r>
        <w:rPr/>
        <w:t> </w:t>
      </w:r>
    </w:p>
    <w:tbl>
      <w:tblPr>
        <w:tblW w:w="3520" w:type="dxa"/>
        <w:jc w:val="left"/>
        <w:tblInd w:w="0" w:type="dxa"/>
        <w:tblLayout w:type="fixed"/>
        <w:tblCellMar>
          <w:top w:w="0" w:type="dxa"/>
          <w:left w:w="0" w:type="dxa"/>
          <w:bottom w:w="0" w:type="dxa"/>
          <w:right w:w="0" w:type="dxa"/>
        </w:tblCellMar>
      </w:tblPr>
      <w:tblGrid>
        <w:gridCol w:w="125"/>
        <w:gridCol w:w="60"/>
        <w:gridCol w:w="3335"/>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3335" w:type="dxa"/>
            <w:tcBorders/>
            <w:vAlign w:val="center"/>
          </w:tcPr>
          <w:p>
            <w:pPr>
              <w:pStyle w:val="TableContents"/>
              <w:bidi w:val="0"/>
              <w:spacing w:before="0" w:after="0"/>
              <w:jc w:val="left"/>
              <w:rPr>
                <w:rFonts w:ascii="arial" w:hAnsi="arial"/>
                <w:sz w:val="18"/>
              </w:rPr>
            </w:pPr>
            <w:r>
              <w:rPr>
                <w:rFonts w:ascii="arial" w:hAnsi="arial"/>
                <w:sz w:val="18"/>
              </w:rPr>
              <w:t xml:space="preserve">Recommending diverse interview slates </w:t>
            </w:r>
          </w:p>
        </w:tc>
      </w:tr>
    </w:tbl>
    <w:p>
      <w:pPr>
        <w:pStyle w:val="TextBody"/>
        <w:bidi w:val="0"/>
        <w:spacing w:before="0" w:after="0"/>
        <w:jc w:val="left"/>
        <w:rPr/>
      </w:pPr>
      <w:r>
        <w:rPr/>
        <w:t> </w:t>
      </w:r>
    </w:p>
    <w:tbl>
      <w:tblPr>
        <w:tblW w:w="6955" w:type="dxa"/>
        <w:jc w:val="left"/>
        <w:tblInd w:w="0" w:type="dxa"/>
        <w:tblLayout w:type="fixed"/>
        <w:tblCellMar>
          <w:top w:w="0" w:type="dxa"/>
          <w:left w:w="0" w:type="dxa"/>
          <w:bottom w:w="0" w:type="dxa"/>
          <w:right w:w="0" w:type="dxa"/>
        </w:tblCellMar>
      </w:tblPr>
      <w:tblGrid>
        <w:gridCol w:w="125"/>
        <w:gridCol w:w="60"/>
        <w:gridCol w:w="677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6770" w:type="dxa"/>
            <w:tcBorders/>
            <w:vAlign w:val="center"/>
          </w:tcPr>
          <w:p>
            <w:pPr>
              <w:pStyle w:val="TableContents"/>
              <w:bidi w:val="0"/>
              <w:spacing w:before="0" w:after="0"/>
              <w:jc w:val="left"/>
              <w:rPr>
                <w:rFonts w:ascii="arial" w:hAnsi="arial"/>
                <w:sz w:val="18"/>
              </w:rPr>
            </w:pPr>
            <w:r>
              <w:rPr>
                <w:rFonts w:ascii="arial" w:hAnsi="arial"/>
                <w:sz w:val="18"/>
              </w:rPr>
              <w:t xml:space="preserve">Tapping into talent pipelines from stores and distribution centers to the home office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Offering equitable learning and development opportunities for all, including sending women and people of color to programs dedicated to the development and advancement of diverse leaders </w:t>
            </w:r>
          </w:p>
        </w:tc>
      </w:tr>
    </w:tbl>
    <w:p>
      <w:pPr>
        <w:pStyle w:val="TextBody"/>
        <w:bidi w:val="0"/>
        <w:spacing w:before="0" w:after="0"/>
        <w:jc w:val="left"/>
        <w:rPr/>
      </w:pPr>
      <w:r>
        <w:rPr/>
        <w:t> </w:t>
      </w:r>
    </w:p>
    <w:tbl>
      <w:tblPr>
        <w:tblW w:w="6385" w:type="dxa"/>
        <w:jc w:val="left"/>
        <w:tblInd w:w="0" w:type="dxa"/>
        <w:tblLayout w:type="fixed"/>
        <w:tblCellMar>
          <w:top w:w="0" w:type="dxa"/>
          <w:left w:w="0" w:type="dxa"/>
          <w:bottom w:w="0" w:type="dxa"/>
          <w:right w:w="0" w:type="dxa"/>
        </w:tblCellMar>
      </w:tblPr>
      <w:tblGrid>
        <w:gridCol w:w="125"/>
        <w:gridCol w:w="60"/>
        <w:gridCol w:w="620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6200" w:type="dxa"/>
            <w:tcBorders/>
            <w:vAlign w:val="center"/>
          </w:tcPr>
          <w:p>
            <w:pPr>
              <w:pStyle w:val="TableContents"/>
              <w:bidi w:val="0"/>
              <w:spacing w:before="0" w:after="0"/>
              <w:jc w:val="left"/>
              <w:rPr>
                <w:rFonts w:ascii="arial" w:hAnsi="arial"/>
                <w:sz w:val="18"/>
              </w:rPr>
            </w:pPr>
            <w:r>
              <w:rPr>
                <w:rFonts w:ascii="arial" w:hAnsi="arial"/>
                <w:sz w:val="18"/>
              </w:rPr>
              <w:t xml:space="preserve">Evolving our full life cycle recruiting process to address any barriers to entry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Forming new partnerships and relationships with organizations that cultivate a diverse talent pipeline, including persons from underrepresented groups </w:t>
            </w:r>
          </w:p>
        </w:tc>
      </w:tr>
    </w:tbl>
    <w:p>
      <w:pPr>
        <w:pStyle w:val="TextBody"/>
        <w:bidi w:val="0"/>
        <w:spacing w:before="0" w:after="0"/>
        <w:jc w:val="left"/>
        <w:rPr/>
      </w:pPr>
      <w:r>
        <w:rPr/>
        <w:t> </w:t>
      </w:r>
    </w:p>
    <w:tbl>
      <w:tblPr>
        <w:tblW w:w="9490" w:type="dxa"/>
        <w:jc w:val="left"/>
        <w:tblInd w:w="0" w:type="dxa"/>
        <w:tblLayout w:type="fixed"/>
        <w:tblCellMar>
          <w:top w:w="0" w:type="dxa"/>
          <w:left w:w="0" w:type="dxa"/>
          <w:bottom w:w="0" w:type="dxa"/>
          <w:right w:w="0" w:type="dxa"/>
        </w:tblCellMar>
      </w:tblPr>
      <w:tblGrid>
        <w:gridCol w:w="125"/>
        <w:gridCol w:w="60"/>
        <w:gridCol w:w="9305"/>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9305" w:type="dxa"/>
            <w:tcBorders/>
            <w:vAlign w:val="center"/>
          </w:tcPr>
          <w:p>
            <w:pPr>
              <w:pStyle w:val="TableContents"/>
              <w:bidi w:val="0"/>
              <w:spacing w:before="0" w:after="0"/>
              <w:jc w:val="left"/>
              <w:rPr>
                <w:rFonts w:ascii="arial" w:hAnsi="arial"/>
                <w:sz w:val="18"/>
              </w:rPr>
            </w:pPr>
            <w:r>
              <w:rPr>
                <w:rFonts w:ascii="arial" w:hAnsi="arial"/>
                <w:sz w:val="18"/>
              </w:rPr>
              <w:t xml:space="preserve">Holding leaders accountable for supporting the growth of all talent, including talent from underrepresented groups </w:t>
            </w:r>
          </w:p>
        </w:tc>
      </w:tr>
    </w:tbl>
    <w:p>
      <w:pPr>
        <w:pStyle w:val="TextBody"/>
        <w:bidi w:val="0"/>
        <w:spacing w:before="240" w:after="0"/>
        <w:jc w:val="left"/>
        <w:rPr>
          <w:rFonts w:ascii="arial" w:hAnsi="arial"/>
          <w:sz w:val="18"/>
        </w:rPr>
      </w:pPr>
      <w:r>
        <w:rPr>
          <w:rFonts w:ascii="arial" w:hAnsi="arial"/>
          <w:sz w:val="18"/>
        </w:rPr>
        <w:t xml:space="preserve">As of February 3, 2024, we employed approximately 30,000 associates, approximately 17,000 of whom were part-time. In addition, temporary associates are hired during peak periods, such as the holiday season. Approximately 73% of our associates work in our stores, 12% in distribution centers, with the remaining balance working in our home office and call center. </w:t>
      </w:r>
    </w:p>
    <w:p>
      <w:pPr>
        <w:pStyle w:val="TextBody"/>
        <w:bidi w:val="0"/>
        <w:spacing w:before="240" w:after="0"/>
        <w:jc w:val="left"/>
        <w:rPr>
          <w:rFonts w:ascii="Times New Roman" w:hAnsi="Times New Roman"/>
          <w:i/>
          <w:sz w:val="22"/>
        </w:rPr>
      </w:pPr>
      <w:r>
        <w:rPr>
          <w:rFonts w:ascii="Times New Roman" w:hAnsi="Times New Roman"/>
          <w:i/>
          <w:sz w:val="22"/>
        </w:rPr>
        <w:t xml:space="preserve">Learning and Development and Inclusion Resource Groups </w:t>
      </w:r>
    </w:p>
    <w:p>
      <w:pPr>
        <w:pStyle w:val="TextBody"/>
        <w:bidi w:val="0"/>
        <w:spacing w:before="60" w:after="0"/>
        <w:jc w:val="left"/>
        <w:rPr>
          <w:rFonts w:ascii="arial" w:hAnsi="arial"/>
          <w:sz w:val="18"/>
        </w:rPr>
      </w:pPr>
      <w:r>
        <w:rPr>
          <w:rFonts w:ascii="arial" w:hAnsi="arial"/>
          <w:sz w:val="18"/>
        </w:rPr>
        <w:t xml:space="preserve">We are committed to investing in our associates by providing diverse learning and development opportunities, challenging work experiences, and offering Inclusion Resource Groups (“IRGs”). We believe that associates can reach their career goals through multiple roles, career paths and locations around the world. We offer a variety of enrichment experiences for those joining us as interns, new graduates, in mid-career or as a capstone to a career. Examples include: </w:t>
      </w:r>
    </w:p>
    <w:p>
      <w:pPr>
        <w:pStyle w:val="TextBody"/>
        <w:bidi w:val="0"/>
        <w:spacing w:before="0" w:after="0"/>
        <w:jc w:val="left"/>
        <w:rPr/>
      </w:pPr>
      <w:r>
        <w:rPr/>
        <w:t> </w:t>
      </w:r>
    </w:p>
    <w:tbl>
      <w:tblPr>
        <w:tblW w:w="7090" w:type="dxa"/>
        <w:jc w:val="left"/>
        <w:tblInd w:w="0" w:type="dxa"/>
        <w:tblLayout w:type="fixed"/>
        <w:tblCellMar>
          <w:top w:w="0" w:type="dxa"/>
          <w:left w:w="0" w:type="dxa"/>
          <w:bottom w:w="0" w:type="dxa"/>
          <w:right w:w="0" w:type="dxa"/>
        </w:tblCellMar>
      </w:tblPr>
      <w:tblGrid>
        <w:gridCol w:w="125"/>
        <w:gridCol w:w="60"/>
        <w:gridCol w:w="6905"/>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6905" w:type="dxa"/>
            <w:tcBorders/>
            <w:vAlign w:val="center"/>
          </w:tcPr>
          <w:p>
            <w:pPr>
              <w:pStyle w:val="TableContents"/>
              <w:bidi w:val="0"/>
              <w:spacing w:before="0" w:after="0"/>
              <w:jc w:val="left"/>
              <w:rPr>
                <w:rFonts w:ascii="arial" w:hAnsi="arial"/>
                <w:sz w:val="18"/>
              </w:rPr>
            </w:pPr>
            <w:r>
              <w:rPr>
                <w:rFonts w:ascii="arial" w:hAnsi="arial"/>
                <w:sz w:val="18"/>
              </w:rPr>
              <w:t xml:space="preserve">Development Days: Dedicated time to advance technical, creative, or business skills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Leadership Development: Courses for associates in management positions to build critical skills and grow as effective leaders </w:t>
            </w:r>
          </w:p>
        </w:tc>
      </w:tr>
    </w:tbl>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93"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4" descr=""/>
                          <pic:cNvPicPr>
                            <a:picLocks noChangeAspect="1" noChangeArrowheads="1"/>
                          </pic:cNvPicPr>
                        </pic:nvPicPr>
                        <pic:blipFill>
                          <a:blip r:embed="rId85"/>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41 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HUMAN CAPITAL MANAGEMENT </w:t>
      </w:r>
    </w:p>
    <w:p>
      <w:pPr>
        <w:pStyle w:val="TextBody"/>
        <w:bidi w:val="0"/>
        <w:spacing w:before="0" w:after="0"/>
        <w:jc w:val="left"/>
        <w:rPr/>
      </w:pPr>
      <w:r>
        <w:rPr/>
        <w:t> </w:t>
      </w:r>
    </w:p>
    <w:tbl>
      <w:tblPr>
        <w:tblW w:w="9760" w:type="dxa"/>
        <w:jc w:val="left"/>
        <w:tblInd w:w="0" w:type="dxa"/>
        <w:tblLayout w:type="fixed"/>
        <w:tblCellMar>
          <w:top w:w="0" w:type="dxa"/>
          <w:left w:w="0" w:type="dxa"/>
          <w:bottom w:w="0" w:type="dxa"/>
          <w:right w:w="0" w:type="dxa"/>
        </w:tblCellMar>
      </w:tblPr>
      <w:tblGrid>
        <w:gridCol w:w="125"/>
        <w:gridCol w:w="60"/>
        <w:gridCol w:w="9575"/>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9575" w:type="dxa"/>
            <w:tcBorders/>
            <w:vAlign w:val="center"/>
          </w:tcPr>
          <w:p>
            <w:pPr>
              <w:pStyle w:val="TableContents"/>
              <w:bidi w:val="0"/>
              <w:spacing w:before="0" w:after="0"/>
              <w:jc w:val="left"/>
              <w:rPr>
                <w:rFonts w:ascii="arial" w:hAnsi="arial"/>
                <w:sz w:val="18"/>
              </w:rPr>
            </w:pPr>
            <w:r>
              <w:rPr>
                <w:rFonts w:ascii="arial" w:hAnsi="arial"/>
                <w:sz w:val="18"/>
              </w:rPr>
              <w:t xml:space="preserve">Onboarding: Dedicated time to learn the business and to form important relationships for mentoring and development </w:t>
            </w:r>
          </w:p>
        </w:tc>
      </w:tr>
    </w:tbl>
    <w:p>
      <w:pPr>
        <w:pStyle w:val="TextBody"/>
        <w:bidi w:val="0"/>
        <w:spacing w:before="0" w:after="0"/>
        <w:jc w:val="left"/>
        <w:rPr/>
      </w:pPr>
      <w:r>
        <w:rPr/>
        <w:t> </w:t>
      </w:r>
    </w:p>
    <w:tbl>
      <w:tblPr>
        <w:tblW w:w="8680" w:type="dxa"/>
        <w:jc w:val="left"/>
        <w:tblInd w:w="0" w:type="dxa"/>
        <w:tblLayout w:type="fixed"/>
        <w:tblCellMar>
          <w:top w:w="0" w:type="dxa"/>
          <w:left w:w="0" w:type="dxa"/>
          <w:bottom w:w="0" w:type="dxa"/>
          <w:right w:w="0" w:type="dxa"/>
        </w:tblCellMar>
      </w:tblPr>
      <w:tblGrid>
        <w:gridCol w:w="125"/>
        <w:gridCol w:w="60"/>
        <w:gridCol w:w="8495"/>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0"/>
              <w:jc w:val="left"/>
              <w:rPr>
                <w:rFonts w:ascii="arial" w:hAnsi="arial"/>
                <w:sz w:val="18"/>
              </w:rPr>
            </w:pPr>
            <w:r>
              <w:rPr>
                <w:rFonts w:ascii="arial" w:hAnsi="arial"/>
                <w:sz w:val="18"/>
              </w:rPr>
              <w:t xml:space="preserve">Tuition Assistance: Reimbursement of 100% of eligible tuition expenses, up to $5,250 per calendar year </w:t>
            </w:r>
          </w:p>
        </w:tc>
      </w:tr>
    </w:tbl>
    <w:p>
      <w:pPr>
        <w:pStyle w:val="TextBody"/>
        <w:bidi w:val="0"/>
        <w:spacing w:before="240" w:after="0"/>
        <w:jc w:val="left"/>
        <w:rPr>
          <w:rFonts w:ascii="arial" w:hAnsi="arial"/>
          <w:sz w:val="18"/>
        </w:rPr>
      </w:pPr>
      <w:r>
        <w:rPr>
          <w:rFonts w:ascii="arial" w:hAnsi="arial"/>
          <w:sz w:val="18"/>
        </w:rPr>
        <w:t xml:space="preserve">Our IRGs create an opportunity for associates to connect with one another around their shared passion for the important role DEI plays in our organization and for creating an inclusive and equitable workplace for all associates. Our IRGs provide professional development for associates and opportunities to volunteer in our communities, as well as support the needs of the business and help shape the culture of our company. Membership is open to all eligible associates and we currently have more than 1,000 members across the following six IRGs: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Asian Learning, Leadership &amp; Innovation Network (All In): Asian American and/or Pacific Islander associates and their allies and advocates </w:t>
            </w:r>
          </w:p>
        </w:tc>
      </w:tr>
    </w:tbl>
    <w:p>
      <w:pPr>
        <w:pStyle w:val="TextBody"/>
        <w:bidi w:val="0"/>
        <w:spacing w:before="0" w:after="0"/>
        <w:jc w:val="left"/>
        <w:rPr/>
      </w:pPr>
      <w:r>
        <w:rPr/>
        <w:t> </w:t>
      </w:r>
    </w:p>
    <w:tbl>
      <w:tblPr>
        <w:tblW w:w="6475" w:type="dxa"/>
        <w:jc w:val="left"/>
        <w:tblInd w:w="0" w:type="dxa"/>
        <w:tblLayout w:type="fixed"/>
        <w:tblCellMar>
          <w:top w:w="0" w:type="dxa"/>
          <w:left w:w="0" w:type="dxa"/>
          <w:bottom w:w="0" w:type="dxa"/>
          <w:right w:w="0" w:type="dxa"/>
        </w:tblCellMar>
      </w:tblPr>
      <w:tblGrid>
        <w:gridCol w:w="125"/>
        <w:gridCol w:w="60"/>
        <w:gridCol w:w="629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6290" w:type="dxa"/>
            <w:tcBorders/>
            <w:vAlign w:val="center"/>
          </w:tcPr>
          <w:p>
            <w:pPr>
              <w:pStyle w:val="TableContents"/>
              <w:bidi w:val="0"/>
              <w:spacing w:before="0" w:after="0"/>
              <w:jc w:val="left"/>
              <w:rPr>
                <w:rFonts w:ascii="arial" w:hAnsi="arial"/>
                <w:sz w:val="18"/>
              </w:rPr>
            </w:pPr>
            <w:r>
              <w:rPr>
                <w:rFonts w:ascii="arial" w:hAnsi="arial"/>
                <w:sz w:val="18"/>
              </w:rPr>
              <w:t xml:space="preserve">Conexión: Hispanic and Latino/a/x associates and their allies and advocates </w:t>
            </w:r>
          </w:p>
        </w:tc>
      </w:tr>
    </w:tbl>
    <w:p>
      <w:pPr>
        <w:pStyle w:val="TextBody"/>
        <w:bidi w:val="0"/>
        <w:spacing w:before="0" w:after="0"/>
        <w:jc w:val="left"/>
        <w:rPr/>
      </w:pPr>
      <w:r>
        <w:rPr/>
        <w:t> </w:t>
      </w:r>
    </w:p>
    <w:tbl>
      <w:tblPr>
        <w:tblW w:w="5185" w:type="dxa"/>
        <w:jc w:val="left"/>
        <w:tblInd w:w="0" w:type="dxa"/>
        <w:tblLayout w:type="fixed"/>
        <w:tblCellMar>
          <w:top w:w="0" w:type="dxa"/>
          <w:left w:w="0" w:type="dxa"/>
          <w:bottom w:w="0" w:type="dxa"/>
          <w:right w:w="0" w:type="dxa"/>
        </w:tblCellMar>
      </w:tblPr>
      <w:tblGrid>
        <w:gridCol w:w="125"/>
        <w:gridCol w:w="60"/>
        <w:gridCol w:w="500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5000" w:type="dxa"/>
            <w:tcBorders/>
            <w:vAlign w:val="center"/>
          </w:tcPr>
          <w:p>
            <w:pPr>
              <w:pStyle w:val="TableContents"/>
              <w:bidi w:val="0"/>
              <w:spacing w:before="0" w:after="0"/>
              <w:jc w:val="left"/>
              <w:rPr>
                <w:rFonts w:ascii="arial" w:hAnsi="arial"/>
                <w:sz w:val="18"/>
              </w:rPr>
            </w:pPr>
            <w:r>
              <w:rPr>
                <w:rFonts w:ascii="arial" w:hAnsi="arial"/>
                <w:sz w:val="18"/>
              </w:rPr>
              <w:t xml:space="preserve">Evolve: LGBTQIA+ associates and their allies and advocates </w:t>
            </w:r>
          </w:p>
        </w:tc>
      </w:tr>
    </w:tbl>
    <w:p>
      <w:pPr>
        <w:pStyle w:val="TextBody"/>
        <w:bidi w:val="0"/>
        <w:spacing w:before="0" w:after="0"/>
        <w:jc w:val="left"/>
        <w:rPr/>
      </w:pPr>
      <w:r>
        <w:rPr/>
        <w:t> </w:t>
      </w:r>
    </w:p>
    <w:tbl>
      <w:tblPr>
        <w:tblW w:w="6595" w:type="dxa"/>
        <w:jc w:val="left"/>
        <w:tblInd w:w="0" w:type="dxa"/>
        <w:tblLayout w:type="fixed"/>
        <w:tblCellMar>
          <w:top w:w="0" w:type="dxa"/>
          <w:left w:w="0" w:type="dxa"/>
          <w:bottom w:w="0" w:type="dxa"/>
          <w:right w:w="0" w:type="dxa"/>
        </w:tblCellMar>
      </w:tblPr>
      <w:tblGrid>
        <w:gridCol w:w="125"/>
        <w:gridCol w:w="60"/>
        <w:gridCol w:w="641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6410" w:type="dxa"/>
            <w:tcBorders/>
            <w:vAlign w:val="center"/>
          </w:tcPr>
          <w:p>
            <w:pPr>
              <w:pStyle w:val="TableContents"/>
              <w:bidi w:val="0"/>
              <w:spacing w:before="0" w:after="0"/>
              <w:jc w:val="left"/>
              <w:rPr>
                <w:rFonts w:ascii="arial" w:hAnsi="arial"/>
                <w:sz w:val="18"/>
              </w:rPr>
            </w:pPr>
            <w:r>
              <w:rPr>
                <w:rFonts w:ascii="arial" w:hAnsi="arial"/>
                <w:sz w:val="18"/>
              </w:rPr>
              <w:t xml:space="preserve">Mosaic: Black and African American associates and their allies and advocates </w:t>
            </w:r>
          </w:p>
        </w:tc>
      </w:tr>
    </w:tbl>
    <w:p>
      <w:pPr>
        <w:pStyle w:val="TextBody"/>
        <w:bidi w:val="0"/>
        <w:spacing w:before="0" w:after="0"/>
        <w:jc w:val="left"/>
        <w:rPr/>
      </w:pPr>
      <w:r>
        <w:rPr/>
        <w:t> </w:t>
      </w:r>
    </w:p>
    <w:tbl>
      <w:tblPr>
        <w:tblW w:w="8275" w:type="dxa"/>
        <w:jc w:val="left"/>
        <w:tblInd w:w="0" w:type="dxa"/>
        <w:tblLayout w:type="fixed"/>
        <w:tblCellMar>
          <w:top w:w="0" w:type="dxa"/>
          <w:left w:w="0" w:type="dxa"/>
          <w:bottom w:w="0" w:type="dxa"/>
          <w:right w:w="0" w:type="dxa"/>
        </w:tblCellMar>
      </w:tblPr>
      <w:tblGrid>
        <w:gridCol w:w="125"/>
        <w:gridCol w:w="60"/>
        <w:gridCol w:w="809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8090" w:type="dxa"/>
            <w:tcBorders/>
            <w:vAlign w:val="center"/>
          </w:tcPr>
          <w:p>
            <w:pPr>
              <w:pStyle w:val="TableContents"/>
              <w:bidi w:val="0"/>
              <w:spacing w:before="0" w:after="0"/>
              <w:jc w:val="left"/>
              <w:rPr>
                <w:rFonts w:ascii="arial" w:hAnsi="arial"/>
                <w:sz w:val="18"/>
              </w:rPr>
            </w:pPr>
            <w:r>
              <w:rPr>
                <w:rFonts w:ascii="arial" w:hAnsi="arial"/>
                <w:sz w:val="18"/>
              </w:rPr>
              <w:t xml:space="preserve">Women Inclusion Network (WIN): Associates who identify as women and their allies and advocates </w:t>
            </w:r>
          </w:p>
        </w:tc>
      </w:tr>
    </w:tbl>
    <w:p>
      <w:pPr>
        <w:pStyle w:val="TextBody"/>
        <w:bidi w:val="0"/>
        <w:spacing w:before="0" w:after="0"/>
        <w:jc w:val="left"/>
        <w:rPr/>
      </w:pPr>
      <w:r>
        <w:rPr/>
        <w:t> </w:t>
      </w:r>
    </w:p>
    <w:tbl>
      <w:tblPr>
        <w:tblW w:w="8965" w:type="dxa"/>
        <w:jc w:val="left"/>
        <w:tblInd w:w="0" w:type="dxa"/>
        <w:tblLayout w:type="fixed"/>
        <w:tblCellMar>
          <w:top w:w="0" w:type="dxa"/>
          <w:left w:w="0" w:type="dxa"/>
          <w:bottom w:w="0" w:type="dxa"/>
          <w:right w:w="0" w:type="dxa"/>
        </w:tblCellMar>
      </w:tblPr>
      <w:tblGrid>
        <w:gridCol w:w="125"/>
        <w:gridCol w:w="60"/>
        <w:gridCol w:w="878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8780" w:type="dxa"/>
            <w:tcBorders/>
            <w:vAlign w:val="center"/>
          </w:tcPr>
          <w:p>
            <w:pPr>
              <w:pStyle w:val="TableContents"/>
              <w:bidi w:val="0"/>
              <w:spacing w:before="0" w:after="0"/>
              <w:jc w:val="left"/>
              <w:rPr>
                <w:rFonts w:ascii="arial" w:hAnsi="arial"/>
                <w:sz w:val="18"/>
              </w:rPr>
            </w:pPr>
            <w:r>
              <w:rPr>
                <w:rFonts w:ascii="arial" w:hAnsi="arial"/>
                <w:sz w:val="18"/>
              </w:rPr>
              <w:t xml:space="preserve">ADAPT: Associates who identify as People With Disabilities, their caregivers, and their allies and advocates </w:t>
            </w:r>
          </w:p>
        </w:tc>
      </w:tr>
    </w:tbl>
    <w:p>
      <w:pPr>
        <w:pStyle w:val="TextBody"/>
        <w:bidi w:val="0"/>
        <w:spacing w:before="240" w:after="0"/>
        <w:jc w:val="left"/>
        <w:rPr>
          <w:rFonts w:ascii="arial" w:hAnsi="arial"/>
          <w:b/>
          <w:color w:val="F7ACBA"/>
          <w:sz w:val="24"/>
        </w:rPr>
      </w:pPr>
      <w:r>
        <w:rPr>
          <w:rFonts w:ascii="arial" w:hAnsi="arial"/>
          <w:b/>
          <w:color w:val="F7ACBA"/>
          <w:sz w:val="24"/>
        </w:rPr>
        <w:t xml:space="preserve">Associate Engagement and Well-Being </w:t>
      </w:r>
    </w:p>
    <w:p>
      <w:pPr>
        <w:pStyle w:val="TextBody"/>
        <w:bidi w:val="0"/>
        <w:spacing w:before="60" w:after="0"/>
        <w:jc w:val="left"/>
        <w:rPr>
          <w:rFonts w:ascii="arial" w:hAnsi="arial"/>
          <w:sz w:val="18"/>
        </w:rPr>
      </w:pPr>
      <w:r>
        <w:rPr>
          <w:rFonts w:ascii="arial" w:hAnsi="arial"/>
          <w:sz w:val="18"/>
        </w:rPr>
        <w:t xml:space="preserve">Associate engagement and well-being are key components of our culture and fundamental to achieving our strategic priorities and goals. </w:t>
      </w:r>
    </w:p>
    <w:p>
      <w:pPr>
        <w:pStyle w:val="TextBody"/>
        <w:bidi w:val="0"/>
        <w:spacing w:before="240" w:after="0"/>
        <w:jc w:val="left"/>
        <w:rPr>
          <w:rFonts w:ascii="Times New Roman" w:hAnsi="Times New Roman"/>
          <w:i/>
          <w:sz w:val="22"/>
        </w:rPr>
      </w:pPr>
      <w:r>
        <w:rPr>
          <w:rFonts w:ascii="Times New Roman" w:hAnsi="Times New Roman"/>
          <w:i/>
          <w:sz w:val="22"/>
        </w:rPr>
        <w:t xml:space="preserve">Culture </w:t>
      </w:r>
    </w:p>
    <w:p>
      <w:pPr>
        <w:pStyle w:val="TextBody"/>
        <w:bidi w:val="0"/>
        <w:spacing w:before="60" w:after="0"/>
        <w:jc w:val="left"/>
        <w:rPr>
          <w:rFonts w:ascii="arial" w:hAnsi="arial"/>
          <w:sz w:val="18"/>
        </w:rPr>
      </w:pPr>
      <w:r>
        <w:rPr>
          <w:rFonts w:ascii="arial" w:hAnsi="arial"/>
          <w:sz w:val="18"/>
        </w:rPr>
        <w:t xml:space="preserve">We are committed to associate engagement by striving to foster a happy, healthy, and inclusive culture where everyone can bring their whole selves to work. At VS&amp;Co, our purpose goes beyond selling product. We strive to provide a community of smart, passionate, and dedicated associates whose creativity, innovation and hard work fuel the world’s most recognized lingerie, apparel, and beauty brand. We also strive to provide a community in which all associates are treated fairly and respectfully, with equal access to opportunities and resources, allowing associates to contribute fully to our success. As our world evolves, we evolve with it by embracing social change, taking action, and holding ourselves accountable for creating a happy, healthy, and safe place to work. </w:t>
      </w:r>
    </w:p>
    <w:p>
      <w:pPr>
        <w:pStyle w:val="TextBody"/>
        <w:bidi w:val="0"/>
        <w:spacing w:before="120" w:after="0"/>
        <w:jc w:val="left"/>
        <w:rPr>
          <w:rFonts w:ascii="arial" w:hAnsi="arial"/>
          <w:sz w:val="18"/>
        </w:rPr>
      </w:pPr>
      <w:r>
        <w:rPr>
          <w:rFonts w:ascii="arial" w:hAnsi="arial"/>
          <w:sz w:val="18"/>
        </w:rPr>
        <w:t xml:space="preserve">We are focused on retaining, recruiting and advancing talent that reflects the customers we serve and the communities where we live and work. By encouraging a workplace environment where diversity, equity and inclusion are valued, we believe we can serve our customers better, as well as retain highly talented associates, suppliers and vendors of different backgrounds and experiences. </w:t>
      </w:r>
    </w:p>
    <w:p>
      <w:pPr>
        <w:pStyle w:val="TextBody"/>
        <w:bidi w:val="0"/>
        <w:spacing w:before="120" w:after="0"/>
        <w:jc w:val="left"/>
        <w:rPr>
          <w:rFonts w:ascii="arial" w:hAnsi="arial"/>
          <w:sz w:val="18"/>
        </w:rPr>
      </w:pPr>
      <w:r>
        <w:rPr>
          <w:rFonts w:ascii="arial" w:hAnsi="arial"/>
          <w:sz w:val="18"/>
        </w:rPr>
        <w:t xml:space="preserve">In addition, we maintain an Ethics Hotline where associates may anonymously report potential instances of unethical conduct and potential violations of law or company policies 24 hours a day, 7 days a week. We have a written Code of Conduct that is based on our values and provides a resource where associates can find information that defines behaviors that are acceptable and those that are not. We conduct an annual Code of Conduct compliance process which requires associates to certify that they have read and agree to abide by the Code of Conduct and to complete a separate training course. </w:t>
      </w:r>
    </w:p>
    <w:p>
      <w:pPr>
        <w:pStyle w:val="TextBody"/>
        <w:bidi w:val="0"/>
        <w:spacing w:before="240" w:after="0"/>
        <w:jc w:val="left"/>
        <w:rPr>
          <w:rFonts w:ascii="Times New Roman" w:hAnsi="Times New Roman"/>
          <w:i/>
          <w:sz w:val="22"/>
        </w:rPr>
      </w:pPr>
      <w:r>
        <w:rPr>
          <w:rFonts w:ascii="Times New Roman" w:hAnsi="Times New Roman"/>
          <w:i/>
          <w:sz w:val="22"/>
        </w:rPr>
        <w:t xml:space="preserve">Benefits </w:t>
      </w:r>
    </w:p>
    <w:p>
      <w:pPr>
        <w:pStyle w:val="TextBody"/>
        <w:bidi w:val="0"/>
        <w:spacing w:before="60" w:after="0"/>
        <w:jc w:val="left"/>
        <w:rPr>
          <w:rFonts w:ascii="arial" w:hAnsi="arial"/>
          <w:sz w:val="18"/>
        </w:rPr>
      </w:pPr>
      <w:r>
        <w:rPr>
          <w:rFonts w:ascii="arial" w:hAnsi="arial"/>
          <w:sz w:val="18"/>
        </w:rPr>
        <w:t xml:space="preserve">We are committed to associate well-being by providing quality benefits and offering equitable and competitive wages. We support our associates to be their best—at work and at home. </w:t>
      </w:r>
    </w:p>
    <w:p>
      <w:pPr>
        <w:pStyle w:val="TextBody"/>
        <w:bidi w:val="0"/>
        <w:spacing w:before="120" w:after="0"/>
        <w:jc w:val="left"/>
        <w:rPr>
          <w:rFonts w:ascii="arial" w:hAnsi="arial"/>
          <w:sz w:val="18"/>
        </w:rPr>
      </w:pPr>
      <w:r>
        <w:rPr>
          <w:rFonts w:ascii="arial" w:hAnsi="arial"/>
          <w:sz w:val="18"/>
        </w:rPr>
        <w:t xml:space="preserve">Our benefits programs are designed to be comprehensive, cost-effective and competitive to help our associates and their families be well and stay well. We offer competitive compensation, company-matched savings and contributions to the retirement plan, and flexible and affordable health, wellness, and lifestyle benefits to eligible associates. Eligible associates </w:t>
      </w:r>
    </w:p>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94"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85" descr=""/>
                          <pic:cNvPicPr>
                            <a:picLocks noChangeAspect="1" noChangeArrowheads="1"/>
                          </pic:cNvPicPr>
                        </pic:nvPicPr>
                        <pic:blipFill>
                          <a:blip r:embed="rId86"/>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42 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HUMAN CAPITAL MANAGEMENT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can choose benefits and access resources that fit their lifestyle, including, but not limited to, 14 weeks paid maternity leave, 6 weeks paid paternity leave, adoption assistance, tuition reimbursement, free access to life planning and health advocate services and generous merchandise discounts. We also provide a worldwide Employee Assistance Program for all associates and anyone in their household to support mental health well-being. In addition, we offer paid time off to eligible part-time associates. </w:t>
      </w:r>
    </w:p>
    <w:p>
      <w:pPr>
        <w:pStyle w:val="TextBody"/>
        <w:bidi w:val="0"/>
        <w:spacing w:before="120" w:after="0"/>
        <w:jc w:val="left"/>
        <w:rPr>
          <w:rFonts w:ascii="arial" w:hAnsi="arial"/>
          <w:sz w:val="18"/>
        </w:rPr>
      </w:pPr>
      <w:r>
        <w:rPr>
          <w:rFonts w:ascii="arial" w:hAnsi="arial"/>
          <w:sz w:val="18"/>
        </w:rPr>
        <w:t xml:space="preserve">We are committed to equal opportunity and treatment for all associates which includes equal career advancement opportunities and equitable and competitive wages. Our compensation programs are designed to link annual changes in compensation to VS&amp;Co’s overall performance. At the individual level, we strive to assess performance on both an associate’s contributions as well as behaviors displayed to achieve them. The emphasis on VS&amp;Co’s overall performance is intended to align our associates’ financial interests with the interests of our stockholders. All salaried associates in the home office, distribution and call centers participate in our short-term cash incentive compensation program. We encourage associate stock ownership with the ability to purchase VS&amp;Co shares at a discount through our associate stock purchase plan. </w:t>
      </w:r>
    </w:p>
    <w:p>
      <w:pPr>
        <w:pStyle w:val="TextBody"/>
        <w:bidi w:val="0"/>
        <w:spacing w:before="240" w:after="0"/>
        <w:jc w:val="left"/>
        <w:rPr>
          <w:rFonts w:ascii="Times New Roman" w:hAnsi="Times New Roman"/>
          <w:i/>
          <w:sz w:val="22"/>
        </w:rPr>
      </w:pPr>
      <w:r>
        <w:rPr>
          <w:rFonts w:ascii="Times New Roman" w:hAnsi="Times New Roman"/>
          <w:i/>
          <w:sz w:val="22"/>
        </w:rPr>
        <w:t xml:space="preserve">Ensuring Equal Pay for Equal Work </w:t>
      </w:r>
    </w:p>
    <w:p>
      <w:pPr>
        <w:pStyle w:val="TextBody"/>
        <w:bidi w:val="0"/>
        <w:spacing w:before="60" w:after="0"/>
        <w:jc w:val="left"/>
        <w:rPr>
          <w:rFonts w:ascii="arial" w:hAnsi="arial"/>
          <w:sz w:val="18"/>
        </w:rPr>
      </w:pPr>
      <w:r>
        <w:rPr>
          <w:rFonts w:ascii="arial" w:hAnsi="arial"/>
          <w:sz w:val="18"/>
        </w:rPr>
        <w:t xml:space="preserve">The heart of our business is our talented workforce. We offer competitive pay and benefits to our associates around the world and pay all associates equitably regardless of gender, race, ethnicity or background. </w:t>
      </w:r>
    </w:p>
    <w:p>
      <w:pPr>
        <w:pStyle w:val="TextBody"/>
        <w:bidi w:val="0"/>
        <w:spacing w:before="120" w:after="0"/>
        <w:jc w:val="left"/>
        <w:rPr>
          <w:rFonts w:ascii="arial" w:hAnsi="arial"/>
          <w:sz w:val="18"/>
        </w:rPr>
      </w:pPr>
      <w:r>
        <w:rPr>
          <w:rFonts w:ascii="arial" w:hAnsi="arial"/>
          <w:sz w:val="18"/>
        </w:rPr>
        <w:t xml:space="preserve">We conduct an annual, rigorous and transparent review of 100 percent of our worldwide workforce that is verified by an independent third party to ensure that all salaries and incentive compensation targets are fair and unbiased. If we find any differences in pay between men and women globally or by race and ethnicity in the United States, we make upward adjustments. Our process reviews gender, race, ethnicity and the intersection of these identities. (Many jurisdictions outside the United States limit our ability to collect information on race and ethnicity and also what we can do with that information.) </w:t>
      </w:r>
    </w:p>
    <w:p>
      <w:pPr>
        <w:pStyle w:val="TextBody"/>
        <w:bidi w:val="0"/>
        <w:spacing w:before="120" w:after="0"/>
        <w:jc w:val="left"/>
        <w:rPr>
          <w:rFonts w:ascii="arial" w:hAnsi="arial"/>
          <w:sz w:val="18"/>
        </w:rPr>
      </w:pPr>
      <w:r>
        <w:rPr>
          <w:rFonts w:ascii="arial" w:hAnsi="arial"/>
          <w:sz w:val="18"/>
        </w:rPr>
        <w:t xml:space="preserve">We are pleased to report that our 2023 internal review as well as analysis by our third-party partner, the non-profit Fair Pay Workplace, revealed that 99 percent of our workforce was paid equitably. For the remaining 1 percent, we have made adjustments to processes and compensation to address inconsistencies. </w:t>
      </w:r>
    </w:p>
    <w:p>
      <w:pPr>
        <w:pStyle w:val="TextBody"/>
        <w:bidi w:val="0"/>
        <w:spacing w:before="120" w:after="0"/>
        <w:jc w:val="left"/>
        <w:rPr>
          <w:rFonts w:ascii="arial" w:hAnsi="arial"/>
          <w:sz w:val="18"/>
        </w:rPr>
      </w:pPr>
      <w:r>
        <w:rPr>
          <w:rFonts w:ascii="arial" w:hAnsi="arial"/>
          <w:sz w:val="18"/>
        </w:rPr>
        <w:t xml:space="preserve">Because workforces are dynamic and ever-changing, so is the work to ensure pay equity. We believe that pay equity is a journey, not a destination. VS&amp;Co engages in an ongoing analysis and is committed to continued transparency relative to our metrics on pay equity, and we plan to report to our associates and to the public on an annual basis. </w:t>
      </w:r>
    </w:p>
    <w:p>
      <w:pPr>
        <w:pStyle w:val="TextBody"/>
        <w:bidi w:val="0"/>
        <w:spacing w:before="240" w:after="0"/>
        <w:jc w:val="left"/>
        <w:rPr>
          <w:rFonts w:ascii="arial" w:hAnsi="arial"/>
          <w:b/>
          <w:color w:val="F7ACBA"/>
          <w:sz w:val="24"/>
        </w:rPr>
      </w:pPr>
      <w:r>
        <w:rPr>
          <w:rFonts w:ascii="arial" w:hAnsi="arial"/>
          <w:b/>
          <w:color w:val="F7ACBA"/>
          <w:sz w:val="24"/>
        </w:rPr>
        <w:t xml:space="preserve">Health and Safety </w:t>
      </w:r>
    </w:p>
    <w:p>
      <w:pPr>
        <w:pStyle w:val="TextBody"/>
        <w:bidi w:val="0"/>
        <w:spacing w:before="60" w:after="0"/>
        <w:jc w:val="left"/>
        <w:rPr>
          <w:rFonts w:ascii="arial" w:hAnsi="arial"/>
          <w:sz w:val="18"/>
        </w:rPr>
      </w:pPr>
      <w:r>
        <w:rPr>
          <w:rFonts w:ascii="arial" w:hAnsi="arial"/>
          <w:sz w:val="18"/>
        </w:rPr>
        <w:t xml:space="preserve">Health and safety of our associates, customers, and vendors are key components of our culture and fundamental in achieving our strategic priorities and goals. We strive to provide safe and clean facilities, comply with all applicable workplace safety laws and have global safety policies and procedures to protect from avoidable injury. </w:t>
      </w:r>
    </w:p>
    <w:p>
      <w:pPr>
        <w:pStyle w:val="TextBody"/>
        <w:bidi w:val="0"/>
        <w:spacing w:before="240" w:after="0"/>
        <w:jc w:val="left"/>
        <w:rPr>
          <w:rFonts w:ascii="arial" w:hAnsi="arial"/>
          <w:b/>
          <w:color w:val="F7ACBA"/>
          <w:sz w:val="24"/>
        </w:rPr>
      </w:pPr>
      <w:r>
        <w:rPr>
          <w:rFonts w:ascii="arial" w:hAnsi="arial"/>
          <w:b/>
          <w:color w:val="F7ACBA"/>
          <w:sz w:val="24"/>
        </w:rPr>
        <w:t xml:space="preserve">Model Engagement and Photo Shoot Compliance </w:t>
      </w:r>
    </w:p>
    <w:p>
      <w:pPr>
        <w:pStyle w:val="TextBody"/>
        <w:bidi w:val="0"/>
        <w:spacing w:before="60" w:after="0"/>
        <w:jc w:val="left"/>
        <w:rPr>
          <w:rFonts w:ascii="arial" w:hAnsi="arial"/>
          <w:sz w:val="18"/>
        </w:rPr>
      </w:pPr>
      <w:r>
        <w:rPr>
          <w:rFonts w:ascii="arial" w:hAnsi="arial"/>
          <w:sz w:val="18"/>
        </w:rPr>
        <w:t xml:space="preserve">At VS&amp;Co, our values define who we are and what we stand for, including treating everyone with dignity and respect. To support these values, we have established compliance processes and protocols which apply to all VS&amp;Co associates and third parties participating in photo shoots, public relations events, fit sessions and other internal meetings where models are present. </w:t>
      </w:r>
    </w:p>
    <w:p>
      <w:pPr>
        <w:pStyle w:val="TextBody"/>
        <w:bidi w:val="0"/>
        <w:spacing w:before="120" w:after="0"/>
        <w:jc w:val="left"/>
        <w:rPr>
          <w:rFonts w:ascii="arial" w:hAnsi="arial"/>
          <w:sz w:val="18"/>
        </w:rPr>
      </w:pPr>
      <w:r>
        <w:rPr>
          <w:rFonts w:ascii="arial" w:hAnsi="arial"/>
          <w:sz w:val="18"/>
        </w:rPr>
        <w:t xml:space="preserve">Our Global Ethics and Compliance team is responsible for the day-to-day administration and management of the model engagement and photo shoot compliance protocols. Responsibilities include, but are not limited to, executing certain compliance processes related to the Photo Shoot Procedures and Fit Session Protocol, training new and existing associates, and escalating allegations of misconduct for investigation by the appropriate teams. For photo shoots, all external crew is required to certify to the VS&amp;Co Anti-Harassment and Civility Policy and authorized compliance monitors are assigned to every photo shoot to provide oversight and ensure compliance with the Photo Shoot Procedures and Fit Session Protocol. </w:t>
      </w:r>
    </w:p>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95"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86" descr=""/>
                          <pic:cNvPicPr>
                            <a:picLocks noChangeAspect="1" noChangeArrowheads="1"/>
                          </pic:cNvPicPr>
                        </pic:nvPicPr>
                        <pic:blipFill>
                          <a:blip r:embed="rId87"/>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43 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center"/>
        <w:rPr>
          <w:rFonts w:ascii="Times New Roman" w:hAnsi="Times New Roman"/>
          <w:b/>
          <w:sz w:val="60"/>
        </w:rPr>
      </w:pPr>
      <w:bookmarkStart w:id="18" w:name="toc540996_13"/>
      <w:bookmarkEnd w:id="18"/>
      <w:r>
        <w:rPr>
          <w:rFonts w:ascii="Times New Roman" w:hAnsi="Times New Roman"/>
          <w:b/>
          <w:sz w:val="60"/>
        </w:rPr>
        <w:t xml:space="preserve">DIRECTOR COMPENSATION </w:t>
      </w:r>
    </w:p>
    <w:p>
      <w:pPr>
        <w:pStyle w:val="TextBody"/>
        <w:bidi w:val="0"/>
        <w:spacing w:before="0" w:after="0"/>
        <w:jc w:val="left"/>
        <w:rPr/>
      </w:pPr>
      <w:r>
        <w:rPr/>
        <w:t> </w:t>
      </w:r>
    </w:p>
    <w:p>
      <w:pPr>
        <w:pStyle w:val="TextBody"/>
        <w:pBdr>
          <w:bottom w:val="single" w:sz="2" w:space="1" w:color="000000"/>
        </w:pBdr>
        <w:bidi w:val="0"/>
        <w:spacing w:lineRule="atLeast" w:line="142" w:before="0" w:after="40"/>
        <w:jc w:val="center"/>
        <w:rPr/>
      </w:pPr>
      <w:r>
        <w:rPr/>
        <w:t> </w:t>
      </w:r>
    </w:p>
    <w:p>
      <w:pPr>
        <w:pStyle w:val="TextBody"/>
        <w:bidi w:val="0"/>
        <w:spacing w:before="360" w:after="0"/>
        <w:jc w:val="left"/>
        <w:rPr>
          <w:rFonts w:ascii="arial" w:hAnsi="arial"/>
          <w:sz w:val="18"/>
        </w:rPr>
      </w:pPr>
      <w:r>
        <w:rPr>
          <w:rFonts w:ascii="arial" w:hAnsi="arial"/>
          <w:sz w:val="18"/>
        </w:rPr>
        <w:t xml:space="preserve">Our 2023 compensation plan for non-employee directors remained unchanged since the spin-off and is outlined in the following chart. The Board has reviewed and assessed the program relative to the VS&amp;Co executive compensation peer group, in partnership with the Human Capital and Compensation Committee and its independent compensation consultant, and approved the program for 2024. </w:t>
      </w:r>
    </w:p>
    <w:p>
      <w:pPr>
        <w:pStyle w:val="TextBody"/>
        <w:bidi w:val="0"/>
        <w:spacing w:before="0" w:after="0"/>
        <w:jc w:val="left"/>
        <w:rPr/>
      </w:pPr>
      <w:r>
        <w:rPr/>
        <w:t> </w:t>
      </w:r>
    </w:p>
    <w:tbl>
      <w:tblPr>
        <w:tblW w:w="5855" w:type="dxa"/>
        <w:jc w:val="left"/>
        <w:tblInd w:w="0" w:type="dxa"/>
        <w:tblLayout w:type="fixed"/>
        <w:tblCellMar>
          <w:top w:w="0" w:type="dxa"/>
          <w:left w:w="0" w:type="dxa"/>
          <w:bottom w:w="0" w:type="dxa"/>
          <w:right w:w="0" w:type="dxa"/>
        </w:tblCellMar>
      </w:tblPr>
      <w:tblGrid>
        <w:gridCol w:w="2870"/>
        <w:gridCol w:w="120"/>
        <w:gridCol w:w="140"/>
        <w:gridCol w:w="800"/>
        <w:gridCol w:w="120"/>
        <w:gridCol w:w="120"/>
        <w:gridCol w:w="230"/>
        <w:gridCol w:w="1320"/>
        <w:gridCol w:w="135"/>
      </w:tblGrid>
      <w:tr>
        <w:trPr/>
        <w:tc>
          <w:tcPr>
            <w:tcW w:w="2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2870" w:type="dxa"/>
            <w:tcBorders/>
            <w:shd w:fill="FDEEF1" w:val="clear"/>
            <w:vAlign w:val="center"/>
          </w:tcPr>
          <w:p>
            <w:pPr>
              <w:pStyle w:val="TableContents"/>
              <w:bidi w:val="0"/>
              <w:spacing w:before="0" w:after="283"/>
              <w:jc w:val="left"/>
              <w:rPr>
                <w:sz w:val="4"/>
                <w:szCs w:val="4"/>
              </w:rPr>
            </w:pPr>
            <w:r>
              <w:rPr>
                <w:sz w:val="4"/>
                <w:szCs w:val="4"/>
              </w:rPr>
            </w:r>
          </w:p>
        </w:tc>
        <w:tc>
          <w:tcPr>
            <w:tcW w:w="1180" w:type="dxa"/>
            <w:gridSpan w:val="4"/>
            <w:tcBorders/>
            <w:shd w:fill="FDEEF1" w:val="clear"/>
            <w:vAlign w:val="center"/>
          </w:tcPr>
          <w:p>
            <w:pPr>
              <w:pStyle w:val="TableContents"/>
              <w:bidi w:val="0"/>
              <w:spacing w:before="0" w:after="283"/>
              <w:jc w:val="left"/>
              <w:rPr>
                <w:sz w:val="4"/>
                <w:szCs w:val="4"/>
              </w:rPr>
            </w:pPr>
            <w:r>
              <w:rPr>
                <w:sz w:val="4"/>
                <w:szCs w:val="4"/>
              </w:rPr>
            </w:r>
          </w:p>
        </w:tc>
        <w:tc>
          <w:tcPr>
            <w:tcW w:w="1805" w:type="dxa"/>
            <w:gridSpan w:val="4"/>
            <w:tcBorders/>
            <w:shd w:fill="FDEEF1" w:val="clear"/>
            <w:vAlign w:val="center"/>
          </w:tcPr>
          <w:p>
            <w:pPr>
              <w:pStyle w:val="TableContents"/>
              <w:bidi w:val="0"/>
              <w:spacing w:before="0" w:after="283"/>
              <w:jc w:val="left"/>
              <w:rPr>
                <w:sz w:val="4"/>
                <w:szCs w:val="4"/>
              </w:rPr>
            </w:pPr>
            <w:r>
              <w:rPr>
                <w:sz w:val="4"/>
                <w:szCs w:val="4"/>
              </w:rPr>
            </w:r>
          </w:p>
        </w:tc>
      </w:tr>
      <w:tr>
        <w:trPr/>
        <w:tc>
          <w:tcPr>
            <w:tcW w:w="2870" w:type="dxa"/>
            <w:tcBorders/>
            <w:shd w:fill="FDEEF1" w:val="clear"/>
            <w:vAlign w:val="center"/>
          </w:tcPr>
          <w:p>
            <w:pPr>
              <w:pStyle w:val="TableContents"/>
              <w:bidi w:val="0"/>
              <w:jc w:val="left"/>
              <w:rPr/>
            </w:pPr>
            <w:r>
              <w:rPr/>
              <w:t> </w:t>
            </w:r>
          </w:p>
          <w:p>
            <w:pPr>
              <w:pStyle w:val="TableContents"/>
              <w:bidi w:val="0"/>
              <w:spacing w:before="0" w:after="0"/>
              <w:jc w:val="left"/>
              <w:rPr/>
            </w:pPr>
            <w:r>
              <w:rPr/>
              <w:t> </w:t>
            </w:r>
          </w:p>
        </w:tc>
        <w:tc>
          <w:tcPr>
            <w:tcW w:w="120" w:type="dxa"/>
            <w:tcBorders/>
            <w:shd w:fill="FDEEF1" w:val="clear"/>
            <w:vAlign w:val="center"/>
          </w:tcPr>
          <w:p>
            <w:pPr>
              <w:pStyle w:val="TableContents"/>
              <w:bidi w:val="0"/>
              <w:spacing w:before="0" w:after="283"/>
              <w:jc w:val="left"/>
              <w:rPr/>
            </w:pPr>
            <w:r>
              <w:rPr/>
              <w:t>  </w:t>
            </w:r>
          </w:p>
        </w:tc>
        <w:tc>
          <w:tcPr>
            <w:tcW w:w="940" w:type="dxa"/>
            <w:gridSpan w:val="2"/>
            <w:tcBorders/>
            <w:shd w:fill="FDEEF1" w:val="clear"/>
            <w:vAlign w:val="center"/>
          </w:tcPr>
          <w:p>
            <w:pPr>
              <w:pStyle w:val="TableContents"/>
              <w:bidi w:val="0"/>
              <w:spacing w:before="0" w:after="283"/>
              <w:jc w:val="center"/>
              <w:rPr>
                <w:b/>
              </w:rPr>
            </w:pPr>
            <w:r>
              <w:rPr>
                <w:b/>
              </w:rPr>
              <w:t>Cash</w:t>
            </w:r>
          </w:p>
        </w:tc>
        <w:tc>
          <w:tcPr>
            <w:tcW w:w="120" w:type="dxa"/>
            <w:tcBorders/>
            <w:shd w:fill="FDEEF1" w:val="clear"/>
            <w:vAlign w:val="center"/>
          </w:tcPr>
          <w:p>
            <w:pPr>
              <w:pStyle w:val="TableContents"/>
              <w:bidi w:val="0"/>
              <w:spacing w:before="0" w:after="283"/>
              <w:jc w:val="left"/>
              <w:rPr/>
            </w:pPr>
            <w:r>
              <w:rPr/>
              <w:t> </w:t>
            </w:r>
          </w:p>
        </w:tc>
        <w:tc>
          <w:tcPr>
            <w:tcW w:w="120" w:type="dxa"/>
            <w:tcBorders/>
            <w:shd w:fill="FDEEF1" w:val="clear"/>
            <w:vAlign w:val="center"/>
          </w:tcPr>
          <w:p>
            <w:pPr>
              <w:pStyle w:val="TableContents"/>
              <w:bidi w:val="0"/>
              <w:spacing w:before="0" w:after="283"/>
              <w:jc w:val="left"/>
              <w:rPr/>
            </w:pPr>
            <w:r>
              <w:rPr/>
              <w:t>  </w:t>
            </w:r>
          </w:p>
        </w:tc>
        <w:tc>
          <w:tcPr>
            <w:tcW w:w="1550" w:type="dxa"/>
            <w:gridSpan w:val="2"/>
            <w:tcBorders/>
            <w:shd w:fill="FDEEF1" w:val="clear"/>
            <w:vAlign w:val="center"/>
          </w:tcPr>
          <w:p>
            <w:pPr>
              <w:pStyle w:val="TableContents"/>
              <w:bidi w:val="0"/>
              <w:spacing w:before="0" w:after="283"/>
              <w:jc w:val="center"/>
              <w:rPr>
                <w:b/>
              </w:rPr>
            </w:pPr>
            <w:r>
              <w:rPr>
                <w:b/>
              </w:rPr>
              <w:t>Stock</w:t>
              <w:br/>
              <w:t>(fair market</w:t>
              <w:br/>
              <w:t>value of VSCO</w:t>
              <w:br/>
              <w:t>stock on</w:t>
              <w:br/>
              <w:t>grant date)</w:t>
            </w:r>
          </w:p>
        </w:tc>
        <w:tc>
          <w:tcPr>
            <w:tcW w:w="135" w:type="dxa"/>
            <w:tcBorders/>
            <w:shd w:fill="FDEEF1" w:val="clear"/>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sz w:val="4"/>
                <w:szCs w:val="4"/>
              </w:rPr>
            </w:pPr>
            <w:r>
              <w:rPr>
                <w:sz w:val="4"/>
                <w:szCs w:val="4"/>
              </w:rPr>
            </w:r>
          </w:p>
        </w:tc>
        <w:tc>
          <w:tcPr>
            <w:tcW w:w="1180" w:type="dxa"/>
            <w:gridSpan w:val="4"/>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r>
      <w:tr>
        <w:trPr/>
        <w:tc>
          <w:tcPr>
            <w:tcW w:w="2870" w:type="dxa"/>
            <w:tcBorders>
              <w:bottom w:val="single" w:sz="6" w:space="0" w:color="FBDDE3"/>
            </w:tcBorders>
            <w:tcMar>
              <w:bottom w:w="60" w:type="dxa"/>
            </w:tcMar>
            <w:vAlign w:val="center"/>
          </w:tcPr>
          <w:p>
            <w:pPr>
              <w:pStyle w:val="TableContents"/>
              <w:bidi w:val="0"/>
              <w:spacing w:before="0" w:after="0"/>
              <w:jc w:val="left"/>
              <w:rPr>
                <w:rFonts w:ascii="arial" w:hAnsi="arial"/>
                <w:b/>
                <w:sz w:val="18"/>
              </w:rPr>
            </w:pPr>
            <w:r>
              <w:rPr>
                <w:rFonts w:ascii="arial" w:hAnsi="arial"/>
                <w:b/>
                <w:sz w:val="18"/>
              </w:rPr>
              <w:t>Board Fees</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w:t>
            </w:r>
          </w:p>
        </w:tc>
        <w:tc>
          <w:tcPr>
            <w:tcW w:w="800" w:type="dxa"/>
            <w:tcBorders>
              <w:bottom w:val="single" w:sz="6" w:space="0" w:color="FBDDE3"/>
            </w:tcBorders>
            <w:tcMar>
              <w:bottom w:w="60" w:type="dxa"/>
            </w:tcMar>
            <w:vAlign w:val="center"/>
          </w:tcPr>
          <w:p>
            <w:pPr>
              <w:pStyle w:val="TableContents"/>
              <w:bidi w:val="0"/>
              <w:spacing w:before="0" w:after="283"/>
              <w:jc w:val="right"/>
              <w:rPr/>
            </w:pPr>
            <w:r>
              <w:rPr/>
              <w:t>111,900</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30" w:type="dxa"/>
            <w:tcBorders>
              <w:bottom w:val="single" w:sz="6" w:space="0" w:color="FBDDE3"/>
            </w:tcBorders>
            <w:tcMar>
              <w:bottom w:w="60" w:type="dxa"/>
            </w:tcMar>
            <w:vAlign w:val="center"/>
          </w:tcPr>
          <w:p>
            <w:pPr>
              <w:pStyle w:val="TableContents"/>
              <w:bidi w:val="0"/>
              <w:spacing w:before="0" w:after="283"/>
              <w:jc w:val="left"/>
              <w:rPr/>
            </w:pPr>
            <w:r>
              <w:rPr/>
              <w:t>$</w:t>
            </w:r>
          </w:p>
        </w:tc>
        <w:tc>
          <w:tcPr>
            <w:tcW w:w="1320" w:type="dxa"/>
            <w:tcBorders>
              <w:bottom w:val="single" w:sz="6" w:space="0" w:color="FBDDE3"/>
            </w:tcBorders>
            <w:tcMar>
              <w:bottom w:w="60" w:type="dxa"/>
            </w:tcMar>
            <w:vAlign w:val="center"/>
          </w:tcPr>
          <w:p>
            <w:pPr>
              <w:pStyle w:val="TableContents"/>
              <w:bidi w:val="0"/>
              <w:spacing w:before="0" w:after="283"/>
              <w:jc w:val="right"/>
              <w:rPr/>
            </w:pPr>
            <w:r>
              <w:rPr/>
              <w:t>111,900</w:t>
            </w:r>
          </w:p>
        </w:tc>
        <w:tc>
          <w:tcPr>
            <w:tcW w:w="13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sz w:val="4"/>
                <w:szCs w:val="4"/>
              </w:rPr>
            </w:pPr>
            <w:r>
              <w:rPr>
                <w:sz w:val="4"/>
                <w:szCs w:val="4"/>
              </w:rPr>
            </w:r>
          </w:p>
        </w:tc>
        <w:tc>
          <w:tcPr>
            <w:tcW w:w="1180" w:type="dxa"/>
            <w:gridSpan w:val="4"/>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r>
      <w:tr>
        <w:trPr/>
        <w:tc>
          <w:tcPr>
            <w:tcW w:w="2870" w:type="dxa"/>
            <w:tcBorders>
              <w:bottom w:val="single" w:sz="6" w:space="0" w:color="FBDDE3"/>
            </w:tcBorders>
            <w:tcMar>
              <w:bottom w:w="60" w:type="dxa"/>
            </w:tcMar>
            <w:vAlign w:val="center"/>
          </w:tcPr>
          <w:p>
            <w:pPr>
              <w:pStyle w:val="TableContents"/>
              <w:bidi w:val="0"/>
              <w:spacing w:before="0" w:after="0"/>
              <w:jc w:val="left"/>
              <w:rPr>
                <w:rFonts w:ascii="arial" w:hAnsi="arial"/>
                <w:b/>
                <w:sz w:val="18"/>
              </w:rPr>
            </w:pPr>
            <w:r>
              <w:rPr>
                <w:rFonts w:ascii="arial" w:hAnsi="arial"/>
                <w:b/>
                <w:sz w:val="18"/>
              </w:rPr>
              <w:t>Committee Member Fees</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0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3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2870" w:type="dxa"/>
            <w:tcBorders/>
            <w:vAlign w:val="center"/>
          </w:tcPr>
          <w:p>
            <w:pPr>
              <w:pStyle w:val="TableContents"/>
              <w:bidi w:val="0"/>
              <w:spacing w:before="0" w:after="283"/>
              <w:jc w:val="left"/>
              <w:rPr>
                <w:sz w:val="4"/>
                <w:szCs w:val="4"/>
              </w:rPr>
            </w:pPr>
            <w:r>
              <w:rPr>
                <w:sz w:val="4"/>
                <w:szCs w:val="4"/>
              </w:rPr>
            </w:r>
          </w:p>
        </w:tc>
        <w:tc>
          <w:tcPr>
            <w:tcW w:w="1180" w:type="dxa"/>
            <w:gridSpan w:val="4"/>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r>
      <w:tr>
        <w:trPr/>
        <w:tc>
          <w:tcPr>
            <w:tcW w:w="287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Audit</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w:t>
            </w:r>
          </w:p>
        </w:tc>
        <w:tc>
          <w:tcPr>
            <w:tcW w:w="800" w:type="dxa"/>
            <w:tcBorders>
              <w:bottom w:val="single" w:sz="6" w:space="0" w:color="FBDDE3"/>
            </w:tcBorders>
            <w:tcMar>
              <w:bottom w:w="60" w:type="dxa"/>
            </w:tcMar>
            <w:vAlign w:val="center"/>
          </w:tcPr>
          <w:p>
            <w:pPr>
              <w:pStyle w:val="TableContents"/>
              <w:bidi w:val="0"/>
              <w:spacing w:before="0" w:after="283"/>
              <w:jc w:val="right"/>
              <w:rPr/>
            </w:pPr>
            <w:r>
              <w:rPr/>
              <w:t>12,500</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30" w:type="dxa"/>
            <w:tcBorders>
              <w:bottom w:val="single" w:sz="6" w:space="0" w:color="FBDDE3"/>
            </w:tcBorders>
            <w:tcMar>
              <w:bottom w:w="60" w:type="dxa"/>
            </w:tcMar>
            <w:vAlign w:val="center"/>
          </w:tcPr>
          <w:p>
            <w:pPr>
              <w:pStyle w:val="TableContents"/>
              <w:bidi w:val="0"/>
              <w:spacing w:before="0" w:after="283"/>
              <w:jc w:val="left"/>
              <w:rPr/>
            </w:pPr>
            <w:r>
              <w:rPr/>
              <w:t>$</w:t>
            </w:r>
          </w:p>
        </w:tc>
        <w:tc>
          <w:tcPr>
            <w:tcW w:w="1320" w:type="dxa"/>
            <w:tcBorders>
              <w:bottom w:val="single" w:sz="6" w:space="0" w:color="FBDDE3"/>
            </w:tcBorders>
            <w:tcMar>
              <w:bottom w:w="60" w:type="dxa"/>
            </w:tcMar>
            <w:vAlign w:val="center"/>
          </w:tcPr>
          <w:p>
            <w:pPr>
              <w:pStyle w:val="TableContents"/>
              <w:bidi w:val="0"/>
              <w:spacing w:before="0" w:after="283"/>
              <w:jc w:val="right"/>
              <w:rPr/>
            </w:pPr>
            <w:r>
              <w:rPr/>
              <w:t>12,500</w:t>
            </w:r>
          </w:p>
        </w:tc>
        <w:tc>
          <w:tcPr>
            <w:tcW w:w="13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sz w:val="4"/>
                <w:szCs w:val="4"/>
              </w:rPr>
            </w:pPr>
            <w:r>
              <w:rPr>
                <w:sz w:val="4"/>
                <w:szCs w:val="4"/>
              </w:rPr>
            </w:r>
          </w:p>
        </w:tc>
        <w:tc>
          <w:tcPr>
            <w:tcW w:w="1180" w:type="dxa"/>
            <w:gridSpan w:val="4"/>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r>
      <w:tr>
        <w:trPr/>
        <w:tc>
          <w:tcPr>
            <w:tcW w:w="287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Human Capital and Compensation</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w:t>
            </w:r>
          </w:p>
        </w:tc>
        <w:tc>
          <w:tcPr>
            <w:tcW w:w="800" w:type="dxa"/>
            <w:tcBorders>
              <w:bottom w:val="single" w:sz="6" w:space="0" w:color="FBDDE3"/>
            </w:tcBorders>
            <w:tcMar>
              <w:bottom w:w="60" w:type="dxa"/>
            </w:tcMar>
            <w:vAlign w:val="center"/>
          </w:tcPr>
          <w:p>
            <w:pPr>
              <w:pStyle w:val="TableContents"/>
              <w:bidi w:val="0"/>
              <w:spacing w:before="0" w:after="283"/>
              <w:jc w:val="right"/>
              <w:rPr/>
            </w:pPr>
            <w:r>
              <w:rPr/>
              <w:t>12,500</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30" w:type="dxa"/>
            <w:tcBorders>
              <w:bottom w:val="single" w:sz="6" w:space="0" w:color="FBDDE3"/>
            </w:tcBorders>
            <w:tcMar>
              <w:bottom w:w="60" w:type="dxa"/>
            </w:tcMar>
            <w:vAlign w:val="center"/>
          </w:tcPr>
          <w:p>
            <w:pPr>
              <w:pStyle w:val="TableContents"/>
              <w:bidi w:val="0"/>
              <w:spacing w:before="0" w:after="283"/>
              <w:jc w:val="left"/>
              <w:rPr/>
            </w:pPr>
            <w:r>
              <w:rPr/>
              <w:t>$</w:t>
            </w:r>
          </w:p>
        </w:tc>
        <w:tc>
          <w:tcPr>
            <w:tcW w:w="1320" w:type="dxa"/>
            <w:tcBorders>
              <w:bottom w:val="single" w:sz="6" w:space="0" w:color="FBDDE3"/>
            </w:tcBorders>
            <w:tcMar>
              <w:bottom w:w="60" w:type="dxa"/>
            </w:tcMar>
            <w:vAlign w:val="center"/>
          </w:tcPr>
          <w:p>
            <w:pPr>
              <w:pStyle w:val="TableContents"/>
              <w:bidi w:val="0"/>
              <w:spacing w:before="0" w:after="283"/>
              <w:jc w:val="right"/>
              <w:rPr/>
            </w:pPr>
            <w:r>
              <w:rPr/>
              <w:t>12,500</w:t>
            </w:r>
          </w:p>
        </w:tc>
        <w:tc>
          <w:tcPr>
            <w:tcW w:w="13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sz w:val="4"/>
                <w:szCs w:val="4"/>
              </w:rPr>
            </w:pPr>
            <w:r>
              <w:rPr>
                <w:sz w:val="4"/>
                <w:szCs w:val="4"/>
              </w:rPr>
            </w:r>
          </w:p>
        </w:tc>
        <w:tc>
          <w:tcPr>
            <w:tcW w:w="1180" w:type="dxa"/>
            <w:gridSpan w:val="4"/>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r>
      <w:tr>
        <w:trPr/>
        <w:tc>
          <w:tcPr>
            <w:tcW w:w="287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Nominating and Governance</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w:t>
            </w:r>
          </w:p>
        </w:tc>
        <w:tc>
          <w:tcPr>
            <w:tcW w:w="800" w:type="dxa"/>
            <w:tcBorders>
              <w:bottom w:val="single" w:sz="6" w:space="0" w:color="FBDDE3"/>
            </w:tcBorders>
            <w:tcMar>
              <w:bottom w:w="60" w:type="dxa"/>
            </w:tcMar>
            <w:vAlign w:val="center"/>
          </w:tcPr>
          <w:p>
            <w:pPr>
              <w:pStyle w:val="TableContents"/>
              <w:bidi w:val="0"/>
              <w:spacing w:before="0" w:after="283"/>
              <w:jc w:val="right"/>
              <w:rPr/>
            </w:pPr>
            <w:r>
              <w:rPr/>
              <w:t>10,000</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30" w:type="dxa"/>
            <w:tcBorders>
              <w:bottom w:val="single" w:sz="6" w:space="0" w:color="FBDDE3"/>
            </w:tcBorders>
            <w:tcMar>
              <w:bottom w:w="60" w:type="dxa"/>
            </w:tcMar>
            <w:vAlign w:val="center"/>
          </w:tcPr>
          <w:p>
            <w:pPr>
              <w:pStyle w:val="TableContents"/>
              <w:bidi w:val="0"/>
              <w:spacing w:before="0" w:after="283"/>
              <w:jc w:val="left"/>
              <w:rPr/>
            </w:pPr>
            <w:r>
              <w:rPr/>
              <w:t>$</w:t>
            </w:r>
          </w:p>
        </w:tc>
        <w:tc>
          <w:tcPr>
            <w:tcW w:w="1320" w:type="dxa"/>
            <w:tcBorders>
              <w:bottom w:val="single" w:sz="6" w:space="0" w:color="FBDDE3"/>
            </w:tcBorders>
            <w:tcMar>
              <w:bottom w:w="60" w:type="dxa"/>
            </w:tcMar>
            <w:vAlign w:val="center"/>
          </w:tcPr>
          <w:p>
            <w:pPr>
              <w:pStyle w:val="TableContents"/>
              <w:bidi w:val="0"/>
              <w:spacing w:before="0" w:after="283"/>
              <w:jc w:val="right"/>
              <w:rPr/>
            </w:pPr>
            <w:r>
              <w:rPr/>
              <w:t>10,000</w:t>
            </w:r>
          </w:p>
        </w:tc>
        <w:tc>
          <w:tcPr>
            <w:tcW w:w="13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sz w:val="4"/>
                <w:szCs w:val="4"/>
              </w:rPr>
            </w:pPr>
            <w:r>
              <w:rPr>
                <w:sz w:val="4"/>
                <w:szCs w:val="4"/>
              </w:rPr>
            </w:r>
          </w:p>
        </w:tc>
        <w:tc>
          <w:tcPr>
            <w:tcW w:w="1180" w:type="dxa"/>
            <w:gridSpan w:val="4"/>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r>
      <w:tr>
        <w:trPr/>
        <w:tc>
          <w:tcPr>
            <w:tcW w:w="2870" w:type="dxa"/>
            <w:tcBorders>
              <w:bottom w:val="single" w:sz="6" w:space="0" w:color="FBDDE3"/>
            </w:tcBorders>
            <w:tcMar>
              <w:bottom w:w="60" w:type="dxa"/>
            </w:tcMar>
            <w:vAlign w:val="center"/>
          </w:tcPr>
          <w:p>
            <w:pPr>
              <w:pStyle w:val="TableContents"/>
              <w:bidi w:val="0"/>
              <w:spacing w:before="0" w:after="0"/>
              <w:jc w:val="left"/>
              <w:rPr>
                <w:rFonts w:ascii="arial" w:hAnsi="arial"/>
                <w:b/>
                <w:sz w:val="18"/>
              </w:rPr>
            </w:pPr>
            <w:r>
              <w:rPr>
                <w:rFonts w:ascii="arial" w:hAnsi="arial"/>
                <w:b/>
                <w:sz w:val="18"/>
              </w:rPr>
              <w:t>Committee Chair Fees</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0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3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2870" w:type="dxa"/>
            <w:tcBorders/>
            <w:vAlign w:val="center"/>
          </w:tcPr>
          <w:p>
            <w:pPr>
              <w:pStyle w:val="TableContents"/>
              <w:bidi w:val="0"/>
              <w:spacing w:before="0" w:after="283"/>
              <w:jc w:val="left"/>
              <w:rPr>
                <w:sz w:val="4"/>
                <w:szCs w:val="4"/>
              </w:rPr>
            </w:pPr>
            <w:r>
              <w:rPr>
                <w:sz w:val="4"/>
                <w:szCs w:val="4"/>
              </w:rPr>
            </w:r>
          </w:p>
        </w:tc>
        <w:tc>
          <w:tcPr>
            <w:tcW w:w="1180" w:type="dxa"/>
            <w:gridSpan w:val="4"/>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r>
      <w:tr>
        <w:trPr/>
        <w:tc>
          <w:tcPr>
            <w:tcW w:w="287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Audit</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w:t>
            </w:r>
          </w:p>
        </w:tc>
        <w:tc>
          <w:tcPr>
            <w:tcW w:w="800" w:type="dxa"/>
            <w:tcBorders>
              <w:bottom w:val="single" w:sz="6" w:space="0" w:color="FBDDE3"/>
            </w:tcBorders>
            <w:tcMar>
              <w:bottom w:w="60" w:type="dxa"/>
            </w:tcMar>
            <w:vAlign w:val="center"/>
          </w:tcPr>
          <w:p>
            <w:pPr>
              <w:pStyle w:val="TableContents"/>
              <w:bidi w:val="0"/>
              <w:spacing w:before="0" w:after="283"/>
              <w:jc w:val="right"/>
              <w:rPr/>
            </w:pPr>
            <w:r>
              <w:rPr/>
              <w:t>20,000</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30" w:type="dxa"/>
            <w:tcBorders>
              <w:bottom w:val="single" w:sz="6" w:space="0" w:color="FBDDE3"/>
            </w:tcBorders>
            <w:tcMar>
              <w:bottom w:w="60" w:type="dxa"/>
            </w:tcMar>
            <w:vAlign w:val="center"/>
          </w:tcPr>
          <w:p>
            <w:pPr>
              <w:pStyle w:val="TableContents"/>
              <w:bidi w:val="0"/>
              <w:spacing w:before="0" w:after="283"/>
              <w:jc w:val="left"/>
              <w:rPr/>
            </w:pPr>
            <w:r>
              <w:rPr/>
              <w:t> </w:t>
            </w:r>
          </w:p>
        </w:tc>
        <w:tc>
          <w:tcPr>
            <w:tcW w:w="1320" w:type="dxa"/>
            <w:tcBorders>
              <w:bottom w:val="single" w:sz="6" w:space="0" w:color="FBDDE3"/>
            </w:tcBorders>
            <w:tcMar>
              <w:bottom w:w="60" w:type="dxa"/>
            </w:tcMar>
            <w:vAlign w:val="center"/>
          </w:tcPr>
          <w:p>
            <w:pPr>
              <w:pStyle w:val="TableContents"/>
              <w:bidi w:val="0"/>
              <w:spacing w:before="0" w:after="283"/>
              <w:jc w:val="right"/>
              <w:rPr/>
            </w:pPr>
            <w:r>
              <w:rPr/>
              <w:t>—</w:t>
            </w:r>
          </w:p>
        </w:tc>
        <w:tc>
          <w:tcPr>
            <w:tcW w:w="13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sz w:val="4"/>
                <w:szCs w:val="4"/>
              </w:rPr>
            </w:pPr>
            <w:r>
              <w:rPr>
                <w:sz w:val="4"/>
                <w:szCs w:val="4"/>
              </w:rPr>
            </w:r>
          </w:p>
        </w:tc>
        <w:tc>
          <w:tcPr>
            <w:tcW w:w="1180" w:type="dxa"/>
            <w:gridSpan w:val="4"/>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r>
      <w:tr>
        <w:trPr/>
        <w:tc>
          <w:tcPr>
            <w:tcW w:w="287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Human Capital and Compensation</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w:t>
            </w:r>
          </w:p>
        </w:tc>
        <w:tc>
          <w:tcPr>
            <w:tcW w:w="800" w:type="dxa"/>
            <w:tcBorders>
              <w:bottom w:val="single" w:sz="6" w:space="0" w:color="FBDDE3"/>
            </w:tcBorders>
            <w:tcMar>
              <w:bottom w:w="60" w:type="dxa"/>
            </w:tcMar>
            <w:vAlign w:val="center"/>
          </w:tcPr>
          <w:p>
            <w:pPr>
              <w:pStyle w:val="TableContents"/>
              <w:bidi w:val="0"/>
              <w:spacing w:before="0" w:after="283"/>
              <w:jc w:val="right"/>
              <w:rPr/>
            </w:pPr>
            <w:r>
              <w:rPr/>
              <w:t>15,000</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30" w:type="dxa"/>
            <w:tcBorders>
              <w:bottom w:val="single" w:sz="6" w:space="0" w:color="FBDDE3"/>
            </w:tcBorders>
            <w:tcMar>
              <w:bottom w:w="60" w:type="dxa"/>
            </w:tcMar>
            <w:vAlign w:val="center"/>
          </w:tcPr>
          <w:p>
            <w:pPr>
              <w:pStyle w:val="TableContents"/>
              <w:bidi w:val="0"/>
              <w:spacing w:before="0" w:after="283"/>
              <w:jc w:val="left"/>
              <w:rPr/>
            </w:pPr>
            <w:r>
              <w:rPr/>
              <w:t> </w:t>
            </w:r>
          </w:p>
        </w:tc>
        <w:tc>
          <w:tcPr>
            <w:tcW w:w="1320" w:type="dxa"/>
            <w:tcBorders>
              <w:bottom w:val="single" w:sz="6" w:space="0" w:color="FBDDE3"/>
            </w:tcBorders>
            <w:tcMar>
              <w:bottom w:w="60" w:type="dxa"/>
            </w:tcMar>
            <w:vAlign w:val="center"/>
          </w:tcPr>
          <w:p>
            <w:pPr>
              <w:pStyle w:val="TableContents"/>
              <w:bidi w:val="0"/>
              <w:spacing w:before="0" w:after="283"/>
              <w:jc w:val="right"/>
              <w:rPr/>
            </w:pPr>
            <w:r>
              <w:rPr/>
              <w:t>—</w:t>
            </w:r>
          </w:p>
        </w:tc>
        <w:tc>
          <w:tcPr>
            <w:tcW w:w="13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sz w:val="4"/>
                <w:szCs w:val="4"/>
              </w:rPr>
            </w:pPr>
            <w:r>
              <w:rPr>
                <w:sz w:val="4"/>
                <w:szCs w:val="4"/>
              </w:rPr>
            </w:r>
          </w:p>
        </w:tc>
        <w:tc>
          <w:tcPr>
            <w:tcW w:w="1180" w:type="dxa"/>
            <w:gridSpan w:val="4"/>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r>
      <w:tr>
        <w:trPr/>
        <w:tc>
          <w:tcPr>
            <w:tcW w:w="287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Nominating and Governance</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w:t>
            </w:r>
          </w:p>
        </w:tc>
        <w:tc>
          <w:tcPr>
            <w:tcW w:w="800" w:type="dxa"/>
            <w:tcBorders>
              <w:bottom w:val="single" w:sz="6" w:space="0" w:color="FBDDE3"/>
            </w:tcBorders>
            <w:tcMar>
              <w:bottom w:w="60" w:type="dxa"/>
            </w:tcMar>
            <w:vAlign w:val="center"/>
          </w:tcPr>
          <w:p>
            <w:pPr>
              <w:pStyle w:val="TableContents"/>
              <w:bidi w:val="0"/>
              <w:spacing w:before="0" w:after="283"/>
              <w:jc w:val="right"/>
              <w:rPr/>
            </w:pPr>
            <w:r>
              <w:rPr/>
              <w:t>15,000</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30" w:type="dxa"/>
            <w:tcBorders>
              <w:bottom w:val="single" w:sz="6" w:space="0" w:color="FBDDE3"/>
            </w:tcBorders>
            <w:tcMar>
              <w:bottom w:w="60" w:type="dxa"/>
            </w:tcMar>
            <w:vAlign w:val="center"/>
          </w:tcPr>
          <w:p>
            <w:pPr>
              <w:pStyle w:val="TableContents"/>
              <w:bidi w:val="0"/>
              <w:spacing w:before="0" w:after="283"/>
              <w:jc w:val="left"/>
              <w:rPr/>
            </w:pPr>
            <w:r>
              <w:rPr/>
              <w:t> </w:t>
            </w:r>
          </w:p>
        </w:tc>
        <w:tc>
          <w:tcPr>
            <w:tcW w:w="1320" w:type="dxa"/>
            <w:tcBorders>
              <w:bottom w:val="single" w:sz="6" w:space="0" w:color="FBDDE3"/>
            </w:tcBorders>
            <w:tcMar>
              <w:bottom w:w="60" w:type="dxa"/>
            </w:tcMar>
            <w:vAlign w:val="center"/>
          </w:tcPr>
          <w:p>
            <w:pPr>
              <w:pStyle w:val="TableContents"/>
              <w:bidi w:val="0"/>
              <w:spacing w:before="0" w:after="283"/>
              <w:jc w:val="right"/>
              <w:rPr/>
            </w:pPr>
            <w:r>
              <w:rPr/>
              <w:t>—</w:t>
            </w:r>
          </w:p>
        </w:tc>
        <w:tc>
          <w:tcPr>
            <w:tcW w:w="13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sz w:val="4"/>
                <w:szCs w:val="4"/>
              </w:rPr>
            </w:pPr>
            <w:r>
              <w:rPr>
                <w:sz w:val="4"/>
                <w:szCs w:val="4"/>
              </w:rPr>
            </w:r>
          </w:p>
        </w:tc>
        <w:tc>
          <w:tcPr>
            <w:tcW w:w="1180" w:type="dxa"/>
            <w:gridSpan w:val="4"/>
            <w:tcBorders/>
            <w:vAlign w:val="center"/>
          </w:tcPr>
          <w:p>
            <w:pPr>
              <w:pStyle w:val="TableContents"/>
              <w:bidi w:val="0"/>
              <w:spacing w:before="0" w:after="283"/>
              <w:jc w:val="left"/>
              <w:rPr>
                <w:sz w:val="4"/>
                <w:szCs w:val="4"/>
              </w:rPr>
            </w:pPr>
            <w:r>
              <w:rPr>
                <w:sz w:val="4"/>
                <w:szCs w:val="4"/>
              </w:rPr>
            </w:r>
          </w:p>
        </w:tc>
        <w:tc>
          <w:tcPr>
            <w:tcW w:w="1805" w:type="dxa"/>
            <w:gridSpan w:val="4"/>
            <w:tcBorders/>
            <w:vAlign w:val="center"/>
          </w:tcPr>
          <w:p>
            <w:pPr>
              <w:pStyle w:val="TableContents"/>
              <w:bidi w:val="0"/>
              <w:spacing w:before="0" w:after="283"/>
              <w:jc w:val="left"/>
              <w:rPr>
                <w:sz w:val="4"/>
                <w:szCs w:val="4"/>
              </w:rPr>
            </w:pPr>
            <w:r>
              <w:rPr>
                <w:sz w:val="4"/>
                <w:szCs w:val="4"/>
              </w:rPr>
            </w:r>
          </w:p>
        </w:tc>
      </w:tr>
      <w:tr>
        <w:trPr/>
        <w:tc>
          <w:tcPr>
            <w:tcW w:w="2870" w:type="dxa"/>
            <w:tcBorders>
              <w:bottom w:val="single" w:sz="8" w:space="0" w:color="F7ACBA"/>
            </w:tcBorders>
            <w:tcMar>
              <w:bottom w:w="80" w:type="dxa"/>
            </w:tcMar>
            <w:vAlign w:val="center"/>
          </w:tcPr>
          <w:p>
            <w:pPr>
              <w:pStyle w:val="TableContents"/>
              <w:bidi w:val="0"/>
              <w:spacing w:before="0" w:after="0"/>
              <w:jc w:val="left"/>
              <w:rPr>
                <w:rFonts w:ascii="arial" w:hAnsi="arial"/>
                <w:b/>
                <w:sz w:val="18"/>
              </w:rPr>
            </w:pPr>
            <w:r>
              <w:rPr>
                <w:rFonts w:ascii="arial" w:hAnsi="arial"/>
                <w:b/>
                <w:sz w:val="18"/>
              </w:rPr>
              <w:t>Board Chair Fees</w:t>
            </w:r>
          </w:p>
        </w:tc>
        <w:tc>
          <w:tcPr>
            <w:tcW w:w="120" w:type="dxa"/>
            <w:tcBorders>
              <w:bottom w:val="single" w:sz="8" w:space="0" w:color="F7ACBA"/>
            </w:tcBorders>
            <w:tcMar>
              <w:bottom w:w="28" w:type="dxa"/>
            </w:tcMar>
            <w:vAlign w:val="center"/>
          </w:tcPr>
          <w:p>
            <w:pPr>
              <w:pStyle w:val="TableContents"/>
              <w:bidi w:val="0"/>
              <w:spacing w:before="0" w:after="283"/>
              <w:jc w:val="left"/>
              <w:rPr/>
            </w:pPr>
            <w:r>
              <w:rPr/>
              <w:t>  </w:t>
            </w:r>
          </w:p>
        </w:tc>
        <w:tc>
          <w:tcPr>
            <w:tcW w:w="140" w:type="dxa"/>
            <w:tcBorders>
              <w:bottom w:val="single" w:sz="8" w:space="0" w:color="F7ACBA"/>
            </w:tcBorders>
            <w:tcMar>
              <w:bottom w:w="80" w:type="dxa"/>
            </w:tcMar>
            <w:vAlign w:val="center"/>
          </w:tcPr>
          <w:p>
            <w:pPr>
              <w:pStyle w:val="TableContents"/>
              <w:bidi w:val="0"/>
              <w:spacing w:before="0" w:after="283"/>
              <w:jc w:val="left"/>
              <w:rPr/>
            </w:pPr>
            <w:r>
              <w:rPr/>
              <w:t>$</w:t>
            </w:r>
          </w:p>
        </w:tc>
        <w:tc>
          <w:tcPr>
            <w:tcW w:w="800" w:type="dxa"/>
            <w:tcBorders>
              <w:bottom w:val="single" w:sz="8" w:space="0" w:color="F7ACBA"/>
            </w:tcBorders>
            <w:tcMar>
              <w:bottom w:w="80" w:type="dxa"/>
            </w:tcMar>
            <w:vAlign w:val="center"/>
          </w:tcPr>
          <w:p>
            <w:pPr>
              <w:pStyle w:val="TableContents"/>
              <w:bidi w:val="0"/>
              <w:spacing w:before="0" w:after="283"/>
              <w:jc w:val="right"/>
              <w:rPr/>
            </w:pPr>
            <w:r>
              <w:rPr/>
              <w:t>80,000</w:t>
            </w:r>
          </w:p>
        </w:tc>
        <w:tc>
          <w:tcPr>
            <w:tcW w:w="120" w:type="dxa"/>
            <w:tcBorders>
              <w:bottom w:val="single" w:sz="8" w:space="0" w:color="F7ACBA"/>
            </w:tcBorders>
            <w:tcMar>
              <w:bottom w:w="80" w:type="dxa"/>
            </w:tcMar>
            <w:vAlign w:val="center"/>
          </w:tcPr>
          <w:p>
            <w:pPr>
              <w:pStyle w:val="TableContents"/>
              <w:bidi w:val="0"/>
              <w:spacing w:before="0" w:after="283"/>
              <w:jc w:val="left"/>
              <w:rPr/>
            </w:pPr>
            <w:r>
              <w:rPr/>
              <w:t> </w:t>
            </w:r>
          </w:p>
        </w:tc>
        <w:tc>
          <w:tcPr>
            <w:tcW w:w="120" w:type="dxa"/>
            <w:tcBorders>
              <w:bottom w:val="single" w:sz="8" w:space="0" w:color="F7ACBA"/>
            </w:tcBorders>
            <w:tcMar>
              <w:bottom w:w="28" w:type="dxa"/>
            </w:tcMar>
            <w:vAlign w:val="center"/>
          </w:tcPr>
          <w:p>
            <w:pPr>
              <w:pStyle w:val="TableContents"/>
              <w:bidi w:val="0"/>
              <w:spacing w:before="0" w:after="283"/>
              <w:jc w:val="left"/>
              <w:rPr/>
            </w:pPr>
            <w:r>
              <w:rPr/>
              <w:t>  </w:t>
            </w:r>
          </w:p>
        </w:tc>
        <w:tc>
          <w:tcPr>
            <w:tcW w:w="230" w:type="dxa"/>
            <w:tcBorders>
              <w:bottom w:val="single" w:sz="8" w:space="0" w:color="F7ACBA"/>
            </w:tcBorders>
            <w:tcMar>
              <w:bottom w:w="80" w:type="dxa"/>
            </w:tcMar>
            <w:vAlign w:val="center"/>
          </w:tcPr>
          <w:p>
            <w:pPr>
              <w:pStyle w:val="TableContents"/>
              <w:bidi w:val="0"/>
              <w:spacing w:before="0" w:after="283"/>
              <w:jc w:val="left"/>
              <w:rPr/>
            </w:pPr>
            <w:r>
              <w:rPr/>
              <w:t>$</w:t>
            </w:r>
          </w:p>
        </w:tc>
        <w:tc>
          <w:tcPr>
            <w:tcW w:w="1320" w:type="dxa"/>
            <w:tcBorders>
              <w:bottom w:val="single" w:sz="8" w:space="0" w:color="F7ACBA"/>
            </w:tcBorders>
            <w:tcMar>
              <w:bottom w:w="80" w:type="dxa"/>
            </w:tcMar>
            <w:vAlign w:val="center"/>
          </w:tcPr>
          <w:p>
            <w:pPr>
              <w:pStyle w:val="TableContents"/>
              <w:bidi w:val="0"/>
              <w:spacing w:before="0" w:after="283"/>
              <w:jc w:val="right"/>
              <w:rPr/>
            </w:pPr>
            <w:r>
              <w:rPr/>
              <w:t>80,000</w:t>
            </w:r>
          </w:p>
        </w:tc>
        <w:tc>
          <w:tcPr>
            <w:tcW w:w="135" w:type="dxa"/>
            <w:tcBorders>
              <w:bottom w:val="single" w:sz="8" w:space="0" w:color="F7ACBA"/>
            </w:tcBorders>
            <w:tcMar>
              <w:bottom w:w="80" w:type="dxa"/>
            </w:tcMar>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18"/>
        </w:rPr>
      </w:pPr>
      <w:r>
        <w:rPr>
          <w:rFonts w:ascii="arial" w:hAnsi="arial"/>
          <w:sz w:val="18"/>
        </w:rPr>
        <w:t xml:space="preserve">The Chair fees are paid in addition to any Board and committee member fees. All cash retainers are paid quarterly in arrears. The equity retainers are granted under the Victoria’s Secret &amp; Co. 2021 Stock Option and Performance Incentive Plan (the “VS 2021 Stock Plan”) and delivered in the form of unrestricted VS&amp;Co shares generally on the date of our annual meeting of stockholders. </w:t>
      </w:r>
    </w:p>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96"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87" descr=""/>
                          <pic:cNvPicPr>
                            <a:picLocks noChangeAspect="1" noChangeArrowheads="1"/>
                          </pic:cNvPicPr>
                        </pic:nvPicPr>
                        <pic:blipFill>
                          <a:blip r:embed="rId88"/>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44 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DIRECTOR COMPENSATION </w:t>
      </w:r>
    </w:p>
    <w:p>
      <w:pPr>
        <w:pStyle w:val="TextBody"/>
        <w:bidi w:val="0"/>
        <w:spacing w:before="0" w:after="0"/>
        <w:jc w:val="left"/>
        <w:rPr/>
      </w:pPr>
      <w:r>
        <w:rPr/>
        <w:t> </w:t>
      </w:r>
    </w:p>
    <w:p>
      <w:pPr>
        <w:pStyle w:val="TextBody"/>
        <w:bidi w:val="0"/>
        <w:spacing w:before="0" w:after="0"/>
        <w:jc w:val="left"/>
        <w:rPr>
          <w:rFonts w:ascii="arial" w:hAnsi="arial"/>
          <w:b/>
          <w:color w:val="F7ACBA"/>
          <w:sz w:val="24"/>
        </w:rPr>
      </w:pPr>
      <w:r>
        <w:rPr>
          <w:rFonts w:ascii="arial" w:hAnsi="arial"/>
          <w:b/>
          <w:color w:val="F7ACBA"/>
          <w:sz w:val="24"/>
        </w:rPr>
        <w:t xml:space="preserve">2023 Director Compensation </w:t>
      </w:r>
    </w:p>
    <w:p>
      <w:pPr>
        <w:pStyle w:val="TextBody"/>
        <w:bidi w:val="0"/>
        <w:spacing w:before="60" w:after="0"/>
        <w:jc w:val="left"/>
        <w:rPr>
          <w:rFonts w:ascii="arial" w:hAnsi="arial"/>
          <w:sz w:val="18"/>
        </w:rPr>
      </w:pPr>
      <w:r>
        <w:rPr>
          <w:rFonts w:ascii="arial" w:hAnsi="arial"/>
          <w:sz w:val="18"/>
        </w:rPr>
        <w:t xml:space="preserve">In 2023, compensation earned by our non-employee directors was as follows. Mr. Waters’ compensation is disclosed in the 2023 Summary Compensation Table in the Compensation Discussion and Analysis section of this Proxy Statement. </w:t>
      </w:r>
    </w:p>
    <w:p>
      <w:pPr>
        <w:pStyle w:val="TextBody"/>
        <w:bidi w:val="0"/>
        <w:spacing w:before="0" w:after="0"/>
        <w:jc w:val="left"/>
        <w:rPr/>
      </w:pPr>
      <w:r>
        <w:rPr/>
        <w:t> </w:t>
      </w:r>
    </w:p>
    <w:tbl>
      <w:tblPr>
        <w:tblW w:w="6110" w:type="dxa"/>
        <w:jc w:val="left"/>
        <w:tblInd w:w="0" w:type="dxa"/>
        <w:tblLayout w:type="fixed"/>
        <w:tblCellMar>
          <w:top w:w="0" w:type="dxa"/>
          <w:left w:w="0" w:type="dxa"/>
          <w:bottom w:w="0" w:type="dxa"/>
          <w:right w:w="0" w:type="dxa"/>
        </w:tblCellMar>
      </w:tblPr>
      <w:tblGrid>
        <w:gridCol w:w="1940"/>
        <w:gridCol w:w="120"/>
        <w:gridCol w:w="90"/>
        <w:gridCol w:w="1205"/>
        <w:gridCol w:w="60"/>
        <w:gridCol w:w="120"/>
        <w:gridCol w:w="101"/>
        <w:gridCol w:w="1359"/>
        <w:gridCol w:w="60"/>
        <w:gridCol w:w="120"/>
        <w:gridCol w:w="60"/>
        <w:gridCol w:w="800"/>
        <w:gridCol w:w="75"/>
      </w:tblGrid>
      <w:tr>
        <w:trPr/>
        <w:tc>
          <w:tcPr>
            <w:tcW w:w="1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40" w:type="dxa"/>
            <w:tcBorders/>
            <w:shd w:fill="FDEEF1" w:val="clear"/>
            <w:vAlign w:val="center"/>
          </w:tcPr>
          <w:p>
            <w:pPr>
              <w:pStyle w:val="TableContents"/>
              <w:bidi w:val="0"/>
              <w:spacing w:before="0" w:after="283"/>
              <w:jc w:val="left"/>
              <w:rPr>
                <w:sz w:val="4"/>
                <w:szCs w:val="4"/>
              </w:rPr>
            </w:pPr>
            <w:r>
              <w:rPr>
                <w:sz w:val="4"/>
                <w:szCs w:val="4"/>
              </w:rPr>
            </w:r>
          </w:p>
        </w:tc>
        <w:tc>
          <w:tcPr>
            <w:tcW w:w="1475" w:type="dxa"/>
            <w:gridSpan w:val="4"/>
            <w:tcBorders/>
            <w:shd w:fill="FDEEF1" w:val="clear"/>
            <w:vAlign w:val="center"/>
          </w:tcPr>
          <w:p>
            <w:pPr>
              <w:pStyle w:val="TableContents"/>
              <w:bidi w:val="0"/>
              <w:spacing w:before="0" w:after="283"/>
              <w:jc w:val="left"/>
              <w:rPr>
                <w:sz w:val="4"/>
                <w:szCs w:val="4"/>
              </w:rPr>
            </w:pPr>
            <w:r>
              <w:rPr>
                <w:sz w:val="4"/>
                <w:szCs w:val="4"/>
              </w:rPr>
            </w:r>
          </w:p>
        </w:tc>
        <w:tc>
          <w:tcPr>
            <w:tcW w:w="1640" w:type="dxa"/>
            <w:gridSpan w:val="4"/>
            <w:tcBorders/>
            <w:shd w:fill="FDEEF1" w:val="clear"/>
            <w:vAlign w:val="center"/>
          </w:tcPr>
          <w:p>
            <w:pPr>
              <w:pStyle w:val="TableContents"/>
              <w:bidi w:val="0"/>
              <w:spacing w:before="0" w:after="283"/>
              <w:jc w:val="left"/>
              <w:rPr>
                <w:sz w:val="4"/>
                <w:szCs w:val="4"/>
              </w:rPr>
            </w:pPr>
            <w:r>
              <w:rPr>
                <w:sz w:val="4"/>
                <w:szCs w:val="4"/>
              </w:rPr>
            </w:r>
          </w:p>
        </w:tc>
        <w:tc>
          <w:tcPr>
            <w:tcW w:w="1055" w:type="dxa"/>
            <w:gridSpan w:val="4"/>
            <w:tcBorders/>
            <w:shd w:fill="FDEEF1" w:val="clear"/>
            <w:vAlign w:val="center"/>
          </w:tcPr>
          <w:p>
            <w:pPr>
              <w:pStyle w:val="TableContents"/>
              <w:bidi w:val="0"/>
              <w:spacing w:before="0" w:after="283"/>
              <w:jc w:val="left"/>
              <w:rPr>
                <w:sz w:val="4"/>
                <w:szCs w:val="4"/>
              </w:rPr>
            </w:pPr>
            <w:r>
              <w:rPr>
                <w:sz w:val="4"/>
                <w:szCs w:val="4"/>
              </w:rPr>
            </w:r>
          </w:p>
        </w:tc>
      </w:tr>
      <w:tr>
        <w:trPr/>
        <w:tc>
          <w:tcPr>
            <w:tcW w:w="1940" w:type="dxa"/>
            <w:tcBorders/>
            <w:shd w:fill="FDEEF1" w:val="clear"/>
            <w:vAlign w:val="center"/>
          </w:tcPr>
          <w:p>
            <w:pPr>
              <w:pStyle w:val="TableContents"/>
              <w:bidi w:val="0"/>
              <w:spacing w:before="0" w:after="0"/>
              <w:jc w:val="left"/>
              <w:rPr>
                <w:rFonts w:ascii="arial" w:hAnsi="arial"/>
                <w:b/>
                <w:sz w:val="16"/>
              </w:rPr>
            </w:pPr>
            <w:r>
              <w:rPr>
                <w:rFonts w:ascii="arial" w:hAnsi="arial"/>
                <w:b/>
                <w:sz w:val="16"/>
              </w:rPr>
              <w:t>Name</w:t>
            </w:r>
          </w:p>
        </w:tc>
        <w:tc>
          <w:tcPr>
            <w:tcW w:w="120" w:type="dxa"/>
            <w:tcBorders/>
            <w:shd w:fill="FDEEF1" w:val="clear"/>
            <w:vAlign w:val="center"/>
          </w:tcPr>
          <w:p>
            <w:pPr>
              <w:pStyle w:val="TableContents"/>
              <w:bidi w:val="0"/>
              <w:spacing w:before="0" w:after="283"/>
              <w:jc w:val="left"/>
              <w:rPr/>
            </w:pPr>
            <w:r>
              <w:rPr/>
              <w:t>  </w:t>
            </w:r>
          </w:p>
        </w:tc>
        <w:tc>
          <w:tcPr>
            <w:tcW w:w="1295" w:type="dxa"/>
            <w:gridSpan w:val="2"/>
            <w:tcBorders/>
            <w:shd w:fill="FDEEF1" w:val="clear"/>
            <w:vAlign w:val="center"/>
          </w:tcPr>
          <w:p>
            <w:pPr>
              <w:pStyle w:val="TableContents"/>
              <w:bidi w:val="0"/>
              <w:spacing w:before="0" w:after="283"/>
              <w:jc w:val="center"/>
              <w:rPr>
                <w:b/>
              </w:rPr>
            </w:pPr>
            <w:r>
              <w:rPr>
                <w:b/>
              </w:rPr>
              <w:t>Fees Earned</w:t>
              <w:br/>
              <w:t>or Paid In</w:t>
              <w:br/>
              <w:t>Cash</w:t>
              <w:br/>
              <w:t>($)</w:t>
            </w:r>
          </w:p>
        </w:tc>
        <w:tc>
          <w:tcPr>
            <w:tcW w:w="60" w:type="dxa"/>
            <w:tcBorders/>
            <w:shd w:fill="FDEEF1" w:val="clear"/>
            <w:vAlign w:val="center"/>
          </w:tcPr>
          <w:p>
            <w:pPr>
              <w:pStyle w:val="TableContents"/>
              <w:bidi w:val="0"/>
              <w:spacing w:before="0" w:after="283"/>
              <w:jc w:val="left"/>
              <w:rPr/>
            </w:pPr>
            <w:r>
              <w:rPr/>
              <w:t> </w:t>
            </w:r>
          </w:p>
        </w:tc>
        <w:tc>
          <w:tcPr>
            <w:tcW w:w="120" w:type="dxa"/>
            <w:tcBorders/>
            <w:shd w:fill="FDEEF1" w:val="clear"/>
            <w:vAlign w:val="center"/>
          </w:tcPr>
          <w:p>
            <w:pPr>
              <w:pStyle w:val="TableContents"/>
              <w:bidi w:val="0"/>
              <w:spacing w:before="0" w:after="283"/>
              <w:jc w:val="left"/>
              <w:rPr/>
            </w:pPr>
            <w:r>
              <w:rPr/>
              <w:t>  </w:t>
            </w:r>
          </w:p>
        </w:tc>
        <w:tc>
          <w:tcPr>
            <w:tcW w:w="1460" w:type="dxa"/>
            <w:gridSpan w:val="2"/>
            <w:tcBorders/>
            <w:shd w:fill="FDEEF1" w:val="clear"/>
            <w:vAlign w:val="center"/>
          </w:tcPr>
          <w:p>
            <w:pPr>
              <w:pStyle w:val="TableContents"/>
              <w:bidi w:val="0"/>
              <w:spacing w:before="0" w:after="283"/>
              <w:jc w:val="center"/>
              <w:rPr>
                <w:b/>
              </w:rPr>
            </w:pPr>
            <w:r>
              <w:rPr>
                <w:b/>
              </w:rPr>
              <w:t>Stock Awards</w:t>
              <w:br/>
              <w:t>($)(1)</w:t>
            </w:r>
          </w:p>
        </w:tc>
        <w:tc>
          <w:tcPr>
            <w:tcW w:w="60" w:type="dxa"/>
            <w:tcBorders/>
            <w:shd w:fill="FDEEF1" w:val="clear"/>
            <w:vAlign w:val="center"/>
          </w:tcPr>
          <w:p>
            <w:pPr>
              <w:pStyle w:val="TableContents"/>
              <w:bidi w:val="0"/>
              <w:spacing w:before="0" w:after="283"/>
              <w:jc w:val="left"/>
              <w:rPr/>
            </w:pPr>
            <w:r>
              <w:rPr/>
              <w:t> </w:t>
            </w:r>
          </w:p>
        </w:tc>
        <w:tc>
          <w:tcPr>
            <w:tcW w:w="120" w:type="dxa"/>
            <w:tcBorders/>
            <w:shd w:fill="FDEEF1" w:val="clear"/>
            <w:vAlign w:val="center"/>
          </w:tcPr>
          <w:p>
            <w:pPr>
              <w:pStyle w:val="TableContents"/>
              <w:bidi w:val="0"/>
              <w:spacing w:before="0" w:after="283"/>
              <w:jc w:val="left"/>
              <w:rPr/>
            </w:pPr>
            <w:r>
              <w:rPr/>
              <w:t>  </w:t>
            </w:r>
          </w:p>
        </w:tc>
        <w:tc>
          <w:tcPr>
            <w:tcW w:w="860" w:type="dxa"/>
            <w:gridSpan w:val="2"/>
            <w:tcBorders/>
            <w:shd w:fill="FDEEF1" w:val="clear"/>
            <w:vAlign w:val="center"/>
          </w:tcPr>
          <w:p>
            <w:pPr>
              <w:pStyle w:val="TableContents"/>
              <w:bidi w:val="0"/>
              <w:spacing w:before="0" w:after="283"/>
              <w:jc w:val="center"/>
              <w:rPr>
                <w:b/>
              </w:rPr>
            </w:pPr>
            <w:r>
              <w:rPr>
                <w:b/>
              </w:rPr>
              <w:t>Total</w:t>
              <w:br/>
              <w:t>($)</w:t>
            </w:r>
          </w:p>
        </w:tc>
        <w:tc>
          <w:tcPr>
            <w:tcW w:w="75" w:type="dxa"/>
            <w:tcBorders/>
            <w:shd w:fill="FDEEF1" w:val="clear"/>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c>
          <w:tcPr>
            <w:tcW w:w="164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1940" w:type="dxa"/>
            <w:tcBorders>
              <w:bottom w:val="single" w:sz="6" w:space="0" w:color="FBDDE3"/>
            </w:tcBorders>
            <w:tcMar>
              <w:bottom w:w="60" w:type="dxa"/>
            </w:tcMar>
            <w:vAlign w:val="center"/>
          </w:tcPr>
          <w:p>
            <w:pPr>
              <w:pStyle w:val="TableContents"/>
              <w:bidi w:val="0"/>
              <w:spacing w:before="0" w:after="0"/>
              <w:jc w:val="left"/>
              <w:rPr>
                <w:rFonts w:ascii="arial" w:hAnsi="arial"/>
                <w:b/>
                <w:sz w:val="18"/>
              </w:rPr>
            </w:pPr>
            <w:r>
              <w:rPr>
                <w:rFonts w:ascii="arial" w:hAnsi="arial"/>
                <w:b/>
                <w:sz w:val="18"/>
              </w:rPr>
              <w:t>Irene Chang Britt</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9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5" w:type="dxa"/>
            <w:tcBorders>
              <w:bottom w:val="single" w:sz="6" w:space="0" w:color="FBDDE3"/>
            </w:tcBorders>
            <w:tcMar>
              <w:bottom w:w="60" w:type="dxa"/>
            </w:tcMar>
            <w:vAlign w:val="center"/>
          </w:tcPr>
          <w:p>
            <w:pPr>
              <w:pStyle w:val="TableContents"/>
              <w:bidi w:val="0"/>
              <w:spacing w:before="0" w:after="283"/>
              <w:jc w:val="right"/>
              <w:rPr/>
            </w:pPr>
            <w:r>
              <w:rPr/>
              <w:t>151,900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01" w:type="dxa"/>
            <w:tcBorders>
              <w:bottom w:val="single" w:sz="6" w:space="0" w:color="FBDDE3"/>
            </w:tcBorders>
            <w:tcMar>
              <w:bottom w:w="60" w:type="dxa"/>
            </w:tcMar>
            <w:vAlign w:val="center"/>
          </w:tcPr>
          <w:p>
            <w:pPr>
              <w:pStyle w:val="TableContents"/>
              <w:bidi w:val="0"/>
              <w:spacing w:before="0" w:after="283"/>
              <w:jc w:val="left"/>
              <w:rPr/>
            </w:pPr>
            <w:r>
              <w:rPr/>
              <w:t> </w:t>
            </w:r>
          </w:p>
        </w:tc>
        <w:tc>
          <w:tcPr>
            <w:tcW w:w="1359" w:type="dxa"/>
            <w:tcBorders>
              <w:bottom w:val="single" w:sz="6" w:space="0" w:color="FBDDE3"/>
            </w:tcBorders>
            <w:tcMar>
              <w:bottom w:w="60" w:type="dxa"/>
            </w:tcMar>
            <w:vAlign w:val="center"/>
          </w:tcPr>
          <w:p>
            <w:pPr>
              <w:pStyle w:val="TableContents"/>
              <w:bidi w:val="0"/>
              <w:spacing w:before="0" w:after="283"/>
              <w:jc w:val="right"/>
              <w:rPr/>
            </w:pPr>
            <w:r>
              <w:rPr/>
              <w:t>136,900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288,800</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c>
          <w:tcPr>
            <w:tcW w:w="164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1940" w:type="dxa"/>
            <w:tcBorders>
              <w:bottom w:val="single" w:sz="6" w:space="0" w:color="FBDDE3"/>
            </w:tcBorders>
            <w:tcMar>
              <w:bottom w:w="60" w:type="dxa"/>
            </w:tcMar>
            <w:vAlign w:val="center"/>
          </w:tcPr>
          <w:p>
            <w:pPr>
              <w:pStyle w:val="TableContents"/>
              <w:bidi w:val="0"/>
              <w:spacing w:before="0" w:after="0"/>
              <w:jc w:val="left"/>
              <w:rPr>
                <w:rFonts w:ascii="arial" w:hAnsi="arial"/>
                <w:b/>
                <w:sz w:val="18"/>
              </w:rPr>
            </w:pPr>
            <w:r>
              <w:rPr>
                <w:rFonts w:ascii="arial" w:hAnsi="arial"/>
                <w:b/>
                <w:sz w:val="18"/>
              </w:rPr>
              <w:t>Sarah Davis</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9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5" w:type="dxa"/>
            <w:tcBorders>
              <w:bottom w:val="single" w:sz="6" w:space="0" w:color="FBDDE3"/>
            </w:tcBorders>
            <w:tcMar>
              <w:bottom w:w="60" w:type="dxa"/>
            </w:tcMar>
            <w:vAlign w:val="center"/>
          </w:tcPr>
          <w:p>
            <w:pPr>
              <w:pStyle w:val="TableContents"/>
              <w:bidi w:val="0"/>
              <w:spacing w:before="0" w:after="283"/>
              <w:jc w:val="right"/>
              <w:rPr/>
            </w:pPr>
            <w:r>
              <w:rPr/>
              <w:t>154,400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01" w:type="dxa"/>
            <w:tcBorders>
              <w:bottom w:val="single" w:sz="6" w:space="0" w:color="FBDDE3"/>
            </w:tcBorders>
            <w:tcMar>
              <w:bottom w:w="60" w:type="dxa"/>
            </w:tcMar>
            <w:vAlign w:val="center"/>
          </w:tcPr>
          <w:p>
            <w:pPr>
              <w:pStyle w:val="TableContents"/>
              <w:bidi w:val="0"/>
              <w:spacing w:before="0" w:after="283"/>
              <w:jc w:val="left"/>
              <w:rPr/>
            </w:pPr>
            <w:r>
              <w:rPr/>
              <w:t> </w:t>
            </w:r>
          </w:p>
        </w:tc>
        <w:tc>
          <w:tcPr>
            <w:tcW w:w="1359" w:type="dxa"/>
            <w:tcBorders>
              <w:bottom w:val="single" w:sz="6" w:space="0" w:color="FBDDE3"/>
            </w:tcBorders>
            <w:tcMar>
              <w:bottom w:w="60" w:type="dxa"/>
            </w:tcMar>
            <w:vAlign w:val="center"/>
          </w:tcPr>
          <w:p>
            <w:pPr>
              <w:pStyle w:val="TableContents"/>
              <w:bidi w:val="0"/>
              <w:spacing w:before="0" w:after="283"/>
              <w:jc w:val="right"/>
              <w:rPr/>
            </w:pPr>
            <w:r>
              <w:rPr/>
              <w:t>134,400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288,800</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c>
          <w:tcPr>
            <w:tcW w:w="164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1940" w:type="dxa"/>
            <w:tcBorders>
              <w:bottom w:val="single" w:sz="6" w:space="0" w:color="FBDDE3"/>
            </w:tcBorders>
            <w:tcMar>
              <w:bottom w:w="60" w:type="dxa"/>
            </w:tcMar>
            <w:vAlign w:val="center"/>
          </w:tcPr>
          <w:p>
            <w:pPr>
              <w:pStyle w:val="TableContents"/>
              <w:bidi w:val="0"/>
              <w:spacing w:before="0" w:after="0"/>
              <w:jc w:val="left"/>
              <w:rPr>
                <w:rFonts w:ascii="arial" w:hAnsi="arial"/>
                <w:b/>
                <w:sz w:val="18"/>
              </w:rPr>
            </w:pPr>
            <w:r>
              <w:rPr>
                <w:rFonts w:ascii="arial" w:hAnsi="arial"/>
                <w:b/>
                <w:sz w:val="18"/>
              </w:rPr>
              <w:t>Jacqueline Hernández</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9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5" w:type="dxa"/>
            <w:tcBorders>
              <w:bottom w:val="single" w:sz="6" w:space="0" w:color="FBDDE3"/>
            </w:tcBorders>
            <w:tcMar>
              <w:bottom w:w="60" w:type="dxa"/>
            </w:tcMar>
            <w:vAlign w:val="center"/>
          </w:tcPr>
          <w:p>
            <w:pPr>
              <w:pStyle w:val="TableContents"/>
              <w:bidi w:val="0"/>
              <w:spacing w:before="0" w:after="283"/>
              <w:jc w:val="right"/>
              <w:rPr/>
            </w:pPr>
            <w:r>
              <w:rPr/>
              <w:t>134,400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01" w:type="dxa"/>
            <w:tcBorders>
              <w:bottom w:val="single" w:sz="6" w:space="0" w:color="FBDDE3"/>
            </w:tcBorders>
            <w:tcMar>
              <w:bottom w:w="60" w:type="dxa"/>
            </w:tcMar>
            <w:vAlign w:val="center"/>
          </w:tcPr>
          <w:p>
            <w:pPr>
              <w:pStyle w:val="TableContents"/>
              <w:bidi w:val="0"/>
              <w:spacing w:before="0" w:after="283"/>
              <w:jc w:val="left"/>
              <w:rPr/>
            </w:pPr>
            <w:r>
              <w:rPr/>
              <w:t> </w:t>
            </w:r>
          </w:p>
        </w:tc>
        <w:tc>
          <w:tcPr>
            <w:tcW w:w="1359" w:type="dxa"/>
            <w:tcBorders>
              <w:bottom w:val="single" w:sz="6" w:space="0" w:color="FBDDE3"/>
            </w:tcBorders>
            <w:tcMar>
              <w:bottom w:w="60" w:type="dxa"/>
            </w:tcMar>
            <w:vAlign w:val="center"/>
          </w:tcPr>
          <w:p>
            <w:pPr>
              <w:pStyle w:val="TableContents"/>
              <w:bidi w:val="0"/>
              <w:spacing w:before="0" w:after="283"/>
              <w:jc w:val="right"/>
              <w:rPr/>
            </w:pPr>
            <w:r>
              <w:rPr/>
              <w:t>134,400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268,800</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c>
          <w:tcPr>
            <w:tcW w:w="164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1940" w:type="dxa"/>
            <w:tcBorders>
              <w:bottom w:val="single" w:sz="6" w:space="0" w:color="FBDDE3"/>
            </w:tcBorders>
            <w:tcMar>
              <w:bottom w:w="60" w:type="dxa"/>
            </w:tcMar>
            <w:vAlign w:val="center"/>
          </w:tcPr>
          <w:p>
            <w:pPr>
              <w:pStyle w:val="TableContents"/>
              <w:bidi w:val="0"/>
              <w:spacing w:before="0" w:after="0"/>
              <w:jc w:val="left"/>
              <w:rPr>
                <w:rFonts w:ascii="arial" w:hAnsi="arial"/>
                <w:b/>
                <w:sz w:val="18"/>
              </w:rPr>
            </w:pPr>
            <w:r>
              <w:rPr>
                <w:rFonts w:ascii="arial" w:hAnsi="arial"/>
                <w:b/>
                <w:sz w:val="18"/>
              </w:rPr>
              <w:t>Donna James</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9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5" w:type="dxa"/>
            <w:tcBorders>
              <w:bottom w:val="single" w:sz="6" w:space="0" w:color="FBDDE3"/>
            </w:tcBorders>
            <w:tcMar>
              <w:bottom w:w="60" w:type="dxa"/>
            </w:tcMar>
            <w:vAlign w:val="center"/>
          </w:tcPr>
          <w:p>
            <w:pPr>
              <w:pStyle w:val="TableContents"/>
              <w:bidi w:val="0"/>
              <w:spacing w:before="0" w:after="283"/>
              <w:jc w:val="right"/>
              <w:rPr/>
            </w:pPr>
            <w:r>
              <w:rPr/>
              <w:t>214,400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01" w:type="dxa"/>
            <w:tcBorders>
              <w:bottom w:val="single" w:sz="6" w:space="0" w:color="FBDDE3"/>
            </w:tcBorders>
            <w:tcMar>
              <w:bottom w:w="60" w:type="dxa"/>
            </w:tcMar>
            <w:vAlign w:val="center"/>
          </w:tcPr>
          <w:p>
            <w:pPr>
              <w:pStyle w:val="TableContents"/>
              <w:bidi w:val="0"/>
              <w:spacing w:before="0" w:after="283"/>
              <w:jc w:val="left"/>
              <w:rPr/>
            </w:pPr>
            <w:r>
              <w:rPr/>
              <w:t> </w:t>
            </w:r>
          </w:p>
        </w:tc>
        <w:tc>
          <w:tcPr>
            <w:tcW w:w="1359" w:type="dxa"/>
            <w:tcBorders>
              <w:bottom w:val="single" w:sz="6" w:space="0" w:color="FBDDE3"/>
            </w:tcBorders>
            <w:tcMar>
              <w:bottom w:w="60" w:type="dxa"/>
            </w:tcMar>
            <w:vAlign w:val="center"/>
          </w:tcPr>
          <w:p>
            <w:pPr>
              <w:pStyle w:val="TableContents"/>
              <w:bidi w:val="0"/>
              <w:spacing w:before="0" w:after="283"/>
              <w:jc w:val="right"/>
              <w:rPr/>
            </w:pPr>
            <w:r>
              <w:rPr/>
              <w:t>214,400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428,800</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c>
          <w:tcPr>
            <w:tcW w:w="164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1940" w:type="dxa"/>
            <w:tcBorders>
              <w:bottom w:val="single" w:sz="6" w:space="0" w:color="FBDDE3"/>
            </w:tcBorders>
            <w:tcMar>
              <w:bottom w:w="60" w:type="dxa"/>
            </w:tcMar>
            <w:vAlign w:val="center"/>
          </w:tcPr>
          <w:p>
            <w:pPr>
              <w:pStyle w:val="TableContents"/>
              <w:bidi w:val="0"/>
              <w:spacing w:before="0" w:after="0"/>
              <w:jc w:val="left"/>
              <w:rPr>
                <w:rFonts w:ascii="arial" w:hAnsi="arial"/>
                <w:b/>
                <w:sz w:val="18"/>
              </w:rPr>
            </w:pPr>
            <w:r>
              <w:rPr>
                <w:rFonts w:ascii="arial" w:hAnsi="arial"/>
                <w:b/>
                <w:sz w:val="18"/>
              </w:rPr>
              <w:t>Rod Little(2)</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9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5" w:type="dxa"/>
            <w:tcBorders>
              <w:bottom w:val="single" w:sz="6" w:space="0" w:color="FBDDE3"/>
            </w:tcBorders>
            <w:tcMar>
              <w:bottom w:w="60" w:type="dxa"/>
            </w:tcMar>
            <w:vAlign w:val="center"/>
          </w:tcPr>
          <w:p>
            <w:pPr>
              <w:pStyle w:val="TableContents"/>
              <w:bidi w:val="0"/>
              <w:spacing w:before="0" w:after="283"/>
              <w:jc w:val="right"/>
              <w:rPr/>
            </w:pPr>
            <w:r>
              <w:rPr/>
              <w:t>62,200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01" w:type="dxa"/>
            <w:tcBorders>
              <w:bottom w:val="single" w:sz="6" w:space="0" w:color="FBDDE3"/>
            </w:tcBorders>
            <w:tcMar>
              <w:bottom w:w="60" w:type="dxa"/>
            </w:tcMar>
            <w:vAlign w:val="center"/>
          </w:tcPr>
          <w:p>
            <w:pPr>
              <w:pStyle w:val="TableContents"/>
              <w:bidi w:val="0"/>
              <w:spacing w:before="0" w:after="283"/>
              <w:jc w:val="left"/>
              <w:rPr/>
            </w:pPr>
            <w:r>
              <w:rPr/>
              <w:t> </w:t>
            </w:r>
          </w:p>
        </w:tc>
        <w:tc>
          <w:tcPr>
            <w:tcW w:w="1359" w:type="dxa"/>
            <w:tcBorders>
              <w:bottom w:val="single" w:sz="6" w:space="0" w:color="FBDDE3"/>
            </w:tcBorders>
            <w:tcMar>
              <w:bottom w:w="60" w:type="dxa"/>
            </w:tcMar>
            <w:vAlign w:val="center"/>
          </w:tcPr>
          <w:p>
            <w:pPr>
              <w:pStyle w:val="TableContents"/>
              <w:bidi w:val="0"/>
              <w:spacing w:before="0" w:after="283"/>
              <w:jc w:val="right"/>
              <w:rPr/>
            </w:pPr>
            <w:r>
              <w:rPr/>
              <w:t>124,400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186,600</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c>
          <w:tcPr>
            <w:tcW w:w="164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1940" w:type="dxa"/>
            <w:tcBorders>
              <w:bottom w:val="single" w:sz="6" w:space="0" w:color="FBDDE3"/>
            </w:tcBorders>
            <w:tcMar>
              <w:bottom w:w="60" w:type="dxa"/>
            </w:tcMar>
            <w:vAlign w:val="center"/>
          </w:tcPr>
          <w:p>
            <w:pPr>
              <w:pStyle w:val="TableContents"/>
              <w:bidi w:val="0"/>
              <w:spacing w:before="0" w:after="0"/>
              <w:jc w:val="left"/>
              <w:rPr>
                <w:rFonts w:ascii="arial" w:hAnsi="arial"/>
                <w:b/>
                <w:sz w:val="18"/>
              </w:rPr>
            </w:pPr>
            <w:r>
              <w:rPr>
                <w:rFonts w:ascii="arial" w:hAnsi="arial"/>
                <w:b/>
                <w:sz w:val="18"/>
              </w:rPr>
              <w:t>Mariam Naficy</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9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5" w:type="dxa"/>
            <w:tcBorders>
              <w:bottom w:val="single" w:sz="6" w:space="0" w:color="FBDDE3"/>
            </w:tcBorders>
            <w:tcMar>
              <w:bottom w:w="60" w:type="dxa"/>
            </w:tcMar>
            <w:vAlign w:val="center"/>
          </w:tcPr>
          <w:p>
            <w:pPr>
              <w:pStyle w:val="TableContents"/>
              <w:bidi w:val="0"/>
              <w:spacing w:before="0" w:after="283"/>
              <w:jc w:val="right"/>
              <w:rPr/>
            </w:pPr>
            <w:r>
              <w:rPr/>
              <w:t>121,900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01" w:type="dxa"/>
            <w:tcBorders>
              <w:bottom w:val="single" w:sz="6" w:space="0" w:color="FBDDE3"/>
            </w:tcBorders>
            <w:tcMar>
              <w:bottom w:w="60" w:type="dxa"/>
            </w:tcMar>
            <w:vAlign w:val="center"/>
          </w:tcPr>
          <w:p>
            <w:pPr>
              <w:pStyle w:val="TableContents"/>
              <w:bidi w:val="0"/>
              <w:spacing w:before="0" w:after="283"/>
              <w:jc w:val="left"/>
              <w:rPr/>
            </w:pPr>
            <w:r>
              <w:rPr/>
              <w:t> </w:t>
            </w:r>
          </w:p>
        </w:tc>
        <w:tc>
          <w:tcPr>
            <w:tcW w:w="1359" w:type="dxa"/>
            <w:tcBorders>
              <w:bottom w:val="single" w:sz="6" w:space="0" w:color="FBDDE3"/>
            </w:tcBorders>
            <w:tcMar>
              <w:bottom w:w="60" w:type="dxa"/>
            </w:tcMar>
            <w:vAlign w:val="center"/>
          </w:tcPr>
          <w:p>
            <w:pPr>
              <w:pStyle w:val="TableContents"/>
              <w:bidi w:val="0"/>
              <w:spacing w:before="0" w:after="283"/>
              <w:jc w:val="right"/>
              <w:rPr/>
            </w:pPr>
            <w:r>
              <w:rPr/>
              <w:t>121,900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243,800</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c>
          <w:tcPr>
            <w:tcW w:w="164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1940" w:type="dxa"/>
            <w:tcBorders>
              <w:bottom w:val="single" w:sz="6" w:space="0" w:color="FBDDE3"/>
            </w:tcBorders>
            <w:tcMar>
              <w:bottom w:w="60" w:type="dxa"/>
            </w:tcMar>
            <w:vAlign w:val="center"/>
          </w:tcPr>
          <w:p>
            <w:pPr>
              <w:pStyle w:val="TableContents"/>
              <w:bidi w:val="0"/>
              <w:spacing w:before="0" w:after="0"/>
              <w:jc w:val="left"/>
              <w:rPr>
                <w:rFonts w:ascii="arial" w:hAnsi="arial"/>
                <w:b/>
                <w:sz w:val="18"/>
              </w:rPr>
            </w:pPr>
            <w:r>
              <w:rPr>
                <w:rFonts w:ascii="arial" w:hAnsi="arial"/>
                <w:b/>
                <w:sz w:val="18"/>
              </w:rPr>
              <w:t>Lauren Peters</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9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5" w:type="dxa"/>
            <w:tcBorders>
              <w:bottom w:val="single" w:sz="6" w:space="0" w:color="FBDDE3"/>
            </w:tcBorders>
            <w:tcMar>
              <w:bottom w:w="60" w:type="dxa"/>
            </w:tcMar>
            <w:vAlign w:val="center"/>
          </w:tcPr>
          <w:p>
            <w:pPr>
              <w:pStyle w:val="TableContents"/>
              <w:bidi w:val="0"/>
              <w:spacing w:before="0" w:after="283"/>
              <w:jc w:val="right"/>
              <w:rPr/>
            </w:pPr>
            <w:r>
              <w:rPr/>
              <w:t>136,900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01" w:type="dxa"/>
            <w:tcBorders>
              <w:bottom w:val="single" w:sz="6" w:space="0" w:color="FBDDE3"/>
            </w:tcBorders>
            <w:tcMar>
              <w:bottom w:w="60" w:type="dxa"/>
            </w:tcMar>
            <w:vAlign w:val="center"/>
          </w:tcPr>
          <w:p>
            <w:pPr>
              <w:pStyle w:val="TableContents"/>
              <w:bidi w:val="0"/>
              <w:spacing w:before="0" w:after="283"/>
              <w:jc w:val="left"/>
              <w:rPr/>
            </w:pPr>
            <w:r>
              <w:rPr/>
              <w:t> </w:t>
            </w:r>
          </w:p>
        </w:tc>
        <w:tc>
          <w:tcPr>
            <w:tcW w:w="1359" w:type="dxa"/>
            <w:tcBorders>
              <w:bottom w:val="single" w:sz="6" w:space="0" w:color="FBDDE3"/>
            </w:tcBorders>
            <w:tcMar>
              <w:bottom w:w="60" w:type="dxa"/>
            </w:tcMar>
            <w:vAlign w:val="center"/>
          </w:tcPr>
          <w:p>
            <w:pPr>
              <w:pStyle w:val="TableContents"/>
              <w:bidi w:val="0"/>
              <w:spacing w:before="0" w:after="283"/>
              <w:jc w:val="right"/>
              <w:rPr/>
            </w:pPr>
            <w:r>
              <w:rPr/>
              <w:t>136,900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273,800</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c>
          <w:tcPr>
            <w:tcW w:w="164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1940" w:type="dxa"/>
            <w:tcBorders>
              <w:bottom w:val="single" w:sz="8" w:space="0" w:color="F7ACBA"/>
            </w:tcBorders>
            <w:tcMar>
              <w:bottom w:w="80" w:type="dxa"/>
            </w:tcMar>
            <w:vAlign w:val="center"/>
          </w:tcPr>
          <w:p>
            <w:pPr>
              <w:pStyle w:val="TableContents"/>
              <w:bidi w:val="0"/>
              <w:spacing w:before="0" w:after="0"/>
              <w:jc w:val="left"/>
              <w:rPr>
                <w:rFonts w:ascii="arial" w:hAnsi="arial"/>
                <w:b/>
                <w:sz w:val="18"/>
              </w:rPr>
            </w:pPr>
            <w:r>
              <w:rPr>
                <w:rFonts w:ascii="arial" w:hAnsi="arial"/>
                <w:b/>
                <w:sz w:val="18"/>
              </w:rPr>
              <w:t>Anne Sheehan</w:t>
            </w:r>
          </w:p>
        </w:tc>
        <w:tc>
          <w:tcPr>
            <w:tcW w:w="120" w:type="dxa"/>
            <w:tcBorders>
              <w:bottom w:val="single" w:sz="8" w:space="0" w:color="F7ACBA"/>
            </w:tcBorders>
            <w:tcMar>
              <w:bottom w:w="28" w:type="dxa"/>
            </w:tcMar>
            <w:vAlign w:val="center"/>
          </w:tcPr>
          <w:p>
            <w:pPr>
              <w:pStyle w:val="TableContents"/>
              <w:bidi w:val="0"/>
              <w:spacing w:before="0" w:after="283"/>
              <w:jc w:val="left"/>
              <w:rPr/>
            </w:pPr>
            <w:r>
              <w:rPr/>
              <w:t>  </w:t>
            </w:r>
          </w:p>
        </w:tc>
        <w:tc>
          <w:tcPr>
            <w:tcW w:w="90" w:type="dxa"/>
            <w:tcBorders>
              <w:bottom w:val="single" w:sz="8" w:space="0" w:color="F7ACBA"/>
            </w:tcBorders>
            <w:tcMar>
              <w:bottom w:w="80" w:type="dxa"/>
            </w:tcMar>
            <w:vAlign w:val="center"/>
          </w:tcPr>
          <w:p>
            <w:pPr>
              <w:pStyle w:val="TableContents"/>
              <w:bidi w:val="0"/>
              <w:spacing w:before="0" w:after="283"/>
              <w:jc w:val="left"/>
              <w:rPr/>
            </w:pPr>
            <w:r>
              <w:rPr/>
              <w:t> </w:t>
            </w:r>
          </w:p>
        </w:tc>
        <w:tc>
          <w:tcPr>
            <w:tcW w:w="1205" w:type="dxa"/>
            <w:tcBorders>
              <w:bottom w:val="single" w:sz="8" w:space="0" w:color="F7ACBA"/>
            </w:tcBorders>
            <w:tcMar>
              <w:bottom w:w="80" w:type="dxa"/>
            </w:tcMar>
            <w:vAlign w:val="center"/>
          </w:tcPr>
          <w:p>
            <w:pPr>
              <w:pStyle w:val="TableContents"/>
              <w:bidi w:val="0"/>
              <w:spacing w:before="0" w:after="283"/>
              <w:jc w:val="right"/>
              <w:rPr/>
            </w:pPr>
            <w:r>
              <w:rPr/>
              <w:t>149,400</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120" w:type="dxa"/>
            <w:tcBorders>
              <w:bottom w:val="single" w:sz="8" w:space="0" w:color="F7ACBA"/>
            </w:tcBorders>
            <w:tcMar>
              <w:bottom w:w="28" w:type="dxa"/>
            </w:tcMar>
            <w:vAlign w:val="center"/>
          </w:tcPr>
          <w:p>
            <w:pPr>
              <w:pStyle w:val="TableContents"/>
              <w:bidi w:val="0"/>
              <w:spacing w:before="0" w:after="283"/>
              <w:jc w:val="left"/>
              <w:rPr/>
            </w:pPr>
            <w:r>
              <w:rPr/>
              <w:t>  </w:t>
            </w:r>
          </w:p>
        </w:tc>
        <w:tc>
          <w:tcPr>
            <w:tcW w:w="101" w:type="dxa"/>
            <w:tcBorders>
              <w:bottom w:val="single" w:sz="8" w:space="0" w:color="F7ACBA"/>
            </w:tcBorders>
            <w:tcMar>
              <w:bottom w:w="80" w:type="dxa"/>
            </w:tcMar>
            <w:vAlign w:val="center"/>
          </w:tcPr>
          <w:p>
            <w:pPr>
              <w:pStyle w:val="TableContents"/>
              <w:bidi w:val="0"/>
              <w:spacing w:before="0" w:after="283"/>
              <w:jc w:val="left"/>
              <w:rPr/>
            </w:pPr>
            <w:r>
              <w:rPr/>
              <w:t> </w:t>
            </w:r>
          </w:p>
        </w:tc>
        <w:tc>
          <w:tcPr>
            <w:tcW w:w="1359" w:type="dxa"/>
            <w:tcBorders>
              <w:bottom w:val="single" w:sz="8" w:space="0" w:color="F7ACBA"/>
            </w:tcBorders>
            <w:tcMar>
              <w:bottom w:w="80" w:type="dxa"/>
            </w:tcMar>
            <w:vAlign w:val="center"/>
          </w:tcPr>
          <w:p>
            <w:pPr>
              <w:pStyle w:val="TableContents"/>
              <w:bidi w:val="0"/>
              <w:spacing w:before="0" w:after="283"/>
              <w:jc w:val="right"/>
              <w:rPr/>
            </w:pPr>
            <w:r>
              <w:rPr/>
              <w:t>134,400</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12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800" w:type="dxa"/>
            <w:tcBorders>
              <w:bottom w:val="single" w:sz="8" w:space="0" w:color="F7ACBA"/>
            </w:tcBorders>
            <w:tcMar>
              <w:bottom w:w="80" w:type="dxa"/>
            </w:tcMar>
            <w:vAlign w:val="center"/>
          </w:tcPr>
          <w:p>
            <w:pPr>
              <w:pStyle w:val="TableContents"/>
              <w:bidi w:val="0"/>
              <w:spacing w:before="0" w:after="283"/>
              <w:jc w:val="right"/>
              <w:rPr/>
            </w:pPr>
            <w:r>
              <w:rPr/>
              <w:t>283,800</w:t>
            </w:r>
          </w:p>
        </w:tc>
        <w:tc>
          <w:tcPr>
            <w:tcW w:w="75" w:type="dxa"/>
            <w:tcBorders>
              <w:bottom w:val="single" w:sz="8" w:space="0" w:color="F7ACBA"/>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(1)</w:t>
            </w:r>
          </w:p>
        </w:tc>
        <w:tc>
          <w:tcPr>
            <w:tcW w:w="9919" w:type="dxa"/>
            <w:tcBorders/>
            <w:vAlign w:val="center"/>
          </w:tcPr>
          <w:p>
            <w:pPr>
              <w:pStyle w:val="TableContents"/>
              <w:bidi w:val="0"/>
              <w:spacing w:before="0" w:after="0"/>
              <w:jc w:val="left"/>
              <w:rPr>
                <w:rFonts w:ascii="arial" w:hAnsi="arial"/>
                <w:sz w:val="14"/>
              </w:rPr>
            </w:pPr>
            <w:r>
              <w:rPr>
                <w:rFonts w:ascii="arial" w:hAnsi="arial"/>
                <w:sz w:val="14"/>
              </w:rPr>
              <w:t xml:space="preserve">Stock awards were granted under the VS 2021 Stock Plan. We valued the stock awards by multiplying the closing price of our common shares on the NYSE on the grant date by the number of shares awarded. </w:t>
            </w:r>
          </w:p>
        </w:tc>
      </w:tr>
    </w:tbl>
    <w:p>
      <w:pPr>
        <w:pStyle w:val="TextBody"/>
        <w:bidi w:val="0"/>
        <w:spacing w:before="0" w:after="0"/>
        <w:jc w:val="left"/>
        <w:rPr/>
      </w:pPr>
      <w:r>
        <w:rPr/>
        <w:t> </w:t>
      </w:r>
    </w:p>
    <w:tbl>
      <w:tblPr>
        <w:tblW w:w="8665" w:type="dxa"/>
        <w:jc w:val="left"/>
        <w:tblInd w:w="0" w:type="dxa"/>
        <w:tblLayout w:type="fixed"/>
        <w:tblCellMar>
          <w:top w:w="0" w:type="dxa"/>
          <w:left w:w="0" w:type="dxa"/>
          <w:bottom w:w="0" w:type="dxa"/>
          <w:right w:w="0" w:type="dxa"/>
        </w:tblCellMar>
      </w:tblPr>
      <w:tblGrid>
        <w:gridCol w:w="305"/>
        <w:gridCol w:w="8360"/>
      </w:tblGrid>
      <w:tr>
        <w:trPr/>
        <w:tc>
          <w:tcPr>
            <w:tcW w:w="305" w:type="dxa"/>
            <w:tcBorders/>
            <w:vAlign w:val="center"/>
          </w:tcPr>
          <w:p>
            <w:pPr>
              <w:pStyle w:val="TableContents"/>
              <w:bidi w:val="0"/>
              <w:spacing w:before="0" w:after="283"/>
              <w:jc w:val="left"/>
              <w:rPr/>
            </w:pPr>
            <w:r>
              <w:rPr/>
              <w:t>(2)</w:t>
            </w:r>
          </w:p>
        </w:tc>
        <w:tc>
          <w:tcPr>
            <w:tcW w:w="8360" w:type="dxa"/>
            <w:tcBorders/>
            <w:vAlign w:val="center"/>
          </w:tcPr>
          <w:p>
            <w:pPr>
              <w:pStyle w:val="TableContents"/>
              <w:bidi w:val="0"/>
              <w:spacing w:before="0" w:after="0"/>
              <w:jc w:val="left"/>
              <w:rPr>
                <w:rFonts w:ascii="arial" w:hAnsi="arial"/>
                <w:sz w:val="14"/>
              </w:rPr>
            </w:pPr>
            <w:r>
              <w:rPr>
                <w:rFonts w:ascii="arial" w:hAnsi="arial"/>
                <w:sz w:val="14"/>
              </w:rPr>
              <w:t xml:space="preserve">Rod Little was appointed to the Board on August 29, 2023. As a result, his cash retainer was prorated based on his period of service. </w:t>
            </w:r>
          </w:p>
        </w:tc>
      </w:tr>
    </w:tbl>
    <w:p>
      <w:pPr>
        <w:pStyle w:val="TextBody"/>
        <w:bidi w:val="0"/>
        <w:spacing w:before="240" w:after="0"/>
        <w:jc w:val="left"/>
        <w:rPr>
          <w:rFonts w:ascii="arial" w:hAnsi="arial"/>
          <w:b/>
          <w:color w:val="F7ACBA"/>
          <w:sz w:val="24"/>
        </w:rPr>
      </w:pPr>
      <w:r>
        <w:rPr>
          <w:rFonts w:ascii="arial" w:hAnsi="arial"/>
          <w:b/>
          <w:color w:val="F7ACBA"/>
          <w:sz w:val="24"/>
        </w:rPr>
        <w:t xml:space="preserve">Stock Ownership Guidelines </w:t>
      </w:r>
    </w:p>
    <w:p>
      <w:pPr>
        <w:pStyle w:val="TextBody"/>
        <w:bidi w:val="0"/>
        <w:spacing w:before="60" w:after="0"/>
        <w:jc w:val="left"/>
        <w:rPr>
          <w:rFonts w:ascii="arial" w:hAnsi="arial"/>
          <w:sz w:val="18"/>
        </w:rPr>
      </w:pPr>
      <w:r>
        <w:rPr>
          <w:rFonts w:ascii="arial" w:hAnsi="arial"/>
          <w:sz w:val="18"/>
        </w:rPr>
        <w:t xml:space="preserve">Our Board and Human Capital and Compensation Committee believe it is important for our named executive officers, key members of our senior management team, and our non-employee directors to build and maintain ownership in VS&amp;Co common stock. We believe this further aligns their financial interests with those of our stockholders, creating long-term value. The Human Capital and Compensation Committee has established stock ownership guidelines for our non-employee directors, our named executive officers, and other members of our senior management team. </w:t>
      </w:r>
    </w:p>
    <w:p>
      <w:pPr>
        <w:pStyle w:val="TextBody"/>
        <w:bidi w:val="0"/>
        <w:spacing w:before="120" w:after="0"/>
        <w:jc w:val="left"/>
        <w:rPr>
          <w:rFonts w:ascii="arial" w:hAnsi="arial"/>
          <w:sz w:val="18"/>
        </w:rPr>
      </w:pPr>
      <w:r>
        <w:rPr>
          <w:rFonts w:ascii="arial" w:hAnsi="arial"/>
          <w:sz w:val="18"/>
        </w:rPr>
        <w:t xml:space="preserve">Non-employee directors must retain ownership of at least the number of shares, net of taxes at an assumed rate of 40 percent, of VS&amp;Co common stock received as board compensation over the previous four years. As of April 15, 2024, all of our non-employee directors were in compliance with our stock ownership guidelines. </w:t>
      </w:r>
    </w:p>
    <w:p>
      <w:pPr>
        <w:pStyle w:val="TextBody"/>
        <w:bidi w:val="0"/>
        <w:spacing w:before="120" w:after="0"/>
        <w:jc w:val="left"/>
        <w:rPr>
          <w:rFonts w:ascii="arial" w:hAnsi="arial"/>
          <w:sz w:val="18"/>
        </w:rPr>
      </w:pPr>
      <w:r>
        <w:rPr>
          <w:rFonts w:ascii="arial" w:hAnsi="arial"/>
          <w:sz w:val="18"/>
        </w:rPr>
        <w:t xml:space="preserve">For further details on the guidelines as it relates to our executive officers, including our named executive officers, please see “Stock Ownership Guidelines” in the Compensation Discussion and Analysis section below. </w:t>
      </w:r>
    </w:p>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97"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88" descr=""/>
                          <pic:cNvPicPr>
                            <a:picLocks noChangeAspect="1" noChangeArrowheads="1"/>
                          </pic:cNvPicPr>
                        </pic:nvPicPr>
                        <pic:blipFill>
                          <a:blip r:embed="rId89"/>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45 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center"/>
        <w:rPr>
          <w:rFonts w:ascii="Times New Roman" w:hAnsi="Times New Roman"/>
          <w:b/>
          <w:sz w:val="60"/>
        </w:rPr>
      </w:pPr>
      <w:bookmarkStart w:id="19" w:name="toc540996_14"/>
      <w:bookmarkEnd w:id="19"/>
      <w:r>
        <w:rPr>
          <w:rFonts w:ascii="Times New Roman" w:hAnsi="Times New Roman"/>
          <w:b/>
          <w:sz w:val="60"/>
        </w:rPr>
        <w:t xml:space="preserve">COMPENSATION </w:t>
      </w:r>
    </w:p>
    <w:p>
      <w:pPr>
        <w:pStyle w:val="TextBody"/>
        <w:bidi w:val="0"/>
        <w:spacing w:before="0" w:after="0"/>
        <w:jc w:val="center"/>
        <w:rPr>
          <w:rFonts w:ascii="Times New Roman" w:hAnsi="Times New Roman"/>
          <w:b/>
          <w:sz w:val="60"/>
        </w:rPr>
      </w:pPr>
      <w:r>
        <w:rPr>
          <w:rFonts w:ascii="Times New Roman" w:hAnsi="Times New Roman"/>
          <w:b/>
          <w:sz w:val="60"/>
        </w:rPr>
        <w:t xml:space="preserve">DISCUSSION AND ANALYSIS </w:t>
      </w:r>
    </w:p>
    <w:p>
      <w:pPr>
        <w:pStyle w:val="TextBody"/>
        <w:bidi w:val="0"/>
        <w:spacing w:before="0" w:after="0"/>
        <w:jc w:val="left"/>
        <w:rPr/>
      </w:pPr>
      <w:r>
        <w:rPr/>
        <w:t> </w:t>
      </w:r>
    </w:p>
    <w:p>
      <w:pPr>
        <w:pStyle w:val="TextBody"/>
        <w:pBdr>
          <w:bottom w:val="single" w:sz="2" w:space="1" w:color="000000"/>
        </w:pBdr>
        <w:bidi w:val="0"/>
        <w:spacing w:lineRule="atLeast" w:line="142" w:before="0" w:after="40"/>
        <w:jc w:val="center"/>
        <w:rPr/>
      </w:pPr>
      <w:r>
        <w:rPr/>
        <w:t> </w:t>
      </w:r>
    </w:p>
    <w:p>
      <w:pPr>
        <w:pStyle w:val="TextBody"/>
        <w:bidi w:val="0"/>
        <w:spacing w:before="360" w:after="0"/>
        <w:jc w:val="left"/>
        <w:rPr>
          <w:rFonts w:ascii="arial" w:hAnsi="arial"/>
          <w:b/>
          <w:color w:val="F7ACBA"/>
          <w:sz w:val="24"/>
        </w:rPr>
      </w:pPr>
      <w:r>
        <w:rPr>
          <w:rFonts w:ascii="arial" w:hAnsi="arial"/>
          <w:b/>
          <w:color w:val="F7ACBA"/>
          <w:sz w:val="24"/>
        </w:rPr>
        <w:t xml:space="preserve">Fiscal 2023 Overview </w:t>
      </w:r>
    </w:p>
    <w:p>
      <w:pPr>
        <w:pStyle w:val="TextBody"/>
        <w:bidi w:val="0"/>
        <w:spacing w:before="60" w:after="0"/>
        <w:jc w:val="left"/>
        <w:rPr>
          <w:rFonts w:ascii="arial" w:hAnsi="arial"/>
          <w:sz w:val="18"/>
        </w:rPr>
      </w:pPr>
      <w:r>
        <w:rPr>
          <w:rFonts w:ascii="arial" w:hAnsi="arial"/>
          <w:sz w:val="18"/>
        </w:rPr>
        <w:t xml:space="preserve">In fiscal 2023, we remained committed to our strategic priorities: 1) Accelerate Our Core; 2) Ignite Growth; and 3) Transform the Foundation. We have made progress on our strategic initiatives to ignite growth and transform the foundation, including progress around our supply chain initiative and international business. Progress related to accelerating our core business in North America was challenged throughout 2023 as the macroeconomic environment continued to put pressure on the consumer and the overall intimates market in North America was pressured throughout the year. We continue to focus on delivering on multiple initiatives in support of our strategic priorities, such as our multi-tender loyalty program, new customer experience enhancements in our digital business, product improvements and launches to enhance the Victoria’s Secret brand and a reimagined merchandise strategy for our PINK brand. In fiscal 2023: </w:t>
      </w:r>
    </w:p>
    <w:p>
      <w:pPr>
        <w:pStyle w:val="TextBody"/>
        <w:bidi w:val="0"/>
        <w:spacing w:before="0" w:after="0"/>
        <w:jc w:val="left"/>
        <w:rPr/>
      </w:pPr>
      <w:r>
        <w:rPr/>
        <w:t> </w:t>
      </w:r>
    </w:p>
    <w:tbl>
      <w:tblPr>
        <w:tblW w:w="8815" w:type="dxa"/>
        <w:jc w:val="left"/>
        <w:tblInd w:w="0" w:type="dxa"/>
        <w:tblLayout w:type="fixed"/>
        <w:tblCellMar>
          <w:top w:w="0" w:type="dxa"/>
          <w:left w:w="0" w:type="dxa"/>
          <w:bottom w:w="0" w:type="dxa"/>
          <w:right w:w="0" w:type="dxa"/>
        </w:tblCellMar>
      </w:tblPr>
      <w:tblGrid>
        <w:gridCol w:w="125"/>
        <w:gridCol w:w="60"/>
        <w:gridCol w:w="863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rFonts w:ascii="arial" w:hAnsi="arial"/>
                <w:sz w:val="18"/>
              </w:rPr>
            </w:pPr>
            <w:r>
              <w:rPr>
                <w:rFonts w:ascii="arial" w:hAnsi="arial"/>
                <w:sz w:val="18"/>
              </w:rPr>
              <w:t xml:space="preserve">We delivered net sales and adjusted operating income results within our guidance range each quarter.(1) </w:t>
            </w:r>
          </w:p>
        </w:tc>
      </w:tr>
    </w:tbl>
    <w:p>
      <w:pPr>
        <w:pStyle w:val="TextBody"/>
        <w:bidi w:val="0"/>
        <w:spacing w:before="0" w:after="0"/>
        <w:jc w:val="left"/>
        <w:rPr/>
      </w:pPr>
      <w:r>
        <w:rPr/>
        <w:t> </w:t>
      </w:r>
    </w:p>
    <w:tbl>
      <w:tblPr>
        <w:tblW w:w="10060" w:type="dxa"/>
        <w:jc w:val="left"/>
        <w:tblInd w:w="0" w:type="dxa"/>
        <w:tblLayout w:type="fixed"/>
        <w:tblCellMar>
          <w:top w:w="0" w:type="dxa"/>
          <w:left w:w="0" w:type="dxa"/>
          <w:bottom w:w="0" w:type="dxa"/>
          <w:right w:w="0" w:type="dxa"/>
        </w:tblCellMar>
      </w:tblPr>
      <w:tblGrid>
        <w:gridCol w:w="125"/>
        <w:gridCol w:w="60"/>
        <w:gridCol w:w="9875"/>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jc w:val="left"/>
              <w:rPr>
                <w:rFonts w:ascii="arial" w:hAnsi="arial"/>
                <w:sz w:val="18"/>
              </w:rPr>
            </w:pPr>
            <w:r>
              <w:rPr>
                <w:rFonts w:ascii="arial" w:hAnsi="arial"/>
                <w:sz w:val="18"/>
              </w:rPr>
              <w:t xml:space="preserve">Adjusted net income per diluted share was $2.27 compared to adjusted net income per diluted share of $4.95 in 2022.(1)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Net sales were $6.182 billion, a decrease of 3% compared to 2022, and adjusted operating income was $327 million compared to adjusted operating income of $566 million in 2022. The adjusted operating income rate for the year was 5.3%.(1)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The adjusted gross profit rate was 36.8%, an increase of 40 basis points compared to 2022, primarily driven by a decrease in supply chain costs and reductions in costs of goods sold related to our supply chain initiative, partially offset by increased promotional activity as a result of the challenging macroeconomic environment.(1)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Adjusted general, administrative and store operating expense dollars increased 12%, or $204 million, compared to 2022, primarily due to the inclusion of Adore Me general, administrative and store operating expenses beginning in 2023 and strategic marketing investments in 2023.(1)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We exited the year with inventory levels down 6% compared to 2022, which reflects our disciplined inventory management.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We invested $125 million to repurchase 3.7 million shares of our common stock and generated free cash flow of $133 million in 2023.(2) </w:t>
            </w:r>
          </w:p>
        </w:tc>
      </w:tr>
    </w:tbl>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125"/>
        <w:gridCol w:w="60"/>
        <w:gridCol w:w="545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0"/>
              <w:jc w:val="left"/>
              <w:rPr>
                <w:rFonts w:ascii="arial" w:hAnsi="arial"/>
                <w:sz w:val="18"/>
              </w:rPr>
            </w:pPr>
            <w:r>
              <w:rPr>
                <w:rFonts w:ascii="arial" w:hAnsi="arial"/>
                <w:sz w:val="18"/>
              </w:rPr>
              <w:t xml:space="preserve">We paid down our debt $151 million compared to the end of 2022.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(1)</w:t>
            </w:r>
          </w:p>
        </w:tc>
        <w:tc>
          <w:tcPr>
            <w:tcW w:w="9961" w:type="dxa"/>
            <w:tcBorders/>
            <w:vAlign w:val="center"/>
          </w:tcPr>
          <w:p>
            <w:pPr>
              <w:pStyle w:val="TableContents"/>
              <w:bidi w:val="0"/>
              <w:spacing w:before="0" w:after="0"/>
              <w:jc w:val="left"/>
              <w:rPr>
                <w:rFonts w:ascii="arial" w:hAnsi="arial"/>
                <w:sz w:val="14"/>
              </w:rPr>
            </w:pPr>
            <w:r>
              <w:rPr>
                <w:rFonts w:ascii="arial" w:hAnsi="arial"/>
                <w:sz w:val="14"/>
              </w:rPr>
              <w:t xml:space="preserve">Net income per diluted share and operating income determined in accordance with GAAP were $1.39 and $246 million, respectively, for fiscal 2023 and $4.14 and $478 million, respectively, for fiscal 2022. Operating income rate, expressed as a percentage of net sales, in fiscal 2023 and fiscal 2022 determined in accordance with GAAP was 4.0% and 7.5%, respectively. The gross profit rate, expressed as a percentage of net sales, for fiscal 2023 increased 70 basis points to 36.3% and general, administrative and store operating expenses for fiscal 2023 increased 12%, or $216 million, in each case when calculated in accordance with GAAP. See Appendix A for a reconciliation of adjusted financial measures to the most directly comparable GAAP financial measures. </w:t>
            </w:r>
          </w:p>
        </w:tc>
      </w:tr>
    </w:tbl>
    <w:p>
      <w:pPr>
        <w:pStyle w:val="TextBody"/>
        <w:bidi w:val="0"/>
        <w:spacing w:before="0" w:after="0"/>
        <w:jc w:val="left"/>
        <w:rPr/>
      </w:pPr>
      <w:r>
        <w:rPr/>
        <w:t> </w:t>
      </w:r>
    </w:p>
    <w:tbl>
      <w:tblPr>
        <w:tblW w:w="9145" w:type="dxa"/>
        <w:jc w:val="left"/>
        <w:tblInd w:w="0" w:type="dxa"/>
        <w:tblLayout w:type="fixed"/>
        <w:tblCellMar>
          <w:top w:w="0" w:type="dxa"/>
          <w:left w:w="0" w:type="dxa"/>
          <w:bottom w:w="0" w:type="dxa"/>
          <w:right w:w="0" w:type="dxa"/>
        </w:tblCellMar>
      </w:tblPr>
      <w:tblGrid>
        <w:gridCol w:w="305"/>
        <w:gridCol w:w="8840"/>
      </w:tblGrid>
      <w:tr>
        <w:trPr/>
        <w:tc>
          <w:tcPr>
            <w:tcW w:w="305" w:type="dxa"/>
            <w:tcBorders/>
            <w:vAlign w:val="center"/>
          </w:tcPr>
          <w:p>
            <w:pPr>
              <w:pStyle w:val="TableContents"/>
              <w:bidi w:val="0"/>
              <w:spacing w:before="0" w:after="283"/>
              <w:jc w:val="left"/>
              <w:rPr/>
            </w:pPr>
            <w:r>
              <w:rPr/>
              <w:t>(2)</w:t>
            </w:r>
          </w:p>
        </w:tc>
        <w:tc>
          <w:tcPr>
            <w:tcW w:w="8840" w:type="dxa"/>
            <w:tcBorders/>
            <w:vAlign w:val="center"/>
          </w:tcPr>
          <w:p>
            <w:pPr>
              <w:pStyle w:val="TableContents"/>
              <w:bidi w:val="0"/>
              <w:spacing w:before="0" w:after="0"/>
              <w:jc w:val="left"/>
              <w:rPr>
                <w:rFonts w:ascii="arial" w:hAnsi="arial"/>
                <w:sz w:val="14"/>
              </w:rPr>
            </w:pPr>
            <w:r>
              <w:rPr>
                <w:rFonts w:ascii="arial" w:hAnsi="arial"/>
                <w:sz w:val="14"/>
              </w:rPr>
              <w:t xml:space="preserve">See Appendix A for a reconciliation of free cash flow to the most directly comparable financial measure determined in accordance with GAAP. </w:t>
            </w:r>
          </w:p>
        </w:tc>
      </w:tr>
    </w:tbl>
    <w:p>
      <w:pPr>
        <w:pStyle w:val="TextBody"/>
        <w:bidi w:val="0"/>
        <w:spacing w:before="120" w:after="0"/>
        <w:jc w:val="left"/>
        <w:rPr>
          <w:rFonts w:ascii="arial" w:hAnsi="arial"/>
          <w:sz w:val="18"/>
        </w:rPr>
      </w:pPr>
      <w:r>
        <w:rPr>
          <w:rFonts w:ascii="arial" w:hAnsi="arial"/>
          <w:sz w:val="18"/>
        </w:rPr>
        <w:t xml:space="preserve">Our focus as leaders, and as a company, is on ensuring we continue to be a future facing business that becomes even more culturally relevant in this shifting consumer environment. We are committed to delivering long-term sustainable value for our stockholders and optimizing our performance in the current environment by focusing on elements within our control and executing against our strategic plan. </w:t>
      </w:r>
    </w:p>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98"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89" descr=""/>
                          <pic:cNvPicPr>
                            <a:picLocks noChangeAspect="1" noChangeArrowheads="1"/>
                          </pic:cNvPicPr>
                        </pic:nvPicPr>
                        <pic:blipFill>
                          <a:blip r:embed="rId90"/>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46 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COMPENSATION DISCUSSION AND ANALYSIS </w:t>
      </w:r>
    </w:p>
    <w:p>
      <w:pPr>
        <w:pStyle w:val="TextBody"/>
        <w:bidi w:val="0"/>
        <w:spacing w:before="0" w:after="0"/>
        <w:jc w:val="left"/>
        <w:rPr/>
      </w:pPr>
      <w:r>
        <w:rPr/>
        <w:t> </w:t>
      </w:r>
    </w:p>
    <w:p>
      <w:pPr>
        <w:pStyle w:val="TextBody"/>
        <w:bidi w:val="0"/>
        <w:spacing w:before="0" w:after="0"/>
        <w:jc w:val="left"/>
        <w:rPr>
          <w:rFonts w:ascii="arial" w:hAnsi="arial"/>
          <w:b/>
          <w:color w:val="F7ACBA"/>
          <w:sz w:val="24"/>
        </w:rPr>
      </w:pPr>
      <w:r>
        <w:rPr>
          <w:rFonts w:ascii="arial" w:hAnsi="arial"/>
          <w:b/>
          <w:color w:val="F7ACBA"/>
          <w:sz w:val="24"/>
        </w:rPr>
        <w:t xml:space="preserve">Compensation Overview and Highlights </w:t>
      </w:r>
    </w:p>
    <w:p>
      <w:pPr>
        <w:pStyle w:val="TextBody"/>
        <w:bidi w:val="0"/>
        <w:spacing w:before="60" w:after="0"/>
        <w:jc w:val="left"/>
        <w:rPr>
          <w:rFonts w:ascii="arial" w:hAnsi="arial"/>
          <w:sz w:val="18"/>
        </w:rPr>
      </w:pPr>
      <w:r>
        <w:rPr>
          <w:rFonts w:ascii="arial" w:hAnsi="arial"/>
          <w:sz w:val="18"/>
        </w:rPr>
        <w:t xml:space="preserve">When VS&amp;Co separated from L Brands in 2021, the compensation programs in place at L Brands remained in effect at VS&amp;Co for the balance of the year. In late 2021 and early 2022, the Human Capital and Compensation Committee (the “HCCC”), in partnership with its independent compensation consultant and management, began the design and implementation of the new compensation programs for 2022, with further changes for 2023 as described below—including a redesigned short-term incentive program and a new long-term incentive program. </w:t>
      </w:r>
    </w:p>
    <w:p>
      <w:pPr>
        <w:pStyle w:val="TextBody"/>
        <w:bidi w:val="0"/>
        <w:spacing w:before="120" w:after="0"/>
        <w:jc w:val="left"/>
        <w:rPr>
          <w:rFonts w:ascii="arial" w:hAnsi="arial"/>
          <w:sz w:val="18"/>
        </w:rPr>
      </w:pPr>
      <w:r>
        <w:rPr>
          <w:rFonts w:ascii="arial" w:hAnsi="arial"/>
          <w:sz w:val="18"/>
        </w:rPr>
        <w:t xml:space="preserve">The HCCC reviews all aspects of our executive compensation program and is actively engaged in making any adjustments that it believes are appropriate for structuring executive compensation arrangements for VS&amp;Co executives (including our NEOs) to promote stockholder and broader pay-for-performance alignment. </w:t>
      </w:r>
    </w:p>
    <w:p>
      <w:pPr>
        <w:pStyle w:val="TextBody"/>
        <w:bidi w:val="0"/>
        <w:spacing w:before="120" w:after="0"/>
        <w:jc w:val="left"/>
        <w:rPr>
          <w:rFonts w:ascii="arial" w:hAnsi="arial"/>
          <w:sz w:val="18"/>
        </w:rPr>
      </w:pPr>
      <w:r>
        <w:rPr>
          <w:rFonts w:ascii="arial" w:hAnsi="arial"/>
          <w:sz w:val="18"/>
        </w:rPr>
        <w:t xml:space="preserve">As a specialty retailer, our business is constantly changing, and we are focused on speed and agility as key enablers to performance and growth. Our compensation program reflects this philosophy, increasing compensation when performance is strong and decreasing compensation when performance does not meet our expectations. The HCCC oversees our compensation program, ensuring that pay is aligned with performance. VS&amp;Co’s executive compensation program is biased meaningfully towards variable pay elements that are tied to objective performance criteria. The program is structured to deliver pay opportunities to executives if they drive value for stockholders. The annual cash incentive is linked to achievement of seasonal and annual operating income and revenue goals. The long-term incentive plans include performance share units that are tied to three-year operating income goals and relative total shareholder return. As an example of the linkage between pay and performance, the incentive compensation plan payout for 2023 was 35% of target. </w:t>
      </w:r>
    </w:p>
    <w:p>
      <w:pPr>
        <w:pStyle w:val="TextBody"/>
        <w:bidi w:val="0"/>
        <w:spacing w:before="120" w:after="0"/>
        <w:jc w:val="left"/>
        <w:rPr>
          <w:rFonts w:ascii="arial" w:hAnsi="arial"/>
          <w:sz w:val="18"/>
        </w:rPr>
      </w:pPr>
      <w:r>
        <w:rPr>
          <w:rFonts w:ascii="arial" w:hAnsi="arial"/>
          <w:sz w:val="18"/>
        </w:rPr>
        <w:t xml:space="preserve">In 2023, we focused on successfully managing the business through a macroeconomic environment that remained challenging on the customer, and we continued to focus on our strategic growth plan and the three priorities of our strategy: accelerating our core, igniting growth and transforming the foundation. We believe our performance demonstrates the progress we are making on the turnaround of our business, despite a challenging environment. For a summary of our financial results in fiscal 2023, see “Fiscal 2023 Overview” above. For detailed information on our 2023 financial results, please refer to our 2023 Annual Report. </w:t>
      </w:r>
    </w:p>
    <w:p>
      <w:pPr>
        <w:pStyle w:val="TextBody"/>
        <w:bidi w:val="0"/>
        <w:spacing w:before="240" w:after="0"/>
        <w:jc w:val="left"/>
        <w:rPr>
          <w:rFonts w:ascii="arial" w:hAnsi="arial"/>
          <w:b/>
          <w:color w:val="F7ACBA"/>
          <w:sz w:val="24"/>
        </w:rPr>
      </w:pPr>
      <w:r>
        <w:rPr>
          <w:rFonts w:ascii="arial" w:hAnsi="arial"/>
          <w:b/>
          <w:color w:val="F7ACBA"/>
          <w:sz w:val="24"/>
        </w:rPr>
        <w:t xml:space="preserve">Named Executive Officers (“NEOs”) </w:t>
      </w:r>
    </w:p>
    <w:p>
      <w:pPr>
        <w:pStyle w:val="TextBody"/>
        <w:bidi w:val="0"/>
        <w:spacing w:before="60" w:after="0"/>
        <w:jc w:val="left"/>
        <w:rPr>
          <w:rFonts w:ascii="arial" w:hAnsi="arial"/>
          <w:sz w:val="18"/>
        </w:rPr>
      </w:pPr>
      <w:r>
        <w:rPr>
          <w:rFonts w:ascii="arial" w:hAnsi="arial"/>
          <w:sz w:val="18"/>
        </w:rPr>
        <w:t xml:space="preserve">This Compensation Discussion and Analysis section (“CD&amp;A”) explains our executive compensation programs for the following individuals, all of whom were deemed to be NEOs for fiscal 2023. As a result of a reorganization in July 2023, Gregory Unis took on greater responsibility; the titles shown below represent the NEOs’ titles as of the end of 2023. </w:t>
      </w:r>
    </w:p>
    <w:p>
      <w:pPr>
        <w:pStyle w:val="TextBody"/>
        <w:bidi w:val="0"/>
        <w:spacing w:before="0" w:after="0"/>
        <w:jc w:val="left"/>
        <w:rPr/>
      </w:pPr>
      <w:r>
        <w:rPr/>
        <w:t> </w:t>
      </w:r>
    </w:p>
    <w:tbl>
      <w:tblPr>
        <w:tblW w:w="6235" w:type="dxa"/>
        <w:jc w:val="left"/>
        <w:tblInd w:w="0" w:type="dxa"/>
        <w:tblLayout w:type="fixed"/>
        <w:tblCellMar>
          <w:top w:w="0" w:type="dxa"/>
          <w:left w:w="0" w:type="dxa"/>
          <w:bottom w:w="0" w:type="dxa"/>
          <w:right w:w="0" w:type="dxa"/>
        </w:tblCellMar>
      </w:tblPr>
      <w:tblGrid>
        <w:gridCol w:w="1430"/>
        <w:gridCol w:w="120"/>
        <w:gridCol w:w="4685"/>
      </w:tblGrid>
      <w:tr>
        <w:trPr/>
        <w:tc>
          <w:tcPr>
            <w:tcW w:w="14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85" w:type="dxa"/>
            <w:tcBorders/>
            <w:vAlign w:val="center"/>
          </w:tcPr>
          <w:p>
            <w:pPr>
              <w:pStyle w:val="TableContents"/>
              <w:bidi w:val="0"/>
              <w:spacing w:before="0" w:after="283"/>
              <w:jc w:val="left"/>
              <w:rPr>
                <w:sz w:val="4"/>
                <w:szCs w:val="4"/>
              </w:rPr>
            </w:pPr>
            <w:r>
              <w:rPr>
                <w:sz w:val="4"/>
                <w:szCs w:val="4"/>
              </w:rPr>
            </w:r>
          </w:p>
        </w:tc>
      </w:tr>
      <w:tr>
        <w:trPr/>
        <w:tc>
          <w:tcPr>
            <w:tcW w:w="1430" w:type="dxa"/>
            <w:tcBorders/>
            <w:shd w:fill="FDEEF1" w:val="clear"/>
            <w:vAlign w:val="center"/>
          </w:tcPr>
          <w:p>
            <w:pPr>
              <w:pStyle w:val="TableContents"/>
              <w:bidi w:val="0"/>
              <w:spacing w:before="0" w:after="283"/>
              <w:jc w:val="left"/>
              <w:rPr>
                <w:sz w:val="4"/>
                <w:szCs w:val="4"/>
              </w:rPr>
            </w:pPr>
            <w:r>
              <w:rPr>
                <w:sz w:val="4"/>
                <w:szCs w:val="4"/>
              </w:rPr>
            </w:r>
          </w:p>
        </w:tc>
        <w:tc>
          <w:tcPr>
            <w:tcW w:w="4805" w:type="dxa"/>
            <w:gridSpan w:val="2"/>
            <w:tcBorders/>
            <w:shd w:fill="FDEEF1" w:val="clear"/>
            <w:vAlign w:val="center"/>
          </w:tcPr>
          <w:p>
            <w:pPr>
              <w:pStyle w:val="TableContents"/>
              <w:bidi w:val="0"/>
              <w:spacing w:before="0" w:after="283"/>
              <w:jc w:val="left"/>
              <w:rPr>
                <w:sz w:val="4"/>
                <w:szCs w:val="4"/>
              </w:rPr>
            </w:pPr>
            <w:r>
              <w:rPr>
                <w:sz w:val="4"/>
                <w:szCs w:val="4"/>
              </w:rPr>
            </w:r>
          </w:p>
        </w:tc>
      </w:tr>
      <w:tr>
        <w:trPr/>
        <w:tc>
          <w:tcPr>
            <w:tcW w:w="1430" w:type="dxa"/>
            <w:tcBorders/>
            <w:shd w:fill="FDEEF1" w:val="clear"/>
            <w:vAlign w:val="center"/>
          </w:tcPr>
          <w:p>
            <w:pPr>
              <w:pStyle w:val="TableContents"/>
              <w:bidi w:val="0"/>
              <w:spacing w:before="0" w:after="0"/>
              <w:jc w:val="left"/>
              <w:rPr>
                <w:rFonts w:ascii="arial" w:hAnsi="arial"/>
                <w:b/>
                <w:sz w:val="16"/>
              </w:rPr>
            </w:pPr>
            <w:r>
              <w:rPr>
                <w:rFonts w:ascii="arial" w:hAnsi="arial"/>
                <w:b/>
                <w:sz w:val="16"/>
              </w:rPr>
              <w:t>Name</w:t>
            </w:r>
          </w:p>
        </w:tc>
        <w:tc>
          <w:tcPr>
            <w:tcW w:w="120" w:type="dxa"/>
            <w:tcBorders/>
            <w:shd w:fill="FDEEF1" w:val="clear"/>
            <w:vAlign w:val="center"/>
          </w:tcPr>
          <w:p>
            <w:pPr>
              <w:pStyle w:val="TableContents"/>
              <w:bidi w:val="0"/>
              <w:spacing w:before="0" w:after="283"/>
              <w:jc w:val="left"/>
              <w:rPr/>
            </w:pPr>
            <w:r>
              <w:rPr/>
              <w:t>  </w:t>
            </w:r>
          </w:p>
        </w:tc>
        <w:tc>
          <w:tcPr>
            <w:tcW w:w="4685" w:type="dxa"/>
            <w:tcBorders/>
            <w:shd w:fill="FDEEF1" w:val="clear"/>
            <w:vAlign w:val="center"/>
          </w:tcPr>
          <w:p>
            <w:pPr>
              <w:pStyle w:val="TableContents"/>
              <w:bidi w:val="0"/>
              <w:spacing w:before="0" w:after="283"/>
              <w:jc w:val="left"/>
              <w:rPr>
                <w:b/>
              </w:rPr>
            </w:pPr>
            <w:r>
              <w:rPr>
                <w:b/>
              </w:rPr>
              <w:t>Title</w:t>
            </w:r>
          </w:p>
        </w:tc>
      </w:tr>
      <w:tr>
        <w:trPr/>
        <w:tc>
          <w:tcPr>
            <w:tcW w:w="1430" w:type="dxa"/>
            <w:tcBorders/>
            <w:vAlign w:val="center"/>
          </w:tcPr>
          <w:p>
            <w:pPr>
              <w:pStyle w:val="TableContents"/>
              <w:bidi w:val="0"/>
              <w:spacing w:before="0" w:after="283"/>
              <w:jc w:val="left"/>
              <w:rPr>
                <w:sz w:val="4"/>
                <w:szCs w:val="4"/>
              </w:rPr>
            </w:pPr>
            <w:r>
              <w:rPr>
                <w:sz w:val="4"/>
                <w:szCs w:val="4"/>
              </w:rPr>
            </w:r>
          </w:p>
        </w:tc>
        <w:tc>
          <w:tcPr>
            <w:tcW w:w="4805" w:type="dxa"/>
            <w:gridSpan w:val="2"/>
            <w:tcBorders/>
            <w:vAlign w:val="center"/>
          </w:tcPr>
          <w:p>
            <w:pPr>
              <w:pStyle w:val="TableContents"/>
              <w:bidi w:val="0"/>
              <w:spacing w:before="0" w:after="283"/>
              <w:jc w:val="left"/>
              <w:rPr>
                <w:sz w:val="4"/>
                <w:szCs w:val="4"/>
              </w:rPr>
            </w:pPr>
            <w:r>
              <w:rPr>
                <w:sz w:val="4"/>
                <w:szCs w:val="4"/>
              </w:rPr>
            </w:r>
          </w:p>
        </w:tc>
      </w:tr>
      <w:tr>
        <w:trPr/>
        <w:tc>
          <w:tcPr>
            <w:tcW w:w="143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Martin Waters</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4685" w:type="dxa"/>
            <w:tcBorders>
              <w:bottom w:val="single" w:sz="6" w:space="0" w:color="FBDDE3"/>
            </w:tcBorders>
            <w:tcMar>
              <w:bottom w:w="60" w:type="dxa"/>
            </w:tcMar>
            <w:vAlign w:val="center"/>
          </w:tcPr>
          <w:p>
            <w:pPr>
              <w:pStyle w:val="TableContents"/>
              <w:bidi w:val="0"/>
              <w:spacing w:before="0" w:after="283"/>
              <w:jc w:val="left"/>
              <w:rPr/>
            </w:pPr>
            <w:r>
              <w:rPr/>
              <w:t>Chief Executive Officer</w:t>
            </w:r>
          </w:p>
        </w:tc>
      </w:tr>
      <w:tr>
        <w:trPr/>
        <w:tc>
          <w:tcPr>
            <w:tcW w:w="1430" w:type="dxa"/>
            <w:tcBorders/>
            <w:vAlign w:val="center"/>
          </w:tcPr>
          <w:p>
            <w:pPr>
              <w:pStyle w:val="TableContents"/>
              <w:bidi w:val="0"/>
              <w:spacing w:before="0" w:after="283"/>
              <w:jc w:val="left"/>
              <w:rPr>
                <w:sz w:val="4"/>
                <w:szCs w:val="4"/>
              </w:rPr>
            </w:pPr>
            <w:r>
              <w:rPr>
                <w:sz w:val="4"/>
                <w:szCs w:val="4"/>
              </w:rPr>
            </w:r>
          </w:p>
        </w:tc>
        <w:tc>
          <w:tcPr>
            <w:tcW w:w="4805" w:type="dxa"/>
            <w:gridSpan w:val="2"/>
            <w:tcBorders/>
            <w:vAlign w:val="center"/>
          </w:tcPr>
          <w:p>
            <w:pPr>
              <w:pStyle w:val="TableContents"/>
              <w:bidi w:val="0"/>
              <w:spacing w:before="0" w:after="283"/>
              <w:jc w:val="left"/>
              <w:rPr>
                <w:sz w:val="4"/>
                <w:szCs w:val="4"/>
              </w:rPr>
            </w:pPr>
            <w:r>
              <w:rPr>
                <w:sz w:val="4"/>
                <w:szCs w:val="4"/>
              </w:rPr>
            </w:r>
          </w:p>
        </w:tc>
      </w:tr>
      <w:tr>
        <w:trPr/>
        <w:tc>
          <w:tcPr>
            <w:tcW w:w="143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Timothy Johnson</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4685" w:type="dxa"/>
            <w:tcBorders>
              <w:bottom w:val="single" w:sz="6" w:space="0" w:color="FBDDE3"/>
            </w:tcBorders>
            <w:tcMar>
              <w:bottom w:w="60" w:type="dxa"/>
            </w:tcMar>
            <w:vAlign w:val="center"/>
          </w:tcPr>
          <w:p>
            <w:pPr>
              <w:pStyle w:val="TableContents"/>
              <w:bidi w:val="0"/>
              <w:spacing w:before="0" w:after="283"/>
              <w:jc w:val="left"/>
              <w:rPr/>
            </w:pPr>
            <w:r>
              <w:rPr/>
              <w:t>Chief Financial and Administrative Officer</w:t>
            </w:r>
          </w:p>
        </w:tc>
      </w:tr>
      <w:tr>
        <w:trPr/>
        <w:tc>
          <w:tcPr>
            <w:tcW w:w="1430" w:type="dxa"/>
            <w:tcBorders/>
            <w:vAlign w:val="center"/>
          </w:tcPr>
          <w:p>
            <w:pPr>
              <w:pStyle w:val="TableContents"/>
              <w:bidi w:val="0"/>
              <w:spacing w:before="0" w:after="283"/>
              <w:jc w:val="left"/>
              <w:rPr>
                <w:sz w:val="4"/>
                <w:szCs w:val="4"/>
              </w:rPr>
            </w:pPr>
            <w:r>
              <w:rPr>
                <w:sz w:val="4"/>
                <w:szCs w:val="4"/>
              </w:rPr>
            </w:r>
          </w:p>
        </w:tc>
        <w:tc>
          <w:tcPr>
            <w:tcW w:w="4805" w:type="dxa"/>
            <w:gridSpan w:val="2"/>
            <w:tcBorders/>
            <w:vAlign w:val="center"/>
          </w:tcPr>
          <w:p>
            <w:pPr>
              <w:pStyle w:val="TableContents"/>
              <w:bidi w:val="0"/>
              <w:spacing w:before="0" w:after="283"/>
              <w:jc w:val="left"/>
              <w:rPr>
                <w:sz w:val="4"/>
                <w:szCs w:val="4"/>
              </w:rPr>
            </w:pPr>
            <w:r>
              <w:rPr>
                <w:sz w:val="4"/>
                <w:szCs w:val="4"/>
              </w:rPr>
            </w:r>
          </w:p>
        </w:tc>
      </w:tr>
      <w:tr>
        <w:trPr/>
        <w:tc>
          <w:tcPr>
            <w:tcW w:w="143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Melinda McAfee</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4685" w:type="dxa"/>
            <w:tcBorders>
              <w:bottom w:val="single" w:sz="6" w:space="0" w:color="FBDDE3"/>
            </w:tcBorders>
            <w:tcMar>
              <w:bottom w:w="60" w:type="dxa"/>
            </w:tcMar>
            <w:vAlign w:val="center"/>
          </w:tcPr>
          <w:p>
            <w:pPr>
              <w:pStyle w:val="TableContents"/>
              <w:bidi w:val="0"/>
              <w:spacing w:before="0" w:after="283"/>
              <w:jc w:val="left"/>
              <w:rPr/>
            </w:pPr>
            <w:r>
              <w:rPr/>
              <w:t>Chief Human Resources and Chief Legal Officer</w:t>
            </w:r>
          </w:p>
        </w:tc>
      </w:tr>
      <w:tr>
        <w:trPr/>
        <w:tc>
          <w:tcPr>
            <w:tcW w:w="1430" w:type="dxa"/>
            <w:tcBorders/>
            <w:vAlign w:val="center"/>
          </w:tcPr>
          <w:p>
            <w:pPr>
              <w:pStyle w:val="TableContents"/>
              <w:bidi w:val="0"/>
              <w:spacing w:before="0" w:after="283"/>
              <w:jc w:val="left"/>
              <w:rPr>
                <w:sz w:val="4"/>
                <w:szCs w:val="4"/>
              </w:rPr>
            </w:pPr>
            <w:r>
              <w:rPr>
                <w:sz w:val="4"/>
                <w:szCs w:val="4"/>
              </w:rPr>
            </w:r>
          </w:p>
        </w:tc>
        <w:tc>
          <w:tcPr>
            <w:tcW w:w="4805" w:type="dxa"/>
            <w:gridSpan w:val="2"/>
            <w:tcBorders/>
            <w:vAlign w:val="center"/>
          </w:tcPr>
          <w:p>
            <w:pPr>
              <w:pStyle w:val="TableContents"/>
              <w:bidi w:val="0"/>
              <w:spacing w:before="0" w:after="283"/>
              <w:jc w:val="left"/>
              <w:rPr>
                <w:sz w:val="4"/>
                <w:szCs w:val="4"/>
              </w:rPr>
            </w:pPr>
            <w:r>
              <w:rPr>
                <w:sz w:val="4"/>
                <w:szCs w:val="4"/>
              </w:rPr>
            </w:r>
          </w:p>
        </w:tc>
      </w:tr>
      <w:tr>
        <w:trPr/>
        <w:tc>
          <w:tcPr>
            <w:tcW w:w="143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Christine Rupp</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4685" w:type="dxa"/>
            <w:tcBorders>
              <w:bottom w:val="single" w:sz="6" w:space="0" w:color="FBDDE3"/>
            </w:tcBorders>
            <w:tcMar>
              <w:bottom w:w="60" w:type="dxa"/>
            </w:tcMar>
            <w:vAlign w:val="center"/>
          </w:tcPr>
          <w:p>
            <w:pPr>
              <w:pStyle w:val="TableContents"/>
              <w:bidi w:val="0"/>
              <w:spacing w:before="0" w:after="283"/>
              <w:jc w:val="left"/>
              <w:rPr/>
            </w:pPr>
            <w:r>
              <w:rPr/>
              <w:t>Chief Customer Officer</w:t>
            </w:r>
          </w:p>
        </w:tc>
      </w:tr>
      <w:tr>
        <w:trPr/>
        <w:tc>
          <w:tcPr>
            <w:tcW w:w="1430" w:type="dxa"/>
            <w:tcBorders/>
            <w:vAlign w:val="center"/>
          </w:tcPr>
          <w:p>
            <w:pPr>
              <w:pStyle w:val="TableContents"/>
              <w:bidi w:val="0"/>
              <w:spacing w:before="0" w:after="283"/>
              <w:jc w:val="left"/>
              <w:rPr>
                <w:sz w:val="4"/>
                <w:szCs w:val="4"/>
              </w:rPr>
            </w:pPr>
            <w:r>
              <w:rPr>
                <w:sz w:val="4"/>
                <w:szCs w:val="4"/>
              </w:rPr>
            </w:r>
          </w:p>
        </w:tc>
        <w:tc>
          <w:tcPr>
            <w:tcW w:w="4805" w:type="dxa"/>
            <w:gridSpan w:val="2"/>
            <w:tcBorders/>
            <w:vAlign w:val="center"/>
          </w:tcPr>
          <w:p>
            <w:pPr>
              <w:pStyle w:val="TableContents"/>
              <w:bidi w:val="0"/>
              <w:spacing w:before="0" w:after="283"/>
              <w:jc w:val="left"/>
              <w:rPr>
                <w:sz w:val="4"/>
                <w:szCs w:val="4"/>
              </w:rPr>
            </w:pPr>
            <w:r>
              <w:rPr>
                <w:sz w:val="4"/>
                <w:szCs w:val="4"/>
              </w:rPr>
            </w:r>
          </w:p>
        </w:tc>
      </w:tr>
      <w:tr>
        <w:trPr/>
        <w:tc>
          <w:tcPr>
            <w:tcW w:w="1430" w:type="dxa"/>
            <w:tcBorders>
              <w:bottom w:val="single" w:sz="8" w:space="0" w:color="F7ACBA"/>
            </w:tcBorders>
            <w:tcMar>
              <w:bottom w:w="80" w:type="dxa"/>
            </w:tcMar>
            <w:vAlign w:val="center"/>
          </w:tcPr>
          <w:p>
            <w:pPr>
              <w:pStyle w:val="TableContents"/>
              <w:bidi w:val="0"/>
              <w:spacing w:before="0" w:after="0"/>
              <w:jc w:val="left"/>
              <w:rPr>
                <w:rFonts w:ascii="arial" w:hAnsi="arial"/>
                <w:sz w:val="18"/>
              </w:rPr>
            </w:pPr>
            <w:r>
              <w:rPr>
                <w:rFonts w:ascii="arial" w:hAnsi="arial"/>
                <w:sz w:val="18"/>
              </w:rPr>
              <w:t>Gregory Unis(1)</w:t>
            </w:r>
          </w:p>
        </w:tc>
        <w:tc>
          <w:tcPr>
            <w:tcW w:w="120" w:type="dxa"/>
            <w:tcBorders>
              <w:bottom w:val="single" w:sz="8" w:space="0" w:color="F7ACBA"/>
            </w:tcBorders>
            <w:tcMar>
              <w:bottom w:w="28" w:type="dxa"/>
            </w:tcMar>
            <w:vAlign w:val="center"/>
          </w:tcPr>
          <w:p>
            <w:pPr>
              <w:pStyle w:val="TableContents"/>
              <w:bidi w:val="0"/>
              <w:spacing w:before="0" w:after="283"/>
              <w:jc w:val="left"/>
              <w:rPr/>
            </w:pPr>
            <w:r>
              <w:rPr/>
              <w:t>  </w:t>
            </w:r>
          </w:p>
        </w:tc>
        <w:tc>
          <w:tcPr>
            <w:tcW w:w="4685" w:type="dxa"/>
            <w:tcBorders>
              <w:bottom w:val="single" w:sz="8" w:space="0" w:color="F7ACBA"/>
            </w:tcBorders>
            <w:tcMar>
              <w:bottom w:w="80" w:type="dxa"/>
            </w:tcMar>
            <w:vAlign w:val="center"/>
          </w:tcPr>
          <w:p>
            <w:pPr>
              <w:pStyle w:val="TableContents"/>
              <w:bidi w:val="0"/>
              <w:spacing w:before="0" w:after="283"/>
              <w:jc w:val="left"/>
              <w:rPr/>
            </w:pPr>
            <w:r>
              <w:rPr/>
              <w:t>Brand President, Victoria’s Secret &amp; PINK</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(1)</w:t>
            </w:r>
          </w:p>
        </w:tc>
        <w:tc>
          <w:tcPr>
            <w:tcW w:w="9918" w:type="dxa"/>
            <w:tcBorders/>
            <w:vAlign w:val="center"/>
          </w:tcPr>
          <w:p>
            <w:pPr>
              <w:pStyle w:val="TableContents"/>
              <w:bidi w:val="0"/>
              <w:spacing w:before="0" w:after="0"/>
              <w:jc w:val="left"/>
              <w:rPr>
                <w:rFonts w:ascii="arial" w:hAnsi="arial"/>
                <w:sz w:val="14"/>
              </w:rPr>
            </w:pPr>
            <w:r>
              <w:rPr>
                <w:rFonts w:ascii="arial" w:hAnsi="arial"/>
                <w:sz w:val="14"/>
              </w:rPr>
              <w:t xml:space="preserve">Gregory Unis’s role expanded in July 2023 and he became the Brand President of Victoria’s Secret and PINK while maintaining responsibility over Victoria’s Secret Beauty and New Business Development. </w:t>
            </w:r>
          </w:p>
        </w:tc>
      </w:tr>
    </w:tbl>
    <w:p>
      <w:pPr>
        <w:pStyle w:val="TextBody"/>
        <w:bidi w:val="0"/>
        <w:spacing w:before="240" w:after="0"/>
        <w:jc w:val="left"/>
        <w:rPr>
          <w:rFonts w:ascii="arial" w:hAnsi="arial"/>
          <w:b/>
          <w:color w:val="F7ACBA"/>
          <w:sz w:val="24"/>
        </w:rPr>
      </w:pPr>
      <w:r>
        <w:rPr>
          <w:rFonts w:ascii="arial" w:hAnsi="arial"/>
          <w:b/>
          <w:color w:val="F7ACBA"/>
          <w:sz w:val="24"/>
        </w:rPr>
        <w:t xml:space="preserve">Stockholder Engagement </w:t>
      </w:r>
    </w:p>
    <w:p>
      <w:pPr>
        <w:pStyle w:val="TextBody"/>
        <w:bidi w:val="0"/>
        <w:spacing w:before="60" w:after="0"/>
        <w:jc w:val="left"/>
        <w:rPr>
          <w:rFonts w:ascii="arial" w:hAnsi="arial"/>
          <w:sz w:val="18"/>
        </w:rPr>
      </w:pPr>
      <w:r>
        <w:rPr>
          <w:rFonts w:ascii="arial" w:hAnsi="arial"/>
          <w:sz w:val="18"/>
        </w:rPr>
        <w:t xml:space="preserve">We are committed to healthy and recurrent engagement with our stockholders regarding our executive compensation practices and philosophy. The HCCC and management welcome and value dialogue with stockholders on this topic. Members of the HCCC and executive management team are available to meet with stockholders at their request and convenience to discuss our executive compensation program. </w:t>
      </w:r>
    </w:p>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99"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0" descr=""/>
                          <pic:cNvPicPr>
                            <a:picLocks noChangeAspect="1" noChangeArrowheads="1"/>
                          </pic:cNvPicPr>
                        </pic:nvPicPr>
                        <pic:blipFill>
                          <a:blip r:embed="rId91"/>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47 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COMPENSATION DISCUSSION AND ANALYSIS </w:t>
      </w:r>
    </w:p>
    <w:p>
      <w:pPr>
        <w:pStyle w:val="TextBody"/>
        <w:bidi w:val="0"/>
        <w:spacing w:before="0" w:after="0"/>
        <w:jc w:val="left"/>
        <w:rPr/>
      </w:pPr>
      <w:r>
        <w:rPr/>
        <w:t> </w:t>
      </w:r>
    </w:p>
    <w:p>
      <w:pPr>
        <w:pStyle w:val="TextBody"/>
        <w:bidi w:val="0"/>
        <w:spacing w:before="0" w:after="0"/>
        <w:jc w:val="left"/>
        <w:rPr>
          <w:rFonts w:ascii="Times New Roman" w:hAnsi="Times New Roman"/>
          <w:sz w:val="22"/>
        </w:rPr>
      </w:pPr>
      <w:r>
        <w:rPr>
          <w:rFonts w:ascii="Times New Roman" w:hAnsi="Times New Roman"/>
          <w:i/>
          <w:sz w:val="22"/>
        </w:rPr>
        <w:t>Say-on-Pay</w:t>
      </w:r>
      <w:r>
        <w:rPr>
          <w:rFonts w:ascii="Times New Roman" w:hAnsi="Times New Roman"/>
          <w:sz w:val="22"/>
        </w:rPr>
        <w:t xml:space="preserve"> </w:t>
      </w:r>
    </w:p>
    <w:p>
      <w:pPr>
        <w:pStyle w:val="TextBody"/>
        <w:bidi w:val="0"/>
        <w:spacing w:before="60" w:after="0"/>
        <w:jc w:val="left"/>
        <w:rPr>
          <w:rFonts w:ascii="arial" w:hAnsi="arial"/>
          <w:sz w:val="18"/>
        </w:rPr>
      </w:pPr>
      <w:r>
        <w:rPr>
          <w:rFonts w:ascii="arial" w:hAnsi="arial"/>
          <w:sz w:val="18"/>
        </w:rPr>
        <w:t xml:space="preserve">We held an advisory vote on executive compensation at our 2023 annual meeting of stockholders (referred to as the “say-on-pay” vote), pursuant to which the majority of the votes cast (84.6%) approved the compensation of our NEOs. The HCCC carefully considered the results of this vote—including feedback received in direct dialogue with stockholders—in making decisions about our executive compensation program. </w:t>
      </w:r>
    </w:p>
    <w:p>
      <w:pPr>
        <w:pStyle w:val="TextBody"/>
        <w:bidi w:val="0"/>
        <w:spacing w:before="240" w:after="0"/>
        <w:jc w:val="left"/>
        <w:rPr>
          <w:rFonts w:ascii="Times New Roman" w:hAnsi="Times New Roman"/>
          <w:sz w:val="22"/>
        </w:rPr>
      </w:pPr>
      <w:r>
        <w:rPr>
          <w:rFonts w:ascii="Times New Roman" w:hAnsi="Times New Roman"/>
          <w:i/>
          <w:sz w:val="22"/>
        </w:rPr>
        <w:t>Say-on-Frequency</w:t>
      </w:r>
      <w:r>
        <w:rPr>
          <w:rFonts w:ascii="Times New Roman" w:hAnsi="Times New Roman"/>
          <w:sz w:val="22"/>
        </w:rPr>
        <w:t xml:space="preserve"> </w:t>
      </w:r>
    </w:p>
    <w:p>
      <w:pPr>
        <w:pStyle w:val="TextBody"/>
        <w:bidi w:val="0"/>
        <w:spacing w:before="60" w:after="0"/>
        <w:jc w:val="left"/>
        <w:rPr>
          <w:rFonts w:ascii="arial" w:hAnsi="arial"/>
          <w:sz w:val="18"/>
        </w:rPr>
      </w:pPr>
      <w:r>
        <w:rPr>
          <w:rFonts w:ascii="arial" w:hAnsi="arial"/>
          <w:sz w:val="18"/>
        </w:rPr>
        <w:t xml:space="preserve">We held an advisory vote on the frequency of future “say-on-pay” advisory votes (referred to as the “say-on-frequency” vote) at our 2022 annual meeting of stockholders, pursuant to which the majority of the votes cast voted to hold our “say-on-pay” votes every year. The HCCC considered the outcome of this advisory vote and determined that future “say-on-pay” votes will be conducted every year. The HCCC will re-evaluate this determination after the next stockholder advisory “say-on-frequency” vote, which will be at the Company’s 2028 annual meeting of stockholders unless presented earlier. </w:t>
      </w:r>
    </w:p>
    <w:p>
      <w:pPr>
        <w:pStyle w:val="TextBody"/>
        <w:bidi w:val="0"/>
        <w:spacing w:before="240" w:after="0"/>
        <w:jc w:val="left"/>
        <w:rPr>
          <w:rFonts w:ascii="arial" w:hAnsi="arial"/>
          <w:b/>
          <w:color w:val="F7ACBA"/>
          <w:sz w:val="24"/>
        </w:rPr>
      </w:pPr>
      <w:r>
        <w:rPr>
          <w:rFonts w:ascii="arial" w:hAnsi="arial"/>
          <w:b/>
          <w:color w:val="F7ACBA"/>
          <w:sz w:val="24"/>
        </w:rPr>
        <w:t xml:space="preserve">Compensation Program </w:t>
      </w:r>
    </w:p>
    <w:p>
      <w:pPr>
        <w:pStyle w:val="TextBody"/>
        <w:bidi w:val="0"/>
        <w:spacing w:before="60" w:after="0"/>
        <w:jc w:val="left"/>
        <w:rPr>
          <w:rFonts w:ascii="Times New Roman" w:hAnsi="Times New Roman"/>
          <w:sz w:val="22"/>
        </w:rPr>
      </w:pPr>
      <w:r>
        <w:rPr>
          <w:rFonts w:ascii="Times New Roman" w:hAnsi="Times New Roman"/>
          <w:i/>
          <w:sz w:val="22"/>
        </w:rPr>
        <w:t>Executive Compensation Guiding Principles and Philosophy</w:t>
      </w:r>
      <w:r>
        <w:rPr>
          <w:rFonts w:ascii="Times New Roman" w:hAnsi="Times New Roman"/>
          <w:sz w:val="22"/>
        </w:rPr>
        <w:t xml:space="preserve"> </w:t>
      </w:r>
    </w:p>
    <w:p>
      <w:pPr>
        <w:pStyle w:val="TextBody"/>
        <w:bidi w:val="0"/>
        <w:spacing w:before="60" w:after="0"/>
        <w:jc w:val="left"/>
        <w:rPr>
          <w:rFonts w:ascii="arial" w:hAnsi="arial"/>
          <w:sz w:val="18"/>
        </w:rPr>
      </w:pPr>
      <w:r>
        <w:rPr>
          <w:rFonts w:ascii="arial" w:hAnsi="arial"/>
          <w:sz w:val="18"/>
        </w:rPr>
        <w:t xml:space="preserve">VS&amp;Co, in partnership with the HCCC, rolled out a new compensation philosophy in 2022. Six guiding principles frame our compensation philosophy. </w:t>
      </w:r>
    </w:p>
    <w:p>
      <w:pPr>
        <w:pStyle w:val="TextBody"/>
        <w:bidi w:val="0"/>
        <w:spacing w:before="120" w:after="0"/>
        <w:jc w:val="left"/>
        <w:rPr>
          <w:rFonts w:ascii="arial" w:hAnsi="arial"/>
          <w:sz w:val="18"/>
        </w:rPr>
      </w:pPr>
      <w:r>
        <w:rPr>
          <w:rFonts w:ascii="arial" w:hAnsi="arial"/>
          <w:sz w:val="18"/>
        </w:rPr>
        <w:t xml:space="preserve">The </w:t>
      </w:r>
      <w:r>
        <w:rPr>
          <w:rFonts w:ascii="arial" w:hAnsi="arial"/>
          <w:b/>
          <w:sz w:val="18"/>
        </w:rPr>
        <w:t>Guiding Principles</w:t>
      </w:r>
      <w:r>
        <w:rPr>
          <w:rFonts w:ascii="arial" w:hAnsi="arial"/>
          <w:sz w:val="18"/>
        </w:rPr>
        <w:t xml:space="preserve"> are to: </w:t>
      </w:r>
    </w:p>
    <w:p>
      <w:pPr>
        <w:pStyle w:val="TextBody"/>
        <w:bidi w:val="0"/>
        <w:spacing w:before="0" w:after="0"/>
        <w:jc w:val="left"/>
        <w:rPr/>
      </w:pPr>
      <w:r>
        <w:rPr/>
        <w:t> </w:t>
      </w:r>
    </w:p>
    <w:tbl>
      <w:tblPr>
        <w:tblW w:w="5770" w:type="dxa"/>
        <w:jc w:val="left"/>
        <w:tblInd w:w="0" w:type="dxa"/>
        <w:tblLayout w:type="fixed"/>
        <w:tblCellMar>
          <w:top w:w="0" w:type="dxa"/>
          <w:left w:w="0" w:type="dxa"/>
          <w:bottom w:w="0" w:type="dxa"/>
          <w:right w:w="0" w:type="dxa"/>
        </w:tblCellMar>
      </w:tblPr>
      <w:tblGrid>
        <w:gridCol w:w="125"/>
        <w:gridCol w:w="60"/>
        <w:gridCol w:w="5585"/>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left"/>
              <w:rPr>
                <w:rFonts w:ascii="arial" w:hAnsi="arial"/>
                <w:sz w:val="18"/>
              </w:rPr>
            </w:pPr>
            <w:r>
              <w:rPr>
                <w:rFonts w:ascii="arial" w:hAnsi="arial"/>
                <w:sz w:val="18"/>
              </w:rPr>
              <w:t xml:space="preserve">Support the customers’ experience through pay design and delivery </w:t>
            </w:r>
          </w:p>
        </w:tc>
      </w:tr>
    </w:tbl>
    <w:p>
      <w:pPr>
        <w:pStyle w:val="TextBody"/>
        <w:bidi w:val="0"/>
        <w:spacing w:before="0" w:after="0"/>
        <w:jc w:val="left"/>
        <w:rPr/>
      </w:pPr>
      <w:r>
        <w:rPr/>
        <w:t> </w:t>
      </w:r>
    </w:p>
    <w:tbl>
      <w:tblPr>
        <w:tblW w:w="7705" w:type="dxa"/>
        <w:jc w:val="left"/>
        <w:tblInd w:w="0" w:type="dxa"/>
        <w:tblLayout w:type="fixed"/>
        <w:tblCellMar>
          <w:top w:w="0" w:type="dxa"/>
          <w:left w:w="0" w:type="dxa"/>
          <w:bottom w:w="0" w:type="dxa"/>
          <w:right w:w="0" w:type="dxa"/>
        </w:tblCellMar>
      </w:tblPr>
      <w:tblGrid>
        <w:gridCol w:w="125"/>
        <w:gridCol w:w="60"/>
        <w:gridCol w:w="75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7520" w:type="dxa"/>
            <w:tcBorders/>
            <w:vAlign w:val="center"/>
          </w:tcPr>
          <w:p>
            <w:pPr>
              <w:pStyle w:val="TableContents"/>
              <w:bidi w:val="0"/>
              <w:spacing w:before="0" w:after="0"/>
              <w:jc w:val="left"/>
              <w:rPr>
                <w:rFonts w:ascii="arial" w:hAnsi="arial"/>
                <w:sz w:val="18"/>
              </w:rPr>
            </w:pPr>
            <w:r>
              <w:rPr>
                <w:rFonts w:ascii="arial" w:hAnsi="arial"/>
                <w:sz w:val="18"/>
              </w:rPr>
              <w:t xml:space="preserve">Drive VS&amp;Co’s intended vision, values and culture through what is measured and rewarded </w:t>
            </w:r>
          </w:p>
        </w:tc>
      </w:tr>
    </w:tbl>
    <w:p>
      <w:pPr>
        <w:pStyle w:val="TextBody"/>
        <w:bidi w:val="0"/>
        <w:spacing w:before="0" w:after="0"/>
        <w:jc w:val="left"/>
        <w:rPr/>
      </w:pPr>
      <w:r>
        <w:rPr/>
        <w:t> </w:t>
      </w:r>
    </w:p>
    <w:tbl>
      <w:tblPr>
        <w:tblW w:w="8470" w:type="dxa"/>
        <w:jc w:val="left"/>
        <w:tblInd w:w="0" w:type="dxa"/>
        <w:tblLayout w:type="fixed"/>
        <w:tblCellMar>
          <w:top w:w="0" w:type="dxa"/>
          <w:left w:w="0" w:type="dxa"/>
          <w:bottom w:w="0" w:type="dxa"/>
          <w:right w:w="0" w:type="dxa"/>
        </w:tblCellMar>
      </w:tblPr>
      <w:tblGrid>
        <w:gridCol w:w="125"/>
        <w:gridCol w:w="60"/>
        <w:gridCol w:w="8285"/>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8285" w:type="dxa"/>
            <w:tcBorders/>
            <w:vAlign w:val="center"/>
          </w:tcPr>
          <w:p>
            <w:pPr>
              <w:pStyle w:val="TableContents"/>
              <w:bidi w:val="0"/>
              <w:spacing w:before="0" w:after="0"/>
              <w:jc w:val="left"/>
              <w:rPr>
                <w:rFonts w:ascii="arial" w:hAnsi="arial"/>
                <w:sz w:val="18"/>
              </w:rPr>
            </w:pPr>
            <w:r>
              <w:rPr>
                <w:rFonts w:ascii="arial" w:hAnsi="arial"/>
                <w:sz w:val="18"/>
              </w:rPr>
              <w:t xml:space="preserve">Foster collaboration in business objective achievement through a foundational “One VS&amp;Co” mindset </w:t>
            </w:r>
          </w:p>
        </w:tc>
      </w:tr>
    </w:tbl>
    <w:p>
      <w:pPr>
        <w:pStyle w:val="TextBody"/>
        <w:bidi w:val="0"/>
        <w:spacing w:before="0" w:after="0"/>
        <w:jc w:val="left"/>
        <w:rPr/>
      </w:pPr>
      <w:r>
        <w:rPr/>
        <w:t> </w:t>
      </w:r>
    </w:p>
    <w:tbl>
      <w:tblPr>
        <w:tblW w:w="4975" w:type="dxa"/>
        <w:jc w:val="left"/>
        <w:tblInd w:w="0" w:type="dxa"/>
        <w:tblLayout w:type="fixed"/>
        <w:tblCellMar>
          <w:top w:w="0" w:type="dxa"/>
          <w:left w:w="0" w:type="dxa"/>
          <w:bottom w:w="0" w:type="dxa"/>
          <w:right w:w="0" w:type="dxa"/>
        </w:tblCellMar>
      </w:tblPr>
      <w:tblGrid>
        <w:gridCol w:w="125"/>
        <w:gridCol w:w="60"/>
        <w:gridCol w:w="479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4790" w:type="dxa"/>
            <w:tcBorders/>
            <w:vAlign w:val="center"/>
          </w:tcPr>
          <w:p>
            <w:pPr>
              <w:pStyle w:val="TableContents"/>
              <w:bidi w:val="0"/>
              <w:spacing w:before="0" w:after="0"/>
              <w:jc w:val="left"/>
              <w:rPr>
                <w:rFonts w:ascii="arial" w:hAnsi="arial"/>
                <w:sz w:val="18"/>
              </w:rPr>
            </w:pPr>
            <w:r>
              <w:rPr>
                <w:rFonts w:ascii="arial" w:hAnsi="arial"/>
                <w:sz w:val="18"/>
              </w:rPr>
              <w:t xml:space="preserve">Facilitate an organizational culture of pay-for-performance </w:t>
            </w:r>
          </w:p>
        </w:tc>
      </w:tr>
    </w:tbl>
    <w:p>
      <w:pPr>
        <w:pStyle w:val="TextBody"/>
        <w:bidi w:val="0"/>
        <w:spacing w:before="0" w:after="0"/>
        <w:jc w:val="left"/>
        <w:rPr/>
      </w:pPr>
      <w:r>
        <w:rPr/>
        <w:t> </w:t>
      </w:r>
    </w:p>
    <w:tbl>
      <w:tblPr>
        <w:tblW w:w="8860" w:type="dxa"/>
        <w:jc w:val="left"/>
        <w:tblInd w:w="0" w:type="dxa"/>
        <w:tblLayout w:type="fixed"/>
        <w:tblCellMar>
          <w:top w:w="0" w:type="dxa"/>
          <w:left w:w="0" w:type="dxa"/>
          <w:bottom w:w="0" w:type="dxa"/>
          <w:right w:w="0" w:type="dxa"/>
        </w:tblCellMar>
      </w:tblPr>
      <w:tblGrid>
        <w:gridCol w:w="125"/>
        <w:gridCol w:w="60"/>
        <w:gridCol w:w="8675"/>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8675" w:type="dxa"/>
            <w:tcBorders/>
            <w:vAlign w:val="center"/>
          </w:tcPr>
          <w:p>
            <w:pPr>
              <w:pStyle w:val="TableContents"/>
              <w:bidi w:val="0"/>
              <w:spacing w:before="0" w:after="0"/>
              <w:jc w:val="left"/>
              <w:rPr>
                <w:rFonts w:ascii="arial" w:hAnsi="arial"/>
                <w:sz w:val="18"/>
              </w:rPr>
            </w:pPr>
            <w:r>
              <w:rPr>
                <w:rFonts w:ascii="arial" w:hAnsi="arial"/>
                <w:sz w:val="18"/>
              </w:rPr>
              <w:t xml:space="preserve">Allow for appropriate flexibility and agility to meet ongoing talent attraction, retention and motivation needs </w:t>
            </w:r>
          </w:p>
        </w:tc>
      </w:tr>
    </w:tbl>
    <w:p>
      <w:pPr>
        <w:pStyle w:val="TextBody"/>
        <w:bidi w:val="0"/>
        <w:spacing w:before="0" w:after="0"/>
        <w:jc w:val="left"/>
        <w:rPr/>
      </w:pPr>
      <w:r>
        <w:rPr/>
        <w:t> </w:t>
      </w:r>
    </w:p>
    <w:tbl>
      <w:tblPr>
        <w:tblW w:w="6550" w:type="dxa"/>
        <w:jc w:val="left"/>
        <w:tblInd w:w="0" w:type="dxa"/>
        <w:tblLayout w:type="fixed"/>
        <w:tblCellMar>
          <w:top w:w="0" w:type="dxa"/>
          <w:left w:w="0" w:type="dxa"/>
          <w:bottom w:w="0" w:type="dxa"/>
          <w:right w:w="0" w:type="dxa"/>
        </w:tblCellMar>
      </w:tblPr>
      <w:tblGrid>
        <w:gridCol w:w="125"/>
        <w:gridCol w:w="60"/>
        <w:gridCol w:w="6365"/>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6365" w:type="dxa"/>
            <w:tcBorders/>
            <w:vAlign w:val="center"/>
          </w:tcPr>
          <w:p>
            <w:pPr>
              <w:pStyle w:val="TableContents"/>
              <w:bidi w:val="0"/>
              <w:spacing w:before="0" w:after="0"/>
              <w:jc w:val="left"/>
              <w:rPr>
                <w:rFonts w:ascii="arial" w:hAnsi="arial"/>
                <w:sz w:val="18"/>
              </w:rPr>
            </w:pPr>
            <w:r>
              <w:rPr>
                <w:rFonts w:ascii="arial" w:hAnsi="arial"/>
                <w:sz w:val="18"/>
              </w:rPr>
              <w:t xml:space="preserve">Deliver compensation that is simple to communicate, operate and understand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32"/>
        <w:gridCol w:w="120"/>
        <w:gridCol w:w="8053"/>
      </w:tblGrid>
      <w:tr>
        <w:trPr/>
        <w:tc>
          <w:tcPr>
            <w:tcW w:w="20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05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left"/>
              <w:rPr>
                <w:rFonts w:ascii="arial" w:hAnsi="arial"/>
                <w:b/>
                <w:color w:val="F7ACBA"/>
                <w:sz w:val="18"/>
              </w:rPr>
            </w:pPr>
            <w:r>
              <w:rPr>
                <w:rFonts w:ascii="arial" w:hAnsi="arial"/>
                <w:b/>
                <w:color w:val="F7ACBA"/>
                <w:sz w:val="18"/>
              </w:rPr>
              <w:t>Our Executive Compensation Philosophy</w:t>
            </w:r>
          </w:p>
        </w:tc>
      </w:tr>
      <w:tr>
        <w:trPr/>
        <w:tc>
          <w:tcPr>
            <w:tcW w:w="2032" w:type="dxa"/>
            <w:tcBorders>
              <w:top w:val="single" w:sz="8" w:space="0" w:color="F7ACBA"/>
            </w:tcBorders>
            <w:tcMar>
              <w:top w:w="28" w:type="dxa"/>
            </w:tcMar>
            <w:vAlign w:val="center"/>
          </w:tcPr>
          <w:p>
            <w:pPr>
              <w:pStyle w:val="TableContents"/>
              <w:bidi w:val="0"/>
              <w:spacing w:before="0" w:after="283"/>
              <w:jc w:val="left"/>
              <w:rPr/>
            </w:pPr>
            <w:r>
              <w:rPr/>
              <w:t> </w:t>
            </w:r>
          </w:p>
        </w:tc>
        <w:tc>
          <w:tcPr>
            <w:tcW w:w="8173" w:type="dxa"/>
            <w:gridSpan w:val="2"/>
            <w:tcBorders>
              <w:top w:val="single" w:sz="8" w:space="0" w:color="F7ACBA"/>
            </w:tcBorders>
            <w:tcMar>
              <w:top w:w="28" w:type="dxa"/>
            </w:tcMar>
            <w:vAlign w:val="center"/>
          </w:tcPr>
          <w:p>
            <w:pPr>
              <w:pStyle w:val="TableContents"/>
              <w:bidi w:val="0"/>
              <w:spacing w:before="0" w:after="283"/>
              <w:jc w:val="left"/>
              <w:rPr/>
            </w:pPr>
            <w:r>
              <w:rPr/>
              <w:t> </w:t>
            </w:r>
          </w:p>
        </w:tc>
      </w:tr>
      <w:tr>
        <w:trPr/>
        <w:tc>
          <w:tcPr>
            <w:tcW w:w="2032" w:type="dxa"/>
            <w:tcBorders>
              <w:bottom w:val="single" w:sz="8" w:space="0" w:color="F7ACBA"/>
            </w:tcBorders>
            <w:tcMar>
              <w:bottom w:w="80" w:type="dxa"/>
            </w:tcMar>
            <w:vAlign w:val="center"/>
          </w:tcPr>
          <w:p>
            <w:pPr>
              <w:pStyle w:val="TableContents"/>
              <w:bidi w:val="0"/>
              <w:spacing w:before="0" w:after="0"/>
              <w:jc w:val="left"/>
              <w:rPr>
                <w:rFonts w:ascii="arial" w:hAnsi="arial"/>
                <w:b/>
                <w:sz w:val="18"/>
              </w:rPr>
            </w:pPr>
            <w:r>
              <w:rPr>
                <w:rFonts w:ascii="arial" w:hAnsi="arial"/>
                <w:b/>
                <w:sz w:val="18"/>
              </w:rPr>
              <w:t>Purpose of the Executive Compensation Programs</w:t>
            </w:r>
          </w:p>
        </w:tc>
        <w:tc>
          <w:tcPr>
            <w:tcW w:w="120" w:type="dxa"/>
            <w:tcBorders>
              <w:bottom w:val="single" w:sz="8" w:space="0" w:color="F7ACBA"/>
            </w:tcBorders>
            <w:tcMar>
              <w:bottom w:w="28" w:type="dxa"/>
            </w:tcMar>
            <w:vAlign w:val="center"/>
          </w:tcPr>
          <w:p>
            <w:pPr>
              <w:pStyle w:val="TableContents"/>
              <w:bidi w:val="0"/>
              <w:spacing w:before="0" w:after="283"/>
              <w:jc w:val="left"/>
              <w:rPr/>
            </w:pPr>
            <w:r>
              <w:rPr/>
              <w:t>  </w:t>
            </w:r>
          </w:p>
        </w:tc>
        <w:tc>
          <w:tcPr>
            <w:tcW w:w="8053" w:type="dxa"/>
            <w:tcBorders>
              <w:bottom w:val="single" w:sz="8" w:space="0" w:color="F7ACBA"/>
            </w:tcBorders>
            <w:tcMar>
              <w:bottom w:w="80" w:type="dxa"/>
            </w:tcMar>
            <w:vAlign w:val="center"/>
          </w:tcPr>
          <w:p>
            <w:pPr>
              <w:pStyle w:val="TableContents"/>
              <w:bidi w:val="0"/>
              <w:spacing w:before="0" w:after="0"/>
              <w:jc w:val="left"/>
              <w:rPr/>
            </w:pPr>
            <w:r>
              <w:rPr>
                <w:color w:val="F7ACBA"/>
              </w:rPr>
              <w:t>•</w:t>
            </w:r>
            <w:r>
              <w:rPr/>
              <w:t> </w:t>
            </w:r>
            <w:r>
              <w:rPr>
                <w:rFonts w:ascii="arial" w:hAnsi="arial"/>
                <w:sz w:val="18"/>
              </w:rPr>
              <w:t>Provide a roadmap for aligning executive interests with the development and growth of VS&amp;Co’s customer base—existing, lapsed and future.</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Enable the attraction, retention and motivation of executive talent by establishing compensation design and opportunities that provide a compelling and affordable value proposition.</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Establish a clear linkage between pay outcomes and both annual and sustained, long-term results that drive long-term stockholder value—measured against both internal goals and external evaluation.</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Support collaboration in the achievement of business, talent and culture objectives to promote a One VS&amp;Co culture anchored in the mission to create positive change for women through the power of VS&amp;Co products, platform and advocacy, and to inspire women around the world with products and experiences that uplift and champion them and their journey.</w:t>
            </w:r>
          </w:p>
          <w:p>
            <w:pPr>
              <w:pStyle w:val="TableContents"/>
              <w:bidi w:val="0"/>
              <w:spacing w:before="0" w:after="20"/>
              <w:jc w:val="left"/>
              <w:rPr/>
            </w:pPr>
            <w:r>
              <w:rPr/>
              <w:t> </w:t>
            </w:r>
          </w:p>
        </w:tc>
      </w:tr>
    </w:tbl>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00"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1" descr=""/>
                          <pic:cNvPicPr>
                            <a:picLocks noChangeAspect="1" noChangeArrowheads="1"/>
                          </pic:cNvPicPr>
                        </pic:nvPicPr>
                        <pic:blipFill>
                          <a:blip r:embed="rId92"/>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48 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COMPENSATION DISCUSSION AND ANALYSIS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18"/>
        <w:gridCol w:w="120"/>
        <w:gridCol w:w="8767"/>
      </w:tblGrid>
      <w:tr>
        <w:trPr/>
        <w:tc>
          <w:tcPr>
            <w:tcW w:w="13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67" w:type="dxa"/>
            <w:tcBorders/>
            <w:vAlign w:val="center"/>
          </w:tcPr>
          <w:p>
            <w:pPr>
              <w:pStyle w:val="TableContents"/>
              <w:bidi w:val="0"/>
              <w:spacing w:before="0" w:after="283"/>
              <w:jc w:val="left"/>
              <w:rPr>
                <w:sz w:val="4"/>
                <w:szCs w:val="4"/>
              </w:rPr>
            </w:pPr>
            <w:r>
              <w:rPr>
                <w:sz w:val="4"/>
                <w:szCs w:val="4"/>
              </w:rPr>
            </w:r>
          </w:p>
        </w:tc>
      </w:tr>
      <w:tr>
        <w:trPr/>
        <w:tc>
          <w:tcPr>
            <w:tcW w:w="1318" w:type="dxa"/>
            <w:tcBorders>
              <w:top w:val="single" w:sz="8" w:space="0" w:color="F7ACBA"/>
            </w:tcBorders>
            <w:tcMar>
              <w:top w:w="28" w:type="dxa"/>
            </w:tcMar>
            <w:vAlign w:val="center"/>
          </w:tcPr>
          <w:p>
            <w:pPr>
              <w:pStyle w:val="TableContents"/>
              <w:bidi w:val="0"/>
              <w:spacing w:before="0" w:after="283"/>
              <w:jc w:val="left"/>
              <w:rPr/>
            </w:pPr>
            <w:r>
              <w:rPr/>
              <w:t> </w:t>
            </w:r>
          </w:p>
        </w:tc>
        <w:tc>
          <w:tcPr>
            <w:tcW w:w="8887" w:type="dxa"/>
            <w:gridSpan w:val="2"/>
            <w:tcBorders>
              <w:top w:val="single" w:sz="8" w:space="0" w:color="F7ACBA"/>
            </w:tcBorders>
            <w:tcMar>
              <w:top w:w="28" w:type="dxa"/>
            </w:tcMar>
            <w:vAlign w:val="center"/>
          </w:tcPr>
          <w:p>
            <w:pPr>
              <w:pStyle w:val="TableContents"/>
              <w:bidi w:val="0"/>
              <w:spacing w:before="0" w:after="283"/>
              <w:jc w:val="left"/>
              <w:rPr/>
            </w:pPr>
            <w:r>
              <w:rPr/>
              <w:t> </w:t>
            </w:r>
          </w:p>
        </w:tc>
      </w:tr>
      <w:tr>
        <w:trPr/>
        <w:tc>
          <w:tcPr>
            <w:tcW w:w="1318" w:type="dxa"/>
            <w:tcBorders>
              <w:bottom w:val="single" w:sz="8" w:space="0" w:color="F7ACBA"/>
            </w:tcBorders>
            <w:tcMar>
              <w:bottom w:w="80" w:type="dxa"/>
            </w:tcMar>
            <w:vAlign w:val="center"/>
          </w:tcPr>
          <w:p>
            <w:pPr>
              <w:pStyle w:val="TableContents"/>
              <w:bidi w:val="0"/>
              <w:spacing w:before="0" w:after="0"/>
              <w:jc w:val="left"/>
              <w:rPr>
                <w:rFonts w:ascii="arial" w:hAnsi="arial"/>
                <w:b/>
                <w:sz w:val="18"/>
              </w:rPr>
            </w:pPr>
            <w:r>
              <w:rPr>
                <w:rFonts w:ascii="arial" w:hAnsi="arial"/>
                <w:b/>
                <w:sz w:val="18"/>
              </w:rPr>
              <w:t>Role and Mix of Pay Elements</w:t>
            </w:r>
          </w:p>
        </w:tc>
        <w:tc>
          <w:tcPr>
            <w:tcW w:w="120" w:type="dxa"/>
            <w:tcBorders>
              <w:bottom w:val="single" w:sz="8" w:space="0" w:color="F7ACBA"/>
            </w:tcBorders>
            <w:tcMar>
              <w:bottom w:w="28" w:type="dxa"/>
            </w:tcMar>
            <w:vAlign w:val="center"/>
          </w:tcPr>
          <w:p>
            <w:pPr>
              <w:pStyle w:val="TableContents"/>
              <w:bidi w:val="0"/>
              <w:spacing w:before="0" w:after="283"/>
              <w:jc w:val="left"/>
              <w:rPr/>
            </w:pPr>
            <w:r>
              <w:rPr/>
              <w:t>  </w:t>
            </w:r>
          </w:p>
        </w:tc>
        <w:tc>
          <w:tcPr>
            <w:tcW w:w="8767" w:type="dxa"/>
            <w:tcBorders>
              <w:bottom w:val="single" w:sz="8" w:space="0" w:color="F7ACBA"/>
            </w:tcBorders>
            <w:tcMar>
              <w:bottom w:w="80" w:type="dxa"/>
            </w:tcMar>
            <w:vAlign w:val="center"/>
          </w:tcPr>
          <w:p>
            <w:pPr>
              <w:pStyle w:val="TableContents"/>
              <w:bidi w:val="0"/>
              <w:spacing w:before="0" w:after="0"/>
              <w:jc w:val="left"/>
              <w:rPr/>
            </w:pPr>
            <w:r>
              <w:rPr>
                <w:color w:val="F7ACBA"/>
              </w:rPr>
              <w:t>•</w:t>
            </w:r>
            <w:r>
              <w:rPr/>
              <w:t> </w:t>
            </w:r>
            <w:r>
              <w:rPr>
                <w:rFonts w:ascii="arial" w:hAnsi="arial"/>
                <w:sz w:val="18"/>
                <w:u w:val="single"/>
              </w:rPr>
              <w:t>Base Salary</w:t>
            </w:r>
            <w:r>
              <w:rPr>
                <w:rFonts w:ascii="arial" w:hAnsi="arial"/>
                <w:sz w:val="18"/>
              </w:rPr>
              <w:t>. Provide fixed pay commensurate with an individual’s level/grade, internal equity, criticality of role, experience, skills (and external market for such skills), and/or performance; serve as baseline attraction and retention tool for a talent strategy aimed to recruit top talent.</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u w:val="single"/>
              </w:rPr>
              <w:t>Short-Term Incentive Plan (“STIP”)</w:t>
            </w:r>
            <w:r>
              <w:rPr>
                <w:rFonts w:ascii="arial" w:hAnsi="arial"/>
                <w:sz w:val="18"/>
              </w:rPr>
              <w:t>. Provide a variable, at-risk pay element that aligns pay outcomes, behavior and decision making with short-term financial, operational and/or strategic goals and performance. Performance should contemplate enterprise-wide measurement to drive collaboration and re-enforce the One VS&amp;Co mindset.</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u w:val="single"/>
              </w:rPr>
              <w:t>Long-Term Incentive Plan (“LTIP”)</w:t>
            </w:r>
            <w:r>
              <w:rPr>
                <w:rFonts w:ascii="arial" w:hAnsi="arial"/>
                <w:sz w:val="18"/>
              </w:rPr>
              <w:t>. Provide a variable, at-risk pay element that aligns pay outcomes, behavior and decision making with the long-term financial, operational and/or strategic business objectives of VS&amp;Co and its stockholders. The LTIP drives retention, ownership mentality, and accountability to external market evaluation of VS&amp;Co.</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u w:val="single"/>
              </w:rPr>
              <w:t>Pay Mix</w:t>
            </w:r>
            <w:r>
              <w:rPr>
                <w:rFonts w:ascii="arial" w:hAnsi="arial"/>
                <w:sz w:val="18"/>
              </w:rPr>
              <w:t>. Fixed components (base salary) should comprise a minority of the pay mix for executives. Variable components (STIP and LTIP) should comprise the majority of the pay mix. LTIP should make up the largest component of pay at the top levels of the organization.</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u w:val="single"/>
              </w:rPr>
              <w:t>Rigor of Goal-Setting</w:t>
            </w:r>
            <w:r>
              <w:rPr>
                <w:rFonts w:ascii="arial" w:hAnsi="arial"/>
                <w:sz w:val="18"/>
              </w:rPr>
              <w:t>. Our STIP and LTIP goals are designed to challenge executives to achieve a high level of performance and are calibrated to deliver value creation to stockholders in order for our executives to earn cash and equity incentives at target levels.</w:t>
            </w:r>
          </w:p>
          <w:p>
            <w:pPr>
              <w:pStyle w:val="TableContents"/>
              <w:bidi w:val="0"/>
              <w:spacing w:before="0" w:after="20"/>
              <w:jc w:val="left"/>
              <w:rPr/>
            </w:pPr>
            <w:r>
              <w:rPr/>
              <w:t> </w:t>
            </w:r>
          </w:p>
        </w:tc>
      </w:tr>
      <w:tr>
        <w:trPr/>
        <w:tc>
          <w:tcPr>
            <w:tcW w:w="1318" w:type="dxa"/>
            <w:tcBorders/>
            <w:vAlign w:val="center"/>
          </w:tcPr>
          <w:p>
            <w:pPr>
              <w:pStyle w:val="TableContents"/>
              <w:bidi w:val="0"/>
              <w:spacing w:before="0" w:after="283"/>
              <w:jc w:val="left"/>
              <w:rPr>
                <w:sz w:val="4"/>
                <w:szCs w:val="4"/>
              </w:rPr>
            </w:pPr>
            <w:r>
              <w:rPr>
                <w:sz w:val="4"/>
                <w:szCs w:val="4"/>
              </w:rPr>
            </w:r>
          </w:p>
        </w:tc>
        <w:tc>
          <w:tcPr>
            <w:tcW w:w="8887" w:type="dxa"/>
            <w:gridSpan w:val="2"/>
            <w:tcBorders/>
            <w:vAlign w:val="center"/>
          </w:tcPr>
          <w:p>
            <w:pPr>
              <w:pStyle w:val="TableContents"/>
              <w:bidi w:val="0"/>
              <w:spacing w:before="0" w:after="283"/>
              <w:jc w:val="left"/>
              <w:rPr>
                <w:sz w:val="4"/>
                <w:szCs w:val="4"/>
              </w:rPr>
            </w:pPr>
            <w:r>
              <w:rPr>
                <w:sz w:val="4"/>
                <w:szCs w:val="4"/>
              </w:rPr>
            </w:r>
          </w:p>
        </w:tc>
      </w:tr>
      <w:tr>
        <w:trPr/>
        <w:tc>
          <w:tcPr>
            <w:tcW w:w="1318" w:type="dxa"/>
            <w:tcBorders>
              <w:bottom w:val="single" w:sz="8" w:space="0" w:color="F7ACBA"/>
            </w:tcBorders>
            <w:tcMar>
              <w:bottom w:w="80" w:type="dxa"/>
            </w:tcMar>
            <w:vAlign w:val="center"/>
          </w:tcPr>
          <w:p>
            <w:pPr>
              <w:pStyle w:val="TableContents"/>
              <w:bidi w:val="0"/>
              <w:spacing w:before="0" w:after="0"/>
              <w:jc w:val="left"/>
              <w:rPr>
                <w:rFonts w:ascii="arial" w:hAnsi="arial"/>
                <w:b/>
                <w:sz w:val="18"/>
              </w:rPr>
            </w:pPr>
            <w:r>
              <w:rPr>
                <w:rFonts w:ascii="arial" w:hAnsi="arial"/>
                <w:b/>
                <w:sz w:val="18"/>
              </w:rPr>
              <w:t>Market Position</w:t>
            </w:r>
          </w:p>
        </w:tc>
        <w:tc>
          <w:tcPr>
            <w:tcW w:w="120" w:type="dxa"/>
            <w:tcBorders>
              <w:bottom w:val="single" w:sz="8" w:space="0" w:color="F7ACBA"/>
            </w:tcBorders>
            <w:tcMar>
              <w:bottom w:w="28" w:type="dxa"/>
            </w:tcMar>
            <w:vAlign w:val="center"/>
          </w:tcPr>
          <w:p>
            <w:pPr>
              <w:pStyle w:val="TableContents"/>
              <w:bidi w:val="0"/>
              <w:spacing w:before="0" w:after="283"/>
              <w:jc w:val="left"/>
              <w:rPr/>
            </w:pPr>
            <w:r>
              <w:rPr/>
              <w:t>  </w:t>
            </w:r>
          </w:p>
        </w:tc>
        <w:tc>
          <w:tcPr>
            <w:tcW w:w="8767" w:type="dxa"/>
            <w:tcBorders>
              <w:bottom w:val="single" w:sz="8" w:space="0" w:color="F7ACBA"/>
            </w:tcBorders>
            <w:tcMar>
              <w:bottom w:w="80" w:type="dxa"/>
            </w:tcMar>
            <w:vAlign w:val="center"/>
          </w:tcPr>
          <w:p>
            <w:pPr>
              <w:pStyle w:val="TableContents"/>
              <w:bidi w:val="0"/>
              <w:spacing w:before="0" w:after="0"/>
              <w:jc w:val="left"/>
              <w:rPr/>
            </w:pPr>
            <w:r>
              <w:rPr>
                <w:color w:val="F7ACBA"/>
              </w:rPr>
              <w:t>•</w:t>
            </w:r>
            <w:r>
              <w:rPr/>
              <w:t> </w:t>
            </w:r>
            <w:r>
              <w:rPr>
                <w:rFonts w:ascii="arial" w:hAnsi="arial"/>
                <w:sz w:val="18"/>
              </w:rPr>
              <w:t>Publicly disclosed pay data from the executive compensation peer group serves as the primary market reference for our executive officers.</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VS&amp;Co does not specifically set its executive compensation against its peer group. Instead, it considers peer group comparisons as one of several factors in making executive compensation decisions as described below.</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Pay outcomes will flex up and down commensurately with performance, such that above target performance will generally yield above median compensation and below target performance will generally yield below median compensation.</w:t>
            </w:r>
          </w:p>
          <w:p>
            <w:pPr>
              <w:pStyle w:val="TableContents"/>
              <w:bidi w:val="0"/>
              <w:spacing w:before="0" w:after="20"/>
              <w:jc w:val="left"/>
              <w:rPr/>
            </w:pPr>
            <w:r>
              <w:rPr/>
              <w:t> </w:t>
            </w:r>
          </w:p>
        </w:tc>
      </w:tr>
      <w:tr>
        <w:trPr/>
        <w:tc>
          <w:tcPr>
            <w:tcW w:w="1318" w:type="dxa"/>
            <w:tcBorders/>
            <w:vAlign w:val="center"/>
          </w:tcPr>
          <w:p>
            <w:pPr>
              <w:pStyle w:val="TableContents"/>
              <w:bidi w:val="0"/>
              <w:spacing w:before="0" w:after="283"/>
              <w:jc w:val="left"/>
              <w:rPr>
                <w:sz w:val="4"/>
                <w:szCs w:val="4"/>
              </w:rPr>
            </w:pPr>
            <w:r>
              <w:rPr>
                <w:sz w:val="4"/>
                <w:szCs w:val="4"/>
              </w:rPr>
            </w:r>
          </w:p>
        </w:tc>
        <w:tc>
          <w:tcPr>
            <w:tcW w:w="8887" w:type="dxa"/>
            <w:gridSpan w:val="2"/>
            <w:tcBorders/>
            <w:vAlign w:val="center"/>
          </w:tcPr>
          <w:p>
            <w:pPr>
              <w:pStyle w:val="TableContents"/>
              <w:bidi w:val="0"/>
              <w:spacing w:before="0" w:after="283"/>
              <w:jc w:val="left"/>
              <w:rPr>
                <w:sz w:val="4"/>
                <w:szCs w:val="4"/>
              </w:rPr>
            </w:pPr>
            <w:r>
              <w:rPr>
                <w:sz w:val="4"/>
                <w:szCs w:val="4"/>
              </w:rPr>
            </w:r>
          </w:p>
        </w:tc>
      </w:tr>
      <w:tr>
        <w:trPr/>
        <w:tc>
          <w:tcPr>
            <w:tcW w:w="1318" w:type="dxa"/>
            <w:tcBorders>
              <w:bottom w:val="single" w:sz="8" w:space="0" w:color="F7ACBA"/>
            </w:tcBorders>
            <w:tcMar>
              <w:bottom w:w="80" w:type="dxa"/>
            </w:tcMar>
            <w:vAlign w:val="center"/>
          </w:tcPr>
          <w:p>
            <w:pPr>
              <w:pStyle w:val="TableContents"/>
              <w:bidi w:val="0"/>
              <w:spacing w:before="0" w:after="0"/>
              <w:jc w:val="left"/>
              <w:rPr>
                <w:rFonts w:ascii="arial" w:hAnsi="arial"/>
                <w:b/>
                <w:sz w:val="18"/>
              </w:rPr>
            </w:pPr>
            <w:r>
              <w:rPr>
                <w:rFonts w:ascii="arial" w:hAnsi="arial"/>
                <w:b/>
                <w:sz w:val="18"/>
              </w:rPr>
              <w:t>Internal vs External Focus</w:t>
            </w:r>
          </w:p>
        </w:tc>
        <w:tc>
          <w:tcPr>
            <w:tcW w:w="120" w:type="dxa"/>
            <w:tcBorders>
              <w:bottom w:val="single" w:sz="8" w:space="0" w:color="F7ACBA"/>
            </w:tcBorders>
            <w:tcMar>
              <w:bottom w:w="28" w:type="dxa"/>
            </w:tcMar>
            <w:vAlign w:val="center"/>
          </w:tcPr>
          <w:p>
            <w:pPr>
              <w:pStyle w:val="TableContents"/>
              <w:bidi w:val="0"/>
              <w:spacing w:before="0" w:after="283"/>
              <w:jc w:val="left"/>
              <w:rPr/>
            </w:pPr>
            <w:r>
              <w:rPr/>
              <w:t>  </w:t>
            </w:r>
          </w:p>
        </w:tc>
        <w:tc>
          <w:tcPr>
            <w:tcW w:w="8767" w:type="dxa"/>
            <w:tcBorders>
              <w:bottom w:val="single" w:sz="8" w:space="0" w:color="F7ACBA"/>
            </w:tcBorders>
            <w:tcMar>
              <w:bottom w:w="80" w:type="dxa"/>
            </w:tcMar>
            <w:vAlign w:val="center"/>
          </w:tcPr>
          <w:p>
            <w:pPr>
              <w:pStyle w:val="TableContents"/>
              <w:bidi w:val="0"/>
              <w:spacing w:before="0" w:after="0"/>
              <w:jc w:val="left"/>
              <w:rPr/>
            </w:pPr>
            <w:r>
              <w:rPr>
                <w:color w:val="F7ACBA"/>
              </w:rPr>
              <w:t>•</w:t>
            </w:r>
            <w:r>
              <w:rPr/>
              <w:t> </w:t>
            </w:r>
            <w:r>
              <w:rPr>
                <w:rFonts w:ascii="arial" w:hAnsi="arial"/>
                <w:sz w:val="18"/>
              </w:rPr>
              <w:t>Guideline pay structures and incentive targets will be informed by external market data—primarily from the retail industry.</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An individual’s placement within those structures will be influenced by internal considerations (e.g., internal equity, skill, performance and potential).</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Goal: deliver compensation that is fair, consistent and enables VS&amp;Co to achieve its talent strategy.</w:t>
            </w:r>
          </w:p>
          <w:p>
            <w:pPr>
              <w:pStyle w:val="TableContents"/>
              <w:bidi w:val="0"/>
              <w:spacing w:before="0" w:after="20"/>
              <w:jc w:val="left"/>
              <w:rPr/>
            </w:pPr>
            <w:r>
              <w:rPr/>
              <w:t> </w:t>
            </w:r>
          </w:p>
        </w:tc>
      </w:tr>
    </w:tbl>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01"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2" descr=""/>
                          <pic:cNvPicPr>
                            <a:picLocks noChangeAspect="1" noChangeArrowheads="1"/>
                          </pic:cNvPicPr>
                        </pic:nvPicPr>
                        <pic:blipFill>
                          <a:blip r:embed="rId93"/>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49 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COMPENSATION DISCUSSION AND ANALYSIS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13"/>
        <w:gridCol w:w="120"/>
        <w:gridCol w:w="8172"/>
      </w:tblGrid>
      <w:tr>
        <w:trPr/>
        <w:tc>
          <w:tcPr>
            <w:tcW w:w="19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1913" w:type="dxa"/>
            <w:tcBorders>
              <w:top w:val="single" w:sz="8" w:space="0" w:color="F7ACBA"/>
            </w:tcBorders>
            <w:tcMar>
              <w:top w:w="28" w:type="dxa"/>
            </w:tcMar>
            <w:vAlign w:val="center"/>
          </w:tcPr>
          <w:p>
            <w:pPr>
              <w:pStyle w:val="TableContents"/>
              <w:bidi w:val="0"/>
              <w:spacing w:before="0" w:after="283"/>
              <w:jc w:val="left"/>
              <w:rPr/>
            </w:pPr>
            <w:r>
              <w:rPr/>
              <w:t> </w:t>
            </w:r>
          </w:p>
        </w:tc>
        <w:tc>
          <w:tcPr>
            <w:tcW w:w="8292" w:type="dxa"/>
            <w:gridSpan w:val="2"/>
            <w:tcBorders>
              <w:top w:val="single" w:sz="8" w:space="0" w:color="F7ACBA"/>
            </w:tcBorders>
            <w:tcMar>
              <w:top w:w="28" w:type="dxa"/>
            </w:tcMar>
            <w:vAlign w:val="center"/>
          </w:tcPr>
          <w:p>
            <w:pPr>
              <w:pStyle w:val="TableContents"/>
              <w:bidi w:val="0"/>
              <w:spacing w:before="0" w:after="283"/>
              <w:jc w:val="left"/>
              <w:rPr/>
            </w:pPr>
            <w:r>
              <w:rPr/>
              <w:t> </w:t>
            </w:r>
          </w:p>
        </w:tc>
      </w:tr>
      <w:tr>
        <w:trPr/>
        <w:tc>
          <w:tcPr>
            <w:tcW w:w="1913" w:type="dxa"/>
            <w:tcBorders>
              <w:bottom w:val="single" w:sz="8" w:space="0" w:color="F7ACBA"/>
            </w:tcBorders>
            <w:tcMar>
              <w:bottom w:w="80" w:type="dxa"/>
            </w:tcMar>
            <w:vAlign w:val="center"/>
          </w:tcPr>
          <w:p>
            <w:pPr>
              <w:pStyle w:val="TableContents"/>
              <w:bidi w:val="0"/>
              <w:spacing w:before="0" w:after="0"/>
              <w:jc w:val="left"/>
              <w:rPr>
                <w:rFonts w:ascii="arial" w:hAnsi="arial"/>
                <w:b/>
                <w:sz w:val="18"/>
              </w:rPr>
            </w:pPr>
            <w:r>
              <w:rPr>
                <w:rFonts w:ascii="arial" w:hAnsi="arial"/>
                <w:b/>
                <w:sz w:val="18"/>
              </w:rPr>
              <w:t>Diversity, Equity and Inclusion</w:t>
            </w:r>
          </w:p>
        </w:tc>
        <w:tc>
          <w:tcPr>
            <w:tcW w:w="120" w:type="dxa"/>
            <w:tcBorders>
              <w:bottom w:val="single" w:sz="8" w:space="0" w:color="F7ACBA"/>
            </w:tcBorders>
            <w:tcMar>
              <w:bottom w:w="28" w:type="dxa"/>
            </w:tcMar>
            <w:vAlign w:val="center"/>
          </w:tcPr>
          <w:p>
            <w:pPr>
              <w:pStyle w:val="TableContents"/>
              <w:bidi w:val="0"/>
              <w:spacing w:before="0" w:after="283"/>
              <w:jc w:val="left"/>
              <w:rPr/>
            </w:pPr>
            <w:r>
              <w:rPr/>
              <w:t>  </w:t>
            </w:r>
          </w:p>
        </w:tc>
        <w:tc>
          <w:tcPr>
            <w:tcW w:w="8172" w:type="dxa"/>
            <w:tcBorders>
              <w:bottom w:val="single" w:sz="8" w:space="0" w:color="F7ACBA"/>
            </w:tcBorders>
            <w:tcMar>
              <w:bottom w:w="80" w:type="dxa"/>
            </w:tcMar>
            <w:vAlign w:val="center"/>
          </w:tcPr>
          <w:p>
            <w:pPr>
              <w:pStyle w:val="TableContents"/>
              <w:bidi w:val="0"/>
              <w:spacing w:before="0" w:after="0"/>
              <w:jc w:val="left"/>
              <w:rPr/>
            </w:pPr>
            <w:r>
              <w:rPr>
                <w:color w:val="F7ACBA"/>
              </w:rPr>
              <w:t>•</w:t>
            </w:r>
            <w:r>
              <w:rPr/>
              <w:t> </w:t>
            </w:r>
            <w:r>
              <w:rPr>
                <w:rFonts w:ascii="arial" w:hAnsi="arial"/>
                <w:sz w:val="18"/>
              </w:rPr>
              <w:t>Diversity, equity and inclusion (“DEI”) plays an integral part of our overall employee value proposition.</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Our executive pay programs are designed to align with and support our DEI strategies and facilitate inclusivity but we do not use quantitative DEI performance metrics in our executive compensation program.</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We’ve also established robust policies and practices to ensure equity across the organization and to ensure that our programs are non-discriminatory in nature.</w:t>
            </w:r>
          </w:p>
          <w:p>
            <w:pPr>
              <w:pStyle w:val="TableContents"/>
              <w:bidi w:val="0"/>
              <w:spacing w:before="0" w:after="20"/>
              <w:jc w:val="left"/>
              <w:rPr/>
            </w:pPr>
            <w:r>
              <w:rPr/>
              <w:t> </w:t>
            </w:r>
          </w:p>
        </w:tc>
      </w:tr>
      <w:tr>
        <w:trPr/>
        <w:tc>
          <w:tcPr>
            <w:tcW w:w="1913" w:type="dxa"/>
            <w:tcBorders/>
            <w:vAlign w:val="center"/>
          </w:tcPr>
          <w:p>
            <w:pPr>
              <w:pStyle w:val="TableContents"/>
              <w:bidi w:val="0"/>
              <w:spacing w:before="0" w:after="283"/>
              <w:jc w:val="left"/>
              <w:rPr>
                <w:sz w:val="4"/>
                <w:szCs w:val="4"/>
              </w:rPr>
            </w:pPr>
            <w:r>
              <w:rPr>
                <w:sz w:val="4"/>
                <w:szCs w:val="4"/>
              </w:rPr>
            </w:r>
          </w:p>
        </w:tc>
        <w:tc>
          <w:tcPr>
            <w:tcW w:w="8292" w:type="dxa"/>
            <w:gridSpan w:val="2"/>
            <w:tcBorders/>
            <w:vAlign w:val="center"/>
          </w:tcPr>
          <w:p>
            <w:pPr>
              <w:pStyle w:val="TableContents"/>
              <w:bidi w:val="0"/>
              <w:spacing w:before="0" w:after="283"/>
              <w:jc w:val="left"/>
              <w:rPr>
                <w:sz w:val="4"/>
                <w:szCs w:val="4"/>
              </w:rPr>
            </w:pPr>
            <w:r>
              <w:rPr>
                <w:sz w:val="4"/>
                <w:szCs w:val="4"/>
              </w:rPr>
            </w:r>
          </w:p>
        </w:tc>
      </w:tr>
      <w:tr>
        <w:trPr/>
        <w:tc>
          <w:tcPr>
            <w:tcW w:w="1913" w:type="dxa"/>
            <w:tcBorders>
              <w:bottom w:val="single" w:sz="8" w:space="0" w:color="F7ACBA"/>
            </w:tcBorders>
            <w:tcMar>
              <w:bottom w:w="80" w:type="dxa"/>
            </w:tcMar>
            <w:vAlign w:val="center"/>
          </w:tcPr>
          <w:p>
            <w:pPr>
              <w:pStyle w:val="TableContents"/>
              <w:bidi w:val="0"/>
              <w:spacing w:before="0" w:after="0"/>
              <w:jc w:val="left"/>
              <w:rPr>
                <w:rFonts w:ascii="arial" w:hAnsi="arial"/>
                <w:b/>
                <w:sz w:val="18"/>
              </w:rPr>
            </w:pPr>
            <w:r>
              <w:rPr>
                <w:rFonts w:ascii="arial" w:hAnsi="arial"/>
                <w:b/>
                <w:sz w:val="18"/>
              </w:rPr>
              <w:t xml:space="preserve">Communication and </w:t>
              <w:br/>
              <w:t>Transparency</w:t>
            </w:r>
          </w:p>
        </w:tc>
        <w:tc>
          <w:tcPr>
            <w:tcW w:w="120" w:type="dxa"/>
            <w:tcBorders>
              <w:bottom w:val="single" w:sz="8" w:space="0" w:color="F7ACBA"/>
            </w:tcBorders>
            <w:tcMar>
              <w:bottom w:w="28" w:type="dxa"/>
            </w:tcMar>
            <w:vAlign w:val="center"/>
          </w:tcPr>
          <w:p>
            <w:pPr>
              <w:pStyle w:val="TableContents"/>
              <w:bidi w:val="0"/>
              <w:spacing w:before="0" w:after="283"/>
              <w:jc w:val="left"/>
              <w:rPr/>
            </w:pPr>
            <w:r>
              <w:rPr/>
              <w:t>  </w:t>
            </w:r>
          </w:p>
        </w:tc>
        <w:tc>
          <w:tcPr>
            <w:tcW w:w="8172" w:type="dxa"/>
            <w:tcBorders>
              <w:bottom w:val="single" w:sz="8" w:space="0" w:color="F7ACBA"/>
            </w:tcBorders>
            <w:tcMar>
              <w:bottom w:w="80" w:type="dxa"/>
            </w:tcMar>
            <w:vAlign w:val="center"/>
          </w:tcPr>
          <w:p>
            <w:pPr>
              <w:pStyle w:val="TableContents"/>
              <w:bidi w:val="0"/>
              <w:spacing w:before="0" w:after="0"/>
              <w:jc w:val="left"/>
              <w:rPr/>
            </w:pPr>
            <w:r>
              <w:rPr>
                <w:color w:val="F7ACBA"/>
              </w:rPr>
              <w:t>•</w:t>
            </w:r>
            <w:r>
              <w:rPr/>
              <w:t> </w:t>
            </w:r>
            <w:r>
              <w:rPr>
                <w:rFonts w:ascii="arial" w:hAnsi="arial"/>
                <w:sz w:val="18"/>
              </w:rPr>
              <w:t>Actively promote education, understanding and transparency through multiple communication channels and media.</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Provide regular updates to participants on progress against business goals and specifically incentive plan goals.</w:t>
            </w:r>
          </w:p>
          <w:p>
            <w:pPr>
              <w:pStyle w:val="TableContents"/>
              <w:bidi w:val="0"/>
              <w:spacing w:before="0" w:after="0"/>
              <w:jc w:val="left"/>
              <w:rPr/>
            </w:pPr>
            <w:r>
              <w:rPr/>
              <w:t> </w:t>
            </w:r>
          </w:p>
          <w:p>
            <w:pPr>
              <w:pStyle w:val="TableContents"/>
              <w:bidi w:val="0"/>
              <w:spacing w:before="0" w:after="0"/>
              <w:jc w:val="left"/>
              <w:rPr/>
            </w:pPr>
            <w:r>
              <w:rPr>
                <w:color w:val="F7ACBA"/>
              </w:rPr>
              <w:t>•</w:t>
            </w:r>
            <w:r>
              <w:rPr/>
              <w:t> </w:t>
            </w:r>
            <w:r>
              <w:rPr>
                <w:rFonts w:ascii="arial" w:hAnsi="arial"/>
                <w:sz w:val="18"/>
              </w:rPr>
              <w:t>Communication will be aligned with DEI strategy and objectives—i.e., be thoughtful, inclusive and representative in nature.</w:t>
            </w:r>
          </w:p>
          <w:p>
            <w:pPr>
              <w:pStyle w:val="TableContents"/>
              <w:bidi w:val="0"/>
              <w:spacing w:before="0" w:after="20"/>
              <w:jc w:val="left"/>
              <w:rPr/>
            </w:pPr>
            <w:r>
              <w:rPr/>
              <w:t> </w:t>
            </w:r>
          </w:p>
        </w:tc>
      </w:tr>
    </w:tbl>
    <w:p>
      <w:pPr>
        <w:pStyle w:val="TextBody"/>
        <w:bidi w:val="0"/>
        <w:spacing w:before="240" w:after="0"/>
        <w:jc w:val="left"/>
        <w:rPr>
          <w:rFonts w:ascii="Times New Roman" w:hAnsi="Times New Roman"/>
          <w:sz w:val="22"/>
        </w:rPr>
      </w:pPr>
      <w:r>
        <w:rPr>
          <w:rFonts w:ascii="Times New Roman" w:hAnsi="Times New Roman"/>
          <w:i/>
          <w:sz w:val="22"/>
        </w:rPr>
        <w:t>These Principles in Practice — 2023 Pay Mix</w:t>
      </w:r>
      <w:r>
        <w:rPr>
          <w:rFonts w:ascii="Times New Roman" w:hAnsi="Times New Roman"/>
          <w:sz w:val="22"/>
        </w:rPr>
        <w:t xml:space="preserve"> </w:t>
      </w:r>
    </w:p>
    <w:p>
      <w:pPr>
        <w:pStyle w:val="TextBody"/>
        <w:bidi w:val="0"/>
        <w:spacing w:before="60" w:after="0"/>
        <w:jc w:val="left"/>
        <w:rPr>
          <w:rFonts w:ascii="arial" w:hAnsi="arial"/>
          <w:sz w:val="18"/>
        </w:rPr>
      </w:pPr>
      <w:r>
        <w:rPr>
          <w:rFonts w:ascii="arial" w:hAnsi="arial"/>
          <w:sz w:val="18"/>
        </w:rPr>
        <w:t xml:space="preserve">VS&amp;Co has evolved our executive compensation philosophy and programs this year to enhance our pay for performance orientation. As described below, the new plans drive pay for performance through meaningful at-risk compensation. </w:t>
      </w:r>
    </w:p>
    <w:p>
      <w:pPr>
        <w:pStyle w:val="TextBody"/>
        <w:bidi w:val="0"/>
        <w:spacing w:before="0" w:after="0"/>
        <w:jc w:val="left"/>
        <w:rPr/>
      </w:pPr>
      <w:r>
        <w:rPr/>
        <w:t> </w:t>
      </w:r>
    </w:p>
    <w:p>
      <w:pPr>
        <w:pStyle w:val="TextBody"/>
        <w:bidi w:val="0"/>
        <w:spacing w:before="0" w:after="0"/>
        <w:jc w:val="center"/>
        <w:rPr/>
      </w:pPr>
      <w:r>
        <w:rPr/>
        <w:drawing>
          <wp:inline distT="0" distB="0" distL="0" distR="0">
            <wp:extent cx="582295" cy="347980"/>
            <wp:effectExtent l="0" t="0" r="0" b="0"/>
            <wp:docPr id="102"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3" descr=""/>
                    <pic:cNvPicPr>
                      <a:picLocks noChangeAspect="1" noChangeArrowheads="1"/>
                    </pic:cNvPicPr>
                  </pic:nvPicPr>
                  <pic:blipFill>
                    <a:blip r:embed="rId94"/>
                    <a:stretch>
                      <a:fillRect/>
                    </a:stretch>
                  </pic:blipFill>
                  <pic:spPr bwMode="auto">
                    <a:xfrm>
                      <a:off x="0" y="0"/>
                      <a:ext cx="582295" cy="347980"/>
                    </a:xfrm>
                    <a:prstGeom prst="rect">
                      <a:avLst/>
                    </a:prstGeom>
                  </pic:spPr>
                </pic:pic>
              </a:graphicData>
            </a:graphic>
          </wp:inline>
        </w:drawing>
      </w:r>
      <w:r>
        <w:rPr/>
        <w:t xml:space="preserve"> </w:t>
      </w:r>
    </w:p>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03"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94" descr=""/>
                          <pic:cNvPicPr>
                            <a:picLocks noChangeAspect="1" noChangeArrowheads="1"/>
                          </pic:cNvPicPr>
                        </pic:nvPicPr>
                        <pic:blipFill>
                          <a:blip r:embed="rId95"/>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50 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COMPENSATION DISCUSSION AND ANALYSIS </w:t>
      </w:r>
    </w:p>
    <w:p>
      <w:pPr>
        <w:pStyle w:val="TextBody"/>
        <w:bidi w:val="0"/>
        <w:spacing w:before="0" w:after="0"/>
        <w:jc w:val="left"/>
        <w:rPr/>
      </w:pPr>
      <w:r>
        <w:rPr/>
        <w:t> </w:t>
      </w:r>
    </w:p>
    <w:p>
      <w:pPr>
        <w:pStyle w:val="TextBody"/>
        <w:bidi w:val="0"/>
        <w:spacing w:before="0" w:after="0"/>
        <w:jc w:val="left"/>
        <w:rPr>
          <w:rFonts w:ascii="arial" w:hAnsi="arial"/>
          <w:b/>
          <w:color w:val="F7ACBA"/>
          <w:sz w:val="24"/>
        </w:rPr>
      </w:pPr>
      <w:r>
        <w:rPr>
          <w:rFonts w:ascii="arial" w:hAnsi="arial"/>
          <w:b/>
          <w:color w:val="F7ACBA"/>
          <w:sz w:val="24"/>
        </w:rPr>
        <w:t xml:space="preserve">Overview of Executive Compensation Governance Practices </w:t>
      </w:r>
    </w:p>
    <w:p>
      <w:pPr>
        <w:pStyle w:val="TextBody"/>
        <w:bidi w:val="0"/>
        <w:spacing w:before="60" w:after="0"/>
        <w:jc w:val="left"/>
        <w:rPr>
          <w:rFonts w:ascii="arial" w:hAnsi="arial"/>
          <w:sz w:val="18"/>
        </w:rPr>
      </w:pPr>
      <w:r>
        <w:rPr>
          <w:rFonts w:ascii="arial" w:hAnsi="arial"/>
          <w:sz w:val="18"/>
        </w:rPr>
        <w:t xml:space="preserve">VS&amp;Co seeks to maintain high standards with respect to the governance of our executive compensation programs. Key features of our policies and practices that motivate and drive performance and align with stockholder interests are as follows: </w:t>
      </w:r>
    </w:p>
    <w:p>
      <w:pPr>
        <w:pStyle w:val="TextBody"/>
        <w:bidi w:val="0"/>
        <w:spacing w:before="0" w:after="0"/>
        <w:jc w:val="left"/>
        <w:rPr/>
      </w:pPr>
      <w:r>
        <w:rPr/>
        <w:t> </w:t>
      </w:r>
    </w:p>
    <w:tbl>
      <w:tblPr>
        <w:tblW w:w="2452" w:type="dxa"/>
        <w:jc w:val="left"/>
        <w:tblInd w:w="0" w:type="dxa"/>
        <w:tblLayout w:type="fixed"/>
        <w:tblCellMar>
          <w:top w:w="0" w:type="dxa"/>
          <w:left w:w="0" w:type="dxa"/>
          <w:bottom w:w="0" w:type="dxa"/>
          <w:right w:w="0" w:type="dxa"/>
        </w:tblCellMar>
      </w:tblPr>
      <w:tblGrid>
        <w:gridCol w:w="435"/>
        <w:gridCol w:w="262"/>
        <w:gridCol w:w="266"/>
        <w:gridCol w:w="60"/>
        <w:gridCol w:w="389"/>
        <w:gridCol w:w="389"/>
        <w:gridCol w:w="651"/>
      </w:tblGrid>
      <w:tr>
        <w:trPr/>
        <w:tc>
          <w:tcPr>
            <w:tcW w:w="4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r>
      <w:tr>
        <w:trPr/>
        <w:tc>
          <w:tcPr>
            <w:tcW w:w="963" w:type="dxa"/>
            <w:gridSpan w:val="3"/>
            <w:tcBorders>
              <w:bottom w:val="single" w:sz="8" w:space="0" w:color="F7ACBA"/>
            </w:tcBorders>
            <w:tcMar>
              <w:bottom w:w="40" w:type="dxa"/>
            </w:tcMar>
            <w:vAlign w:val="center"/>
          </w:tcPr>
          <w:p>
            <w:pPr>
              <w:pStyle w:val="TableContents"/>
              <w:bidi w:val="0"/>
              <w:spacing w:before="0" w:after="283"/>
              <w:jc w:val="center"/>
              <w:rPr>
                <w:b/>
                <w:sz w:val="18"/>
              </w:rPr>
            </w:pPr>
            <w:r>
              <w:rPr>
                <w:b/>
                <w:sz w:val="18"/>
              </w:rPr>
              <w:t>What we do</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429" w:type="dxa"/>
            <w:gridSpan w:val="3"/>
            <w:tcBorders>
              <w:bottom w:val="single" w:sz="8" w:space="0" w:color="F7ACBA"/>
            </w:tcBorders>
            <w:tcMar>
              <w:bottom w:w="40" w:type="dxa"/>
            </w:tcMar>
            <w:vAlign w:val="center"/>
          </w:tcPr>
          <w:p>
            <w:pPr>
              <w:pStyle w:val="TableContents"/>
              <w:bidi w:val="0"/>
              <w:spacing w:before="0" w:after="283"/>
              <w:jc w:val="center"/>
              <w:rPr>
                <w:b/>
                <w:sz w:val="18"/>
              </w:rPr>
            </w:pPr>
            <w:r>
              <w:rPr>
                <w:b/>
                <w:sz w:val="18"/>
              </w:rPr>
              <w:t>What we don’t do</w:t>
            </w:r>
          </w:p>
        </w:tc>
      </w:tr>
    </w:tbl>
    <w:p>
      <w:pPr>
        <w:pStyle w:val="TextBody"/>
        <w:bidi w:val="0"/>
        <w:jc w:val="left"/>
        <w:rPr/>
      </w:pPr>
      <w:r>
        <w:rPr/>
        <w:t> </w:t>
      </w:r>
      <w:r>
        <mc:AlternateContent>
          <mc:Choice Requires="wps">
            <w:drawing>
              <wp:anchor behindDoc="0" distT="0" distB="0" distL="0" distR="0" simplePos="0" locked="0" layoutInCell="1" allowOverlap="1" relativeHeight="185">
                <wp:simplePos x="0" y="0"/>
                <wp:positionH relativeFrom="column">
                  <wp:align>left</wp:align>
                </wp:positionH>
                <wp:positionV relativeFrom="line">
                  <wp:posOffset>635</wp:posOffset>
                </wp:positionV>
                <wp:extent cx="3110230" cy="8865235"/>
                <wp:effectExtent l="0" t="0" r="0" b="0"/>
                <wp:wrapSquare wrapText="right"/>
                <wp:docPr id="104" name="Frame10"/>
                <a:graphic xmlns:a="http://schemas.openxmlformats.org/drawingml/2006/main">
                  <a:graphicData uri="http://schemas.microsoft.com/office/word/2010/wordprocessingShape">
                    <wps:wsp>
                      <wps:cNvSpPr txBox="1"/>
                      <wps:spPr>
                        <a:xfrm>
                          <a:off x="0" y="0"/>
                          <a:ext cx="3110230" cy="886523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86"/>
                              <w:gridCol w:w="120"/>
                              <w:gridCol w:w="9899"/>
                            </w:tblGrid>
                            <w:tr>
                              <w:trPr/>
                              <w:tc>
                                <w:tcPr>
                                  <w:tcW w:w="18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899" w:type="dxa"/>
                                  <w:tcBorders/>
                                  <w:vAlign w:val="center"/>
                                </w:tcPr>
                                <w:p>
                                  <w:pPr>
                                    <w:pStyle w:val="TableContents"/>
                                    <w:bidi w:val="0"/>
                                    <w:spacing w:before="0" w:after="283"/>
                                    <w:jc w:val="left"/>
                                    <w:rPr>
                                      <w:sz w:val="4"/>
                                      <w:szCs w:val="4"/>
                                    </w:rPr>
                                  </w:pPr>
                                  <w:r>
                                    <w:rPr>
                                      <w:sz w:val="4"/>
                                      <w:szCs w:val="4"/>
                                    </w:rPr>
                                  </w:r>
                                </w:p>
                              </w:tc>
                            </w:tr>
                            <w:tr>
                              <w:trPr/>
                              <w:tc>
                                <w:tcPr>
                                  <w:tcW w:w="186" w:type="dxa"/>
                                  <w:tcBorders/>
                                  <w:vAlign w:val="center"/>
                                </w:tcPr>
                                <w:p>
                                  <w:pPr>
                                    <w:pStyle w:val="TableContents"/>
                                    <w:bidi w:val="0"/>
                                    <w:spacing w:before="0" w:after="283"/>
                                    <w:jc w:val="left"/>
                                    <w:rPr>
                                      <w:sz w:val="4"/>
                                      <w:szCs w:val="4"/>
                                    </w:rPr>
                                  </w:pPr>
                                  <w:r>
                                    <w:rPr>
                                      <w:sz w:val="4"/>
                                      <w:szCs w:val="4"/>
                                    </w:rPr>
                                  </w:r>
                                </w:p>
                              </w:tc>
                              <w:tc>
                                <w:tcPr>
                                  <w:tcW w:w="10019" w:type="dxa"/>
                                  <w:gridSpan w:val="2"/>
                                  <w:tcBorders/>
                                  <w:vAlign w:val="center"/>
                                </w:tcPr>
                                <w:p>
                                  <w:pPr>
                                    <w:pStyle w:val="TableContents"/>
                                    <w:bidi w:val="0"/>
                                    <w:spacing w:before="0" w:after="283"/>
                                    <w:jc w:val="left"/>
                                    <w:rPr>
                                      <w:sz w:val="4"/>
                                      <w:szCs w:val="4"/>
                                    </w:rPr>
                                  </w:pPr>
                                  <w:r>
                                    <w:rPr>
                                      <w:sz w:val="4"/>
                                      <w:szCs w:val="4"/>
                                    </w:rPr>
                                  </w:r>
                                </w:p>
                              </w:tc>
                            </w:tr>
                            <w:tr>
                              <w:trPr/>
                              <w:tc>
                                <w:tcPr>
                                  <w:tcW w:w="186" w:type="dxa"/>
                                  <w:tcBorders/>
                                  <w:vAlign w:val="center"/>
                                </w:tcPr>
                                <w:p>
                                  <w:pPr>
                                    <w:pStyle w:val="TableContents"/>
                                    <w:bidi w:val="0"/>
                                    <w:spacing w:before="0" w:after="283"/>
                                    <w:jc w:val="center"/>
                                    <w:rPr/>
                                  </w:pPr>
                                  <w:r>
                                    <w:rPr/>
                                    <w:t> </w:t>
                                  </w:r>
                                  <w:r>
                                    <w:rPr>
                                      <w:color w:val="F7ACBA"/>
                                    </w:rPr>
                                    <w:t>✔</w:t>
                                  </w:r>
                                </w:p>
                              </w:tc>
                              <w:tc>
                                <w:tcPr>
                                  <w:tcW w:w="120" w:type="dxa"/>
                                  <w:tcBorders/>
                                  <w:vAlign w:val="center"/>
                                </w:tcPr>
                                <w:p>
                                  <w:pPr>
                                    <w:pStyle w:val="TableContents"/>
                                    <w:bidi w:val="0"/>
                                    <w:spacing w:before="0" w:after="283"/>
                                    <w:jc w:val="left"/>
                                    <w:rPr/>
                                  </w:pPr>
                                  <w:r>
                                    <w:rPr/>
                                    <w:t>  </w:t>
                                  </w:r>
                                </w:p>
                              </w:tc>
                              <w:tc>
                                <w:tcPr>
                                  <w:tcW w:w="9899" w:type="dxa"/>
                                  <w:tcBorders/>
                                  <w:vAlign w:val="center"/>
                                </w:tcPr>
                                <w:p>
                                  <w:pPr>
                                    <w:pStyle w:val="TableContents"/>
                                    <w:bidi w:val="0"/>
                                    <w:spacing w:before="0" w:after="283"/>
                                    <w:jc w:val="left"/>
                                    <w:rPr/>
                                  </w:pPr>
                                  <w:r>
                                    <w:rPr/>
                                    <w:t>Put meaningful compensation at risk: On average, approximately 80% of our NEOs’ pay is dependent upon company performance, thus aligning the interests of our executives with those of our stockholders.</w:t>
                                  </w:r>
                                </w:p>
                              </w:tc>
                            </w:tr>
                            <w:tr>
                              <w:trPr/>
                              <w:tc>
                                <w:tcPr>
                                  <w:tcW w:w="186" w:type="dxa"/>
                                  <w:tcBorders/>
                                  <w:vAlign w:val="center"/>
                                </w:tcPr>
                                <w:p>
                                  <w:pPr>
                                    <w:pStyle w:val="TableContents"/>
                                    <w:bidi w:val="0"/>
                                    <w:spacing w:before="0" w:after="283"/>
                                    <w:jc w:val="left"/>
                                    <w:rPr>
                                      <w:sz w:val="4"/>
                                      <w:szCs w:val="4"/>
                                    </w:rPr>
                                  </w:pPr>
                                  <w:r>
                                    <w:rPr>
                                      <w:sz w:val="4"/>
                                      <w:szCs w:val="4"/>
                                    </w:rPr>
                                  </w:r>
                                </w:p>
                              </w:tc>
                              <w:tc>
                                <w:tcPr>
                                  <w:tcW w:w="10019" w:type="dxa"/>
                                  <w:gridSpan w:val="2"/>
                                  <w:tcBorders/>
                                  <w:vAlign w:val="center"/>
                                </w:tcPr>
                                <w:p>
                                  <w:pPr>
                                    <w:pStyle w:val="TableContents"/>
                                    <w:bidi w:val="0"/>
                                    <w:spacing w:before="0" w:after="283"/>
                                    <w:jc w:val="left"/>
                                    <w:rPr>
                                      <w:sz w:val="4"/>
                                      <w:szCs w:val="4"/>
                                    </w:rPr>
                                  </w:pPr>
                                  <w:r>
                                    <w:rPr>
                                      <w:sz w:val="4"/>
                                      <w:szCs w:val="4"/>
                                    </w:rPr>
                                  </w:r>
                                </w:p>
                              </w:tc>
                            </w:tr>
                            <w:tr>
                              <w:trPr/>
                              <w:tc>
                                <w:tcPr>
                                  <w:tcW w:w="186" w:type="dxa"/>
                                  <w:tcBorders/>
                                  <w:vAlign w:val="center"/>
                                </w:tcPr>
                                <w:p>
                                  <w:pPr>
                                    <w:pStyle w:val="TableContents"/>
                                    <w:bidi w:val="0"/>
                                    <w:spacing w:before="0" w:after="283"/>
                                    <w:jc w:val="center"/>
                                    <w:rPr/>
                                  </w:pPr>
                                  <w:r>
                                    <w:rPr/>
                                    <w:t> </w:t>
                                  </w:r>
                                  <w:r>
                                    <w:rPr>
                                      <w:color w:val="F7ACBA"/>
                                    </w:rPr>
                                    <w:t>✔</w:t>
                                  </w:r>
                                </w:p>
                              </w:tc>
                              <w:tc>
                                <w:tcPr>
                                  <w:tcW w:w="120" w:type="dxa"/>
                                  <w:tcBorders/>
                                  <w:vAlign w:val="center"/>
                                </w:tcPr>
                                <w:p>
                                  <w:pPr>
                                    <w:pStyle w:val="TableContents"/>
                                    <w:bidi w:val="0"/>
                                    <w:spacing w:before="0" w:after="283"/>
                                    <w:jc w:val="left"/>
                                    <w:rPr/>
                                  </w:pPr>
                                  <w:r>
                                    <w:rPr/>
                                    <w:t>  </w:t>
                                  </w:r>
                                </w:p>
                              </w:tc>
                              <w:tc>
                                <w:tcPr>
                                  <w:tcW w:w="9899" w:type="dxa"/>
                                  <w:tcBorders/>
                                  <w:vAlign w:val="center"/>
                                </w:tcPr>
                                <w:p>
                                  <w:pPr>
                                    <w:pStyle w:val="TableContents"/>
                                    <w:bidi w:val="0"/>
                                    <w:spacing w:before="0" w:after="283"/>
                                    <w:jc w:val="left"/>
                                    <w:rPr/>
                                  </w:pPr>
                                  <w:r>
                                    <w:rPr/>
                                    <w:t>Set stock ownership guidelines: Set at six times base salary for our CEO and three times base salary for other named executive officers.</w:t>
                                  </w:r>
                                </w:p>
                              </w:tc>
                            </w:tr>
                            <w:tr>
                              <w:trPr/>
                              <w:tc>
                                <w:tcPr>
                                  <w:tcW w:w="186" w:type="dxa"/>
                                  <w:tcBorders/>
                                  <w:vAlign w:val="center"/>
                                </w:tcPr>
                                <w:p>
                                  <w:pPr>
                                    <w:pStyle w:val="TableContents"/>
                                    <w:bidi w:val="0"/>
                                    <w:spacing w:before="0" w:after="283"/>
                                    <w:jc w:val="left"/>
                                    <w:rPr>
                                      <w:sz w:val="4"/>
                                      <w:szCs w:val="4"/>
                                    </w:rPr>
                                  </w:pPr>
                                  <w:r>
                                    <w:rPr>
                                      <w:sz w:val="4"/>
                                      <w:szCs w:val="4"/>
                                    </w:rPr>
                                  </w:r>
                                </w:p>
                              </w:tc>
                              <w:tc>
                                <w:tcPr>
                                  <w:tcW w:w="10019" w:type="dxa"/>
                                  <w:gridSpan w:val="2"/>
                                  <w:tcBorders/>
                                  <w:vAlign w:val="center"/>
                                </w:tcPr>
                                <w:p>
                                  <w:pPr>
                                    <w:pStyle w:val="TableContents"/>
                                    <w:bidi w:val="0"/>
                                    <w:spacing w:before="0" w:after="283"/>
                                    <w:jc w:val="left"/>
                                    <w:rPr>
                                      <w:sz w:val="4"/>
                                      <w:szCs w:val="4"/>
                                    </w:rPr>
                                  </w:pPr>
                                  <w:r>
                                    <w:rPr>
                                      <w:sz w:val="4"/>
                                      <w:szCs w:val="4"/>
                                    </w:rPr>
                                  </w:r>
                                </w:p>
                              </w:tc>
                            </w:tr>
                            <w:tr>
                              <w:trPr/>
                              <w:tc>
                                <w:tcPr>
                                  <w:tcW w:w="186" w:type="dxa"/>
                                  <w:tcBorders/>
                                  <w:vAlign w:val="center"/>
                                </w:tcPr>
                                <w:p>
                                  <w:pPr>
                                    <w:pStyle w:val="TableContents"/>
                                    <w:bidi w:val="0"/>
                                    <w:spacing w:before="0" w:after="283"/>
                                    <w:jc w:val="center"/>
                                    <w:rPr/>
                                  </w:pPr>
                                  <w:r>
                                    <w:rPr/>
                                    <w:t> </w:t>
                                  </w:r>
                                  <w:r>
                                    <w:rPr>
                                      <w:color w:val="F7ACBA"/>
                                    </w:rPr>
                                    <w:t>✔</w:t>
                                  </w:r>
                                </w:p>
                              </w:tc>
                              <w:tc>
                                <w:tcPr>
                                  <w:tcW w:w="120" w:type="dxa"/>
                                  <w:tcBorders/>
                                  <w:vAlign w:val="center"/>
                                </w:tcPr>
                                <w:p>
                                  <w:pPr>
                                    <w:pStyle w:val="TableContents"/>
                                    <w:bidi w:val="0"/>
                                    <w:spacing w:before="0" w:after="283"/>
                                    <w:jc w:val="left"/>
                                    <w:rPr/>
                                  </w:pPr>
                                  <w:r>
                                    <w:rPr/>
                                    <w:t>  </w:t>
                                  </w:r>
                                </w:p>
                              </w:tc>
                              <w:tc>
                                <w:tcPr>
                                  <w:tcW w:w="9899" w:type="dxa"/>
                                  <w:tcBorders/>
                                  <w:vAlign w:val="center"/>
                                </w:tcPr>
                                <w:p>
                                  <w:pPr>
                                    <w:pStyle w:val="TableContents"/>
                                    <w:bidi w:val="0"/>
                                    <w:spacing w:before="0" w:after="283"/>
                                    <w:jc w:val="left"/>
                                    <w:rPr/>
                                  </w:pPr>
                                  <w:r>
                                    <w:rPr/>
                                    <w:t>Require double-trigger vesting of equity awards upon a change in control under our long-term incentive plan.</w:t>
                                  </w:r>
                                </w:p>
                              </w:tc>
                            </w:tr>
                            <w:tr>
                              <w:trPr/>
                              <w:tc>
                                <w:tcPr>
                                  <w:tcW w:w="186" w:type="dxa"/>
                                  <w:tcBorders/>
                                  <w:vAlign w:val="center"/>
                                </w:tcPr>
                                <w:p>
                                  <w:pPr>
                                    <w:pStyle w:val="TableContents"/>
                                    <w:bidi w:val="0"/>
                                    <w:spacing w:before="0" w:after="283"/>
                                    <w:jc w:val="left"/>
                                    <w:rPr>
                                      <w:sz w:val="4"/>
                                      <w:szCs w:val="4"/>
                                    </w:rPr>
                                  </w:pPr>
                                  <w:r>
                                    <w:rPr>
                                      <w:sz w:val="4"/>
                                      <w:szCs w:val="4"/>
                                    </w:rPr>
                                  </w:r>
                                </w:p>
                              </w:tc>
                              <w:tc>
                                <w:tcPr>
                                  <w:tcW w:w="10019" w:type="dxa"/>
                                  <w:gridSpan w:val="2"/>
                                  <w:tcBorders/>
                                  <w:vAlign w:val="center"/>
                                </w:tcPr>
                                <w:p>
                                  <w:pPr>
                                    <w:pStyle w:val="TableContents"/>
                                    <w:bidi w:val="0"/>
                                    <w:spacing w:before="0" w:after="283"/>
                                    <w:jc w:val="left"/>
                                    <w:rPr>
                                      <w:sz w:val="4"/>
                                      <w:szCs w:val="4"/>
                                    </w:rPr>
                                  </w:pPr>
                                  <w:r>
                                    <w:rPr>
                                      <w:sz w:val="4"/>
                                      <w:szCs w:val="4"/>
                                    </w:rPr>
                                  </w:r>
                                </w:p>
                              </w:tc>
                            </w:tr>
                            <w:tr>
                              <w:trPr/>
                              <w:tc>
                                <w:tcPr>
                                  <w:tcW w:w="186" w:type="dxa"/>
                                  <w:tcBorders/>
                                  <w:vAlign w:val="center"/>
                                </w:tcPr>
                                <w:p>
                                  <w:pPr>
                                    <w:pStyle w:val="TableContents"/>
                                    <w:bidi w:val="0"/>
                                    <w:spacing w:before="0" w:after="283"/>
                                    <w:jc w:val="center"/>
                                    <w:rPr/>
                                  </w:pPr>
                                  <w:r>
                                    <w:rPr/>
                                    <w:t> </w:t>
                                  </w:r>
                                  <w:r>
                                    <w:rPr>
                                      <w:color w:val="F7ACBA"/>
                                    </w:rPr>
                                    <w:t>✔</w:t>
                                  </w:r>
                                </w:p>
                              </w:tc>
                              <w:tc>
                                <w:tcPr>
                                  <w:tcW w:w="120" w:type="dxa"/>
                                  <w:tcBorders/>
                                  <w:vAlign w:val="center"/>
                                </w:tcPr>
                                <w:p>
                                  <w:pPr>
                                    <w:pStyle w:val="TableContents"/>
                                    <w:bidi w:val="0"/>
                                    <w:spacing w:before="0" w:after="283"/>
                                    <w:jc w:val="left"/>
                                    <w:rPr/>
                                  </w:pPr>
                                  <w:r>
                                    <w:rPr/>
                                    <w:t>  </w:t>
                                  </w:r>
                                </w:p>
                              </w:tc>
                              <w:tc>
                                <w:tcPr>
                                  <w:tcW w:w="9899" w:type="dxa"/>
                                  <w:tcBorders/>
                                  <w:vAlign w:val="center"/>
                                </w:tcPr>
                                <w:p>
                                  <w:pPr>
                                    <w:pStyle w:val="TableContents"/>
                                    <w:bidi w:val="0"/>
                                    <w:spacing w:before="0" w:after="283"/>
                                    <w:jc w:val="left"/>
                                    <w:rPr/>
                                  </w:pPr>
                                  <w:r>
                                    <w:rPr/>
                                    <w:t>Enforce our Clawback Policy as described under “Compensation Governance—Recovery of Compensation.”</w:t>
                                  </w:r>
                                </w:p>
                              </w:tc>
                            </w:tr>
                            <w:tr>
                              <w:trPr/>
                              <w:tc>
                                <w:tcPr>
                                  <w:tcW w:w="186" w:type="dxa"/>
                                  <w:tcBorders/>
                                  <w:vAlign w:val="center"/>
                                </w:tcPr>
                                <w:p>
                                  <w:pPr>
                                    <w:pStyle w:val="TableContents"/>
                                    <w:bidi w:val="0"/>
                                    <w:spacing w:before="0" w:after="283"/>
                                    <w:jc w:val="left"/>
                                    <w:rPr>
                                      <w:sz w:val="4"/>
                                      <w:szCs w:val="4"/>
                                    </w:rPr>
                                  </w:pPr>
                                  <w:r>
                                    <w:rPr>
                                      <w:sz w:val="4"/>
                                      <w:szCs w:val="4"/>
                                    </w:rPr>
                                  </w:r>
                                </w:p>
                              </w:tc>
                              <w:tc>
                                <w:tcPr>
                                  <w:tcW w:w="10019" w:type="dxa"/>
                                  <w:gridSpan w:val="2"/>
                                  <w:tcBorders/>
                                  <w:vAlign w:val="center"/>
                                </w:tcPr>
                                <w:p>
                                  <w:pPr>
                                    <w:pStyle w:val="TableContents"/>
                                    <w:bidi w:val="0"/>
                                    <w:spacing w:before="0" w:after="283"/>
                                    <w:jc w:val="left"/>
                                    <w:rPr>
                                      <w:sz w:val="4"/>
                                      <w:szCs w:val="4"/>
                                    </w:rPr>
                                  </w:pPr>
                                  <w:r>
                                    <w:rPr>
                                      <w:sz w:val="4"/>
                                      <w:szCs w:val="4"/>
                                    </w:rPr>
                                  </w:r>
                                </w:p>
                              </w:tc>
                            </w:tr>
                            <w:tr>
                              <w:trPr/>
                              <w:tc>
                                <w:tcPr>
                                  <w:tcW w:w="186" w:type="dxa"/>
                                  <w:tcBorders/>
                                  <w:vAlign w:val="center"/>
                                </w:tcPr>
                                <w:p>
                                  <w:pPr>
                                    <w:pStyle w:val="TableContents"/>
                                    <w:bidi w:val="0"/>
                                    <w:spacing w:before="0" w:after="283"/>
                                    <w:jc w:val="center"/>
                                    <w:rPr/>
                                  </w:pPr>
                                  <w:r>
                                    <w:rPr/>
                                    <w:t> </w:t>
                                  </w:r>
                                  <w:r>
                                    <w:rPr>
                                      <w:color w:val="F7ACBA"/>
                                    </w:rPr>
                                    <w:t>✔</w:t>
                                  </w:r>
                                </w:p>
                              </w:tc>
                              <w:tc>
                                <w:tcPr>
                                  <w:tcW w:w="120" w:type="dxa"/>
                                  <w:tcBorders/>
                                  <w:vAlign w:val="center"/>
                                </w:tcPr>
                                <w:p>
                                  <w:pPr>
                                    <w:pStyle w:val="TableContents"/>
                                    <w:bidi w:val="0"/>
                                    <w:spacing w:before="0" w:after="283"/>
                                    <w:jc w:val="left"/>
                                    <w:rPr/>
                                  </w:pPr>
                                  <w:r>
                                    <w:rPr/>
                                    <w:t>  </w:t>
                                  </w:r>
                                </w:p>
                              </w:tc>
                              <w:tc>
                                <w:tcPr>
                                  <w:tcW w:w="9899" w:type="dxa"/>
                                  <w:tcBorders/>
                                  <w:vAlign w:val="center"/>
                                </w:tcPr>
                                <w:p>
                                  <w:pPr>
                                    <w:pStyle w:val="TableContents"/>
                                    <w:bidi w:val="0"/>
                                    <w:spacing w:before="0" w:after="283"/>
                                    <w:jc w:val="left"/>
                                    <w:rPr/>
                                  </w:pPr>
                                  <w:r>
                                    <w:rPr/>
                                    <w:t>Include fixed share authorization: Long-term incentive plan does not provide for an evergreen feature that would automatically replenish the shares authorized for issuance.</w:t>
                                  </w:r>
                                </w:p>
                              </w:tc>
                            </w:tr>
                            <w:tr>
                              <w:trPr/>
                              <w:tc>
                                <w:tcPr>
                                  <w:tcW w:w="186" w:type="dxa"/>
                                  <w:tcBorders/>
                                  <w:vAlign w:val="center"/>
                                </w:tcPr>
                                <w:p>
                                  <w:pPr>
                                    <w:pStyle w:val="TableContents"/>
                                    <w:bidi w:val="0"/>
                                    <w:spacing w:before="0" w:after="283"/>
                                    <w:jc w:val="left"/>
                                    <w:rPr>
                                      <w:sz w:val="4"/>
                                      <w:szCs w:val="4"/>
                                    </w:rPr>
                                  </w:pPr>
                                  <w:r>
                                    <w:rPr>
                                      <w:sz w:val="4"/>
                                      <w:szCs w:val="4"/>
                                    </w:rPr>
                                  </w:r>
                                </w:p>
                              </w:tc>
                              <w:tc>
                                <w:tcPr>
                                  <w:tcW w:w="10019" w:type="dxa"/>
                                  <w:gridSpan w:val="2"/>
                                  <w:tcBorders/>
                                  <w:vAlign w:val="center"/>
                                </w:tcPr>
                                <w:p>
                                  <w:pPr>
                                    <w:pStyle w:val="TableContents"/>
                                    <w:bidi w:val="0"/>
                                    <w:spacing w:before="0" w:after="283"/>
                                    <w:jc w:val="left"/>
                                    <w:rPr>
                                      <w:sz w:val="4"/>
                                      <w:szCs w:val="4"/>
                                    </w:rPr>
                                  </w:pPr>
                                  <w:r>
                                    <w:rPr>
                                      <w:sz w:val="4"/>
                                      <w:szCs w:val="4"/>
                                    </w:rPr>
                                  </w:r>
                                </w:p>
                              </w:tc>
                            </w:tr>
                            <w:tr>
                              <w:trPr/>
                              <w:tc>
                                <w:tcPr>
                                  <w:tcW w:w="186" w:type="dxa"/>
                                  <w:tcBorders/>
                                  <w:vAlign w:val="center"/>
                                </w:tcPr>
                                <w:p>
                                  <w:pPr>
                                    <w:pStyle w:val="TableContents"/>
                                    <w:bidi w:val="0"/>
                                    <w:spacing w:before="0" w:after="283"/>
                                    <w:jc w:val="center"/>
                                    <w:rPr/>
                                  </w:pPr>
                                  <w:r>
                                    <w:rPr/>
                                    <w:t> </w:t>
                                  </w:r>
                                  <w:r>
                                    <w:rPr>
                                      <w:color w:val="F7ACBA"/>
                                    </w:rPr>
                                    <w:t>✔</w:t>
                                  </w:r>
                                </w:p>
                              </w:tc>
                              <w:tc>
                                <w:tcPr>
                                  <w:tcW w:w="120" w:type="dxa"/>
                                  <w:tcBorders/>
                                  <w:vAlign w:val="center"/>
                                </w:tcPr>
                                <w:p>
                                  <w:pPr>
                                    <w:pStyle w:val="TableContents"/>
                                    <w:bidi w:val="0"/>
                                    <w:spacing w:before="0" w:after="283"/>
                                    <w:jc w:val="left"/>
                                    <w:rPr/>
                                  </w:pPr>
                                  <w:r>
                                    <w:rPr/>
                                    <w:t>  </w:t>
                                  </w:r>
                                </w:p>
                              </w:tc>
                              <w:tc>
                                <w:tcPr>
                                  <w:tcW w:w="9899" w:type="dxa"/>
                                  <w:tcBorders/>
                                  <w:vAlign w:val="center"/>
                                </w:tcPr>
                                <w:p>
                                  <w:pPr>
                                    <w:pStyle w:val="TableContents"/>
                                    <w:bidi w:val="0"/>
                                    <w:spacing w:before="0" w:after="283"/>
                                    <w:jc w:val="left"/>
                                    <w:rPr/>
                                  </w:pPr>
                                  <w:r>
                                    <w:rPr/>
                                    <w:t>Regularly review share utilization: We regularly evaluate share utilization levels and review the dilutive impact of stock compensation.</w:t>
                                  </w:r>
                                </w:p>
                              </w:tc>
                            </w:tr>
                            <w:tr>
                              <w:trPr/>
                              <w:tc>
                                <w:tcPr>
                                  <w:tcW w:w="186" w:type="dxa"/>
                                  <w:tcBorders/>
                                  <w:vAlign w:val="center"/>
                                </w:tcPr>
                                <w:p>
                                  <w:pPr>
                                    <w:pStyle w:val="TableContents"/>
                                    <w:bidi w:val="0"/>
                                    <w:spacing w:before="0" w:after="283"/>
                                    <w:jc w:val="left"/>
                                    <w:rPr>
                                      <w:sz w:val="4"/>
                                      <w:szCs w:val="4"/>
                                    </w:rPr>
                                  </w:pPr>
                                  <w:r>
                                    <w:rPr>
                                      <w:sz w:val="4"/>
                                      <w:szCs w:val="4"/>
                                    </w:rPr>
                                  </w:r>
                                </w:p>
                              </w:tc>
                              <w:tc>
                                <w:tcPr>
                                  <w:tcW w:w="10019" w:type="dxa"/>
                                  <w:gridSpan w:val="2"/>
                                  <w:tcBorders/>
                                  <w:vAlign w:val="center"/>
                                </w:tcPr>
                                <w:p>
                                  <w:pPr>
                                    <w:pStyle w:val="TableContents"/>
                                    <w:bidi w:val="0"/>
                                    <w:spacing w:before="0" w:after="283"/>
                                    <w:jc w:val="left"/>
                                    <w:rPr>
                                      <w:sz w:val="4"/>
                                      <w:szCs w:val="4"/>
                                    </w:rPr>
                                  </w:pPr>
                                  <w:r>
                                    <w:rPr>
                                      <w:sz w:val="4"/>
                                      <w:szCs w:val="4"/>
                                    </w:rPr>
                                  </w:r>
                                </w:p>
                              </w:tc>
                            </w:tr>
                            <w:tr>
                              <w:trPr/>
                              <w:tc>
                                <w:tcPr>
                                  <w:tcW w:w="186" w:type="dxa"/>
                                  <w:tcBorders/>
                                  <w:vAlign w:val="center"/>
                                </w:tcPr>
                                <w:p>
                                  <w:pPr>
                                    <w:pStyle w:val="TableContents"/>
                                    <w:bidi w:val="0"/>
                                    <w:spacing w:before="0" w:after="283"/>
                                    <w:jc w:val="center"/>
                                    <w:rPr/>
                                  </w:pPr>
                                  <w:r>
                                    <w:rPr/>
                                    <w:t> </w:t>
                                  </w:r>
                                  <w:r>
                                    <w:rPr>
                                      <w:color w:val="F7ACBA"/>
                                    </w:rPr>
                                    <w:t>✔</w:t>
                                  </w:r>
                                </w:p>
                              </w:tc>
                              <w:tc>
                                <w:tcPr>
                                  <w:tcW w:w="120" w:type="dxa"/>
                                  <w:tcBorders/>
                                  <w:vAlign w:val="center"/>
                                </w:tcPr>
                                <w:p>
                                  <w:pPr>
                                    <w:pStyle w:val="TableContents"/>
                                    <w:bidi w:val="0"/>
                                    <w:spacing w:before="0" w:after="283"/>
                                    <w:jc w:val="left"/>
                                    <w:rPr/>
                                  </w:pPr>
                                  <w:r>
                                    <w:rPr/>
                                    <w:t>  </w:t>
                                  </w:r>
                                </w:p>
                              </w:tc>
                              <w:tc>
                                <w:tcPr>
                                  <w:tcW w:w="9899" w:type="dxa"/>
                                  <w:tcBorders/>
                                  <w:vAlign w:val="center"/>
                                </w:tcPr>
                                <w:p>
                                  <w:pPr>
                                    <w:pStyle w:val="TableContents"/>
                                    <w:bidi w:val="0"/>
                                    <w:spacing w:before="0" w:after="283"/>
                                    <w:jc w:val="left"/>
                                    <w:rPr/>
                                  </w:pPr>
                                  <w:r>
                                    <w:rPr/>
                                    <w:t>Independent compensation committee: Our HCCC is composed solely of independent directors.</w:t>
                                  </w:r>
                                </w:p>
                              </w:tc>
                            </w:tr>
                            <w:tr>
                              <w:trPr/>
                              <w:tc>
                                <w:tcPr>
                                  <w:tcW w:w="186" w:type="dxa"/>
                                  <w:tcBorders/>
                                  <w:vAlign w:val="center"/>
                                </w:tcPr>
                                <w:p>
                                  <w:pPr>
                                    <w:pStyle w:val="TableContents"/>
                                    <w:bidi w:val="0"/>
                                    <w:spacing w:before="0" w:after="283"/>
                                    <w:jc w:val="left"/>
                                    <w:rPr>
                                      <w:sz w:val="4"/>
                                      <w:szCs w:val="4"/>
                                    </w:rPr>
                                  </w:pPr>
                                  <w:r>
                                    <w:rPr>
                                      <w:sz w:val="4"/>
                                      <w:szCs w:val="4"/>
                                    </w:rPr>
                                  </w:r>
                                </w:p>
                              </w:tc>
                              <w:tc>
                                <w:tcPr>
                                  <w:tcW w:w="10019" w:type="dxa"/>
                                  <w:gridSpan w:val="2"/>
                                  <w:tcBorders/>
                                  <w:vAlign w:val="center"/>
                                </w:tcPr>
                                <w:p>
                                  <w:pPr>
                                    <w:pStyle w:val="TableContents"/>
                                    <w:bidi w:val="0"/>
                                    <w:spacing w:before="0" w:after="283"/>
                                    <w:jc w:val="left"/>
                                    <w:rPr>
                                      <w:sz w:val="4"/>
                                      <w:szCs w:val="4"/>
                                    </w:rPr>
                                  </w:pPr>
                                  <w:r>
                                    <w:rPr>
                                      <w:sz w:val="4"/>
                                      <w:szCs w:val="4"/>
                                    </w:rPr>
                                  </w:r>
                                </w:p>
                              </w:tc>
                            </w:tr>
                            <w:tr>
                              <w:trPr/>
                              <w:tc>
                                <w:tcPr>
                                  <w:tcW w:w="186" w:type="dxa"/>
                                  <w:tcBorders/>
                                  <w:vAlign w:val="center"/>
                                </w:tcPr>
                                <w:p>
                                  <w:pPr>
                                    <w:pStyle w:val="TableContents"/>
                                    <w:bidi w:val="0"/>
                                    <w:spacing w:before="0" w:after="283"/>
                                    <w:jc w:val="center"/>
                                    <w:rPr/>
                                  </w:pPr>
                                  <w:r>
                                    <w:rPr/>
                                    <w:t> </w:t>
                                  </w:r>
                                  <w:r>
                                    <w:rPr>
                                      <w:color w:val="F7ACBA"/>
                                    </w:rPr>
                                    <w:t>✔</w:t>
                                  </w:r>
                                </w:p>
                              </w:tc>
                              <w:tc>
                                <w:tcPr>
                                  <w:tcW w:w="120" w:type="dxa"/>
                                  <w:tcBorders/>
                                  <w:vAlign w:val="center"/>
                                </w:tcPr>
                                <w:p>
                                  <w:pPr>
                                    <w:pStyle w:val="TableContents"/>
                                    <w:bidi w:val="0"/>
                                    <w:spacing w:before="0" w:after="283"/>
                                    <w:jc w:val="left"/>
                                    <w:rPr/>
                                  </w:pPr>
                                  <w:r>
                                    <w:rPr/>
                                    <w:t>  </w:t>
                                  </w:r>
                                </w:p>
                              </w:tc>
                              <w:tc>
                                <w:tcPr>
                                  <w:tcW w:w="9899" w:type="dxa"/>
                                  <w:tcBorders/>
                                  <w:vAlign w:val="center"/>
                                </w:tcPr>
                                <w:p>
                                  <w:pPr>
                                    <w:pStyle w:val="TableContents"/>
                                    <w:bidi w:val="0"/>
                                    <w:spacing w:before="0" w:after="283"/>
                                    <w:jc w:val="left"/>
                                    <w:rPr/>
                                  </w:pPr>
                                  <w:r>
                                    <w:rPr/>
                                    <w:t>Work with an independent compensation consultant retained by the HCCC.</w:t>
                                  </w:r>
                                </w:p>
                              </w:tc>
                            </w:tr>
                            <w:tr>
                              <w:trPr/>
                              <w:tc>
                                <w:tcPr>
                                  <w:tcW w:w="186" w:type="dxa"/>
                                  <w:tcBorders/>
                                  <w:vAlign w:val="center"/>
                                </w:tcPr>
                                <w:p>
                                  <w:pPr>
                                    <w:pStyle w:val="TableContents"/>
                                    <w:bidi w:val="0"/>
                                    <w:spacing w:before="0" w:after="283"/>
                                    <w:jc w:val="left"/>
                                    <w:rPr>
                                      <w:sz w:val="4"/>
                                      <w:szCs w:val="4"/>
                                    </w:rPr>
                                  </w:pPr>
                                  <w:r>
                                    <w:rPr>
                                      <w:sz w:val="4"/>
                                      <w:szCs w:val="4"/>
                                    </w:rPr>
                                  </w:r>
                                </w:p>
                              </w:tc>
                              <w:tc>
                                <w:tcPr>
                                  <w:tcW w:w="10019" w:type="dxa"/>
                                  <w:gridSpan w:val="2"/>
                                  <w:tcBorders/>
                                  <w:vAlign w:val="center"/>
                                </w:tcPr>
                                <w:p>
                                  <w:pPr>
                                    <w:pStyle w:val="TableContents"/>
                                    <w:bidi w:val="0"/>
                                    <w:spacing w:before="0" w:after="283"/>
                                    <w:jc w:val="left"/>
                                    <w:rPr>
                                      <w:sz w:val="4"/>
                                      <w:szCs w:val="4"/>
                                    </w:rPr>
                                  </w:pPr>
                                  <w:r>
                                    <w:rPr>
                                      <w:sz w:val="4"/>
                                      <w:szCs w:val="4"/>
                                    </w:rPr>
                                  </w:r>
                                </w:p>
                              </w:tc>
                            </w:tr>
                            <w:tr>
                              <w:trPr/>
                              <w:tc>
                                <w:tcPr>
                                  <w:tcW w:w="186" w:type="dxa"/>
                                  <w:tcBorders/>
                                  <w:vAlign w:val="center"/>
                                </w:tcPr>
                                <w:p>
                                  <w:pPr>
                                    <w:pStyle w:val="TableContents"/>
                                    <w:bidi w:val="0"/>
                                    <w:spacing w:before="0" w:after="283"/>
                                    <w:jc w:val="center"/>
                                    <w:rPr/>
                                  </w:pPr>
                                  <w:r>
                                    <w:rPr/>
                                    <w:t> </w:t>
                                  </w:r>
                                  <w:r>
                                    <w:rPr>
                                      <w:color w:val="F7ACBA"/>
                                    </w:rPr>
                                    <w:t>✔</w:t>
                                  </w:r>
                                </w:p>
                              </w:tc>
                              <w:tc>
                                <w:tcPr>
                                  <w:tcW w:w="120" w:type="dxa"/>
                                  <w:tcBorders/>
                                  <w:vAlign w:val="center"/>
                                </w:tcPr>
                                <w:p>
                                  <w:pPr>
                                    <w:pStyle w:val="TableContents"/>
                                    <w:bidi w:val="0"/>
                                    <w:spacing w:before="0" w:after="283"/>
                                    <w:jc w:val="left"/>
                                    <w:rPr/>
                                  </w:pPr>
                                  <w:r>
                                    <w:rPr/>
                                    <w:t>  </w:t>
                                  </w:r>
                                </w:p>
                              </w:tc>
                              <w:tc>
                                <w:tcPr>
                                  <w:tcW w:w="9899" w:type="dxa"/>
                                  <w:tcBorders/>
                                  <w:vAlign w:val="center"/>
                                </w:tcPr>
                                <w:p>
                                  <w:pPr>
                                    <w:pStyle w:val="TableContents"/>
                                    <w:bidi w:val="0"/>
                                    <w:spacing w:before="0" w:after="283"/>
                                    <w:jc w:val="left"/>
                                    <w:rPr/>
                                  </w:pPr>
                                  <w:r>
                                    <w:rPr/>
                                    <w:t>Cap our incentive plans: The maximum payout for our short- and long-term incentive compensation is 200% of target.</w:t>
                                  </w:r>
                                </w:p>
                              </w:tc>
                            </w:tr>
                            <w:tr>
                              <w:trPr/>
                              <w:tc>
                                <w:tcPr>
                                  <w:tcW w:w="186" w:type="dxa"/>
                                  <w:tcBorders/>
                                  <w:vAlign w:val="center"/>
                                </w:tcPr>
                                <w:p>
                                  <w:pPr>
                                    <w:pStyle w:val="TableContents"/>
                                    <w:bidi w:val="0"/>
                                    <w:spacing w:before="0" w:after="283"/>
                                    <w:jc w:val="left"/>
                                    <w:rPr>
                                      <w:sz w:val="4"/>
                                      <w:szCs w:val="4"/>
                                    </w:rPr>
                                  </w:pPr>
                                  <w:r>
                                    <w:rPr>
                                      <w:sz w:val="4"/>
                                      <w:szCs w:val="4"/>
                                    </w:rPr>
                                  </w:r>
                                </w:p>
                              </w:tc>
                              <w:tc>
                                <w:tcPr>
                                  <w:tcW w:w="10019" w:type="dxa"/>
                                  <w:gridSpan w:val="2"/>
                                  <w:tcBorders/>
                                  <w:vAlign w:val="center"/>
                                </w:tcPr>
                                <w:p>
                                  <w:pPr>
                                    <w:pStyle w:val="TableContents"/>
                                    <w:bidi w:val="0"/>
                                    <w:spacing w:before="0" w:after="283"/>
                                    <w:jc w:val="left"/>
                                    <w:rPr>
                                      <w:sz w:val="4"/>
                                      <w:szCs w:val="4"/>
                                    </w:rPr>
                                  </w:pPr>
                                  <w:r>
                                    <w:rPr>
                                      <w:sz w:val="4"/>
                                      <w:szCs w:val="4"/>
                                    </w:rPr>
                                  </w:r>
                                </w:p>
                              </w:tc>
                            </w:tr>
                            <w:tr>
                              <w:trPr/>
                              <w:tc>
                                <w:tcPr>
                                  <w:tcW w:w="186" w:type="dxa"/>
                                  <w:tcBorders/>
                                  <w:vAlign w:val="center"/>
                                </w:tcPr>
                                <w:p>
                                  <w:pPr>
                                    <w:pStyle w:val="TableContents"/>
                                    <w:bidi w:val="0"/>
                                    <w:spacing w:before="0" w:after="283"/>
                                    <w:jc w:val="center"/>
                                    <w:rPr/>
                                  </w:pPr>
                                  <w:r>
                                    <w:rPr/>
                                    <w:t> </w:t>
                                  </w:r>
                                  <w:r>
                                    <w:rPr>
                                      <w:color w:val="F7ACBA"/>
                                    </w:rPr>
                                    <w:t>✔</w:t>
                                  </w:r>
                                </w:p>
                              </w:tc>
                              <w:tc>
                                <w:tcPr>
                                  <w:tcW w:w="120" w:type="dxa"/>
                                  <w:tcBorders/>
                                  <w:vAlign w:val="center"/>
                                </w:tcPr>
                                <w:p>
                                  <w:pPr>
                                    <w:pStyle w:val="TableContents"/>
                                    <w:bidi w:val="0"/>
                                    <w:spacing w:before="0" w:after="283"/>
                                    <w:jc w:val="left"/>
                                    <w:rPr/>
                                  </w:pPr>
                                  <w:r>
                                    <w:rPr/>
                                    <w:t>  </w:t>
                                  </w:r>
                                </w:p>
                              </w:tc>
                              <w:tc>
                                <w:tcPr>
                                  <w:tcW w:w="9899" w:type="dxa"/>
                                  <w:tcBorders/>
                                  <w:vAlign w:val="center"/>
                                </w:tcPr>
                                <w:p>
                                  <w:pPr>
                                    <w:pStyle w:val="TableContents"/>
                                    <w:bidi w:val="0"/>
                                    <w:spacing w:before="0" w:after="283"/>
                                    <w:jc w:val="left"/>
                                    <w:rPr/>
                                  </w:pPr>
                                  <w:r>
                                    <w:rPr/>
                                    <w:t>Grant stock with vesting period of at least one year (subject to certain exceptions).</w:t>
                                  </w:r>
                                </w:p>
                              </w:tc>
                            </w:tr>
                            <w:tr>
                              <w:trPr/>
                              <w:tc>
                                <w:tcPr>
                                  <w:tcW w:w="186" w:type="dxa"/>
                                  <w:tcBorders/>
                                  <w:vAlign w:val="center"/>
                                </w:tcPr>
                                <w:p>
                                  <w:pPr>
                                    <w:pStyle w:val="TableContents"/>
                                    <w:bidi w:val="0"/>
                                    <w:spacing w:before="0" w:after="283"/>
                                    <w:jc w:val="left"/>
                                    <w:rPr>
                                      <w:sz w:val="4"/>
                                      <w:szCs w:val="4"/>
                                    </w:rPr>
                                  </w:pPr>
                                  <w:r>
                                    <w:rPr>
                                      <w:sz w:val="4"/>
                                      <w:szCs w:val="4"/>
                                    </w:rPr>
                                  </w:r>
                                </w:p>
                              </w:tc>
                              <w:tc>
                                <w:tcPr>
                                  <w:tcW w:w="10019" w:type="dxa"/>
                                  <w:gridSpan w:val="2"/>
                                  <w:tcBorders/>
                                  <w:vAlign w:val="center"/>
                                </w:tcPr>
                                <w:p>
                                  <w:pPr>
                                    <w:pStyle w:val="TableContents"/>
                                    <w:bidi w:val="0"/>
                                    <w:spacing w:before="0" w:after="283"/>
                                    <w:jc w:val="left"/>
                                    <w:rPr>
                                      <w:sz w:val="4"/>
                                      <w:szCs w:val="4"/>
                                    </w:rPr>
                                  </w:pPr>
                                  <w:r>
                                    <w:rPr>
                                      <w:sz w:val="4"/>
                                      <w:szCs w:val="4"/>
                                    </w:rPr>
                                  </w:r>
                                </w:p>
                              </w:tc>
                            </w:tr>
                            <w:tr>
                              <w:trPr/>
                              <w:tc>
                                <w:tcPr>
                                  <w:tcW w:w="186" w:type="dxa"/>
                                  <w:tcBorders/>
                                  <w:vAlign w:val="center"/>
                                </w:tcPr>
                                <w:p>
                                  <w:pPr>
                                    <w:pStyle w:val="TableContents"/>
                                    <w:bidi w:val="0"/>
                                    <w:spacing w:before="0" w:after="283"/>
                                    <w:jc w:val="center"/>
                                    <w:rPr/>
                                  </w:pPr>
                                  <w:r>
                                    <w:rPr/>
                                    <w:t> </w:t>
                                  </w:r>
                                  <w:r>
                                    <w:rPr>
                                      <w:color w:val="F7ACBA"/>
                                    </w:rPr>
                                    <w:t>✔</w:t>
                                  </w:r>
                                </w:p>
                              </w:tc>
                              <w:tc>
                                <w:tcPr>
                                  <w:tcW w:w="120" w:type="dxa"/>
                                  <w:tcBorders/>
                                  <w:vAlign w:val="center"/>
                                </w:tcPr>
                                <w:p>
                                  <w:pPr>
                                    <w:pStyle w:val="TableContents"/>
                                    <w:bidi w:val="0"/>
                                    <w:spacing w:before="0" w:after="283"/>
                                    <w:jc w:val="left"/>
                                    <w:rPr/>
                                  </w:pPr>
                                  <w:r>
                                    <w:rPr/>
                                    <w:t>  </w:t>
                                  </w:r>
                                </w:p>
                              </w:tc>
                              <w:tc>
                                <w:tcPr>
                                  <w:tcW w:w="9899" w:type="dxa"/>
                                  <w:tcBorders/>
                                  <w:vAlign w:val="center"/>
                                </w:tcPr>
                                <w:p>
                                  <w:pPr>
                                    <w:pStyle w:val="TableContents"/>
                                    <w:bidi w:val="0"/>
                                    <w:spacing w:before="0" w:after="283"/>
                                    <w:jc w:val="left"/>
                                    <w:rPr/>
                                  </w:pPr>
                                  <w:r>
                                    <w:rPr/>
                                    <w:t>Conduct an annual review of the pay programs to ensure we reward executives for performance against clear metrics that align with our long-term strategic plan and stockholder interests, retain top talent, and discourage unnecessary risk taking by our executives.</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98.0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186"/>
                        <w:gridCol w:w="120"/>
                        <w:gridCol w:w="9899"/>
                      </w:tblGrid>
                      <w:tr>
                        <w:trPr/>
                        <w:tc>
                          <w:tcPr>
                            <w:tcW w:w="18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899" w:type="dxa"/>
                            <w:tcBorders/>
                            <w:vAlign w:val="center"/>
                          </w:tcPr>
                          <w:p>
                            <w:pPr>
                              <w:pStyle w:val="TableContents"/>
                              <w:bidi w:val="0"/>
                              <w:spacing w:before="0" w:after="283"/>
                              <w:jc w:val="left"/>
                              <w:rPr>
                                <w:sz w:val="4"/>
                                <w:szCs w:val="4"/>
                              </w:rPr>
                            </w:pPr>
                            <w:r>
                              <w:rPr>
                                <w:sz w:val="4"/>
                                <w:szCs w:val="4"/>
                              </w:rPr>
                            </w:r>
                          </w:p>
                        </w:tc>
                      </w:tr>
                      <w:tr>
                        <w:trPr/>
                        <w:tc>
                          <w:tcPr>
                            <w:tcW w:w="186" w:type="dxa"/>
                            <w:tcBorders/>
                            <w:vAlign w:val="center"/>
                          </w:tcPr>
                          <w:p>
                            <w:pPr>
                              <w:pStyle w:val="TableContents"/>
                              <w:bidi w:val="0"/>
                              <w:spacing w:before="0" w:after="283"/>
                              <w:jc w:val="left"/>
                              <w:rPr>
                                <w:sz w:val="4"/>
                                <w:szCs w:val="4"/>
                              </w:rPr>
                            </w:pPr>
                            <w:r>
                              <w:rPr>
                                <w:sz w:val="4"/>
                                <w:szCs w:val="4"/>
                              </w:rPr>
                            </w:r>
                          </w:p>
                        </w:tc>
                        <w:tc>
                          <w:tcPr>
                            <w:tcW w:w="10019" w:type="dxa"/>
                            <w:gridSpan w:val="2"/>
                            <w:tcBorders/>
                            <w:vAlign w:val="center"/>
                          </w:tcPr>
                          <w:p>
                            <w:pPr>
                              <w:pStyle w:val="TableContents"/>
                              <w:bidi w:val="0"/>
                              <w:spacing w:before="0" w:after="283"/>
                              <w:jc w:val="left"/>
                              <w:rPr>
                                <w:sz w:val="4"/>
                                <w:szCs w:val="4"/>
                              </w:rPr>
                            </w:pPr>
                            <w:r>
                              <w:rPr>
                                <w:sz w:val="4"/>
                                <w:szCs w:val="4"/>
                              </w:rPr>
                            </w:r>
                          </w:p>
                        </w:tc>
                      </w:tr>
                      <w:tr>
                        <w:trPr/>
                        <w:tc>
                          <w:tcPr>
                            <w:tcW w:w="186" w:type="dxa"/>
                            <w:tcBorders/>
                            <w:vAlign w:val="center"/>
                          </w:tcPr>
                          <w:p>
                            <w:pPr>
                              <w:pStyle w:val="TableContents"/>
                              <w:bidi w:val="0"/>
                              <w:spacing w:before="0" w:after="283"/>
                              <w:jc w:val="center"/>
                              <w:rPr/>
                            </w:pPr>
                            <w:r>
                              <w:rPr/>
                              <w:t> </w:t>
                            </w:r>
                            <w:r>
                              <w:rPr>
                                <w:color w:val="F7ACBA"/>
                              </w:rPr>
                              <w:t>✔</w:t>
                            </w:r>
                          </w:p>
                        </w:tc>
                        <w:tc>
                          <w:tcPr>
                            <w:tcW w:w="120" w:type="dxa"/>
                            <w:tcBorders/>
                            <w:vAlign w:val="center"/>
                          </w:tcPr>
                          <w:p>
                            <w:pPr>
                              <w:pStyle w:val="TableContents"/>
                              <w:bidi w:val="0"/>
                              <w:spacing w:before="0" w:after="283"/>
                              <w:jc w:val="left"/>
                              <w:rPr/>
                            </w:pPr>
                            <w:r>
                              <w:rPr/>
                              <w:t>  </w:t>
                            </w:r>
                          </w:p>
                        </w:tc>
                        <w:tc>
                          <w:tcPr>
                            <w:tcW w:w="9899" w:type="dxa"/>
                            <w:tcBorders/>
                            <w:vAlign w:val="center"/>
                          </w:tcPr>
                          <w:p>
                            <w:pPr>
                              <w:pStyle w:val="TableContents"/>
                              <w:bidi w:val="0"/>
                              <w:spacing w:before="0" w:after="283"/>
                              <w:jc w:val="left"/>
                              <w:rPr/>
                            </w:pPr>
                            <w:r>
                              <w:rPr/>
                              <w:t>Put meaningful compensation at risk: On average, approximately 80% of our NEOs’ pay is dependent upon company performance, thus aligning the interests of our executives with those of our stockholders.</w:t>
                            </w:r>
                          </w:p>
                        </w:tc>
                      </w:tr>
                      <w:tr>
                        <w:trPr/>
                        <w:tc>
                          <w:tcPr>
                            <w:tcW w:w="186" w:type="dxa"/>
                            <w:tcBorders/>
                            <w:vAlign w:val="center"/>
                          </w:tcPr>
                          <w:p>
                            <w:pPr>
                              <w:pStyle w:val="TableContents"/>
                              <w:bidi w:val="0"/>
                              <w:spacing w:before="0" w:after="283"/>
                              <w:jc w:val="left"/>
                              <w:rPr>
                                <w:sz w:val="4"/>
                                <w:szCs w:val="4"/>
                              </w:rPr>
                            </w:pPr>
                            <w:r>
                              <w:rPr>
                                <w:sz w:val="4"/>
                                <w:szCs w:val="4"/>
                              </w:rPr>
                            </w:r>
                          </w:p>
                        </w:tc>
                        <w:tc>
                          <w:tcPr>
                            <w:tcW w:w="10019" w:type="dxa"/>
                            <w:gridSpan w:val="2"/>
                            <w:tcBorders/>
                            <w:vAlign w:val="center"/>
                          </w:tcPr>
                          <w:p>
                            <w:pPr>
                              <w:pStyle w:val="TableContents"/>
                              <w:bidi w:val="0"/>
                              <w:spacing w:before="0" w:after="283"/>
                              <w:jc w:val="left"/>
                              <w:rPr>
                                <w:sz w:val="4"/>
                                <w:szCs w:val="4"/>
                              </w:rPr>
                            </w:pPr>
                            <w:r>
                              <w:rPr>
                                <w:sz w:val="4"/>
                                <w:szCs w:val="4"/>
                              </w:rPr>
                            </w:r>
                          </w:p>
                        </w:tc>
                      </w:tr>
                      <w:tr>
                        <w:trPr/>
                        <w:tc>
                          <w:tcPr>
                            <w:tcW w:w="186" w:type="dxa"/>
                            <w:tcBorders/>
                            <w:vAlign w:val="center"/>
                          </w:tcPr>
                          <w:p>
                            <w:pPr>
                              <w:pStyle w:val="TableContents"/>
                              <w:bidi w:val="0"/>
                              <w:spacing w:before="0" w:after="283"/>
                              <w:jc w:val="center"/>
                              <w:rPr/>
                            </w:pPr>
                            <w:r>
                              <w:rPr/>
                              <w:t> </w:t>
                            </w:r>
                            <w:r>
                              <w:rPr>
                                <w:color w:val="F7ACBA"/>
                              </w:rPr>
                              <w:t>✔</w:t>
                            </w:r>
                          </w:p>
                        </w:tc>
                        <w:tc>
                          <w:tcPr>
                            <w:tcW w:w="120" w:type="dxa"/>
                            <w:tcBorders/>
                            <w:vAlign w:val="center"/>
                          </w:tcPr>
                          <w:p>
                            <w:pPr>
                              <w:pStyle w:val="TableContents"/>
                              <w:bidi w:val="0"/>
                              <w:spacing w:before="0" w:after="283"/>
                              <w:jc w:val="left"/>
                              <w:rPr/>
                            </w:pPr>
                            <w:r>
                              <w:rPr/>
                              <w:t>  </w:t>
                            </w:r>
                          </w:p>
                        </w:tc>
                        <w:tc>
                          <w:tcPr>
                            <w:tcW w:w="9899" w:type="dxa"/>
                            <w:tcBorders/>
                            <w:vAlign w:val="center"/>
                          </w:tcPr>
                          <w:p>
                            <w:pPr>
                              <w:pStyle w:val="TableContents"/>
                              <w:bidi w:val="0"/>
                              <w:spacing w:before="0" w:after="283"/>
                              <w:jc w:val="left"/>
                              <w:rPr/>
                            </w:pPr>
                            <w:r>
                              <w:rPr/>
                              <w:t>Set stock ownership guidelines: Set at six times base salary for our CEO and three times base salary for other named executive officers.</w:t>
                            </w:r>
                          </w:p>
                        </w:tc>
                      </w:tr>
                      <w:tr>
                        <w:trPr/>
                        <w:tc>
                          <w:tcPr>
                            <w:tcW w:w="186" w:type="dxa"/>
                            <w:tcBorders/>
                            <w:vAlign w:val="center"/>
                          </w:tcPr>
                          <w:p>
                            <w:pPr>
                              <w:pStyle w:val="TableContents"/>
                              <w:bidi w:val="0"/>
                              <w:spacing w:before="0" w:after="283"/>
                              <w:jc w:val="left"/>
                              <w:rPr>
                                <w:sz w:val="4"/>
                                <w:szCs w:val="4"/>
                              </w:rPr>
                            </w:pPr>
                            <w:r>
                              <w:rPr>
                                <w:sz w:val="4"/>
                                <w:szCs w:val="4"/>
                              </w:rPr>
                            </w:r>
                          </w:p>
                        </w:tc>
                        <w:tc>
                          <w:tcPr>
                            <w:tcW w:w="10019" w:type="dxa"/>
                            <w:gridSpan w:val="2"/>
                            <w:tcBorders/>
                            <w:vAlign w:val="center"/>
                          </w:tcPr>
                          <w:p>
                            <w:pPr>
                              <w:pStyle w:val="TableContents"/>
                              <w:bidi w:val="0"/>
                              <w:spacing w:before="0" w:after="283"/>
                              <w:jc w:val="left"/>
                              <w:rPr>
                                <w:sz w:val="4"/>
                                <w:szCs w:val="4"/>
                              </w:rPr>
                            </w:pPr>
                            <w:r>
                              <w:rPr>
                                <w:sz w:val="4"/>
                                <w:szCs w:val="4"/>
                              </w:rPr>
                            </w:r>
                          </w:p>
                        </w:tc>
                      </w:tr>
                      <w:tr>
                        <w:trPr/>
                        <w:tc>
                          <w:tcPr>
                            <w:tcW w:w="186" w:type="dxa"/>
                            <w:tcBorders/>
                            <w:vAlign w:val="center"/>
                          </w:tcPr>
                          <w:p>
                            <w:pPr>
                              <w:pStyle w:val="TableContents"/>
                              <w:bidi w:val="0"/>
                              <w:spacing w:before="0" w:after="283"/>
                              <w:jc w:val="center"/>
                              <w:rPr/>
                            </w:pPr>
                            <w:r>
                              <w:rPr/>
                              <w:t> </w:t>
                            </w:r>
                            <w:r>
                              <w:rPr>
                                <w:color w:val="F7ACBA"/>
                              </w:rPr>
                              <w:t>✔</w:t>
                            </w:r>
                          </w:p>
                        </w:tc>
                        <w:tc>
                          <w:tcPr>
                            <w:tcW w:w="120" w:type="dxa"/>
                            <w:tcBorders/>
                            <w:vAlign w:val="center"/>
                          </w:tcPr>
                          <w:p>
                            <w:pPr>
                              <w:pStyle w:val="TableContents"/>
                              <w:bidi w:val="0"/>
                              <w:spacing w:before="0" w:after="283"/>
                              <w:jc w:val="left"/>
                              <w:rPr/>
                            </w:pPr>
                            <w:r>
                              <w:rPr/>
                              <w:t>  </w:t>
                            </w:r>
                          </w:p>
                        </w:tc>
                        <w:tc>
                          <w:tcPr>
                            <w:tcW w:w="9899" w:type="dxa"/>
                            <w:tcBorders/>
                            <w:vAlign w:val="center"/>
                          </w:tcPr>
                          <w:p>
                            <w:pPr>
                              <w:pStyle w:val="TableContents"/>
                              <w:bidi w:val="0"/>
                              <w:spacing w:before="0" w:after="283"/>
                              <w:jc w:val="left"/>
                              <w:rPr/>
                            </w:pPr>
                            <w:r>
                              <w:rPr/>
                              <w:t>Require double-trigger vesting of equity awards upon a change in control under our long-term incentive plan.</w:t>
                            </w:r>
                          </w:p>
                        </w:tc>
                      </w:tr>
                      <w:tr>
                        <w:trPr/>
                        <w:tc>
                          <w:tcPr>
                            <w:tcW w:w="186" w:type="dxa"/>
                            <w:tcBorders/>
                            <w:vAlign w:val="center"/>
                          </w:tcPr>
                          <w:p>
                            <w:pPr>
                              <w:pStyle w:val="TableContents"/>
                              <w:bidi w:val="0"/>
                              <w:spacing w:before="0" w:after="283"/>
                              <w:jc w:val="left"/>
                              <w:rPr>
                                <w:sz w:val="4"/>
                                <w:szCs w:val="4"/>
                              </w:rPr>
                            </w:pPr>
                            <w:r>
                              <w:rPr>
                                <w:sz w:val="4"/>
                                <w:szCs w:val="4"/>
                              </w:rPr>
                            </w:r>
                          </w:p>
                        </w:tc>
                        <w:tc>
                          <w:tcPr>
                            <w:tcW w:w="10019" w:type="dxa"/>
                            <w:gridSpan w:val="2"/>
                            <w:tcBorders/>
                            <w:vAlign w:val="center"/>
                          </w:tcPr>
                          <w:p>
                            <w:pPr>
                              <w:pStyle w:val="TableContents"/>
                              <w:bidi w:val="0"/>
                              <w:spacing w:before="0" w:after="283"/>
                              <w:jc w:val="left"/>
                              <w:rPr>
                                <w:sz w:val="4"/>
                                <w:szCs w:val="4"/>
                              </w:rPr>
                            </w:pPr>
                            <w:r>
                              <w:rPr>
                                <w:sz w:val="4"/>
                                <w:szCs w:val="4"/>
                              </w:rPr>
                            </w:r>
                          </w:p>
                        </w:tc>
                      </w:tr>
                      <w:tr>
                        <w:trPr/>
                        <w:tc>
                          <w:tcPr>
                            <w:tcW w:w="186" w:type="dxa"/>
                            <w:tcBorders/>
                            <w:vAlign w:val="center"/>
                          </w:tcPr>
                          <w:p>
                            <w:pPr>
                              <w:pStyle w:val="TableContents"/>
                              <w:bidi w:val="0"/>
                              <w:spacing w:before="0" w:after="283"/>
                              <w:jc w:val="center"/>
                              <w:rPr/>
                            </w:pPr>
                            <w:r>
                              <w:rPr/>
                              <w:t> </w:t>
                            </w:r>
                            <w:r>
                              <w:rPr>
                                <w:color w:val="F7ACBA"/>
                              </w:rPr>
                              <w:t>✔</w:t>
                            </w:r>
                          </w:p>
                        </w:tc>
                        <w:tc>
                          <w:tcPr>
                            <w:tcW w:w="120" w:type="dxa"/>
                            <w:tcBorders/>
                            <w:vAlign w:val="center"/>
                          </w:tcPr>
                          <w:p>
                            <w:pPr>
                              <w:pStyle w:val="TableContents"/>
                              <w:bidi w:val="0"/>
                              <w:spacing w:before="0" w:after="283"/>
                              <w:jc w:val="left"/>
                              <w:rPr/>
                            </w:pPr>
                            <w:r>
                              <w:rPr/>
                              <w:t>  </w:t>
                            </w:r>
                          </w:p>
                        </w:tc>
                        <w:tc>
                          <w:tcPr>
                            <w:tcW w:w="9899" w:type="dxa"/>
                            <w:tcBorders/>
                            <w:vAlign w:val="center"/>
                          </w:tcPr>
                          <w:p>
                            <w:pPr>
                              <w:pStyle w:val="TableContents"/>
                              <w:bidi w:val="0"/>
                              <w:spacing w:before="0" w:after="283"/>
                              <w:jc w:val="left"/>
                              <w:rPr/>
                            </w:pPr>
                            <w:r>
                              <w:rPr/>
                              <w:t>Enforce our Clawback Policy as described under “Compensation Governance—Recovery of Compensation.”</w:t>
                            </w:r>
                          </w:p>
                        </w:tc>
                      </w:tr>
                      <w:tr>
                        <w:trPr/>
                        <w:tc>
                          <w:tcPr>
                            <w:tcW w:w="186" w:type="dxa"/>
                            <w:tcBorders/>
                            <w:vAlign w:val="center"/>
                          </w:tcPr>
                          <w:p>
                            <w:pPr>
                              <w:pStyle w:val="TableContents"/>
                              <w:bidi w:val="0"/>
                              <w:spacing w:before="0" w:after="283"/>
                              <w:jc w:val="left"/>
                              <w:rPr>
                                <w:sz w:val="4"/>
                                <w:szCs w:val="4"/>
                              </w:rPr>
                            </w:pPr>
                            <w:r>
                              <w:rPr>
                                <w:sz w:val="4"/>
                                <w:szCs w:val="4"/>
                              </w:rPr>
                            </w:r>
                          </w:p>
                        </w:tc>
                        <w:tc>
                          <w:tcPr>
                            <w:tcW w:w="10019" w:type="dxa"/>
                            <w:gridSpan w:val="2"/>
                            <w:tcBorders/>
                            <w:vAlign w:val="center"/>
                          </w:tcPr>
                          <w:p>
                            <w:pPr>
                              <w:pStyle w:val="TableContents"/>
                              <w:bidi w:val="0"/>
                              <w:spacing w:before="0" w:after="283"/>
                              <w:jc w:val="left"/>
                              <w:rPr>
                                <w:sz w:val="4"/>
                                <w:szCs w:val="4"/>
                              </w:rPr>
                            </w:pPr>
                            <w:r>
                              <w:rPr>
                                <w:sz w:val="4"/>
                                <w:szCs w:val="4"/>
                              </w:rPr>
                            </w:r>
                          </w:p>
                        </w:tc>
                      </w:tr>
                      <w:tr>
                        <w:trPr/>
                        <w:tc>
                          <w:tcPr>
                            <w:tcW w:w="186" w:type="dxa"/>
                            <w:tcBorders/>
                            <w:vAlign w:val="center"/>
                          </w:tcPr>
                          <w:p>
                            <w:pPr>
                              <w:pStyle w:val="TableContents"/>
                              <w:bidi w:val="0"/>
                              <w:spacing w:before="0" w:after="283"/>
                              <w:jc w:val="center"/>
                              <w:rPr/>
                            </w:pPr>
                            <w:r>
                              <w:rPr/>
                              <w:t> </w:t>
                            </w:r>
                            <w:r>
                              <w:rPr>
                                <w:color w:val="F7ACBA"/>
                              </w:rPr>
                              <w:t>✔</w:t>
                            </w:r>
                          </w:p>
                        </w:tc>
                        <w:tc>
                          <w:tcPr>
                            <w:tcW w:w="120" w:type="dxa"/>
                            <w:tcBorders/>
                            <w:vAlign w:val="center"/>
                          </w:tcPr>
                          <w:p>
                            <w:pPr>
                              <w:pStyle w:val="TableContents"/>
                              <w:bidi w:val="0"/>
                              <w:spacing w:before="0" w:after="283"/>
                              <w:jc w:val="left"/>
                              <w:rPr/>
                            </w:pPr>
                            <w:r>
                              <w:rPr/>
                              <w:t>  </w:t>
                            </w:r>
                          </w:p>
                        </w:tc>
                        <w:tc>
                          <w:tcPr>
                            <w:tcW w:w="9899" w:type="dxa"/>
                            <w:tcBorders/>
                            <w:vAlign w:val="center"/>
                          </w:tcPr>
                          <w:p>
                            <w:pPr>
                              <w:pStyle w:val="TableContents"/>
                              <w:bidi w:val="0"/>
                              <w:spacing w:before="0" w:after="283"/>
                              <w:jc w:val="left"/>
                              <w:rPr/>
                            </w:pPr>
                            <w:r>
                              <w:rPr/>
                              <w:t>Include fixed share authorization: Long-term incentive plan does not provide for an evergreen feature that would automatically replenish the shares authorized for issuance.</w:t>
                            </w:r>
                          </w:p>
                        </w:tc>
                      </w:tr>
                      <w:tr>
                        <w:trPr/>
                        <w:tc>
                          <w:tcPr>
                            <w:tcW w:w="186" w:type="dxa"/>
                            <w:tcBorders/>
                            <w:vAlign w:val="center"/>
                          </w:tcPr>
                          <w:p>
                            <w:pPr>
                              <w:pStyle w:val="TableContents"/>
                              <w:bidi w:val="0"/>
                              <w:spacing w:before="0" w:after="283"/>
                              <w:jc w:val="left"/>
                              <w:rPr>
                                <w:sz w:val="4"/>
                                <w:szCs w:val="4"/>
                              </w:rPr>
                            </w:pPr>
                            <w:r>
                              <w:rPr>
                                <w:sz w:val="4"/>
                                <w:szCs w:val="4"/>
                              </w:rPr>
                            </w:r>
                          </w:p>
                        </w:tc>
                        <w:tc>
                          <w:tcPr>
                            <w:tcW w:w="10019" w:type="dxa"/>
                            <w:gridSpan w:val="2"/>
                            <w:tcBorders/>
                            <w:vAlign w:val="center"/>
                          </w:tcPr>
                          <w:p>
                            <w:pPr>
                              <w:pStyle w:val="TableContents"/>
                              <w:bidi w:val="0"/>
                              <w:spacing w:before="0" w:after="283"/>
                              <w:jc w:val="left"/>
                              <w:rPr>
                                <w:sz w:val="4"/>
                                <w:szCs w:val="4"/>
                              </w:rPr>
                            </w:pPr>
                            <w:r>
                              <w:rPr>
                                <w:sz w:val="4"/>
                                <w:szCs w:val="4"/>
                              </w:rPr>
                            </w:r>
                          </w:p>
                        </w:tc>
                      </w:tr>
                      <w:tr>
                        <w:trPr/>
                        <w:tc>
                          <w:tcPr>
                            <w:tcW w:w="186" w:type="dxa"/>
                            <w:tcBorders/>
                            <w:vAlign w:val="center"/>
                          </w:tcPr>
                          <w:p>
                            <w:pPr>
                              <w:pStyle w:val="TableContents"/>
                              <w:bidi w:val="0"/>
                              <w:spacing w:before="0" w:after="283"/>
                              <w:jc w:val="center"/>
                              <w:rPr/>
                            </w:pPr>
                            <w:r>
                              <w:rPr/>
                              <w:t> </w:t>
                            </w:r>
                            <w:r>
                              <w:rPr>
                                <w:color w:val="F7ACBA"/>
                              </w:rPr>
                              <w:t>✔</w:t>
                            </w:r>
                          </w:p>
                        </w:tc>
                        <w:tc>
                          <w:tcPr>
                            <w:tcW w:w="120" w:type="dxa"/>
                            <w:tcBorders/>
                            <w:vAlign w:val="center"/>
                          </w:tcPr>
                          <w:p>
                            <w:pPr>
                              <w:pStyle w:val="TableContents"/>
                              <w:bidi w:val="0"/>
                              <w:spacing w:before="0" w:after="283"/>
                              <w:jc w:val="left"/>
                              <w:rPr/>
                            </w:pPr>
                            <w:r>
                              <w:rPr/>
                              <w:t>  </w:t>
                            </w:r>
                          </w:p>
                        </w:tc>
                        <w:tc>
                          <w:tcPr>
                            <w:tcW w:w="9899" w:type="dxa"/>
                            <w:tcBorders/>
                            <w:vAlign w:val="center"/>
                          </w:tcPr>
                          <w:p>
                            <w:pPr>
                              <w:pStyle w:val="TableContents"/>
                              <w:bidi w:val="0"/>
                              <w:spacing w:before="0" w:after="283"/>
                              <w:jc w:val="left"/>
                              <w:rPr/>
                            </w:pPr>
                            <w:r>
                              <w:rPr/>
                              <w:t>Regularly review share utilization: We regularly evaluate share utilization levels and review the dilutive impact of stock compensation.</w:t>
                            </w:r>
                          </w:p>
                        </w:tc>
                      </w:tr>
                      <w:tr>
                        <w:trPr/>
                        <w:tc>
                          <w:tcPr>
                            <w:tcW w:w="186" w:type="dxa"/>
                            <w:tcBorders/>
                            <w:vAlign w:val="center"/>
                          </w:tcPr>
                          <w:p>
                            <w:pPr>
                              <w:pStyle w:val="TableContents"/>
                              <w:bidi w:val="0"/>
                              <w:spacing w:before="0" w:after="283"/>
                              <w:jc w:val="left"/>
                              <w:rPr>
                                <w:sz w:val="4"/>
                                <w:szCs w:val="4"/>
                              </w:rPr>
                            </w:pPr>
                            <w:r>
                              <w:rPr>
                                <w:sz w:val="4"/>
                                <w:szCs w:val="4"/>
                              </w:rPr>
                            </w:r>
                          </w:p>
                        </w:tc>
                        <w:tc>
                          <w:tcPr>
                            <w:tcW w:w="10019" w:type="dxa"/>
                            <w:gridSpan w:val="2"/>
                            <w:tcBorders/>
                            <w:vAlign w:val="center"/>
                          </w:tcPr>
                          <w:p>
                            <w:pPr>
                              <w:pStyle w:val="TableContents"/>
                              <w:bidi w:val="0"/>
                              <w:spacing w:before="0" w:after="283"/>
                              <w:jc w:val="left"/>
                              <w:rPr>
                                <w:sz w:val="4"/>
                                <w:szCs w:val="4"/>
                              </w:rPr>
                            </w:pPr>
                            <w:r>
                              <w:rPr>
                                <w:sz w:val="4"/>
                                <w:szCs w:val="4"/>
                              </w:rPr>
                            </w:r>
                          </w:p>
                        </w:tc>
                      </w:tr>
                      <w:tr>
                        <w:trPr/>
                        <w:tc>
                          <w:tcPr>
                            <w:tcW w:w="186" w:type="dxa"/>
                            <w:tcBorders/>
                            <w:vAlign w:val="center"/>
                          </w:tcPr>
                          <w:p>
                            <w:pPr>
                              <w:pStyle w:val="TableContents"/>
                              <w:bidi w:val="0"/>
                              <w:spacing w:before="0" w:after="283"/>
                              <w:jc w:val="center"/>
                              <w:rPr/>
                            </w:pPr>
                            <w:r>
                              <w:rPr/>
                              <w:t> </w:t>
                            </w:r>
                            <w:r>
                              <w:rPr>
                                <w:color w:val="F7ACBA"/>
                              </w:rPr>
                              <w:t>✔</w:t>
                            </w:r>
                          </w:p>
                        </w:tc>
                        <w:tc>
                          <w:tcPr>
                            <w:tcW w:w="120" w:type="dxa"/>
                            <w:tcBorders/>
                            <w:vAlign w:val="center"/>
                          </w:tcPr>
                          <w:p>
                            <w:pPr>
                              <w:pStyle w:val="TableContents"/>
                              <w:bidi w:val="0"/>
                              <w:spacing w:before="0" w:after="283"/>
                              <w:jc w:val="left"/>
                              <w:rPr/>
                            </w:pPr>
                            <w:r>
                              <w:rPr/>
                              <w:t>  </w:t>
                            </w:r>
                          </w:p>
                        </w:tc>
                        <w:tc>
                          <w:tcPr>
                            <w:tcW w:w="9899" w:type="dxa"/>
                            <w:tcBorders/>
                            <w:vAlign w:val="center"/>
                          </w:tcPr>
                          <w:p>
                            <w:pPr>
                              <w:pStyle w:val="TableContents"/>
                              <w:bidi w:val="0"/>
                              <w:spacing w:before="0" w:after="283"/>
                              <w:jc w:val="left"/>
                              <w:rPr/>
                            </w:pPr>
                            <w:r>
                              <w:rPr/>
                              <w:t>Independent compensation committee: Our HCCC is composed solely of independent directors.</w:t>
                            </w:r>
                          </w:p>
                        </w:tc>
                      </w:tr>
                      <w:tr>
                        <w:trPr/>
                        <w:tc>
                          <w:tcPr>
                            <w:tcW w:w="186" w:type="dxa"/>
                            <w:tcBorders/>
                            <w:vAlign w:val="center"/>
                          </w:tcPr>
                          <w:p>
                            <w:pPr>
                              <w:pStyle w:val="TableContents"/>
                              <w:bidi w:val="0"/>
                              <w:spacing w:before="0" w:after="283"/>
                              <w:jc w:val="left"/>
                              <w:rPr>
                                <w:sz w:val="4"/>
                                <w:szCs w:val="4"/>
                              </w:rPr>
                            </w:pPr>
                            <w:r>
                              <w:rPr>
                                <w:sz w:val="4"/>
                                <w:szCs w:val="4"/>
                              </w:rPr>
                            </w:r>
                          </w:p>
                        </w:tc>
                        <w:tc>
                          <w:tcPr>
                            <w:tcW w:w="10019" w:type="dxa"/>
                            <w:gridSpan w:val="2"/>
                            <w:tcBorders/>
                            <w:vAlign w:val="center"/>
                          </w:tcPr>
                          <w:p>
                            <w:pPr>
                              <w:pStyle w:val="TableContents"/>
                              <w:bidi w:val="0"/>
                              <w:spacing w:before="0" w:after="283"/>
                              <w:jc w:val="left"/>
                              <w:rPr>
                                <w:sz w:val="4"/>
                                <w:szCs w:val="4"/>
                              </w:rPr>
                            </w:pPr>
                            <w:r>
                              <w:rPr>
                                <w:sz w:val="4"/>
                                <w:szCs w:val="4"/>
                              </w:rPr>
                            </w:r>
                          </w:p>
                        </w:tc>
                      </w:tr>
                      <w:tr>
                        <w:trPr/>
                        <w:tc>
                          <w:tcPr>
                            <w:tcW w:w="186" w:type="dxa"/>
                            <w:tcBorders/>
                            <w:vAlign w:val="center"/>
                          </w:tcPr>
                          <w:p>
                            <w:pPr>
                              <w:pStyle w:val="TableContents"/>
                              <w:bidi w:val="0"/>
                              <w:spacing w:before="0" w:after="283"/>
                              <w:jc w:val="center"/>
                              <w:rPr/>
                            </w:pPr>
                            <w:r>
                              <w:rPr/>
                              <w:t> </w:t>
                            </w:r>
                            <w:r>
                              <w:rPr>
                                <w:color w:val="F7ACBA"/>
                              </w:rPr>
                              <w:t>✔</w:t>
                            </w:r>
                          </w:p>
                        </w:tc>
                        <w:tc>
                          <w:tcPr>
                            <w:tcW w:w="120" w:type="dxa"/>
                            <w:tcBorders/>
                            <w:vAlign w:val="center"/>
                          </w:tcPr>
                          <w:p>
                            <w:pPr>
                              <w:pStyle w:val="TableContents"/>
                              <w:bidi w:val="0"/>
                              <w:spacing w:before="0" w:after="283"/>
                              <w:jc w:val="left"/>
                              <w:rPr/>
                            </w:pPr>
                            <w:r>
                              <w:rPr/>
                              <w:t>  </w:t>
                            </w:r>
                          </w:p>
                        </w:tc>
                        <w:tc>
                          <w:tcPr>
                            <w:tcW w:w="9899" w:type="dxa"/>
                            <w:tcBorders/>
                            <w:vAlign w:val="center"/>
                          </w:tcPr>
                          <w:p>
                            <w:pPr>
                              <w:pStyle w:val="TableContents"/>
                              <w:bidi w:val="0"/>
                              <w:spacing w:before="0" w:after="283"/>
                              <w:jc w:val="left"/>
                              <w:rPr/>
                            </w:pPr>
                            <w:r>
                              <w:rPr/>
                              <w:t>Work with an independent compensation consultant retained by the HCCC.</w:t>
                            </w:r>
                          </w:p>
                        </w:tc>
                      </w:tr>
                      <w:tr>
                        <w:trPr/>
                        <w:tc>
                          <w:tcPr>
                            <w:tcW w:w="186" w:type="dxa"/>
                            <w:tcBorders/>
                            <w:vAlign w:val="center"/>
                          </w:tcPr>
                          <w:p>
                            <w:pPr>
                              <w:pStyle w:val="TableContents"/>
                              <w:bidi w:val="0"/>
                              <w:spacing w:before="0" w:after="283"/>
                              <w:jc w:val="left"/>
                              <w:rPr>
                                <w:sz w:val="4"/>
                                <w:szCs w:val="4"/>
                              </w:rPr>
                            </w:pPr>
                            <w:r>
                              <w:rPr>
                                <w:sz w:val="4"/>
                                <w:szCs w:val="4"/>
                              </w:rPr>
                            </w:r>
                          </w:p>
                        </w:tc>
                        <w:tc>
                          <w:tcPr>
                            <w:tcW w:w="10019" w:type="dxa"/>
                            <w:gridSpan w:val="2"/>
                            <w:tcBorders/>
                            <w:vAlign w:val="center"/>
                          </w:tcPr>
                          <w:p>
                            <w:pPr>
                              <w:pStyle w:val="TableContents"/>
                              <w:bidi w:val="0"/>
                              <w:spacing w:before="0" w:after="283"/>
                              <w:jc w:val="left"/>
                              <w:rPr>
                                <w:sz w:val="4"/>
                                <w:szCs w:val="4"/>
                              </w:rPr>
                            </w:pPr>
                            <w:r>
                              <w:rPr>
                                <w:sz w:val="4"/>
                                <w:szCs w:val="4"/>
                              </w:rPr>
                            </w:r>
                          </w:p>
                        </w:tc>
                      </w:tr>
                      <w:tr>
                        <w:trPr/>
                        <w:tc>
                          <w:tcPr>
                            <w:tcW w:w="186" w:type="dxa"/>
                            <w:tcBorders/>
                            <w:vAlign w:val="center"/>
                          </w:tcPr>
                          <w:p>
                            <w:pPr>
                              <w:pStyle w:val="TableContents"/>
                              <w:bidi w:val="0"/>
                              <w:spacing w:before="0" w:after="283"/>
                              <w:jc w:val="center"/>
                              <w:rPr/>
                            </w:pPr>
                            <w:r>
                              <w:rPr/>
                              <w:t> </w:t>
                            </w:r>
                            <w:r>
                              <w:rPr>
                                <w:color w:val="F7ACBA"/>
                              </w:rPr>
                              <w:t>✔</w:t>
                            </w:r>
                          </w:p>
                        </w:tc>
                        <w:tc>
                          <w:tcPr>
                            <w:tcW w:w="120" w:type="dxa"/>
                            <w:tcBorders/>
                            <w:vAlign w:val="center"/>
                          </w:tcPr>
                          <w:p>
                            <w:pPr>
                              <w:pStyle w:val="TableContents"/>
                              <w:bidi w:val="0"/>
                              <w:spacing w:before="0" w:after="283"/>
                              <w:jc w:val="left"/>
                              <w:rPr/>
                            </w:pPr>
                            <w:r>
                              <w:rPr/>
                              <w:t>  </w:t>
                            </w:r>
                          </w:p>
                        </w:tc>
                        <w:tc>
                          <w:tcPr>
                            <w:tcW w:w="9899" w:type="dxa"/>
                            <w:tcBorders/>
                            <w:vAlign w:val="center"/>
                          </w:tcPr>
                          <w:p>
                            <w:pPr>
                              <w:pStyle w:val="TableContents"/>
                              <w:bidi w:val="0"/>
                              <w:spacing w:before="0" w:after="283"/>
                              <w:jc w:val="left"/>
                              <w:rPr/>
                            </w:pPr>
                            <w:r>
                              <w:rPr/>
                              <w:t>Cap our incentive plans: The maximum payout for our short- and long-term incentive compensation is 200% of target.</w:t>
                            </w:r>
                          </w:p>
                        </w:tc>
                      </w:tr>
                      <w:tr>
                        <w:trPr/>
                        <w:tc>
                          <w:tcPr>
                            <w:tcW w:w="186" w:type="dxa"/>
                            <w:tcBorders/>
                            <w:vAlign w:val="center"/>
                          </w:tcPr>
                          <w:p>
                            <w:pPr>
                              <w:pStyle w:val="TableContents"/>
                              <w:bidi w:val="0"/>
                              <w:spacing w:before="0" w:after="283"/>
                              <w:jc w:val="left"/>
                              <w:rPr>
                                <w:sz w:val="4"/>
                                <w:szCs w:val="4"/>
                              </w:rPr>
                            </w:pPr>
                            <w:r>
                              <w:rPr>
                                <w:sz w:val="4"/>
                                <w:szCs w:val="4"/>
                              </w:rPr>
                            </w:r>
                          </w:p>
                        </w:tc>
                        <w:tc>
                          <w:tcPr>
                            <w:tcW w:w="10019" w:type="dxa"/>
                            <w:gridSpan w:val="2"/>
                            <w:tcBorders/>
                            <w:vAlign w:val="center"/>
                          </w:tcPr>
                          <w:p>
                            <w:pPr>
                              <w:pStyle w:val="TableContents"/>
                              <w:bidi w:val="0"/>
                              <w:spacing w:before="0" w:after="283"/>
                              <w:jc w:val="left"/>
                              <w:rPr>
                                <w:sz w:val="4"/>
                                <w:szCs w:val="4"/>
                              </w:rPr>
                            </w:pPr>
                            <w:r>
                              <w:rPr>
                                <w:sz w:val="4"/>
                                <w:szCs w:val="4"/>
                              </w:rPr>
                            </w:r>
                          </w:p>
                        </w:tc>
                      </w:tr>
                      <w:tr>
                        <w:trPr/>
                        <w:tc>
                          <w:tcPr>
                            <w:tcW w:w="186" w:type="dxa"/>
                            <w:tcBorders/>
                            <w:vAlign w:val="center"/>
                          </w:tcPr>
                          <w:p>
                            <w:pPr>
                              <w:pStyle w:val="TableContents"/>
                              <w:bidi w:val="0"/>
                              <w:spacing w:before="0" w:after="283"/>
                              <w:jc w:val="center"/>
                              <w:rPr/>
                            </w:pPr>
                            <w:r>
                              <w:rPr/>
                              <w:t> </w:t>
                            </w:r>
                            <w:r>
                              <w:rPr>
                                <w:color w:val="F7ACBA"/>
                              </w:rPr>
                              <w:t>✔</w:t>
                            </w:r>
                          </w:p>
                        </w:tc>
                        <w:tc>
                          <w:tcPr>
                            <w:tcW w:w="120" w:type="dxa"/>
                            <w:tcBorders/>
                            <w:vAlign w:val="center"/>
                          </w:tcPr>
                          <w:p>
                            <w:pPr>
                              <w:pStyle w:val="TableContents"/>
                              <w:bidi w:val="0"/>
                              <w:spacing w:before="0" w:after="283"/>
                              <w:jc w:val="left"/>
                              <w:rPr/>
                            </w:pPr>
                            <w:r>
                              <w:rPr/>
                              <w:t>  </w:t>
                            </w:r>
                          </w:p>
                        </w:tc>
                        <w:tc>
                          <w:tcPr>
                            <w:tcW w:w="9899" w:type="dxa"/>
                            <w:tcBorders/>
                            <w:vAlign w:val="center"/>
                          </w:tcPr>
                          <w:p>
                            <w:pPr>
                              <w:pStyle w:val="TableContents"/>
                              <w:bidi w:val="0"/>
                              <w:spacing w:before="0" w:after="283"/>
                              <w:jc w:val="left"/>
                              <w:rPr/>
                            </w:pPr>
                            <w:r>
                              <w:rPr/>
                              <w:t>Grant stock with vesting period of at least one year (subject to certain exceptions).</w:t>
                            </w:r>
                          </w:p>
                        </w:tc>
                      </w:tr>
                      <w:tr>
                        <w:trPr/>
                        <w:tc>
                          <w:tcPr>
                            <w:tcW w:w="186" w:type="dxa"/>
                            <w:tcBorders/>
                            <w:vAlign w:val="center"/>
                          </w:tcPr>
                          <w:p>
                            <w:pPr>
                              <w:pStyle w:val="TableContents"/>
                              <w:bidi w:val="0"/>
                              <w:spacing w:before="0" w:after="283"/>
                              <w:jc w:val="left"/>
                              <w:rPr>
                                <w:sz w:val="4"/>
                                <w:szCs w:val="4"/>
                              </w:rPr>
                            </w:pPr>
                            <w:r>
                              <w:rPr>
                                <w:sz w:val="4"/>
                                <w:szCs w:val="4"/>
                              </w:rPr>
                            </w:r>
                          </w:p>
                        </w:tc>
                        <w:tc>
                          <w:tcPr>
                            <w:tcW w:w="10019" w:type="dxa"/>
                            <w:gridSpan w:val="2"/>
                            <w:tcBorders/>
                            <w:vAlign w:val="center"/>
                          </w:tcPr>
                          <w:p>
                            <w:pPr>
                              <w:pStyle w:val="TableContents"/>
                              <w:bidi w:val="0"/>
                              <w:spacing w:before="0" w:after="283"/>
                              <w:jc w:val="left"/>
                              <w:rPr>
                                <w:sz w:val="4"/>
                                <w:szCs w:val="4"/>
                              </w:rPr>
                            </w:pPr>
                            <w:r>
                              <w:rPr>
                                <w:sz w:val="4"/>
                                <w:szCs w:val="4"/>
                              </w:rPr>
                            </w:r>
                          </w:p>
                        </w:tc>
                      </w:tr>
                      <w:tr>
                        <w:trPr/>
                        <w:tc>
                          <w:tcPr>
                            <w:tcW w:w="186" w:type="dxa"/>
                            <w:tcBorders/>
                            <w:vAlign w:val="center"/>
                          </w:tcPr>
                          <w:p>
                            <w:pPr>
                              <w:pStyle w:val="TableContents"/>
                              <w:bidi w:val="0"/>
                              <w:spacing w:before="0" w:after="283"/>
                              <w:jc w:val="center"/>
                              <w:rPr/>
                            </w:pPr>
                            <w:r>
                              <w:rPr/>
                              <w:t> </w:t>
                            </w:r>
                            <w:r>
                              <w:rPr>
                                <w:color w:val="F7ACBA"/>
                              </w:rPr>
                              <w:t>✔</w:t>
                            </w:r>
                          </w:p>
                        </w:tc>
                        <w:tc>
                          <w:tcPr>
                            <w:tcW w:w="120" w:type="dxa"/>
                            <w:tcBorders/>
                            <w:vAlign w:val="center"/>
                          </w:tcPr>
                          <w:p>
                            <w:pPr>
                              <w:pStyle w:val="TableContents"/>
                              <w:bidi w:val="0"/>
                              <w:spacing w:before="0" w:after="283"/>
                              <w:jc w:val="left"/>
                              <w:rPr/>
                            </w:pPr>
                            <w:r>
                              <w:rPr/>
                              <w:t>  </w:t>
                            </w:r>
                          </w:p>
                        </w:tc>
                        <w:tc>
                          <w:tcPr>
                            <w:tcW w:w="9899" w:type="dxa"/>
                            <w:tcBorders/>
                            <w:vAlign w:val="center"/>
                          </w:tcPr>
                          <w:p>
                            <w:pPr>
                              <w:pStyle w:val="TableContents"/>
                              <w:bidi w:val="0"/>
                              <w:spacing w:before="0" w:after="283"/>
                              <w:jc w:val="left"/>
                              <w:rPr/>
                            </w:pPr>
                            <w:r>
                              <w:rPr/>
                              <w:t>Conduct an annual review of the pay programs to ensure we reward executives for performance against clear metrics that align with our long-term strategic plan and stockholder interests, retain top talent, and discourage unnecessary risk taking by our executives.</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86">
                <wp:simplePos x="0" y="0"/>
                <wp:positionH relativeFrom="column">
                  <wp:align>left</wp:align>
                </wp:positionH>
                <wp:positionV relativeFrom="line">
                  <wp:posOffset>635</wp:posOffset>
                </wp:positionV>
                <wp:extent cx="3175000" cy="3942715"/>
                <wp:effectExtent l="0" t="0" r="0" b="0"/>
                <wp:wrapSquare wrapText="right"/>
                <wp:docPr id="105" name="Frame11"/>
                <a:graphic xmlns:a="http://schemas.openxmlformats.org/drawingml/2006/main">
                  <a:graphicData uri="http://schemas.microsoft.com/office/word/2010/wordprocessingShape">
                    <wps:wsp>
                      <wps:cNvSpPr txBox="1"/>
                      <wps:spPr>
                        <a:xfrm>
                          <a:off x="0" y="0"/>
                          <a:ext cx="3175000" cy="3942715"/>
                        </a:xfrm>
                        <a:prstGeom prst="rect"/>
                        <a:solidFill>
                          <a:srgbClr val="FFFFFF"/>
                        </a:solidFill>
                      </wps:spPr>
                      <wps:txbx>
                        <w:txbxContent>
                          <w:tbl>
                            <w:tblPr>
                              <w:tblW w:w="8275" w:type="dxa"/>
                              <w:jc w:val="left"/>
                              <w:tblInd w:w="0" w:type="dxa"/>
                              <w:tblLayout w:type="fixed"/>
                              <w:tblCellMar>
                                <w:top w:w="0" w:type="dxa"/>
                                <w:left w:w="0" w:type="dxa"/>
                                <w:bottom w:w="0" w:type="dxa"/>
                                <w:right w:w="0" w:type="dxa"/>
                              </w:tblCellMar>
                            </w:tblPr>
                            <w:tblGrid>
                              <w:gridCol w:w="170"/>
                              <w:gridCol w:w="120"/>
                              <w:gridCol w:w="7985"/>
                            </w:tblGrid>
                            <w:tr>
                              <w:trPr/>
                              <w:tc>
                                <w:tcPr>
                                  <w:tcW w:w="1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85" w:type="dxa"/>
                                  <w:tcBorders/>
                                  <w:vAlign w:val="center"/>
                                </w:tcPr>
                                <w:p>
                                  <w:pPr>
                                    <w:pStyle w:val="TableContents"/>
                                    <w:bidi w:val="0"/>
                                    <w:spacing w:before="0" w:after="283"/>
                                    <w:jc w:val="left"/>
                                    <w:rPr>
                                      <w:sz w:val="4"/>
                                      <w:szCs w:val="4"/>
                                    </w:rPr>
                                  </w:pPr>
                                  <w:r>
                                    <w:rPr>
                                      <w:sz w:val="4"/>
                                      <w:szCs w:val="4"/>
                                    </w:rPr>
                                  </w:r>
                                </w:p>
                              </w:tc>
                            </w:tr>
                            <w:tr>
                              <w:trPr/>
                              <w:tc>
                                <w:tcPr>
                                  <w:tcW w:w="170" w:type="dxa"/>
                                  <w:tcBorders/>
                                  <w:vAlign w:val="center"/>
                                </w:tcPr>
                                <w:p>
                                  <w:pPr>
                                    <w:pStyle w:val="TableContents"/>
                                    <w:bidi w:val="0"/>
                                    <w:spacing w:before="0" w:after="283"/>
                                    <w:jc w:val="left"/>
                                    <w:rPr>
                                      <w:sz w:val="4"/>
                                      <w:szCs w:val="4"/>
                                    </w:rPr>
                                  </w:pPr>
                                  <w:r>
                                    <w:rPr>
                                      <w:sz w:val="4"/>
                                      <w:szCs w:val="4"/>
                                    </w:rPr>
                                  </w:r>
                                </w:p>
                              </w:tc>
                              <w:tc>
                                <w:tcPr>
                                  <w:tcW w:w="8105" w:type="dxa"/>
                                  <w:gridSpan w:val="2"/>
                                  <w:tcBorders/>
                                  <w:vAlign w:val="center"/>
                                </w:tcPr>
                                <w:p>
                                  <w:pPr>
                                    <w:pStyle w:val="TableContents"/>
                                    <w:bidi w:val="0"/>
                                    <w:spacing w:before="0" w:after="283"/>
                                    <w:jc w:val="left"/>
                                    <w:rPr>
                                      <w:sz w:val="4"/>
                                      <w:szCs w:val="4"/>
                                    </w:rPr>
                                  </w:pPr>
                                  <w:r>
                                    <w:rPr>
                                      <w:sz w:val="4"/>
                                      <w:szCs w:val="4"/>
                                    </w:rPr>
                                  </w:r>
                                </w:p>
                              </w:tc>
                            </w:tr>
                            <w:tr>
                              <w:trPr/>
                              <w:tc>
                                <w:tcPr>
                                  <w:tcW w:w="170" w:type="dxa"/>
                                  <w:tcBorders/>
                                  <w:vAlign w:val="center"/>
                                </w:tcPr>
                                <w:p>
                                  <w:pPr>
                                    <w:pStyle w:val="TableContents"/>
                                    <w:bidi w:val="0"/>
                                    <w:spacing w:lineRule="atLeast" w:line="200" w:before="0" w:after="0"/>
                                    <w:jc w:val="center"/>
                                    <w:rPr>
                                      <w:rFonts w:ascii="Times New Roman" w:hAnsi="Times New Roman"/>
                                      <w:b/>
                                      <w:i/>
                                      <w:color w:val="F7ACBA"/>
                                      <w:sz w:val="24"/>
                                    </w:rPr>
                                  </w:pPr>
                                  <w:r>
                                    <w:rPr>
                                      <w:rFonts w:ascii="Times New Roman" w:hAnsi="Times New Roman"/>
                                      <w:b/>
                                      <w:i/>
                                      <w:color w:val="F7ACBA"/>
                                      <w:sz w:val="24"/>
                                    </w:rPr>
                                    <w:t>×</w:t>
                                  </w:r>
                                </w:p>
                              </w:tc>
                              <w:tc>
                                <w:tcPr>
                                  <w:tcW w:w="12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283"/>
                                    <w:jc w:val="left"/>
                                    <w:rPr/>
                                  </w:pPr>
                                  <w:r>
                                    <w:rPr/>
                                    <w:t>No tax gross-ups upon a change in control.</w:t>
                                  </w:r>
                                </w:p>
                              </w:tc>
                            </w:tr>
                            <w:tr>
                              <w:trPr/>
                              <w:tc>
                                <w:tcPr>
                                  <w:tcW w:w="170" w:type="dxa"/>
                                  <w:tcBorders/>
                                  <w:vAlign w:val="center"/>
                                </w:tcPr>
                                <w:p>
                                  <w:pPr>
                                    <w:pStyle w:val="TableContents"/>
                                    <w:bidi w:val="0"/>
                                    <w:spacing w:before="0" w:after="283"/>
                                    <w:jc w:val="left"/>
                                    <w:rPr>
                                      <w:sz w:val="4"/>
                                      <w:szCs w:val="4"/>
                                    </w:rPr>
                                  </w:pPr>
                                  <w:r>
                                    <w:rPr>
                                      <w:sz w:val="4"/>
                                      <w:szCs w:val="4"/>
                                    </w:rPr>
                                  </w:r>
                                </w:p>
                              </w:tc>
                              <w:tc>
                                <w:tcPr>
                                  <w:tcW w:w="8105" w:type="dxa"/>
                                  <w:gridSpan w:val="2"/>
                                  <w:tcBorders/>
                                  <w:vAlign w:val="center"/>
                                </w:tcPr>
                                <w:p>
                                  <w:pPr>
                                    <w:pStyle w:val="TableContents"/>
                                    <w:bidi w:val="0"/>
                                    <w:spacing w:before="0" w:after="283"/>
                                    <w:jc w:val="left"/>
                                    <w:rPr>
                                      <w:sz w:val="4"/>
                                      <w:szCs w:val="4"/>
                                    </w:rPr>
                                  </w:pPr>
                                  <w:r>
                                    <w:rPr>
                                      <w:sz w:val="4"/>
                                      <w:szCs w:val="4"/>
                                    </w:rPr>
                                  </w:r>
                                </w:p>
                              </w:tc>
                            </w:tr>
                            <w:tr>
                              <w:trPr/>
                              <w:tc>
                                <w:tcPr>
                                  <w:tcW w:w="170" w:type="dxa"/>
                                  <w:tcBorders/>
                                  <w:vAlign w:val="center"/>
                                </w:tcPr>
                                <w:p>
                                  <w:pPr>
                                    <w:pStyle w:val="TableContents"/>
                                    <w:bidi w:val="0"/>
                                    <w:spacing w:lineRule="atLeast" w:line="200" w:before="0" w:after="0"/>
                                    <w:jc w:val="center"/>
                                    <w:rPr>
                                      <w:rFonts w:ascii="Times New Roman" w:hAnsi="Times New Roman"/>
                                      <w:b/>
                                      <w:i/>
                                      <w:color w:val="F7ACBA"/>
                                      <w:sz w:val="24"/>
                                    </w:rPr>
                                  </w:pPr>
                                  <w:r>
                                    <w:rPr>
                                      <w:rFonts w:ascii="Times New Roman" w:hAnsi="Times New Roman"/>
                                      <w:b/>
                                      <w:i/>
                                      <w:color w:val="F7ACBA"/>
                                      <w:sz w:val="24"/>
                                    </w:rPr>
                                    <w:t>×</w:t>
                                  </w:r>
                                </w:p>
                              </w:tc>
                              <w:tc>
                                <w:tcPr>
                                  <w:tcW w:w="12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283"/>
                                    <w:jc w:val="left"/>
                                    <w:rPr/>
                                  </w:pPr>
                                  <w:r>
                                    <w:rPr/>
                                    <w:t>No hedging or pledging is permitted under our Insider Trading Policy.</w:t>
                                  </w:r>
                                </w:p>
                              </w:tc>
                            </w:tr>
                            <w:tr>
                              <w:trPr/>
                              <w:tc>
                                <w:tcPr>
                                  <w:tcW w:w="170" w:type="dxa"/>
                                  <w:tcBorders/>
                                  <w:vAlign w:val="center"/>
                                </w:tcPr>
                                <w:p>
                                  <w:pPr>
                                    <w:pStyle w:val="TableContents"/>
                                    <w:bidi w:val="0"/>
                                    <w:spacing w:before="0" w:after="283"/>
                                    <w:jc w:val="left"/>
                                    <w:rPr>
                                      <w:sz w:val="4"/>
                                      <w:szCs w:val="4"/>
                                    </w:rPr>
                                  </w:pPr>
                                  <w:r>
                                    <w:rPr>
                                      <w:sz w:val="4"/>
                                      <w:szCs w:val="4"/>
                                    </w:rPr>
                                  </w:r>
                                </w:p>
                              </w:tc>
                              <w:tc>
                                <w:tcPr>
                                  <w:tcW w:w="8105" w:type="dxa"/>
                                  <w:gridSpan w:val="2"/>
                                  <w:tcBorders/>
                                  <w:vAlign w:val="center"/>
                                </w:tcPr>
                                <w:p>
                                  <w:pPr>
                                    <w:pStyle w:val="TableContents"/>
                                    <w:bidi w:val="0"/>
                                    <w:spacing w:before="0" w:after="283"/>
                                    <w:jc w:val="left"/>
                                    <w:rPr>
                                      <w:sz w:val="4"/>
                                      <w:szCs w:val="4"/>
                                    </w:rPr>
                                  </w:pPr>
                                  <w:r>
                                    <w:rPr>
                                      <w:sz w:val="4"/>
                                      <w:szCs w:val="4"/>
                                    </w:rPr>
                                  </w:r>
                                </w:p>
                              </w:tc>
                            </w:tr>
                            <w:tr>
                              <w:trPr/>
                              <w:tc>
                                <w:tcPr>
                                  <w:tcW w:w="170" w:type="dxa"/>
                                  <w:tcBorders/>
                                  <w:vAlign w:val="center"/>
                                </w:tcPr>
                                <w:p>
                                  <w:pPr>
                                    <w:pStyle w:val="TableContents"/>
                                    <w:bidi w:val="0"/>
                                    <w:spacing w:lineRule="atLeast" w:line="200" w:before="0" w:after="0"/>
                                    <w:jc w:val="center"/>
                                    <w:rPr>
                                      <w:rFonts w:ascii="Times New Roman" w:hAnsi="Times New Roman"/>
                                      <w:b/>
                                      <w:i/>
                                      <w:color w:val="F7ACBA"/>
                                      <w:sz w:val="24"/>
                                    </w:rPr>
                                  </w:pPr>
                                  <w:r>
                                    <w:rPr>
                                      <w:rFonts w:ascii="Times New Roman" w:hAnsi="Times New Roman"/>
                                      <w:b/>
                                      <w:i/>
                                      <w:color w:val="F7ACBA"/>
                                      <w:sz w:val="24"/>
                                    </w:rPr>
                                    <w:t>×</w:t>
                                  </w:r>
                                </w:p>
                              </w:tc>
                              <w:tc>
                                <w:tcPr>
                                  <w:tcW w:w="12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283"/>
                                    <w:jc w:val="left"/>
                                    <w:rPr/>
                                  </w:pPr>
                                  <w:r>
                                    <w:rPr/>
                                    <w:t>No re-pricing or cash-out of underwater stock options without stockholder approval.</w:t>
                                  </w:r>
                                </w:p>
                              </w:tc>
                            </w:tr>
                            <w:tr>
                              <w:trPr/>
                              <w:tc>
                                <w:tcPr>
                                  <w:tcW w:w="170" w:type="dxa"/>
                                  <w:tcBorders/>
                                  <w:vAlign w:val="center"/>
                                </w:tcPr>
                                <w:p>
                                  <w:pPr>
                                    <w:pStyle w:val="TableContents"/>
                                    <w:bidi w:val="0"/>
                                    <w:spacing w:before="0" w:after="283"/>
                                    <w:jc w:val="left"/>
                                    <w:rPr>
                                      <w:sz w:val="4"/>
                                      <w:szCs w:val="4"/>
                                    </w:rPr>
                                  </w:pPr>
                                  <w:r>
                                    <w:rPr>
                                      <w:sz w:val="4"/>
                                      <w:szCs w:val="4"/>
                                    </w:rPr>
                                  </w:r>
                                </w:p>
                              </w:tc>
                              <w:tc>
                                <w:tcPr>
                                  <w:tcW w:w="8105" w:type="dxa"/>
                                  <w:gridSpan w:val="2"/>
                                  <w:tcBorders/>
                                  <w:vAlign w:val="center"/>
                                </w:tcPr>
                                <w:p>
                                  <w:pPr>
                                    <w:pStyle w:val="TableContents"/>
                                    <w:bidi w:val="0"/>
                                    <w:spacing w:before="0" w:after="283"/>
                                    <w:jc w:val="left"/>
                                    <w:rPr>
                                      <w:sz w:val="4"/>
                                      <w:szCs w:val="4"/>
                                    </w:rPr>
                                  </w:pPr>
                                  <w:r>
                                    <w:rPr>
                                      <w:sz w:val="4"/>
                                      <w:szCs w:val="4"/>
                                    </w:rPr>
                                  </w:r>
                                </w:p>
                              </w:tc>
                            </w:tr>
                            <w:tr>
                              <w:trPr/>
                              <w:tc>
                                <w:tcPr>
                                  <w:tcW w:w="170" w:type="dxa"/>
                                  <w:tcBorders/>
                                  <w:vAlign w:val="center"/>
                                </w:tcPr>
                                <w:p>
                                  <w:pPr>
                                    <w:pStyle w:val="TableContents"/>
                                    <w:bidi w:val="0"/>
                                    <w:spacing w:lineRule="atLeast" w:line="200" w:before="0" w:after="0"/>
                                    <w:jc w:val="center"/>
                                    <w:rPr>
                                      <w:rFonts w:ascii="Times New Roman" w:hAnsi="Times New Roman"/>
                                      <w:b/>
                                      <w:i/>
                                      <w:color w:val="F7ACBA"/>
                                      <w:sz w:val="24"/>
                                    </w:rPr>
                                  </w:pPr>
                                  <w:r>
                                    <w:rPr>
                                      <w:rFonts w:ascii="Times New Roman" w:hAnsi="Times New Roman"/>
                                      <w:b/>
                                      <w:i/>
                                      <w:color w:val="F7ACBA"/>
                                      <w:sz w:val="24"/>
                                    </w:rPr>
                                    <w:t>×</w:t>
                                  </w:r>
                                </w:p>
                              </w:tc>
                              <w:tc>
                                <w:tcPr>
                                  <w:tcW w:w="12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283"/>
                                    <w:jc w:val="left"/>
                                    <w:rPr/>
                                  </w:pPr>
                                  <w:r>
                                    <w:rPr/>
                                    <w:t>No discounted equity grants.</w:t>
                                  </w:r>
                                </w:p>
                              </w:tc>
                            </w:tr>
                            <w:tr>
                              <w:trPr/>
                              <w:tc>
                                <w:tcPr>
                                  <w:tcW w:w="170" w:type="dxa"/>
                                  <w:tcBorders/>
                                  <w:vAlign w:val="center"/>
                                </w:tcPr>
                                <w:p>
                                  <w:pPr>
                                    <w:pStyle w:val="TableContents"/>
                                    <w:bidi w:val="0"/>
                                    <w:spacing w:before="0" w:after="283"/>
                                    <w:jc w:val="left"/>
                                    <w:rPr>
                                      <w:sz w:val="4"/>
                                      <w:szCs w:val="4"/>
                                    </w:rPr>
                                  </w:pPr>
                                  <w:r>
                                    <w:rPr>
                                      <w:sz w:val="4"/>
                                      <w:szCs w:val="4"/>
                                    </w:rPr>
                                  </w:r>
                                </w:p>
                              </w:tc>
                              <w:tc>
                                <w:tcPr>
                                  <w:tcW w:w="8105" w:type="dxa"/>
                                  <w:gridSpan w:val="2"/>
                                  <w:tcBorders/>
                                  <w:vAlign w:val="center"/>
                                </w:tcPr>
                                <w:p>
                                  <w:pPr>
                                    <w:pStyle w:val="TableContents"/>
                                    <w:bidi w:val="0"/>
                                    <w:spacing w:before="0" w:after="283"/>
                                    <w:jc w:val="left"/>
                                    <w:rPr>
                                      <w:sz w:val="4"/>
                                      <w:szCs w:val="4"/>
                                    </w:rPr>
                                  </w:pPr>
                                  <w:r>
                                    <w:rPr>
                                      <w:sz w:val="4"/>
                                      <w:szCs w:val="4"/>
                                    </w:rPr>
                                  </w:r>
                                </w:p>
                              </w:tc>
                            </w:tr>
                            <w:tr>
                              <w:trPr/>
                              <w:tc>
                                <w:tcPr>
                                  <w:tcW w:w="170" w:type="dxa"/>
                                  <w:tcBorders/>
                                  <w:vAlign w:val="center"/>
                                </w:tcPr>
                                <w:p>
                                  <w:pPr>
                                    <w:pStyle w:val="TableContents"/>
                                    <w:bidi w:val="0"/>
                                    <w:spacing w:lineRule="atLeast" w:line="200" w:before="0" w:after="0"/>
                                    <w:jc w:val="center"/>
                                    <w:rPr>
                                      <w:rFonts w:ascii="Times New Roman" w:hAnsi="Times New Roman"/>
                                      <w:b/>
                                      <w:i/>
                                      <w:color w:val="F7ACBA"/>
                                      <w:sz w:val="24"/>
                                    </w:rPr>
                                  </w:pPr>
                                  <w:r>
                                    <w:rPr>
                                      <w:rFonts w:ascii="Times New Roman" w:hAnsi="Times New Roman"/>
                                      <w:b/>
                                      <w:i/>
                                      <w:color w:val="F7ACBA"/>
                                      <w:sz w:val="24"/>
                                    </w:rPr>
                                    <w:t>×</w:t>
                                  </w:r>
                                </w:p>
                              </w:tc>
                              <w:tc>
                                <w:tcPr>
                                  <w:tcW w:w="12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283"/>
                                    <w:jc w:val="left"/>
                                    <w:rPr/>
                                  </w:pPr>
                                  <w:r>
                                    <w:rPr/>
                                    <w:t>No guaranteed increases to pay.</w:t>
                                  </w:r>
                                </w:p>
                              </w:tc>
                            </w:tr>
                            <w:tr>
                              <w:trPr/>
                              <w:tc>
                                <w:tcPr>
                                  <w:tcW w:w="170" w:type="dxa"/>
                                  <w:tcBorders/>
                                  <w:vAlign w:val="center"/>
                                </w:tcPr>
                                <w:p>
                                  <w:pPr>
                                    <w:pStyle w:val="TableContents"/>
                                    <w:bidi w:val="0"/>
                                    <w:spacing w:before="0" w:after="283"/>
                                    <w:jc w:val="left"/>
                                    <w:rPr>
                                      <w:sz w:val="4"/>
                                      <w:szCs w:val="4"/>
                                    </w:rPr>
                                  </w:pPr>
                                  <w:r>
                                    <w:rPr>
                                      <w:sz w:val="4"/>
                                      <w:szCs w:val="4"/>
                                    </w:rPr>
                                  </w:r>
                                </w:p>
                              </w:tc>
                              <w:tc>
                                <w:tcPr>
                                  <w:tcW w:w="8105" w:type="dxa"/>
                                  <w:gridSpan w:val="2"/>
                                  <w:tcBorders/>
                                  <w:vAlign w:val="center"/>
                                </w:tcPr>
                                <w:p>
                                  <w:pPr>
                                    <w:pStyle w:val="TableContents"/>
                                    <w:bidi w:val="0"/>
                                    <w:spacing w:before="0" w:after="283"/>
                                    <w:jc w:val="left"/>
                                    <w:rPr>
                                      <w:sz w:val="4"/>
                                      <w:szCs w:val="4"/>
                                    </w:rPr>
                                  </w:pPr>
                                  <w:r>
                                    <w:rPr>
                                      <w:sz w:val="4"/>
                                      <w:szCs w:val="4"/>
                                    </w:rPr>
                                  </w:r>
                                </w:p>
                              </w:tc>
                            </w:tr>
                            <w:tr>
                              <w:trPr/>
                              <w:tc>
                                <w:tcPr>
                                  <w:tcW w:w="170" w:type="dxa"/>
                                  <w:tcBorders/>
                                  <w:vAlign w:val="center"/>
                                </w:tcPr>
                                <w:p>
                                  <w:pPr>
                                    <w:pStyle w:val="TableContents"/>
                                    <w:bidi w:val="0"/>
                                    <w:spacing w:lineRule="atLeast" w:line="200" w:before="0" w:after="0"/>
                                    <w:jc w:val="center"/>
                                    <w:rPr>
                                      <w:rFonts w:ascii="Times New Roman" w:hAnsi="Times New Roman"/>
                                      <w:b/>
                                      <w:i/>
                                      <w:color w:val="F7ACBA"/>
                                      <w:sz w:val="24"/>
                                    </w:rPr>
                                  </w:pPr>
                                  <w:r>
                                    <w:rPr>
                                      <w:rFonts w:ascii="Times New Roman" w:hAnsi="Times New Roman"/>
                                      <w:b/>
                                      <w:i/>
                                      <w:color w:val="F7ACBA"/>
                                      <w:sz w:val="24"/>
                                    </w:rPr>
                                    <w:t>×</w:t>
                                  </w:r>
                                </w:p>
                              </w:tc>
                              <w:tc>
                                <w:tcPr>
                                  <w:tcW w:w="12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283"/>
                                    <w:jc w:val="left"/>
                                    <w:rPr/>
                                  </w:pPr>
                                  <w:r>
                                    <w:rPr/>
                                    <w:t>No excise tax gross-ups under our long-term incentive plan.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10.4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8275" w:type="dxa"/>
                        <w:jc w:val="left"/>
                        <w:tblInd w:w="0" w:type="dxa"/>
                        <w:tblLayout w:type="fixed"/>
                        <w:tblCellMar>
                          <w:top w:w="0" w:type="dxa"/>
                          <w:left w:w="0" w:type="dxa"/>
                          <w:bottom w:w="0" w:type="dxa"/>
                          <w:right w:w="0" w:type="dxa"/>
                        </w:tblCellMar>
                      </w:tblPr>
                      <w:tblGrid>
                        <w:gridCol w:w="170"/>
                        <w:gridCol w:w="120"/>
                        <w:gridCol w:w="7985"/>
                      </w:tblGrid>
                      <w:tr>
                        <w:trPr/>
                        <w:tc>
                          <w:tcPr>
                            <w:tcW w:w="1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85" w:type="dxa"/>
                            <w:tcBorders/>
                            <w:vAlign w:val="center"/>
                          </w:tcPr>
                          <w:p>
                            <w:pPr>
                              <w:pStyle w:val="TableContents"/>
                              <w:bidi w:val="0"/>
                              <w:spacing w:before="0" w:after="283"/>
                              <w:jc w:val="left"/>
                              <w:rPr>
                                <w:sz w:val="4"/>
                                <w:szCs w:val="4"/>
                              </w:rPr>
                            </w:pPr>
                            <w:r>
                              <w:rPr>
                                <w:sz w:val="4"/>
                                <w:szCs w:val="4"/>
                              </w:rPr>
                            </w:r>
                          </w:p>
                        </w:tc>
                      </w:tr>
                      <w:tr>
                        <w:trPr/>
                        <w:tc>
                          <w:tcPr>
                            <w:tcW w:w="170" w:type="dxa"/>
                            <w:tcBorders/>
                            <w:vAlign w:val="center"/>
                          </w:tcPr>
                          <w:p>
                            <w:pPr>
                              <w:pStyle w:val="TableContents"/>
                              <w:bidi w:val="0"/>
                              <w:spacing w:before="0" w:after="283"/>
                              <w:jc w:val="left"/>
                              <w:rPr>
                                <w:sz w:val="4"/>
                                <w:szCs w:val="4"/>
                              </w:rPr>
                            </w:pPr>
                            <w:r>
                              <w:rPr>
                                <w:sz w:val="4"/>
                                <w:szCs w:val="4"/>
                              </w:rPr>
                            </w:r>
                          </w:p>
                        </w:tc>
                        <w:tc>
                          <w:tcPr>
                            <w:tcW w:w="8105" w:type="dxa"/>
                            <w:gridSpan w:val="2"/>
                            <w:tcBorders/>
                            <w:vAlign w:val="center"/>
                          </w:tcPr>
                          <w:p>
                            <w:pPr>
                              <w:pStyle w:val="TableContents"/>
                              <w:bidi w:val="0"/>
                              <w:spacing w:before="0" w:after="283"/>
                              <w:jc w:val="left"/>
                              <w:rPr>
                                <w:sz w:val="4"/>
                                <w:szCs w:val="4"/>
                              </w:rPr>
                            </w:pPr>
                            <w:r>
                              <w:rPr>
                                <w:sz w:val="4"/>
                                <w:szCs w:val="4"/>
                              </w:rPr>
                            </w:r>
                          </w:p>
                        </w:tc>
                      </w:tr>
                      <w:tr>
                        <w:trPr/>
                        <w:tc>
                          <w:tcPr>
                            <w:tcW w:w="170" w:type="dxa"/>
                            <w:tcBorders/>
                            <w:vAlign w:val="center"/>
                          </w:tcPr>
                          <w:p>
                            <w:pPr>
                              <w:pStyle w:val="TableContents"/>
                              <w:bidi w:val="0"/>
                              <w:spacing w:lineRule="atLeast" w:line="200" w:before="0" w:after="0"/>
                              <w:jc w:val="center"/>
                              <w:rPr>
                                <w:rFonts w:ascii="Times New Roman" w:hAnsi="Times New Roman"/>
                                <w:b/>
                                <w:i/>
                                <w:color w:val="F7ACBA"/>
                                <w:sz w:val="24"/>
                              </w:rPr>
                            </w:pPr>
                            <w:r>
                              <w:rPr>
                                <w:rFonts w:ascii="Times New Roman" w:hAnsi="Times New Roman"/>
                                <w:b/>
                                <w:i/>
                                <w:color w:val="F7ACBA"/>
                                <w:sz w:val="24"/>
                              </w:rPr>
                              <w:t>×</w:t>
                            </w:r>
                          </w:p>
                        </w:tc>
                        <w:tc>
                          <w:tcPr>
                            <w:tcW w:w="12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283"/>
                              <w:jc w:val="left"/>
                              <w:rPr/>
                            </w:pPr>
                            <w:r>
                              <w:rPr/>
                              <w:t>No tax gross-ups upon a change in control.</w:t>
                            </w:r>
                          </w:p>
                        </w:tc>
                      </w:tr>
                      <w:tr>
                        <w:trPr/>
                        <w:tc>
                          <w:tcPr>
                            <w:tcW w:w="170" w:type="dxa"/>
                            <w:tcBorders/>
                            <w:vAlign w:val="center"/>
                          </w:tcPr>
                          <w:p>
                            <w:pPr>
                              <w:pStyle w:val="TableContents"/>
                              <w:bidi w:val="0"/>
                              <w:spacing w:before="0" w:after="283"/>
                              <w:jc w:val="left"/>
                              <w:rPr>
                                <w:sz w:val="4"/>
                                <w:szCs w:val="4"/>
                              </w:rPr>
                            </w:pPr>
                            <w:r>
                              <w:rPr>
                                <w:sz w:val="4"/>
                                <w:szCs w:val="4"/>
                              </w:rPr>
                            </w:r>
                          </w:p>
                        </w:tc>
                        <w:tc>
                          <w:tcPr>
                            <w:tcW w:w="8105" w:type="dxa"/>
                            <w:gridSpan w:val="2"/>
                            <w:tcBorders/>
                            <w:vAlign w:val="center"/>
                          </w:tcPr>
                          <w:p>
                            <w:pPr>
                              <w:pStyle w:val="TableContents"/>
                              <w:bidi w:val="0"/>
                              <w:spacing w:before="0" w:after="283"/>
                              <w:jc w:val="left"/>
                              <w:rPr>
                                <w:sz w:val="4"/>
                                <w:szCs w:val="4"/>
                              </w:rPr>
                            </w:pPr>
                            <w:r>
                              <w:rPr>
                                <w:sz w:val="4"/>
                                <w:szCs w:val="4"/>
                              </w:rPr>
                            </w:r>
                          </w:p>
                        </w:tc>
                      </w:tr>
                      <w:tr>
                        <w:trPr/>
                        <w:tc>
                          <w:tcPr>
                            <w:tcW w:w="170" w:type="dxa"/>
                            <w:tcBorders/>
                            <w:vAlign w:val="center"/>
                          </w:tcPr>
                          <w:p>
                            <w:pPr>
                              <w:pStyle w:val="TableContents"/>
                              <w:bidi w:val="0"/>
                              <w:spacing w:lineRule="atLeast" w:line="200" w:before="0" w:after="0"/>
                              <w:jc w:val="center"/>
                              <w:rPr>
                                <w:rFonts w:ascii="Times New Roman" w:hAnsi="Times New Roman"/>
                                <w:b/>
                                <w:i/>
                                <w:color w:val="F7ACBA"/>
                                <w:sz w:val="24"/>
                              </w:rPr>
                            </w:pPr>
                            <w:r>
                              <w:rPr>
                                <w:rFonts w:ascii="Times New Roman" w:hAnsi="Times New Roman"/>
                                <w:b/>
                                <w:i/>
                                <w:color w:val="F7ACBA"/>
                                <w:sz w:val="24"/>
                              </w:rPr>
                              <w:t>×</w:t>
                            </w:r>
                          </w:p>
                        </w:tc>
                        <w:tc>
                          <w:tcPr>
                            <w:tcW w:w="12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283"/>
                              <w:jc w:val="left"/>
                              <w:rPr/>
                            </w:pPr>
                            <w:r>
                              <w:rPr/>
                              <w:t>No hedging or pledging is permitted under our Insider Trading Policy.</w:t>
                            </w:r>
                          </w:p>
                        </w:tc>
                      </w:tr>
                      <w:tr>
                        <w:trPr/>
                        <w:tc>
                          <w:tcPr>
                            <w:tcW w:w="170" w:type="dxa"/>
                            <w:tcBorders/>
                            <w:vAlign w:val="center"/>
                          </w:tcPr>
                          <w:p>
                            <w:pPr>
                              <w:pStyle w:val="TableContents"/>
                              <w:bidi w:val="0"/>
                              <w:spacing w:before="0" w:after="283"/>
                              <w:jc w:val="left"/>
                              <w:rPr>
                                <w:sz w:val="4"/>
                                <w:szCs w:val="4"/>
                              </w:rPr>
                            </w:pPr>
                            <w:r>
                              <w:rPr>
                                <w:sz w:val="4"/>
                                <w:szCs w:val="4"/>
                              </w:rPr>
                            </w:r>
                          </w:p>
                        </w:tc>
                        <w:tc>
                          <w:tcPr>
                            <w:tcW w:w="8105" w:type="dxa"/>
                            <w:gridSpan w:val="2"/>
                            <w:tcBorders/>
                            <w:vAlign w:val="center"/>
                          </w:tcPr>
                          <w:p>
                            <w:pPr>
                              <w:pStyle w:val="TableContents"/>
                              <w:bidi w:val="0"/>
                              <w:spacing w:before="0" w:after="283"/>
                              <w:jc w:val="left"/>
                              <w:rPr>
                                <w:sz w:val="4"/>
                                <w:szCs w:val="4"/>
                              </w:rPr>
                            </w:pPr>
                            <w:r>
                              <w:rPr>
                                <w:sz w:val="4"/>
                                <w:szCs w:val="4"/>
                              </w:rPr>
                            </w:r>
                          </w:p>
                        </w:tc>
                      </w:tr>
                      <w:tr>
                        <w:trPr/>
                        <w:tc>
                          <w:tcPr>
                            <w:tcW w:w="170" w:type="dxa"/>
                            <w:tcBorders/>
                            <w:vAlign w:val="center"/>
                          </w:tcPr>
                          <w:p>
                            <w:pPr>
                              <w:pStyle w:val="TableContents"/>
                              <w:bidi w:val="0"/>
                              <w:spacing w:lineRule="atLeast" w:line="200" w:before="0" w:after="0"/>
                              <w:jc w:val="center"/>
                              <w:rPr>
                                <w:rFonts w:ascii="Times New Roman" w:hAnsi="Times New Roman"/>
                                <w:b/>
                                <w:i/>
                                <w:color w:val="F7ACBA"/>
                                <w:sz w:val="24"/>
                              </w:rPr>
                            </w:pPr>
                            <w:r>
                              <w:rPr>
                                <w:rFonts w:ascii="Times New Roman" w:hAnsi="Times New Roman"/>
                                <w:b/>
                                <w:i/>
                                <w:color w:val="F7ACBA"/>
                                <w:sz w:val="24"/>
                              </w:rPr>
                              <w:t>×</w:t>
                            </w:r>
                          </w:p>
                        </w:tc>
                        <w:tc>
                          <w:tcPr>
                            <w:tcW w:w="12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283"/>
                              <w:jc w:val="left"/>
                              <w:rPr/>
                            </w:pPr>
                            <w:r>
                              <w:rPr/>
                              <w:t>No re-pricing or cash-out of underwater stock options without stockholder approval.</w:t>
                            </w:r>
                          </w:p>
                        </w:tc>
                      </w:tr>
                      <w:tr>
                        <w:trPr/>
                        <w:tc>
                          <w:tcPr>
                            <w:tcW w:w="170" w:type="dxa"/>
                            <w:tcBorders/>
                            <w:vAlign w:val="center"/>
                          </w:tcPr>
                          <w:p>
                            <w:pPr>
                              <w:pStyle w:val="TableContents"/>
                              <w:bidi w:val="0"/>
                              <w:spacing w:before="0" w:after="283"/>
                              <w:jc w:val="left"/>
                              <w:rPr>
                                <w:sz w:val="4"/>
                                <w:szCs w:val="4"/>
                              </w:rPr>
                            </w:pPr>
                            <w:r>
                              <w:rPr>
                                <w:sz w:val="4"/>
                                <w:szCs w:val="4"/>
                              </w:rPr>
                            </w:r>
                          </w:p>
                        </w:tc>
                        <w:tc>
                          <w:tcPr>
                            <w:tcW w:w="8105" w:type="dxa"/>
                            <w:gridSpan w:val="2"/>
                            <w:tcBorders/>
                            <w:vAlign w:val="center"/>
                          </w:tcPr>
                          <w:p>
                            <w:pPr>
                              <w:pStyle w:val="TableContents"/>
                              <w:bidi w:val="0"/>
                              <w:spacing w:before="0" w:after="283"/>
                              <w:jc w:val="left"/>
                              <w:rPr>
                                <w:sz w:val="4"/>
                                <w:szCs w:val="4"/>
                              </w:rPr>
                            </w:pPr>
                            <w:r>
                              <w:rPr>
                                <w:sz w:val="4"/>
                                <w:szCs w:val="4"/>
                              </w:rPr>
                            </w:r>
                          </w:p>
                        </w:tc>
                      </w:tr>
                      <w:tr>
                        <w:trPr/>
                        <w:tc>
                          <w:tcPr>
                            <w:tcW w:w="170" w:type="dxa"/>
                            <w:tcBorders/>
                            <w:vAlign w:val="center"/>
                          </w:tcPr>
                          <w:p>
                            <w:pPr>
                              <w:pStyle w:val="TableContents"/>
                              <w:bidi w:val="0"/>
                              <w:spacing w:lineRule="atLeast" w:line="200" w:before="0" w:after="0"/>
                              <w:jc w:val="center"/>
                              <w:rPr>
                                <w:rFonts w:ascii="Times New Roman" w:hAnsi="Times New Roman"/>
                                <w:b/>
                                <w:i/>
                                <w:color w:val="F7ACBA"/>
                                <w:sz w:val="24"/>
                              </w:rPr>
                            </w:pPr>
                            <w:r>
                              <w:rPr>
                                <w:rFonts w:ascii="Times New Roman" w:hAnsi="Times New Roman"/>
                                <w:b/>
                                <w:i/>
                                <w:color w:val="F7ACBA"/>
                                <w:sz w:val="24"/>
                              </w:rPr>
                              <w:t>×</w:t>
                            </w:r>
                          </w:p>
                        </w:tc>
                        <w:tc>
                          <w:tcPr>
                            <w:tcW w:w="12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283"/>
                              <w:jc w:val="left"/>
                              <w:rPr/>
                            </w:pPr>
                            <w:r>
                              <w:rPr/>
                              <w:t>No discounted equity grants.</w:t>
                            </w:r>
                          </w:p>
                        </w:tc>
                      </w:tr>
                      <w:tr>
                        <w:trPr/>
                        <w:tc>
                          <w:tcPr>
                            <w:tcW w:w="170" w:type="dxa"/>
                            <w:tcBorders/>
                            <w:vAlign w:val="center"/>
                          </w:tcPr>
                          <w:p>
                            <w:pPr>
                              <w:pStyle w:val="TableContents"/>
                              <w:bidi w:val="0"/>
                              <w:spacing w:before="0" w:after="283"/>
                              <w:jc w:val="left"/>
                              <w:rPr>
                                <w:sz w:val="4"/>
                                <w:szCs w:val="4"/>
                              </w:rPr>
                            </w:pPr>
                            <w:r>
                              <w:rPr>
                                <w:sz w:val="4"/>
                                <w:szCs w:val="4"/>
                              </w:rPr>
                            </w:r>
                          </w:p>
                        </w:tc>
                        <w:tc>
                          <w:tcPr>
                            <w:tcW w:w="8105" w:type="dxa"/>
                            <w:gridSpan w:val="2"/>
                            <w:tcBorders/>
                            <w:vAlign w:val="center"/>
                          </w:tcPr>
                          <w:p>
                            <w:pPr>
                              <w:pStyle w:val="TableContents"/>
                              <w:bidi w:val="0"/>
                              <w:spacing w:before="0" w:after="283"/>
                              <w:jc w:val="left"/>
                              <w:rPr>
                                <w:sz w:val="4"/>
                                <w:szCs w:val="4"/>
                              </w:rPr>
                            </w:pPr>
                            <w:r>
                              <w:rPr>
                                <w:sz w:val="4"/>
                                <w:szCs w:val="4"/>
                              </w:rPr>
                            </w:r>
                          </w:p>
                        </w:tc>
                      </w:tr>
                      <w:tr>
                        <w:trPr/>
                        <w:tc>
                          <w:tcPr>
                            <w:tcW w:w="170" w:type="dxa"/>
                            <w:tcBorders/>
                            <w:vAlign w:val="center"/>
                          </w:tcPr>
                          <w:p>
                            <w:pPr>
                              <w:pStyle w:val="TableContents"/>
                              <w:bidi w:val="0"/>
                              <w:spacing w:lineRule="atLeast" w:line="200" w:before="0" w:after="0"/>
                              <w:jc w:val="center"/>
                              <w:rPr>
                                <w:rFonts w:ascii="Times New Roman" w:hAnsi="Times New Roman"/>
                                <w:b/>
                                <w:i/>
                                <w:color w:val="F7ACBA"/>
                                <w:sz w:val="24"/>
                              </w:rPr>
                            </w:pPr>
                            <w:r>
                              <w:rPr>
                                <w:rFonts w:ascii="Times New Roman" w:hAnsi="Times New Roman"/>
                                <w:b/>
                                <w:i/>
                                <w:color w:val="F7ACBA"/>
                                <w:sz w:val="24"/>
                              </w:rPr>
                              <w:t>×</w:t>
                            </w:r>
                          </w:p>
                        </w:tc>
                        <w:tc>
                          <w:tcPr>
                            <w:tcW w:w="12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283"/>
                              <w:jc w:val="left"/>
                              <w:rPr/>
                            </w:pPr>
                            <w:r>
                              <w:rPr/>
                              <w:t>No guaranteed increases to pay.</w:t>
                            </w:r>
                          </w:p>
                        </w:tc>
                      </w:tr>
                      <w:tr>
                        <w:trPr/>
                        <w:tc>
                          <w:tcPr>
                            <w:tcW w:w="170" w:type="dxa"/>
                            <w:tcBorders/>
                            <w:vAlign w:val="center"/>
                          </w:tcPr>
                          <w:p>
                            <w:pPr>
                              <w:pStyle w:val="TableContents"/>
                              <w:bidi w:val="0"/>
                              <w:spacing w:before="0" w:after="283"/>
                              <w:jc w:val="left"/>
                              <w:rPr>
                                <w:sz w:val="4"/>
                                <w:szCs w:val="4"/>
                              </w:rPr>
                            </w:pPr>
                            <w:r>
                              <w:rPr>
                                <w:sz w:val="4"/>
                                <w:szCs w:val="4"/>
                              </w:rPr>
                            </w:r>
                          </w:p>
                        </w:tc>
                        <w:tc>
                          <w:tcPr>
                            <w:tcW w:w="8105" w:type="dxa"/>
                            <w:gridSpan w:val="2"/>
                            <w:tcBorders/>
                            <w:vAlign w:val="center"/>
                          </w:tcPr>
                          <w:p>
                            <w:pPr>
                              <w:pStyle w:val="TableContents"/>
                              <w:bidi w:val="0"/>
                              <w:spacing w:before="0" w:after="283"/>
                              <w:jc w:val="left"/>
                              <w:rPr>
                                <w:sz w:val="4"/>
                                <w:szCs w:val="4"/>
                              </w:rPr>
                            </w:pPr>
                            <w:r>
                              <w:rPr>
                                <w:sz w:val="4"/>
                                <w:szCs w:val="4"/>
                              </w:rPr>
                            </w:r>
                          </w:p>
                        </w:tc>
                      </w:tr>
                      <w:tr>
                        <w:trPr/>
                        <w:tc>
                          <w:tcPr>
                            <w:tcW w:w="170" w:type="dxa"/>
                            <w:tcBorders/>
                            <w:vAlign w:val="center"/>
                          </w:tcPr>
                          <w:p>
                            <w:pPr>
                              <w:pStyle w:val="TableContents"/>
                              <w:bidi w:val="0"/>
                              <w:spacing w:lineRule="atLeast" w:line="200" w:before="0" w:after="0"/>
                              <w:jc w:val="center"/>
                              <w:rPr>
                                <w:rFonts w:ascii="Times New Roman" w:hAnsi="Times New Roman"/>
                                <w:b/>
                                <w:i/>
                                <w:color w:val="F7ACBA"/>
                                <w:sz w:val="24"/>
                              </w:rPr>
                            </w:pPr>
                            <w:r>
                              <w:rPr>
                                <w:rFonts w:ascii="Times New Roman" w:hAnsi="Times New Roman"/>
                                <w:b/>
                                <w:i/>
                                <w:color w:val="F7ACBA"/>
                                <w:sz w:val="24"/>
                              </w:rPr>
                              <w:t>×</w:t>
                            </w:r>
                          </w:p>
                        </w:tc>
                        <w:tc>
                          <w:tcPr>
                            <w:tcW w:w="120" w:type="dxa"/>
                            <w:tcBorders/>
                            <w:vAlign w:val="center"/>
                          </w:tcPr>
                          <w:p>
                            <w:pPr>
                              <w:pStyle w:val="TableContents"/>
                              <w:bidi w:val="0"/>
                              <w:spacing w:before="0" w:after="283"/>
                              <w:jc w:val="left"/>
                              <w:rPr/>
                            </w:pPr>
                            <w:r>
                              <w:rPr/>
                              <w:t>  </w:t>
                            </w:r>
                          </w:p>
                        </w:tc>
                        <w:tc>
                          <w:tcPr>
                            <w:tcW w:w="7985" w:type="dxa"/>
                            <w:tcBorders/>
                            <w:vAlign w:val="center"/>
                          </w:tcPr>
                          <w:p>
                            <w:pPr>
                              <w:pStyle w:val="TableContents"/>
                              <w:bidi w:val="0"/>
                              <w:spacing w:before="0" w:after="283"/>
                              <w:jc w:val="left"/>
                              <w:rPr/>
                            </w:pPr>
                            <w:r>
                              <w:rPr/>
                              <w:t>No excise tax gross-ups under our long-term incentive plan.</w:t>
                            </w:r>
                          </w:p>
                        </w:tc>
                      </w:tr>
                    </w:tbl>
                    <w:p>
                      <w:pPr>
                        <w:pStyle w:val="TextBody"/>
                        <w:bidi w:val="0"/>
                        <w:spacing w:before="0" w:after="283"/>
                        <w:jc w:val="left"/>
                        <w:rPr/>
                      </w:pPr>
                      <w:r>
                        <w:rPr/>
                      </w:r>
                    </w:p>
                  </w:txbxContent>
                </v:textbox>
                <w10:wrap type="square" side="right"/>
              </v:rect>
            </w:pict>
          </mc:Fallback>
        </mc:AlternateContent>
      </w:r>
    </w:p>
    <w:p>
      <w:pPr>
        <w:pStyle w:val="TextBody"/>
        <w:pBdr>
          <w:bottom w:val="single" w:sz="8" w:space="1" w:color="F7ACBA"/>
        </w:pBdr>
        <w:bidi w:val="0"/>
        <w:spacing w:lineRule="atLeast" w:line="142" w:before="0" w:after="40"/>
        <w:jc w:val="left"/>
        <w:rPr/>
      </w:pPr>
      <w:r>
        <w:rPr/>
        <w:t> </w:t>
      </w:r>
    </w:p>
    <w:p>
      <w:pPr>
        <w:pStyle w:val="TextBody"/>
        <w:bidi w:val="0"/>
        <w:spacing w:before="360" w:after="0"/>
        <w:jc w:val="left"/>
        <w:rPr>
          <w:rFonts w:ascii="arial" w:hAnsi="arial"/>
          <w:sz w:val="30"/>
        </w:rPr>
      </w:pPr>
      <w:bookmarkStart w:id="20" w:name="toc540996_15"/>
      <w:bookmarkEnd w:id="20"/>
      <w:r>
        <w:rPr>
          <w:rFonts w:ascii="arial" w:hAnsi="arial"/>
          <w:sz w:val="30"/>
        </w:rPr>
        <w:t xml:space="preserve">Compensation Governance Processes </w:t>
      </w:r>
    </w:p>
    <w:p>
      <w:pPr>
        <w:pStyle w:val="TextBody"/>
        <w:bidi w:val="0"/>
        <w:spacing w:before="120" w:after="0"/>
        <w:jc w:val="left"/>
        <w:rPr>
          <w:rFonts w:ascii="arial" w:hAnsi="arial"/>
          <w:b/>
          <w:color w:val="F7ACBA"/>
          <w:sz w:val="24"/>
        </w:rPr>
      </w:pPr>
      <w:r>
        <w:rPr>
          <w:rFonts w:ascii="arial" w:hAnsi="arial"/>
          <w:b/>
          <w:color w:val="F7ACBA"/>
          <w:sz w:val="24"/>
        </w:rPr>
        <w:t xml:space="preserve">Human Capital and Compensation Committee </w:t>
      </w:r>
    </w:p>
    <w:p>
      <w:pPr>
        <w:pStyle w:val="TextBody"/>
        <w:bidi w:val="0"/>
        <w:spacing w:before="60" w:after="0"/>
        <w:jc w:val="left"/>
        <w:rPr>
          <w:rFonts w:ascii="arial" w:hAnsi="arial"/>
          <w:sz w:val="18"/>
        </w:rPr>
      </w:pPr>
      <w:r>
        <w:rPr>
          <w:rFonts w:ascii="arial" w:hAnsi="arial"/>
          <w:sz w:val="18"/>
        </w:rPr>
        <w:t xml:space="preserve">The HCCC is composed entirely of independent directors and oversees our programs, policies, practices, and strategies relating to culture, talent, DEI, and executive compensation. All HCCC members meet independence and other NYSE requirements. HCCC members were selected based on their knowledge and experience in human capital and compensation matters from both their professional experience and their roles on other boards. </w:t>
      </w:r>
    </w:p>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06"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95" descr=""/>
                          <pic:cNvPicPr>
                            <a:picLocks noChangeAspect="1" noChangeArrowheads="1"/>
                          </pic:cNvPicPr>
                        </pic:nvPicPr>
                        <pic:blipFill>
                          <a:blip r:embed="rId96"/>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51 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COMPENSATION DISCUSSION AND ANALYSIS </w:t>
      </w:r>
    </w:p>
    <w:p>
      <w:pPr>
        <w:pStyle w:val="TextBody"/>
        <w:bidi w:val="0"/>
        <w:spacing w:before="0" w:after="0"/>
        <w:jc w:val="left"/>
        <w:rPr/>
      </w:pPr>
      <w:r>
        <w:rPr/>
        <w:t> </w:t>
      </w:r>
    </w:p>
    <w:p>
      <w:pPr>
        <w:pStyle w:val="TextBody"/>
        <w:bidi w:val="0"/>
        <w:spacing w:before="0" w:after="0"/>
        <w:jc w:val="left"/>
        <w:rPr>
          <w:rFonts w:ascii="arial" w:hAnsi="arial"/>
          <w:b/>
          <w:color w:val="F7ACBA"/>
          <w:sz w:val="24"/>
        </w:rPr>
      </w:pPr>
      <w:r>
        <w:rPr>
          <w:rFonts w:ascii="arial" w:hAnsi="arial"/>
          <w:b/>
          <w:color w:val="F7ACBA"/>
          <w:sz w:val="24"/>
        </w:rPr>
        <w:t xml:space="preserve">Independent Compensation Consultant </w:t>
      </w:r>
    </w:p>
    <w:p>
      <w:pPr>
        <w:pStyle w:val="TextBody"/>
        <w:bidi w:val="0"/>
        <w:spacing w:before="60" w:after="0"/>
        <w:jc w:val="left"/>
        <w:rPr>
          <w:rFonts w:ascii="arial" w:hAnsi="arial"/>
          <w:sz w:val="18"/>
        </w:rPr>
      </w:pPr>
      <w:r>
        <w:rPr>
          <w:rFonts w:ascii="arial" w:hAnsi="arial"/>
          <w:sz w:val="18"/>
        </w:rPr>
        <w:t xml:space="preserve">As permitted by its charter, the HCCC retained Semler Brossy as its independent executive compensation consultant. The HCCC has the sole authority to retain and terminate any independent executive compensation consultant. </w:t>
      </w:r>
    </w:p>
    <w:p>
      <w:pPr>
        <w:pStyle w:val="TextBody"/>
        <w:bidi w:val="0"/>
        <w:spacing w:before="120" w:after="0"/>
        <w:jc w:val="left"/>
        <w:rPr>
          <w:rFonts w:ascii="arial" w:hAnsi="arial"/>
          <w:sz w:val="18"/>
        </w:rPr>
      </w:pPr>
      <w:r>
        <w:rPr>
          <w:rFonts w:ascii="arial" w:hAnsi="arial"/>
          <w:sz w:val="18"/>
        </w:rPr>
        <w:t xml:space="preserve">The HCCC, considering recommendations from VS&amp;Co management, determines the work to be performed by Semler Brossy. Semler Brossy works with management to gather data required in preparing analyses for HCCC review. Specifically, the services the consultant provides include: </w:t>
      </w:r>
    </w:p>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125"/>
        <w:gridCol w:w="60"/>
        <w:gridCol w:w="9065"/>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0"/>
              <w:jc w:val="left"/>
              <w:rPr>
                <w:rFonts w:ascii="arial" w:hAnsi="arial"/>
                <w:sz w:val="18"/>
              </w:rPr>
            </w:pPr>
            <w:r>
              <w:rPr>
                <w:rFonts w:ascii="arial" w:hAnsi="arial"/>
                <w:sz w:val="18"/>
              </w:rPr>
              <w:t xml:space="preserve">Assisting in the evaluation of and providing recommendations for the CEO and other executives’ compensation </w:t>
            </w:r>
          </w:p>
        </w:tc>
      </w:tr>
    </w:tbl>
    <w:p>
      <w:pPr>
        <w:pStyle w:val="TextBody"/>
        <w:bidi w:val="0"/>
        <w:spacing w:before="0" w:after="0"/>
        <w:jc w:val="left"/>
        <w:rPr/>
      </w:pPr>
      <w:r>
        <w:rPr/>
        <w:t> </w:t>
      </w:r>
    </w:p>
    <w:tbl>
      <w:tblPr>
        <w:tblW w:w="4225" w:type="dxa"/>
        <w:jc w:val="left"/>
        <w:tblInd w:w="0" w:type="dxa"/>
        <w:tblLayout w:type="fixed"/>
        <w:tblCellMar>
          <w:top w:w="0" w:type="dxa"/>
          <w:left w:w="0" w:type="dxa"/>
          <w:bottom w:w="0" w:type="dxa"/>
          <w:right w:w="0" w:type="dxa"/>
        </w:tblCellMar>
      </w:tblPr>
      <w:tblGrid>
        <w:gridCol w:w="125"/>
        <w:gridCol w:w="60"/>
        <w:gridCol w:w="404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before="0" w:after="0"/>
              <w:jc w:val="left"/>
              <w:rPr>
                <w:rFonts w:ascii="arial" w:hAnsi="arial"/>
                <w:sz w:val="18"/>
              </w:rPr>
            </w:pPr>
            <w:r>
              <w:rPr>
                <w:rFonts w:ascii="arial" w:hAnsi="arial"/>
                <w:sz w:val="18"/>
              </w:rPr>
              <w:t xml:space="preserve">Informing the HCCC of evolving market practices </w:t>
            </w:r>
          </w:p>
        </w:tc>
      </w:tr>
    </w:tbl>
    <w:p>
      <w:pPr>
        <w:pStyle w:val="TextBody"/>
        <w:bidi w:val="0"/>
        <w:spacing w:before="0" w:after="0"/>
        <w:jc w:val="left"/>
        <w:rPr/>
      </w:pPr>
      <w:r>
        <w:rPr/>
        <w:t> </w:t>
      </w:r>
    </w:p>
    <w:tbl>
      <w:tblPr>
        <w:tblW w:w="5815" w:type="dxa"/>
        <w:jc w:val="left"/>
        <w:tblInd w:w="0" w:type="dxa"/>
        <w:tblLayout w:type="fixed"/>
        <w:tblCellMar>
          <w:top w:w="0" w:type="dxa"/>
          <w:left w:w="0" w:type="dxa"/>
          <w:bottom w:w="0" w:type="dxa"/>
          <w:right w:w="0" w:type="dxa"/>
        </w:tblCellMar>
      </w:tblPr>
      <w:tblGrid>
        <w:gridCol w:w="125"/>
        <w:gridCol w:w="60"/>
        <w:gridCol w:w="563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0"/>
              <w:jc w:val="left"/>
              <w:rPr>
                <w:rFonts w:ascii="arial" w:hAnsi="arial"/>
                <w:sz w:val="18"/>
              </w:rPr>
            </w:pPr>
            <w:r>
              <w:rPr>
                <w:rFonts w:ascii="arial" w:hAnsi="arial"/>
                <w:sz w:val="18"/>
              </w:rPr>
              <w:t xml:space="preserve">Consulting on executive compensation strategy and program design </w:t>
            </w:r>
          </w:p>
        </w:tc>
      </w:tr>
    </w:tbl>
    <w:p>
      <w:pPr>
        <w:pStyle w:val="TextBody"/>
        <w:bidi w:val="0"/>
        <w:spacing w:before="0" w:after="0"/>
        <w:jc w:val="left"/>
        <w:rPr/>
      </w:pPr>
      <w:r>
        <w:rPr/>
        <w:t> </w:t>
      </w:r>
    </w:p>
    <w:tbl>
      <w:tblPr>
        <w:tblW w:w="4105" w:type="dxa"/>
        <w:jc w:val="left"/>
        <w:tblInd w:w="0" w:type="dxa"/>
        <w:tblLayout w:type="fixed"/>
        <w:tblCellMar>
          <w:top w:w="0" w:type="dxa"/>
          <w:left w:w="0" w:type="dxa"/>
          <w:bottom w:w="0" w:type="dxa"/>
          <w:right w:w="0" w:type="dxa"/>
        </w:tblCellMar>
      </w:tblPr>
      <w:tblGrid>
        <w:gridCol w:w="125"/>
        <w:gridCol w:w="60"/>
        <w:gridCol w:w="39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3920" w:type="dxa"/>
            <w:tcBorders/>
            <w:vAlign w:val="center"/>
          </w:tcPr>
          <w:p>
            <w:pPr>
              <w:pStyle w:val="TableContents"/>
              <w:bidi w:val="0"/>
              <w:spacing w:before="0" w:after="0"/>
              <w:jc w:val="left"/>
              <w:rPr>
                <w:rFonts w:ascii="arial" w:hAnsi="arial"/>
                <w:sz w:val="18"/>
              </w:rPr>
            </w:pPr>
            <w:r>
              <w:rPr>
                <w:rFonts w:ascii="arial" w:hAnsi="arial"/>
                <w:sz w:val="18"/>
              </w:rPr>
              <w:t xml:space="preserve">Analyzing the competitiveness of executive pay </w:t>
            </w:r>
          </w:p>
        </w:tc>
      </w:tr>
    </w:tbl>
    <w:p>
      <w:pPr>
        <w:pStyle w:val="TextBody"/>
        <w:bidi w:val="0"/>
        <w:spacing w:before="0" w:after="0"/>
        <w:jc w:val="left"/>
        <w:rPr/>
      </w:pPr>
      <w:r>
        <w:rPr/>
        <w:t> </w:t>
      </w:r>
    </w:p>
    <w:tbl>
      <w:tblPr>
        <w:tblW w:w="5755" w:type="dxa"/>
        <w:jc w:val="left"/>
        <w:tblInd w:w="0" w:type="dxa"/>
        <w:tblLayout w:type="fixed"/>
        <w:tblCellMar>
          <w:top w:w="0" w:type="dxa"/>
          <w:left w:w="0" w:type="dxa"/>
          <w:bottom w:w="0" w:type="dxa"/>
          <w:right w:w="0" w:type="dxa"/>
        </w:tblCellMar>
      </w:tblPr>
      <w:tblGrid>
        <w:gridCol w:w="125"/>
        <w:gridCol w:w="60"/>
        <w:gridCol w:w="557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5570" w:type="dxa"/>
            <w:tcBorders/>
            <w:vAlign w:val="center"/>
          </w:tcPr>
          <w:p>
            <w:pPr>
              <w:pStyle w:val="TableContents"/>
              <w:bidi w:val="0"/>
              <w:spacing w:before="0" w:after="0"/>
              <w:jc w:val="left"/>
              <w:rPr>
                <w:rFonts w:ascii="arial" w:hAnsi="arial"/>
                <w:sz w:val="18"/>
              </w:rPr>
            </w:pPr>
            <w:r>
              <w:rPr>
                <w:rFonts w:ascii="arial" w:hAnsi="arial"/>
                <w:sz w:val="18"/>
              </w:rPr>
              <w:t xml:space="preserve">Assisting in the selection of our executive compensation peer group </w:t>
            </w:r>
          </w:p>
        </w:tc>
      </w:tr>
    </w:tbl>
    <w:p>
      <w:pPr>
        <w:pStyle w:val="TextBody"/>
        <w:bidi w:val="0"/>
        <w:spacing w:before="0" w:after="0"/>
        <w:jc w:val="left"/>
        <w:rPr/>
      </w:pPr>
      <w:r>
        <w:rPr/>
        <w:t> </w:t>
      </w:r>
    </w:p>
    <w:tbl>
      <w:tblPr>
        <w:tblW w:w="4330" w:type="dxa"/>
        <w:jc w:val="left"/>
        <w:tblInd w:w="0" w:type="dxa"/>
        <w:tblLayout w:type="fixed"/>
        <w:tblCellMar>
          <w:top w:w="0" w:type="dxa"/>
          <w:left w:w="0" w:type="dxa"/>
          <w:bottom w:w="0" w:type="dxa"/>
          <w:right w:w="0" w:type="dxa"/>
        </w:tblCellMar>
      </w:tblPr>
      <w:tblGrid>
        <w:gridCol w:w="125"/>
        <w:gridCol w:w="60"/>
        <w:gridCol w:w="4145"/>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4145" w:type="dxa"/>
            <w:tcBorders/>
            <w:vAlign w:val="center"/>
          </w:tcPr>
          <w:p>
            <w:pPr>
              <w:pStyle w:val="TableContents"/>
              <w:bidi w:val="0"/>
              <w:spacing w:before="0" w:after="0"/>
              <w:jc w:val="left"/>
              <w:rPr>
                <w:rFonts w:ascii="arial" w:hAnsi="arial"/>
                <w:sz w:val="18"/>
              </w:rPr>
            </w:pPr>
            <w:r>
              <w:rPr>
                <w:rFonts w:ascii="arial" w:hAnsi="arial"/>
                <w:sz w:val="18"/>
              </w:rPr>
              <w:t xml:space="preserve">Assisting with and reviewing our CD&amp;A disclosure </w:t>
            </w:r>
          </w:p>
        </w:tc>
      </w:tr>
    </w:tbl>
    <w:p>
      <w:pPr>
        <w:pStyle w:val="TextBody"/>
        <w:bidi w:val="0"/>
        <w:spacing w:before="120" w:after="0"/>
        <w:jc w:val="left"/>
        <w:rPr>
          <w:rFonts w:ascii="arial" w:hAnsi="arial"/>
          <w:sz w:val="18"/>
        </w:rPr>
      </w:pPr>
      <w:r>
        <w:rPr>
          <w:rFonts w:ascii="arial" w:hAnsi="arial"/>
          <w:sz w:val="18"/>
        </w:rPr>
        <w:t xml:space="preserve">The HCCC has analyzed whether the work of Semler Brossy raised any conflict of interest and has concluded that it has not created any conflict of interest. </w:t>
      </w:r>
    </w:p>
    <w:p>
      <w:pPr>
        <w:pStyle w:val="TextBody"/>
        <w:bidi w:val="0"/>
        <w:spacing w:before="240" w:after="0"/>
        <w:jc w:val="left"/>
        <w:rPr>
          <w:rFonts w:ascii="arial" w:hAnsi="arial"/>
          <w:b/>
          <w:color w:val="F7ACBA"/>
          <w:sz w:val="24"/>
        </w:rPr>
      </w:pPr>
      <w:r>
        <w:rPr>
          <w:rFonts w:ascii="arial" w:hAnsi="arial"/>
          <w:b/>
          <w:color w:val="F7ACBA"/>
          <w:sz w:val="24"/>
        </w:rPr>
        <w:t xml:space="preserve">Compensation Comparison </w:t>
      </w:r>
    </w:p>
    <w:p>
      <w:pPr>
        <w:pStyle w:val="TextBody"/>
        <w:bidi w:val="0"/>
        <w:spacing w:before="60" w:after="0"/>
        <w:jc w:val="left"/>
        <w:rPr>
          <w:rFonts w:ascii="arial" w:hAnsi="arial"/>
          <w:sz w:val="18"/>
        </w:rPr>
      </w:pPr>
      <w:r>
        <w:rPr>
          <w:rFonts w:ascii="arial" w:hAnsi="arial"/>
          <w:sz w:val="18"/>
        </w:rPr>
        <w:t xml:space="preserve">VS&amp;Co compares its executive compensation with publicly available data, including the executive compensation paid by its peer companies, in order to ensure its pay programs remain competitive with market practices. </w:t>
      </w:r>
    </w:p>
    <w:p>
      <w:pPr>
        <w:pStyle w:val="TextBody"/>
        <w:bidi w:val="0"/>
        <w:spacing w:before="120" w:after="0"/>
        <w:jc w:val="left"/>
        <w:rPr>
          <w:rFonts w:ascii="arial" w:hAnsi="arial"/>
          <w:sz w:val="18"/>
        </w:rPr>
      </w:pPr>
      <w:r>
        <w:rPr>
          <w:rFonts w:ascii="arial" w:hAnsi="arial"/>
          <w:sz w:val="18"/>
        </w:rPr>
        <w:t xml:space="preserve">In consultation with management and with advice of its advisors, the HCCC reviewed and affirmed the prior year’s executive compensation peer group again for fiscal 2023. </w:t>
      </w:r>
    </w:p>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2480"/>
        <w:gridCol w:w="120"/>
        <w:gridCol w:w="2540"/>
      </w:tblGrid>
      <w:tr>
        <w:trPr/>
        <w:tc>
          <w:tcPr>
            <w:tcW w:w="2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r>
      <w:tr>
        <w:trPr/>
        <w:tc>
          <w:tcPr>
            <w:tcW w:w="2480" w:type="dxa"/>
            <w:tcBorders>
              <w:top w:val="single" w:sz="8" w:space="0" w:color="F7ACBA"/>
            </w:tcBorders>
            <w:tcMar>
              <w:top w:w="28" w:type="dxa"/>
            </w:tcMar>
            <w:vAlign w:val="center"/>
          </w:tcPr>
          <w:p>
            <w:pPr>
              <w:pStyle w:val="TableContents"/>
              <w:bidi w:val="0"/>
              <w:spacing w:before="0" w:after="283"/>
              <w:jc w:val="left"/>
              <w:rPr/>
            </w:pPr>
            <w:r>
              <w:rPr/>
              <w:t> </w:t>
            </w:r>
          </w:p>
        </w:tc>
        <w:tc>
          <w:tcPr>
            <w:tcW w:w="2660" w:type="dxa"/>
            <w:gridSpan w:val="2"/>
            <w:tcBorders>
              <w:top w:val="single" w:sz="8" w:space="0" w:color="F7ACBA"/>
            </w:tcBorders>
            <w:tcMar>
              <w:top w:w="28" w:type="dxa"/>
            </w:tcMar>
            <w:vAlign w:val="center"/>
          </w:tcPr>
          <w:p>
            <w:pPr>
              <w:pStyle w:val="TableContents"/>
              <w:bidi w:val="0"/>
              <w:spacing w:before="0" w:after="283"/>
              <w:jc w:val="left"/>
              <w:rPr/>
            </w:pPr>
            <w:r>
              <w:rPr/>
              <w:t> </w:t>
            </w:r>
          </w:p>
        </w:tc>
      </w:tr>
      <w:tr>
        <w:trPr/>
        <w:tc>
          <w:tcPr>
            <w:tcW w:w="248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Abercrombie &amp; Fitch Co.</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540" w:type="dxa"/>
            <w:tcBorders>
              <w:bottom w:val="single" w:sz="6" w:space="0" w:color="FBDDE3"/>
            </w:tcBorders>
            <w:tcMar>
              <w:bottom w:w="60" w:type="dxa"/>
            </w:tcMar>
            <w:vAlign w:val="center"/>
          </w:tcPr>
          <w:p>
            <w:pPr>
              <w:pStyle w:val="TableContents"/>
              <w:bidi w:val="0"/>
              <w:spacing w:before="0" w:after="283"/>
              <w:jc w:val="left"/>
              <w:rPr/>
            </w:pPr>
            <w:r>
              <w:rPr/>
              <w:t>lululemon athletica inc.</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2660" w:type="dxa"/>
            <w:gridSpan w:val="2"/>
            <w:tcBorders/>
            <w:vAlign w:val="center"/>
          </w:tcPr>
          <w:p>
            <w:pPr>
              <w:pStyle w:val="TableContents"/>
              <w:bidi w:val="0"/>
              <w:spacing w:before="0" w:after="283"/>
              <w:jc w:val="left"/>
              <w:rPr>
                <w:sz w:val="4"/>
                <w:szCs w:val="4"/>
              </w:rPr>
            </w:pPr>
            <w:r>
              <w:rPr>
                <w:sz w:val="4"/>
                <w:szCs w:val="4"/>
              </w:rPr>
            </w:r>
          </w:p>
        </w:tc>
      </w:tr>
      <w:tr>
        <w:trPr/>
        <w:tc>
          <w:tcPr>
            <w:tcW w:w="248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American Eagle Outfitters, Inc.</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540" w:type="dxa"/>
            <w:tcBorders>
              <w:bottom w:val="single" w:sz="6" w:space="0" w:color="FBDDE3"/>
            </w:tcBorders>
            <w:tcMar>
              <w:bottom w:w="60" w:type="dxa"/>
            </w:tcMar>
            <w:vAlign w:val="center"/>
          </w:tcPr>
          <w:p>
            <w:pPr>
              <w:pStyle w:val="TableContents"/>
              <w:bidi w:val="0"/>
              <w:spacing w:before="0" w:after="283"/>
              <w:jc w:val="left"/>
              <w:rPr/>
            </w:pPr>
            <w:r>
              <w:rPr/>
              <w:t>PVH Corp.</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2660" w:type="dxa"/>
            <w:gridSpan w:val="2"/>
            <w:tcBorders/>
            <w:vAlign w:val="center"/>
          </w:tcPr>
          <w:p>
            <w:pPr>
              <w:pStyle w:val="TableContents"/>
              <w:bidi w:val="0"/>
              <w:spacing w:before="0" w:after="283"/>
              <w:jc w:val="left"/>
              <w:rPr>
                <w:sz w:val="4"/>
                <w:szCs w:val="4"/>
              </w:rPr>
            </w:pPr>
            <w:r>
              <w:rPr>
                <w:sz w:val="4"/>
                <w:szCs w:val="4"/>
              </w:rPr>
            </w:r>
          </w:p>
        </w:tc>
      </w:tr>
      <w:tr>
        <w:trPr/>
        <w:tc>
          <w:tcPr>
            <w:tcW w:w="248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Bath and Body Works, Inc.</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540" w:type="dxa"/>
            <w:tcBorders>
              <w:bottom w:val="single" w:sz="6" w:space="0" w:color="FBDDE3"/>
            </w:tcBorders>
            <w:tcMar>
              <w:bottom w:w="60" w:type="dxa"/>
            </w:tcMar>
            <w:vAlign w:val="center"/>
          </w:tcPr>
          <w:p>
            <w:pPr>
              <w:pStyle w:val="TableContents"/>
              <w:bidi w:val="0"/>
              <w:spacing w:before="0" w:after="283"/>
              <w:jc w:val="left"/>
              <w:rPr/>
            </w:pPr>
            <w:r>
              <w:rPr/>
              <w:t>Ralph Lauren Corporation</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2660" w:type="dxa"/>
            <w:gridSpan w:val="2"/>
            <w:tcBorders/>
            <w:vAlign w:val="center"/>
          </w:tcPr>
          <w:p>
            <w:pPr>
              <w:pStyle w:val="TableContents"/>
              <w:bidi w:val="0"/>
              <w:spacing w:before="0" w:after="283"/>
              <w:jc w:val="left"/>
              <w:rPr>
                <w:sz w:val="4"/>
                <w:szCs w:val="4"/>
              </w:rPr>
            </w:pPr>
            <w:r>
              <w:rPr>
                <w:sz w:val="4"/>
                <w:szCs w:val="4"/>
              </w:rPr>
            </w:r>
          </w:p>
        </w:tc>
      </w:tr>
      <w:tr>
        <w:trPr/>
        <w:tc>
          <w:tcPr>
            <w:tcW w:w="248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Big Lots, Inc.</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540" w:type="dxa"/>
            <w:tcBorders>
              <w:bottom w:val="single" w:sz="6" w:space="0" w:color="FBDDE3"/>
            </w:tcBorders>
            <w:tcMar>
              <w:bottom w:w="60" w:type="dxa"/>
            </w:tcMar>
            <w:vAlign w:val="center"/>
          </w:tcPr>
          <w:p>
            <w:pPr>
              <w:pStyle w:val="TableContents"/>
              <w:bidi w:val="0"/>
              <w:spacing w:before="0" w:after="283"/>
              <w:jc w:val="left"/>
              <w:rPr/>
            </w:pPr>
            <w:r>
              <w:rPr/>
              <w:t>Ross Stores, Inc.</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2660" w:type="dxa"/>
            <w:gridSpan w:val="2"/>
            <w:tcBorders/>
            <w:vAlign w:val="center"/>
          </w:tcPr>
          <w:p>
            <w:pPr>
              <w:pStyle w:val="TableContents"/>
              <w:bidi w:val="0"/>
              <w:spacing w:before="0" w:after="283"/>
              <w:jc w:val="left"/>
              <w:rPr>
                <w:sz w:val="4"/>
                <w:szCs w:val="4"/>
              </w:rPr>
            </w:pPr>
            <w:r>
              <w:rPr>
                <w:sz w:val="4"/>
                <w:szCs w:val="4"/>
              </w:rPr>
            </w:r>
          </w:p>
        </w:tc>
      </w:tr>
      <w:tr>
        <w:trPr/>
        <w:tc>
          <w:tcPr>
            <w:tcW w:w="248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Burlington Stores, Inc.</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540" w:type="dxa"/>
            <w:tcBorders>
              <w:bottom w:val="single" w:sz="6" w:space="0" w:color="FBDDE3"/>
            </w:tcBorders>
            <w:tcMar>
              <w:bottom w:w="60" w:type="dxa"/>
            </w:tcMar>
            <w:vAlign w:val="center"/>
          </w:tcPr>
          <w:p>
            <w:pPr>
              <w:pStyle w:val="TableContents"/>
              <w:bidi w:val="0"/>
              <w:spacing w:before="0" w:after="283"/>
              <w:jc w:val="left"/>
              <w:rPr/>
            </w:pPr>
            <w:r>
              <w:rPr/>
              <w:t>Tapestry, Inc.</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2660" w:type="dxa"/>
            <w:gridSpan w:val="2"/>
            <w:tcBorders/>
            <w:vAlign w:val="center"/>
          </w:tcPr>
          <w:p>
            <w:pPr>
              <w:pStyle w:val="TableContents"/>
              <w:bidi w:val="0"/>
              <w:spacing w:before="0" w:after="283"/>
              <w:jc w:val="left"/>
              <w:rPr>
                <w:sz w:val="4"/>
                <w:szCs w:val="4"/>
              </w:rPr>
            </w:pPr>
            <w:r>
              <w:rPr>
                <w:sz w:val="4"/>
                <w:szCs w:val="4"/>
              </w:rPr>
            </w:r>
          </w:p>
        </w:tc>
      </w:tr>
      <w:tr>
        <w:trPr/>
        <w:tc>
          <w:tcPr>
            <w:tcW w:w="248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Capri Holdings Limited</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540" w:type="dxa"/>
            <w:tcBorders>
              <w:bottom w:val="single" w:sz="6" w:space="0" w:color="FBDDE3"/>
            </w:tcBorders>
            <w:tcMar>
              <w:bottom w:w="60" w:type="dxa"/>
            </w:tcMar>
            <w:vAlign w:val="center"/>
          </w:tcPr>
          <w:p>
            <w:pPr>
              <w:pStyle w:val="TableContents"/>
              <w:bidi w:val="0"/>
              <w:spacing w:before="0" w:after="283"/>
              <w:jc w:val="left"/>
              <w:rPr/>
            </w:pPr>
            <w:r>
              <w:rPr/>
              <w:t>Ulta Beauty, Inc.</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2660" w:type="dxa"/>
            <w:gridSpan w:val="2"/>
            <w:tcBorders/>
            <w:vAlign w:val="center"/>
          </w:tcPr>
          <w:p>
            <w:pPr>
              <w:pStyle w:val="TableContents"/>
              <w:bidi w:val="0"/>
              <w:spacing w:before="0" w:after="283"/>
              <w:jc w:val="left"/>
              <w:rPr>
                <w:sz w:val="4"/>
                <w:szCs w:val="4"/>
              </w:rPr>
            </w:pPr>
            <w:r>
              <w:rPr>
                <w:sz w:val="4"/>
                <w:szCs w:val="4"/>
              </w:rPr>
            </w:r>
          </w:p>
        </w:tc>
      </w:tr>
      <w:tr>
        <w:trPr/>
        <w:tc>
          <w:tcPr>
            <w:tcW w:w="248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Gap, Inc.</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540" w:type="dxa"/>
            <w:tcBorders>
              <w:bottom w:val="single" w:sz="6" w:space="0" w:color="FBDDE3"/>
            </w:tcBorders>
            <w:tcMar>
              <w:bottom w:w="60" w:type="dxa"/>
            </w:tcMar>
            <w:vAlign w:val="center"/>
          </w:tcPr>
          <w:p>
            <w:pPr>
              <w:pStyle w:val="TableContents"/>
              <w:bidi w:val="0"/>
              <w:spacing w:before="0" w:after="283"/>
              <w:jc w:val="left"/>
              <w:rPr/>
            </w:pPr>
            <w:r>
              <w:rPr/>
              <w:t>Under Armour, Inc.</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2660" w:type="dxa"/>
            <w:gridSpan w:val="2"/>
            <w:tcBorders/>
            <w:vAlign w:val="center"/>
          </w:tcPr>
          <w:p>
            <w:pPr>
              <w:pStyle w:val="TableContents"/>
              <w:bidi w:val="0"/>
              <w:spacing w:before="0" w:after="283"/>
              <w:jc w:val="left"/>
              <w:rPr>
                <w:sz w:val="4"/>
                <w:szCs w:val="4"/>
              </w:rPr>
            </w:pPr>
            <w:r>
              <w:rPr>
                <w:sz w:val="4"/>
                <w:szCs w:val="4"/>
              </w:rPr>
            </w:r>
          </w:p>
        </w:tc>
      </w:tr>
      <w:tr>
        <w:trPr/>
        <w:tc>
          <w:tcPr>
            <w:tcW w:w="248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G-III Apparel Group, Ltd.</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540" w:type="dxa"/>
            <w:tcBorders>
              <w:bottom w:val="single" w:sz="6" w:space="0" w:color="FBDDE3"/>
            </w:tcBorders>
            <w:tcMar>
              <w:bottom w:w="60" w:type="dxa"/>
            </w:tcMar>
            <w:vAlign w:val="center"/>
          </w:tcPr>
          <w:p>
            <w:pPr>
              <w:pStyle w:val="TableContents"/>
              <w:bidi w:val="0"/>
              <w:spacing w:before="0" w:after="283"/>
              <w:jc w:val="left"/>
              <w:rPr/>
            </w:pPr>
            <w:r>
              <w:rPr/>
              <w:t>Urban Outfitters, Inc.</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2660" w:type="dxa"/>
            <w:gridSpan w:val="2"/>
            <w:tcBorders/>
            <w:vAlign w:val="center"/>
          </w:tcPr>
          <w:p>
            <w:pPr>
              <w:pStyle w:val="TableContents"/>
              <w:bidi w:val="0"/>
              <w:spacing w:before="0" w:after="283"/>
              <w:jc w:val="left"/>
              <w:rPr>
                <w:sz w:val="4"/>
                <w:szCs w:val="4"/>
              </w:rPr>
            </w:pPr>
            <w:r>
              <w:rPr>
                <w:sz w:val="4"/>
                <w:szCs w:val="4"/>
              </w:rPr>
            </w:r>
          </w:p>
        </w:tc>
      </w:tr>
      <w:tr>
        <w:trPr/>
        <w:tc>
          <w:tcPr>
            <w:tcW w:w="248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Hanesbrands Inc.</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540" w:type="dxa"/>
            <w:tcBorders>
              <w:bottom w:val="single" w:sz="6" w:space="0" w:color="FBDDE3"/>
            </w:tcBorders>
            <w:tcMar>
              <w:bottom w:w="60" w:type="dxa"/>
            </w:tcMar>
            <w:vAlign w:val="center"/>
          </w:tcPr>
          <w:p>
            <w:pPr>
              <w:pStyle w:val="TableContents"/>
              <w:bidi w:val="0"/>
              <w:spacing w:before="0" w:after="283"/>
              <w:jc w:val="left"/>
              <w:rPr/>
            </w:pPr>
            <w:r>
              <w:rPr/>
              <w:t>V.F. Corporation</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2660" w:type="dxa"/>
            <w:gridSpan w:val="2"/>
            <w:tcBorders/>
            <w:vAlign w:val="center"/>
          </w:tcPr>
          <w:p>
            <w:pPr>
              <w:pStyle w:val="TableContents"/>
              <w:bidi w:val="0"/>
              <w:spacing w:before="0" w:after="283"/>
              <w:jc w:val="left"/>
              <w:rPr>
                <w:sz w:val="4"/>
                <w:szCs w:val="4"/>
              </w:rPr>
            </w:pPr>
            <w:r>
              <w:rPr>
                <w:sz w:val="4"/>
                <w:szCs w:val="4"/>
              </w:rPr>
            </w:r>
          </w:p>
        </w:tc>
      </w:tr>
      <w:tr>
        <w:trPr/>
        <w:tc>
          <w:tcPr>
            <w:tcW w:w="2480" w:type="dxa"/>
            <w:tcBorders>
              <w:bottom w:val="single" w:sz="8" w:space="0" w:color="F7ACBA"/>
            </w:tcBorders>
            <w:tcMar>
              <w:bottom w:w="80" w:type="dxa"/>
            </w:tcMar>
            <w:vAlign w:val="center"/>
          </w:tcPr>
          <w:p>
            <w:pPr>
              <w:pStyle w:val="TableContents"/>
              <w:bidi w:val="0"/>
              <w:spacing w:before="0" w:after="0"/>
              <w:jc w:val="left"/>
              <w:rPr>
                <w:rFonts w:ascii="arial" w:hAnsi="arial"/>
                <w:sz w:val="18"/>
              </w:rPr>
            </w:pPr>
            <w:r>
              <w:rPr>
                <w:rFonts w:ascii="arial" w:hAnsi="arial"/>
                <w:sz w:val="18"/>
              </w:rPr>
              <w:t>Levi Strauss &amp; Co.</w:t>
            </w:r>
          </w:p>
        </w:tc>
        <w:tc>
          <w:tcPr>
            <w:tcW w:w="120" w:type="dxa"/>
            <w:tcBorders>
              <w:bottom w:val="single" w:sz="8" w:space="0" w:color="F7ACBA"/>
            </w:tcBorders>
            <w:tcMar>
              <w:bottom w:w="28" w:type="dxa"/>
            </w:tcMar>
            <w:vAlign w:val="center"/>
          </w:tcPr>
          <w:p>
            <w:pPr>
              <w:pStyle w:val="TableContents"/>
              <w:bidi w:val="0"/>
              <w:spacing w:before="0" w:after="283"/>
              <w:jc w:val="left"/>
              <w:rPr/>
            </w:pPr>
            <w:r>
              <w:rPr/>
              <w:t>  </w:t>
            </w:r>
          </w:p>
        </w:tc>
        <w:tc>
          <w:tcPr>
            <w:tcW w:w="2540" w:type="dxa"/>
            <w:tcBorders>
              <w:bottom w:val="single" w:sz="8" w:space="0" w:color="F7ACBA"/>
            </w:tcBorders>
            <w:tcMar>
              <w:bottom w:w="80" w:type="dxa"/>
            </w:tcMar>
            <w:vAlign w:val="center"/>
          </w:tcPr>
          <w:p>
            <w:pPr>
              <w:pStyle w:val="TableContents"/>
              <w:bidi w:val="0"/>
              <w:spacing w:before="0" w:after="283"/>
              <w:jc w:val="left"/>
              <w:rPr/>
            </w:pPr>
            <w:r>
              <w:rPr/>
              <w:t>Williams-Sonoma, Inc.</w:t>
            </w:r>
          </w:p>
        </w:tc>
      </w:tr>
    </w:tbl>
    <w:p>
      <w:pPr>
        <w:pStyle w:val="TextBody"/>
        <w:bidi w:val="0"/>
        <w:spacing w:before="240" w:after="0"/>
        <w:jc w:val="left"/>
        <w:rPr>
          <w:rFonts w:ascii="arial" w:hAnsi="arial"/>
          <w:sz w:val="18"/>
        </w:rPr>
      </w:pPr>
      <w:r>
        <w:rPr>
          <w:rFonts w:ascii="arial" w:hAnsi="arial"/>
          <w:sz w:val="18"/>
        </w:rPr>
        <w:t xml:space="preserve">The HCCC reaffirmed this peer group for fiscal 2024. </w:t>
      </w:r>
    </w:p>
    <w:p>
      <w:pPr>
        <w:pStyle w:val="TextBody"/>
        <w:bidi w:val="0"/>
        <w:spacing w:before="120" w:after="0"/>
        <w:jc w:val="left"/>
        <w:rPr>
          <w:rFonts w:ascii="arial" w:hAnsi="arial"/>
          <w:sz w:val="18"/>
        </w:rPr>
      </w:pPr>
      <w:r>
        <w:rPr>
          <w:rFonts w:ascii="arial" w:hAnsi="arial"/>
          <w:sz w:val="18"/>
        </w:rPr>
        <w:t xml:space="preserve">The HCCC used the following criteria to select the peer group: </w:t>
      </w:r>
    </w:p>
    <w:p>
      <w:pPr>
        <w:pStyle w:val="TextBody"/>
        <w:bidi w:val="0"/>
        <w:spacing w:before="0" w:after="0"/>
        <w:jc w:val="left"/>
        <w:rPr/>
      </w:pPr>
      <w:r>
        <w:rPr/>
        <w:t> </w:t>
      </w:r>
    </w:p>
    <w:tbl>
      <w:tblPr>
        <w:tblW w:w="4345" w:type="dxa"/>
        <w:jc w:val="left"/>
        <w:tblInd w:w="0" w:type="dxa"/>
        <w:tblLayout w:type="fixed"/>
        <w:tblCellMar>
          <w:top w:w="0" w:type="dxa"/>
          <w:left w:w="0" w:type="dxa"/>
          <w:bottom w:w="0" w:type="dxa"/>
          <w:right w:w="0" w:type="dxa"/>
        </w:tblCellMar>
      </w:tblPr>
      <w:tblGrid>
        <w:gridCol w:w="125"/>
        <w:gridCol w:w="60"/>
        <w:gridCol w:w="416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0"/>
              <w:jc w:val="left"/>
              <w:rPr>
                <w:rFonts w:ascii="arial" w:hAnsi="arial"/>
                <w:sz w:val="18"/>
              </w:rPr>
            </w:pPr>
            <w:r>
              <w:rPr>
                <w:rFonts w:ascii="arial" w:hAnsi="arial"/>
                <w:sz w:val="18"/>
              </w:rPr>
              <w:t xml:space="preserve">Businesses that are generally similar to VS&amp;Co in: </w:t>
            </w:r>
          </w:p>
        </w:tc>
      </w:tr>
    </w:tbl>
    <w:p>
      <w:pPr>
        <w:pStyle w:val="TextBody"/>
        <w:bidi w:val="0"/>
        <w:spacing w:before="0" w:after="0"/>
        <w:jc w:val="left"/>
        <w:rPr/>
      </w:pPr>
      <w:r>
        <w:rPr/>
        <w:t> </w:t>
      </w:r>
    </w:p>
    <w:tbl>
      <w:tblPr>
        <w:tblW w:w="2110" w:type="dxa"/>
        <w:jc w:val="left"/>
        <w:tblInd w:w="0" w:type="dxa"/>
        <w:tblLayout w:type="fixed"/>
        <w:tblCellMar>
          <w:top w:w="0" w:type="dxa"/>
          <w:left w:w="0" w:type="dxa"/>
          <w:bottom w:w="0" w:type="dxa"/>
          <w:right w:w="0" w:type="dxa"/>
        </w:tblCellMar>
      </w:tblPr>
      <w:tblGrid>
        <w:gridCol w:w="75"/>
        <w:gridCol w:w="110"/>
        <w:gridCol w:w="60"/>
        <w:gridCol w:w="18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0"/>
              <w:jc w:val="left"/>
              <w:rPr>
                <w:rFonts w:ascii="arial" w:hAnsi="arial"/>
                <w:sz w:val="18"/>
              </w:rPr>
            </w:pPr>
            <w:r>
              <w:rPr>
                <w:rFonts w:ascii="arial" w:hAnsi="arial"/>
                <w:sz w:val="18"/>
              </w:rPr>
              <w:t xml:space="preserve">industry classification, </w:t>
            </w:r>
          </w:p>
        </w:tc>
      </w:tr>
    </w:tbl>
    <w:p>
      <w:pPr>
        <w:pStyle w:val="TextBody"/>
        <w:bidi w:val="0"/>
        <w:spacing w:before="0" w:after="0"/>
        <w:jc w:val="left"/>
        <w:rPr/>
      </w:pPr>
      <w:r>
        <w:rPr/>
        <w:t> </w:t>
      </w:r>
    </w:p>
    <w:tbl>
      <w:tblPr>
        <w:tblW w:w="8395" w:type="dxa"/>
        <w:jc w:val="left"/>
        <w:tblInd w:w="0" w:type="dxa"/>
        <w:tblLayout w:type="fixed"/>
        <w:tblCellMar>
          <w:top w:w="0" w:type="dxa"/>
          <w:left w:w="0" w:type="dxa"/>
          <w:bottom w:w="0" w:type="dxa"/>
          <w:right w:w="0" w:type="dxa"/>
        </w:tblCellMar>
      </w:tblPr>
      <w:tblGrid>
        <w:gridCol w:w="75"/>
        <w:gridCol w:w="110"/>
        <w:gridCol w:w="60"/>
        <w:gridCol w:w="81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8150" w:type="dxa"/>
            <w:tcBorders/>
            <w:vAlign w:val="center"/>
          </w:tcPr>
          <w:p>
            <w:pPr>
              <w:pStyle w:val="TableContents"/>
              <w:bidi w:val="0"/>
              <w:spacing w:before="0" w:after="0"/>
              <w:jc w:val="left"/>
              <w:rPr>
                <w:rFonts w:ascii="arial" w:hAnsi="arial"/>
                <w:sz w:val="18"/>
              </w:rPr>
            </w:pPr>
            <w:r>
              <w:rPr>
                <w:rFonts w:ascii="arial" w:hAnsi="arial"/>
                <w:sz w:val="18"/>
              </w:rPr>
              <w:t xml:space="preserve">size (generally falling in the range of 0.5 to 2x our revenue and 0.25 to 4x our market capitalization), </w:t>
            </w:r>
          </w:p>
        </w:tc>
      </w:tr>
    </w:tbl>
    <w:p>
      <w:pPr>
        <w:pStyle w:val="TextBody"/>
        <w:bidi w:val="0"/>
        <w:spacing w:before="0" w:after="0"/>
        <w:jc w:val="left"/>
        <w:rPr/>
      </w:pPr>
      <w:r>
        <w:rPr/>
        <w:t> </w:t>
      </w:r>
    </w:p>
    <w:tbl>
      <w:tblPr>
        <w:tblW w:w="1585" w:type="dxa"/>
        <w:jc w:val="left"/>
        <w:tblInd w:w="0" w:type="dxa"/>
        <w:tblLayout w:type="fixed"/>
        <w:tblCellMar>
          <w:top w:w="0" w:type="dxa"/>
          <w:left w:w="0" w:type="dxa"/>
          <w:bottom w:w="0" w:type="dxa"/>
          <w:right w:w="0" w:type="dxa"/>
        </w:tblCellMar>
      </w:tblPr>
      <w:tblGrid>
        <w:gridCol w:w="75"/>
        <w:gridCol w:w="110"/>
        <w:gridCol w:w="60"/>
        <w:gridCol w:w="13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0"/>
              <w:jc w:val="left"/>
              <w:rPr>
                <w:rFonts w:ascii="arial" w:hAnsi="arial"/>
                <w:sz w:val="18"/>
              </w:rPr>
            </w:pPr>
            <w:r>
              <w:rPr>
                <w:rFonts w:ascii="arial" w:hAnsi="arial"/>
                <w:sz w:val="18"/>
              </w:rPr>
              <w:t xml:space="preserve">global footprint, </w:t>
            </w:r>
          </w:p>
        </w:tc>
      </w:tr>
    </w:tbl>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07"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96" descr=""/>
                          <pic:cNvPicPr>
                            <a:picLocks noChangeAspect="1" noChangeArrowheads="1"/>
                          </pic:cNvPicPr>
                        </pic:nvPicPr>
                        <pic:blipFill>
                          <a:blip r:embed="rId97"/>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52 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COMPENSATION DISCUSSION AND ANALYSIS </w:t>
      </w:r>
    </w:p>
    <w:p>
      <w:pPr>
        <w:pStyle w:val="TextBody"/>
        <w:bidi w:val="0"/>
        <w:spacing w:before="0" w:after="0"/>
        <w:jc w:val="left"/>
        <w:rPr/>
      </w:pPr>
      <w:r>
        <w:rPr/>
        <w:t> </w:t>
      </w:r>
    </w:p>
    <w:tbl>
      <w:tblPr>
        <w:tblW w:w="3265" w:type="dxa"/>
        <w:jc w:val="left"/>
        <w:tblInd w:w="0" w:type="dxa"/>
        <w:tblLayout w:type="fixed"/>
        <w:tblCellMar>
          <w:top w:w="0" w:type="dxa"/>
          <w:left w:w="0" w:type="dxa"/>
          <w:bottom w:w="0" w:type="dxa"/>
          <w:right w:w="0" w:type="dxa"/>
        </w:tblCellMar>
      </w:tblPr>
      <w:tblGrid>
        <w:gridCol w:w="75"/>
        <w:gridCol w:w="110"/>
        <w:gridCol w:w="60"/>
        <w:gridCol w:w="3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jc w:val="left"/>
              <w:rPr>
                <w:rFonts w:ascii="arial" w:hAnsi="arial"/>
                <w:sz w:val="18"/>
              </w:rPr>
            </w:pPr>
            <w:r>
              <w:rPr>
                <w:rFonts w:ascii="arial" w:hAnsi="arial"/>
                <w:sz w:val="18"/>
              </w:rPr>
              <w:t xml:space="preserve">business and/or merchandise focus; </w:t>
            </w:r>
          </w:p>
        </w:tc>
      </w:tr>
    </w:tbl>
    <w:p>
      <w:pPr>
        <w:pStyle w:val="TextBody"/>
        <w:bidi w:val="0"/>
        <w:spacing w:before="0" w:after="0"/>
        <w:jc w:val="left"/>
        <w:rPr/>
      </w:pPr>
      <w:r>
        <w:rPr/>
        <w:t> </w:t>
      </w:r>
    </w:p>
    <w:tbl>
      <w:tblPr>
        <w:tblW w:w="5095" w:type="dxa"/>
        <w:jc w:val="left"/>
        <w:tblInd w:w="0" w:type="dxa"/>
        <w:tblLayout w:type="fixed"/>
        <w:tblCellMar>
          <w:top w:w="0" w:type="dxa"/>
          <w:left w:w="0" w:type="dxa"/>
          <w:bottom w:w="0" w:type="dxa"/>
          <w:right w:w="0" w:type="dxa"/>
        </w:tblCellMar>
      </w:tblPr>
      <w:tblGrid>
        <w:gridCol w:w="125"/>
        <w:gridCol w:w="60"/>
        <w:gridCol w:w="491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0"/>
              <w:jc w:val="left"/>
              <w:rPr>
                <w:rFonts w:ascii="arial" w:hAnsi="arial"/>
                <w:sz w:val="18"/>
              </w:rPr>
            </w:pPr>
            <w:r>
              <w:rPr>
                <w:rFonts w:ascii="arial" w:hAnsi="arial"/>
                <w:sz w:val="18"/>
              </w:rPr>
              <w:t xml:space="preserve">Retailers that compete with VS&amp;Co for executive talent; and </w:t>
            </w:r>
          </w:p>
        </w:tc>
      </w:tr>
    </w:tbl>
    <w:p>
      <w:pPr>
        <w:pStyle w:val="TextBody"/>
        <w:bidi w:val="0"/>
        <w:spacing w:before="0" w:after="0"/>
        <w:jc w:val="left"/>
        <w:rPr/>
      </w:pPr>
      <w:r>
        <w:rPr/>
        <w:t> </w:t>
      </w:r>
    </w:p>
    <w:tbl>
      <w:tblPr>
        <w:tblW w:w="4510" w:type="dxa"/>
        <w:jc w:val="left"/>
        <w:tblInd w:w="0" w:type="dxa"/>
        <w:tblLayout w:type="fixed"/>
        <w:tblCellMar>
          <w:top w:w="0" w:type="dxa"/>
          <w:left w:w="0" w:type="dxa"/>
          <w:bottom w:w="0" w:type="dxa"/>
          <w:right w:w="0" w:type="dxa"/>
        </w:tblCellMar>
      </w:tblPr>
      <w:tblGrid>
        <w:gridCol w:w="125"/>
        <w:gridCol w:w="60"/>
        <w:gridCol w:w="4325"/>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0"/>
              <w:jc w:val="left"/>
              <w:rPr>
                <w:rFonts w:ascii="arial" w:hAnsi="arial"/>
                <w:sz w:val="18"/>
              </w:rPr>
            </w:pPr>
            <w:r>
              <w:rPr>
                <w:rFonts w:ascii="arial" w:hAnsi="arial"/>
                <w:sz w:val="18"/>
              </w:rPr>
              <w:t xml:space="preserve">Similar business model, i.e., specialty store retailers. </w:t>
            </w:r>
          </w:p>
        </w:tc>
      </w:tr>
    </w:tbl>
    <w:p>
      <w:pPr>
        <w:pStyle w:val="TextBody"/>
        <w:bidi w:val="0"/>
        <w:spacing w:before="120" w:after="0"/>
        <w:jc w:val="left"/>
        <w:rPr>
          <w:rFonts w:ascii="arial" w:hAnsi="arial"/>
          <w:sz w:val="18"/>
        </w:rPr>
      </w:pPr>
      <w:r>
        <w:rPr>
          <w:rFonts w:ascii="arial" w:hAnsi="arial"/>
          <w:sz w:val="18"/>
        </w:rPr>
        <w:t xml:space="preserve">VS&amp;Co does not specifically set its executive compensation against the peer group. Instead, we consider peer group comparisons provided by the HCCC’s independent compensation consultant as one of several factors in making executive compensation decisions. </w:t>
      </w:r>
    </w:p>
    <w:p>
      <w:pPr>
        <w:pStyle w:val="TextBody"/>
        <w:bidi w:val="0"/>
        <w:spacing w:before="240" w:after="0"/>
        <w:jc w:val="left"/>
        <w:rPr>
          <w:rFonts w:ascii="arial" w:hAnsi="arial"/>
          <w:b/>
          <w:color w:val="F7ACBA"/>
          <w:sz w:val="24"/>
        </w:rPr>
      </w:pPr>
      <w:r>
        <w:rPr>
          <w:rFonts w:ascii="arial" w:hAnsi="arial"/>
          <w:b/>
          <w:color w:val="F7ACBA"/>
          <w:sz w:val="24"/>
        </w:rPr>
        <w:t xml:space="preserve">Compensation Setting Process </w:t>
      </w:r>
    </w:p>
    <w:p>
      <w:pPr>
        <w:pStyle w:val="TextBody"/>
        <w:bidi w:val="0"/>
        <w:spacing w:before="60" w:after="0"/>
        <w:jc w:val="left"/>
        <w:rPr>
          <w:rFonts w:ascii="arial" w:hAnsi="arial"/>
          <w:sz w:val="18"/>
        </w:rPr>
      </w:pPr>
      <w:r>
        <w:rPr>
          <w:rFonts w:ascii="arial" w:hAnsi="arial"/>
          <w:sz w:val="18"/>
        </w:rPr>
        <w:t xml:space="preserve">The HCCC, in consultation with its independent compensation consultant and with input from the full Board, approves the compensation structure for the CEO. The HCCC, with the input of the full Board, also oversees the evaluation process for the CEO. The HCCC then reviews and approves the compensation structure for all of VS&amp;Co’s named executive officers and other officers (collectively, “Section 16 officers”) subject to Section 16 of the Securities Exchange Act of 1934, as amended (“Exchange Act”), including the approval of grants of equity awards to such executives. </w:t>
      </w:r>
    </w:p>
    <w:p>
      <w:pPr>
        <w:pStyle w:val="TextBody"/>
        <w:bidi w:val="0"/>
        <w:spacing w:before="120" w:after="0"/>
        <w:jc w:val="left"/>
        <w:rPr>
          <w:rFonts w:ascii="arial" w:hAnsi="arial"/>
          <w:sz w:val="18"/>
        </w:rPr>
      </w:pPr>
      <w:r>
        <w:rPr>
          <w:rFonts w:ascii="arial" w:hAnsi="arial"/>
          <w:sz w:val="18"/>
        </w:rPr>
        <w:t xml:space="preserve">Target compensation for VS&amp;Co’s executives is reviewed annually and is designed to reward performance, incentivize future performance and be competitive with the external market for talent. </w:t>
      </w:r>
    </w:p>
    <w:p>
      <w:pPr>
        <w:pStyle w:val="TextBody"/>
        <w:bidi w:val="0"/>
        <w:spacing w:before="360" w:after="0"/>
        <w:jc w:val="left"/>
        <w:rPr>
          <w:rFonts w:ascii="arial" w:hAnsi="arial"/>
          <w:sz w:val="30"/>
        </w:rPr>
      </w:pPr>
      <w:bookmarkStart w:id="21" w:name="toc540996_16"/>
      <w:bookmarkEnd w:id="21"/>
      <w:r>
        <w:rPr>
          <w:rFonts w:ascii="arial" w:hAnsi="arial"/>
          <w:sz w:val="30"/>
        </w:rPr>
        <w:t xml:space="preserve">NEO Compensation Components </w:t>
      </w:r>
    </w:p>
    <w:p>
      <w:pPr>
        <w:pStyle w:val="TextBody"/>
        <w:bidi w:val="0"/>
        <w:spacing w:before="120" w:after="0"/>
        <w:jc w:val="left"/>
        <w:rPr>
          <w:rFonts w:ascii="arial" w:hAnsi="arial"/>
          <w:b/>
          <w:color w:val="F7ACBA"/>
          <w:sz w:val="24"/>
        </w:rPr>
      </w:pPr>
      <w:r>
        <w:rPr>
          <w:rFonts w:ascii="arial" w:hAnsi="arial"/>
          <w:b/>
          <w:color w:val="F7ACBA"/>
          <w:sz w:val="24"/>
        </w:rPr>
        <w:t xml:space="preserve">Base Salary </w:t>
      </w:r>
    </w:p>
    <w:p>
      <w:pPr>
        <w:pStyle w:val="TextBody"/>
        <w:bidi w:val="0"/>
        <w:spacing w:before="60" w:after="0"/>
        <w:jc w:val="left"/>
        <w:rPr>
          <w:rFonts w:ascii="arial" w:hAnsi="arial"/>
          <w:sz w:val="18"/>
        </w:rPr>
      </w:pPr>
      <w:r>
        <w:rPr>
          <w:rFonts w:ascii="arial" w:hAnsi="arial"/>
          <w:sz w:val="18"/>
        </w:rPr>
        <w:t xml:space="preserve">The table below reflects the base salaries for each NEO as of the end of fiscal 2023. </w:t>
      </w:r>
    </w:p>
    <w:p>
      <w:pPr>
        <w:pStyle w:val="TextBody"/>
        <w:bidi w:val="0"/>
        <w:spacing w:before="0" w:after="0"/>
        <w:jc w:val="left"/>
        <w:rPr/>
      </w:pPr>
      <w:r>
        <w:rPr/>
        <w:t> </w:t>
      </w:r>
    </w:p>
    <w:tbl>
      <w:tblPr>
        <w:tblW w:w="3445" w:type="dxa"/>
        <w:jc w:val="left"/>
        <w:tblInd w:w="0" w:type="dxa"/>
        <w:tblLayout w:type="fixed"/>
        <w:tblCellMar>
          <w:top w:w="0" w:type="dxa"/>
          <w:left w:w="0" w:type="dxa"/>
          <w:bottom w:w="0" w:type="dxa"/>
          <w:right w:w="0" w:type="dxa"/>
        </w:tblCellMar>
      </w:tblPr>
      <w:tblGrid>
        <w:gridCol w:w="1040"/>
        <w:gridCol w:w="120"/>
        <w:gridCol w:w="127"/>
        <w:gridCol w:w="2083"/>
        <w:gridCol w:w="75"/>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40" w:type="dxa"/>
            <w:tcBorders/>
            <w:shd w:fill="FDEEF1" w:val="clear"/>
            <w:vAlign w:val="center"/>
          </w:tcPr>
          <w:p>
            <w:pPr>
              <w:pStyle w:val="TableContents"/>
              <w:bidi w:val="0"/>
              <w:spacing w:before="0" w:after="283"/>
              <w:jc w:val="left"/>
              <w:rPr>
                <w:sz w:val="4"/>
                <w:szCs w:val="4"/>
              </w:rPr>
            </w:pPr>
            <w:r>
              <w:rPr>
                <w:sz w:val="4"/>
                <w:szCs w:val="4"/>
              </w:rPr>
            </w:r>
          </w:p>
        </w:tc>
        <w:tc>
          <w:tcPr>
            <w:tcW w:w="2405" w:type="dxa"/>
            <w:gridSpan w:val="4"/>
            <w:tcBorders/>
            <w:shd w:fill="FDEEF1" w:val="clear"/>
            <w:vAlign w:val="center"/>
          </w:tcPr>
          <w:p>
            <w:pPr>
              <w:pStyle w:val="TableContents"/>
              <w:bidi w:val="0"/>
              <w:spacing w:before="0" w:after="283"/>
              <w:jc w:val="left"/>
              <w:rPr>
                <w:sz w:val="4"/>
                <w:szCs w:val="4"/>
              </w:rPr>
            </w:pPr>
            <w:r>
              <w:rPr>
                <w:sz w:val="4"/>
                <w:szCs w:val="4"/>
              </w:rPr>
            </w:r>
          </w:p>
        </w:tc>
      </w:tr>
      <w:tr>
        <w:trPr/>
        <w:tc>
          <w:tcPr>
            <w:tcW w:w="1040" w:type="dxa"/>
            <w:tcBorders/>
            <w:shd w:fill="FDEEF1" w:val="clear"/>
            <w:vAlign w:val="center"/>
          </w:tcPr>
          <w:p>
            <w:pPr>
              <w:pStyle w:val="TableContents"/>
              <w:bidi w:val="0"/>
              <w:spacing w:before="0" w:after="0"/>
              <w:jc w:val="left"/>
              <w:rPr>
                <w:rFonts w:ascii="arial" w:hAnsi="arial"/>
                <w:b/>
                <w:sz w:val="16"/>
              </w:rPr>
            </w:pPr>
            <w:r>
              <w:rPr>
                <w:rFonts w:ascii="arial" w:hAnsi="arial"/>
                <w:b/>
                <w:sz w:val="16"/>
              </w:rPr>
              <w:t>NEO</w:t>
            </w:r>
          </w:p>
        </w:tc>
        <w:tc>
          <w:tcPr>
            <w:tcW w:w="120" w:type="dxa"/>
            <w:tcBorders/>
            <w:shd w:fill="FDEEF1" w:val="clear"/>
            <w:vAlign w:val="center"/>
          </w:tcPr>
          <w:p>
            <w:pPr>
              <w:pStyle w:val="TableContents"/>
              <w:bidi w:val="0"/>
              <w:spacing w:before="0" w:after="283"/>
              <w:jc w:val="left"/>
              <w:rPr/>
            </w:pPr>
            <w:r>
              <w:rPr/>
              <w:t>  </w:t>
            </w:r>
          </w:p>
        </w:tc>
        <w:tc>
          <w:tcPr>
            <w:tcW w:w="2210" w:type="dxa"/>
            <w:gridSpan w:val="2"/>
            <w:tcBorders/>
            <w:shd w:fill="FDEEF1" w:val="clear"/>
            <w:vAlign w:val="center"/>
          </w:tcPr>
          <w:p>
            <w:pPr>
              <w:pStyle w:val="TableContents"/>
              <w:bidi w:val="0"/>
              <w:spacing w:before="0" w:after="283"/>
              <w:jc w:val="center"/>
              <w:rPr>
                <w:b/>
              </w:rPr>
            </w:pPr>
            <w:r>
              <w:rPr>
                <w:b/>
              </w:rPr>
              <w:t>2023 Base Salary ($) </w:t>
            </w:r>
          </w:p>
        </w:tc>
        <w:tc>
          <w:tcPr>
            <w:tcW w:w="75" w:type="dxa"/>
            <w:tcBorders/>
            <w:shd w:fill="FDEEF1"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240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Mr. Waters</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27" w:type="dxa"/>
            <w:tcBorders>
              <w:bottom w:val="single" w:sz="6" w:space="0" w:color="FBDDE3"/>
            </w:tcBorders>
            <w:tcMar>
              <w:bottom w:w="60" w:type="dxa"/>
            </w:tcMar>
            <w:vAlign w:val="center"/>
          </w:tcPr>
          <w:p>
            <w:pPr>
              <w:pStyle w:val="TableContents"/>
              <w:bidi w:val="0"/>
              <w:spacing w:before="0" w:after="283"/>
              <w:jc w:val="left"/>
              <w:rPr/>
            </w:pPr>
            <w:r>
              <w:rPr/>
              <w:t> </w:t>
            </w:r>
          </w:p>
        </w:tc>
        <w:tc>
          <w:tcPr>
            <w:tcW w:w="2083" w:type="dxa"/>
            <w:tcBorders>
              <w:bottom w:val="single" w:sz="6" w:space="0" w:color="FBDDE3"/>
            </w:tcBorders>
            <w:tcMar>
              <w:bottom w:w="60" w:type="dxa"/>
            </w:tcMar>
            <w:vAlign w:val="center"/>
          </w:tcPr>
          <w:p>
            <w:pPr>
              <w:pStyle w:val="TableContents"/>
              <w:bidi w:val="0"/>
              <w:spacing w:before="0" w:after="283"/>
              <w:jc w:val="right"/>
              <w:rPr/>
            </w:pPr>
            <w:r>
              <w:rPr/>
              <w:t>1,250,000</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240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Mr. Johnson</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27" w:type="dxa"/>
            <w:tcBorders>
              <w:bottom w:val="single" w:sz="6" w:space="0" w:color="FBDDE3"/>
            </w:tcBorders>
            <w:tcMar>
              <w:bottom w:w="60" w:type="dxa"/>
            </w:tcMar>
            <w:vAlign w:val="center"/>
          </w:tcPr>
          <w:p>
            <w:pPr>
              <w:pStyle w:val="TableContents"/>
              <w:bidi w:val="0"/>
              <w:spacing w:before="0" w:after="283"/>
              <w:jc w:val="left"/>
              <w:rPr/>
            </w:pPr>
            <w:r>
              <w:rPr/>
              <w:t> </w:t>
            </w:r>
          </w:p>
        </w:tc>
        <w:tc>
          <w:tcPr>
            <w:tcW w:w="2083" w:type="dxa"/>
            <w:tcBorders>
              <w:bottom w:val="single" w:sz="6" w:space="0" w:color="FBDDE3"/>
            </w:tcBorders>
            <w:tcMar>
              <w:bottom w:w="60" w:type="dxa"/>
            </w:tcMar>
            <w:vAlign w:val="center"/>
          </w:tcPr>
          <w:p>
            <w:pPr>
              <w:pStyle w:val="TableContents"/>
              <w:bidi w:val="0"/>
              <w:spacing w:before="0" w:after="283"/>
              <w:jc w:val="right"/>
              <w:rPr/>
            </w:pPr>
            <w:r>
              <w:rPr/>
              <w:t>800,000</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240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Ms. McAfee</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27" w:type="dxa"/>
            <w:tcBorders>
              <w:bottom w:val="single" w:sz="6" w:space="0" w:color="FBDDE3"/>
            </w:tcBorders>
            <w:tcMar>
              <w:bottom w:w="60" w:type="dxa"/>
            </w:tcMar>
            <w:vAlign w:val="center"/>
          </w:tcPr>
          <w:p>
            <w:pPr>
              <w:pStyle w:val="TableContents"/>
              <w:bidi w:val="0"/>
              <w:spacing w:before="0" w:after="283"/>
              <w:jc w:val="left"/>
              <w:rPr/>
            </w:pPr>
            <w:r>
              <w:rPr/>
              <w:t> </w:t>
            </w:r>
          </w:p>
        </w:tc>
        <w:tc>
          <w:tcPr>
            <w:tcW w:w="2083" w:type="dxa"/>
            <w:tcBorders>
              <w:bottom w:val="single" w:sz="6" w:space="0" w:color="FBDDE3"/>
            </w:tcBorders>
            <w:tcMar>
              <w:bottom w:w="60" w:type="dxa"/>
            </w:tcMar>
            <w:vAlign w:val="center"/>
          </w:tcPr>
          <w:p>
            <w:pPr>
              <w:pStyle w:val="TableContents"/>
              <w:bidi w:val="0"/>
              <w:spacing w:before="0" w:after="283"/>
              <w:jc w:val="right"/>
              <w:rPr/>
            </w:pPr>
            <w:r>
              <w:rPr/>
              <w:t>725,000</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240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Ms. Rupp</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27" w:type="dxa"/>
            <w:tcBorders>
              <w:bottom w:val="single" w:sz="6" w:space="0" w:color="FBDDE3"/>
            </w:tcBorders>
            <w:tcMar>
              <w:bottom w:w="60" w:type="dxa"/>
            </w:tcMar>
            <w:vAlign w:val="center"/>
          </w:tcPr>
          <w:p>
            <w:pPr>
              <w:pStyle w:val="TableContents"/>
              <w:bidi w:val="0"/>
              <w:spacing w:before="0" w:after="283"/>
              <w:jc w:val="left"/>
              <w:rPr/>
            </w:pPr>
            <w:r>
              <w:rPr/>
              <w:t> </w:t>
            </w:r>
          </w:p>
        </w:tc>
        <w:tc>
          <w:tcPr>
            <w:tcW w:w="2083" w:type="dxa"/>
            <w:tcBorders>
              <w:bottom w:val="single" w:sz="6" w:space="0" w:color="FBDDE3"/>
            </w:tcBorders>
            <w:tcMar>
              <w:bottom w:w="60" w:type="dxa"/>
            </w:tcMar>
            <w:vAlign w:val="center"/>
          </w:tcPr>
          <w:p>
            <w:pPr>
              <w:pStyle w:val="TableContents"/>
              <w:bidi w:val="0"/>
              <w:spacing w:before="0" w:after="283"/>
              <w:jc w:val="right"/>
              <w:rPr/>
            </w:pPr>
            <w:r>
              <w:rPr/>
              <w:t>985,000</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240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bottom w:val="single" w:sz="8" w:space="0" w:color="F7ACBA"/>
            </w:tcBorders>
            <w:tcMar>
              <w:bottom w:w="80" w:type="dxa"/>
            </w:tcMar>
            <w:vAlign w:val="center"/>
          </w:tcPr>
          <w:p>
            <w:pPr>
              <w:pStyle w:val="TableContents"/>
              <w:bidi w:val="0"/>
              <w:spacing w:before="0" w:after="0"/>
              <w:jc w:val="left"/>
              <w:rPr>
                <w:rFonts w:ascii="arial" w:hAnsi="arial"/>
                <w:sz w:val="18"/>
              </w:rPr>
            </w:pPr>
            <w:r>
              <w:rPr>
                <w:rFonts w:ascii="arial" w:hAnsi="arial"/>
                <w:sz w:val="18"/>
              </w:rPr>
              <w:t>Mr. Unis</w:t>
            </w:r>
          </w:p>
        </w:tc>
        <w:tc>
          <w:tcPr>
            <w:tcW w:w="120" w:type="dxa"/>
            <w:tcBorders>
              <w:bottom w:val="single" w:sz="8" w:space="0" w:color="F7ACBA"/>
            </w:tcBorders>
            <w:tcMar>
              <w:bottom w:w="28" w:type="dxa"/>
            </w:tcMar>
            <w:vAlign w:val="center"/>
          </w:tcPr>
          <w:p>
            <w:pPr>
              <w:pStyle w:val="TableContents"/>
              <w:bidi w:val="0"/>
              <w:spacing w:before="0" w:after="283"/>
              <w:jc w:val="left"/>
              <w:rPr/>
            </w:pPr>
            <w:r>
              <w:rPr/>
              <w:t>  </w:t>
            </w:r>
          </w:p>
        </w:tc>
        <w:tc>
          <w:tcPr>
            <w:tcW w:w="127" w:type="dxa"/>
            <w:tcBorders>
              <w:bottom w:val="single" w:sz="8" w:space="0" w:color="F7ACBA"/>
            </w:tcBorders>
            <w:tcMar>
              <w:bottom w:w="80" w:type="dxa"/>
            </w:tcMar>
            <w:vAlign w:val="center"/>
          </w:tcPr>
          <w:p>
            <w:pPr>
              <w:pStyle w:val="TableContents"/>
              <w:bidi w:val="0"/>
              <w:spacing w:before="0" w:after="283"/>
              <w:jc w:val="left"/>
              <w:rPr/>
            </w:pPr>
            <w:r>
              <w:rPr/>
              <w:t> </w:t>
            </w:r>
          </w:p>
        </w:tc>
        <w:tc>
          <w:tcPr>
            <w:tcW w:w="2083" w:type="dxa"/>
            <w:tcBorders>
              <w:bottom w:val="single" w:sz="8" w:space="0" w:color="F7ACBA"/>
            </w:tcBorders>
            <w:tcMar>
              <w:bottom w:w="80" w:type="dxa"/>
            </w:tcMar>
            <w:vAlign w:val="center"/>
          </w:tcPr>
          <w:p>
            <w:pPr>
              <w:pStyle w:val="TableContents"/>
              <w:bidi w:val="0"/>
              <w:spacing w:before="0" w:after="283"/>
              <w:jc w:val="right"/>
              <w:rPr/>
            </w:pPr>
            <w:r>
              <w:rPr/>
              <w:t>1,065,000</w:t>
            </w:r>
          </w:p>
        </w:tc>
        <w:tc>
          <w:tcPr>
            <w:tcW w:w="75" w:type="dxa"/>
            <w:tcBorders>
              <w:bottom w:val="single" w:sz="8" w:space="0" w:color="F7ACBA"/>
            </w:tcBorders>
            <w:tcMar>
              <w:bottom w:w="80" w:type="dxa"/>
            </w:tcMar>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18"/>
        </w:rPr>
      </w:pPr>
      <w:r>
        <w:rPr>
          <w:rFonts w:ascii="arial" w:hAnsi="arial"/>
          <w:sz w:val="18"/>
        </w:rPr>
        <w:t xml:space="preserve">Mr. Waters’ base salary has not changed since the spin-off from L Brands. The other NEOs received a 3% market adjustment on average during the annual review process at the beginning of 2023. During 2023, Mr. Unis took on additional responsibility as Brand President of Victoria’s Secret Lingerie and PINK, in addition to keeping his role as Head of Victoria’s Secret Beauty and New Business Development. In recognition of the increased scope of his role and responsibilities, his base salary was increased by 17.7% from $905,000, effective June 2023. </w:t>
      </w:r>
    </w:p>
    <w:p>
      <w:pPr>
        <w:pStyle w:val="TextBody"/>
        <w:bidi w:val="0"/>
        <w:spacing w:before="120" w:after="0"/>
        <w:jc w:val="left"/>
        <w:rPr>
          <w:rFonts w:ascii="arial" w:hAnsi="arial"/>
          <w:sz w:val="18"/>
        </w:rPr>
      </w:pPr>
      <w:r>
        <w:rPr>
          <w:rFonts w:ascii="arial" w:hAnsi="arial"/>
          <w:sz w:val="18"/>
        </w:rPr>
        <w:t xml:space="preserve">The following factors were considered by the HCCC in determining executive base salary adjustments: </w:t>
      </w:r>
    </w:p>
    <w:p>
      <w:pPr>
        <w:pStyle w:val="TextBody"/>
        <w:bidi w:val="0"/>
        <w:spacing w:before="0" w:after="0"/>
        <w:jc w:val="left"/>
        <w:rPr/>
      </w:pPr>
      <w:r>
        <w:rPr/>
        <w:t> </w:t>
      </w:r>
    </w:p>
    <w:tbl>
      <w:tblPr>
        <w:tblW w:w="4420" w:type="dxa"/>
        <w:jc w:val="left"/>
        <w:tblInd w:w="0" w:type="dxa"/>
        <w:tblLayout w:type="fixed"/>
        <w:tblCellMar>
          <w:top w:w="0" w:type="dxa"/>
          <w:left w:w="0" w:type="dxa"/>
          <w:bottom w:w="0" w:type="dxa"/>
          <w:right w:w="0" w:type="dxa"/>
        </w:tblCellMar>
      </w:tblPr>
      <w:tblGrid>
        <w:gridCol w:w="125"/>
        <w:gridCol w:w="60"/>
        <w:gridCol w:w="4235"/>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0"/>
              <w:jc w:val="left"/>
              <w:rPr>
                <w:rFonts w:ascii="arial" w:hAnsi="arial"/>
                <w:sz w:val="18"/>
              </w:rPr>
            </w:pPr>
            <w:r>
              <w:rPr>
                <w:rFonts w:ascii="arial" w:hAnsi="arial"/>
                <w:sz w:val="18"/>
              </w:rPr>
              <w:t xml:space="preserve">Scope and responsibility of the executive’s position </w:t>
            </w:r>
          </w:p>
        </w:tc>
      </w:tr>
    </w:tbl>
    <w:p>
      <w:pPr>
        <w:pStyle w:val="TextBody"/>
        <w:bidi w:val="0"/>
        <w:spacing w:before="0" w:after="0"/>
        <w:jc w:val="left"/>
        <w:rPr/>
      </w:pPr>
      <w:r>
        <w:rPr/>
        <w:t> </w:t>
      </w:r>
    </w:p>
    <w:tbl>
      <w:tblPr>
        <w:tblW w:w="4570" w:type="dxa"/>
        <w:jc w:val="left"/>
        <w:tblInd w:w="0" w:type="dxa"/>
        <w:tblLayout w:type="fixed"/>
        <w:tblCellMar>
          <w:top w:w="0" w:type="dxa"/>
          <w:left w:w="0" w:type="dxa"/>
          <w:bottom w:w="0" w:type="dxa"/>
          <w:right w:w="0" w:type="dxa"/>
        </w:tblCellMar>
      </w:tblPr>
      <w:tblGrid>
        <w:gridCol w:w="125"/>
        <w:gridCol w:w="60"/>
        <w:gridCol w:w="4385"/>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4385" w:type="dxa"/>
            <w:tcBorders/>
            <w:vAlign w:val="center"/>
          </w:tcPr>
          <w:p>
            <w:pPr>
              <w:pStyle w:val="TableContents"/>
              <w:bidi w:val="0"/>
              <w:spacing w:before="0" w:after="0"/>
              <w:jc w:val="left"/>
              <w:rPr>
                <w:rFonts w:ascii="arial" w:hAnsi="arial"/>
                <w:sz w:val="18"/>
              </w:rPr>
            </w:pPr>
            <w:r>
              <w:rPr>
                <w:rFonts w:ascii="arial" w:hAnsi="arial"/>
                <w:sz w:val="18"/>
              </w:rPr>
              <w:t xml:space="preserve">Achievement of seasonal and annual business goals </w:t>
            </w:r>
          </w:p>
        </w:tc>
      </w:tr>
    </w:tbl>
    <w:p>
      <w:pPr>
        <w:pStyle w:val="TextBody"/>
        <w:bidi w:val="0"/>
        <w:spacing w:before="0" w:after="0"/>
        <w:jc w:val="left"/>
        <w:rPr/>
      </w:pPr>
      <w:r>
        <w:rPr/>
        <w:t> </w:t>
      </w:r>
    </w:p>
    <w:tbl>
      <w:tblPr>
        <w:tblW w:w="6400" w:type="dxa"/>
        <w:jc w:val="left"/>
        <w:tblInd w:w="0" w:type="dxa"/>
        <w:tblLayout w:type="fixed"/>
        <w:tblCellMar>
          <w:top w:w="0" w:type="dxa"/>
          <w:left w:w="0" w:type="dxa"/>
          <w:bottom w:w="0" w:type="dxa"/>
          <w:right w:w="0" w:type="dxa"/>
        </w:tblCellMar>
      </w:tblPr>
      <w:tblGrid>
        <w:gridCol w:w="125"/>
        <w:gridCol w:w="60"/>
        <w:gridCol w:w="6215"/>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6215" w:type="dxa"/>
            <w:tcBorders/>
            <w:vAlign w:val="center"/>
          </w:tcPr>
          <w:p>
            <w:pPr>
              <w:pStyle w:val="TableContents"/>
              <w:bidi w:val="0"/>
              <w:spacing w:before="0" w:after="0"/>
              <w:jc w:val="left"/>
              <w:rPr>
                <w:rFonts w:ascii="arial" w:hAnsi="arial"/>
                <w:sz w:val="18"/>
              </w:rPr>
            </w:pPr>
            <w:r>
              <w:rPr>
                <w:rFonts w:ascii="arial" w:hAnsi="arial"/>
                <w:sz w:val="18"/>
              </w:rPr>
              <w:t xml:space="preserve">Level of overall compensation paid by competitors for comparable positions </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125"/>
        <w:gridCol w:w="60"/>
        <w:gridCol w:w="4955"/>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4955" w:type="dxa"/>
            <w:tcBorders/>
            <w:vAlign w:val="center"/>
          </w:tcPr>
          <w:p>
            <w:pPr>
              <w:pStyle w:val="TableContents"/>
              <w:bidi w:val="0"/>
              <w:spacing w:before="0" w:after="0"/>
              <w:jc w:val="left"/>
              <w:rPr>
                <w:rFonts w:ascii="arial" w:hAnsi="arial"/>
                <w:sz w:val="18"/>
              </w:rPr>
            </w:pPr>
            <w:r>
              <w:rPr>
                <w:rFonts w:ascii="arial" w:hAnsi="arial"/>
                <w:sz w:val="18"/>
              </w:rPr>
              <w:t xml:space="preserve">Recruitment, retention and development of leadership talent </w:t>
            </w:r>
          </w:p>
        </w:tc>
      </w:tr>
    </w:tbl>
    <w:p>
      <w:pPr>
        <w:pStyle w:val="TextBody"/>
        <w:bidi w:val="0"/>
        <w:spacing w:before="0" w:after="0"/>
        <w:jc w:val="left"/>
        <w:rPr/>
      </w:pPr>
      <w:r>
        <w:rPr/>
        <w:t> </w:t>
      </w:r>
    </w:p>
    <w:tbl>
      <w:tblPr>
        <w:tblW w:w="2680" w:type="dxa"/>
        <w:jc w:val="left"/>
        <w:tblInd w:w="0" w:type="dxa"/>
        <w:tblLayout w:type="fixed"/>
        <w:tblCellMar>
          <w:top w:w="0" w:type="dxa"/>
          <w:left w:w="0" w:type="dxa"/>
          <w:bottom w:w="0" w:type="dxa"/>
          <w:right w:w="0" w:type="dxa"/>
        </w:tblCellMar>
      </w:tblPr>
      <w:tblGrid>
        <w:gridCol w:w="125"/>
        <w:gridCol w:w="60"/>
        <w:gridCol w:w="2495"/>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0"/>
              <w:jc w:val="left"/>
              <w:rPr>
                <w:rFonts w:ascii="arial" w:hAnsi="arial"/>
                <w:sz w:val="18"/>
              </w:rPr>
            </w:pPr>
            <w:r>
              <w:rPr>
                <w:rFonts w:ascii="arial" w:hAnsi="arial"/>
                <w:sz w:val="18"/>
              </w:rPr>
              <w:t xml:space="preserve">Expectations for future growth </w:t>
            </w:r>
          </w:p>
        </w:tc>
      </w:tr>
    </w:tbl>
    <w:p>
      <w:pPr>
        <w:pStyle w:val="TextBody"/>
        <w:bidi w:val="0"/>
        <w:spacing w:before="0" w:after="0"/>
        <w:jc w:val="left"/>
        <w:rPr/>
      </w:pPr>
      <w:r>
        <w:rPr/>
        <w:t> </w:t>
      </w:r>
    </w:p>
    <w:tbl>
      <w:tblPr>
        <w:tblW w:w="7900" w:type="dxa"/>
        <w:jc w:val="left"/>
        <w:tblInd w:w="0" w:type="dxa"/>
        <w:tblLayout w:type="fixed"/>
        <w:tblCellMar>
          <w:top w:w="0" w:type="dxa"/>
          <w:left w:w="0" w:type="dxa"/>
          <w:bottom w:w="0" w:type="dxa"/>
          <w:right w:w="0" w:type="dxa"/>
        </w:tblCellMar>
      </w:tblPr>
      <w:tblGrid>
        <w:gridCol w:w="125"/>
        <w:gridCol w:w="60"/>
        <w:gridCol w:w="7715"/>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7715" w:type="dxa"/>
            <w:tcBorders/>
            <w:vAlign w:val="center"/>
          </w:tcPr>
          <w:p>
            <w:pPr>
              <w:pStyle w:val="TableContents"/>
              <w:bidi w:val="0"/>
              <w:spacing w:before="0" w:after="0"/>
              <w:jc w:val="left"/>
              <w:rPr>
                <w:rFonts w:ascii="arial" w:hAnsi="arial"/>
                <w:sz w:val="18"/>
              </w:rPr>
            </w:pPr>
            <w:r>
              <w:rPr>
                <w:rFonts w:ascii="arial" w:hAnsi="arial"/>
                <w:sz w:val="18"/>
              </w:rPr>
              <w:t xml:space="preserve">The appropriate balancing of the executive’s base salary against their incentive compensation </w:t>
            </w:r>
          </w:p>
        </w:tc>
      </w:tr>
    </w:tbl>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08"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97" descr=""/>
                          <pic:cNvPicPr>
                            <a:picLocks noChangeAspect="1" noChangeArrowheads="1"/>
                          </pic:cNvPicPr>
                        </pic:nvPicPr>
                        <pic:blipFill>
                          <a:blip r:embed="rId98"/>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53 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COMPENSATION DISCUSSION AND ANALYSIS </w:t>
      </w:r>
    </w:p>
    <w:p>
      <w:pPr>
        <w:pStyle w:val="TextBody"/>
        <w:bidi w:val="0"/>
        <w:spacing w:before="0" w:after="0"/>
        <w:jc w:val="left"/>
        <w:rPr/>
      </w:pPr>
      <w:r>
        <w:rPr/>
        <w:t> </w:t>
      </w:r>
    </w:p>
    <w:p>
      <w:pPr>
        <w:pStyle w:val="TextBody"/>
        <w:bidi w:val="0"/>
        <w:spacing w:before="0" w:after="0"/>
        <w:jc w:val="left"/>
        <w:rPr>
          <w:rFonts w:ascii="arial" w:hAnsi="arial"/>
          <w:b/>
          <w:color w:val="F7ACBA"/>
          <w:sz w:val="24"/>
        </w:rPr>
      </w:pPr>
      <w:r>
        <w:rPr>
          <w:rFonts w:ascii="arial" w:hAnsi="arial"/>
          <w:b/>
          <w:color w:val="F7ACBA"/>
          <w:sz w:val="24"/>
        </w:rPr>
        <w:t xml:space="preserve">Short-Term Performance-Based Cash Incentive Compensation </w:t>
      </w:r>
    </w:p>
    <w:p>
      <w:pPr>
        <w:pStyle w:val="TextBody"/>
        <w:bidi w:val="0"/>
        <w:spacing w:before="60" w:after="0"/>
        <w:jc w:val="left"/>
        <w:rPr>
          <w:rFonts w:ascii="arial" w:hAnsi="arial"/>
          <w:sz w:val="18"/>
        </w:rPr>
      </w:pPr>
      <w:r>
        <w:rPr>
          <w:rFonts w:ascii="arial" w:hAnsi="arial"/>
          <w:sz w:val="18"/>
        </w:rPr>
        <w:t xml:space="preserve">For 2023, the short-term incentive plan (the “STIP”) was paid pursuant to the Victoria’s Secret &amp; Co. 2021 Cash Incentive Compensation Performance Plan (the “VS 2021 IC Plan”). </w:t>
      </w:r>
    </w:p>
    <w:p>
      <w:pPr>
        <w:pStyle w:val="TextBody"/>
        <w:bidi w:val="0"/>
        <w:spacing w:before="120" w:after="0"/>
        <w:jc w:val="left"/>
        <w:rPr>
          <w:rFonts w:ascii="arial" w:hAnsi="arial"/>
          <w:sz w:val="18"/>
        </w:rPr>
      </w:pPr>
      <w:r>
        <w:rPr>
          <w:rFonts w:ascii="arial" w:hAnsi="arial"/>
          <w:sz w:val="18"/>
        </w:rPr>
        <w:t xml:space="preserve">For 2023, the STIP performance metrics applicable to executives, including our NEOs, now has a carveout of 25% of the award based on annual performance with seasonal performance (described below) representing 75% of the award. Beginning in 2023, we also introduced a revenue metric to the STIP to align with our growth priorities. Operating income remains the most important metric in the STIP, weighted at 75% with revenue weighted at 25%. </w:t>
      </w:r>
    </w:p>
    <w:p>
      <w:pPr>
        <w:pStyle w:val="TextBody"/>
        <w:bidi w:val="0"/>
        <w:spacing w:before="120" w:after="0"/>
        <w:jc w:val="left"/>
        <w:rPr>
          <w:rFonts w:ascii="arial" w:hAnsi="arial"/>
          <w:sz w:val="18"/>
        </w:rPr>
      </w:pPr>
      <w:r>
        <w:rPr>
          <w:rFonts w:ascii="arial" w:hAnsi="arial"/>
          <w:sz w:val="18"/>
        </w:rPr>
        <w:t xml:space="preserve">The seasonal component of the STIP focuses on achievement of six-month goals, reflecting VS&amp;Co’s two selling seasons: Spring (the first and second quarters) and Fall (the third and fourth quarters). The Fall season, which includes holiday sales, is weighted more heavily than Spring because of its importance to VS&amp;Co’s profitability. The use of seasonal performance periods in the plan design reflects the belief that achievement of short-term goals season after season aligns with the business strategy and helps drive and maintain long-term value for stockholders. Beginning in 2023, an annual performance period was added to measure achievement of goals over the full fiscal year. The annual component now comprises 25% of the total bonus for our NEOs and other executives. The Spring and Fall seasonal components were subsequently adjusted to 30% and 45%, respectively, to accommodate the new annual component. </w:t>
      </w:r>
    </w:p>
    <w:p>
      <w:pPr>
        <w:pStyle w:val="TextBody"/>
        <w:bidi w:val="0"/>
        <w:spacing w:before="120" w:after="0"/>
        <w:jc w:val="left"/>
        <w:rPr>
          <w:rFonts w:ascii="arial" w:hAnsi="arial"/>
          <w:sz w:val="18"/>
        </w:rPr>
      </w:pPr>
      <w:r>
        <w:rPr>
          <w:rFonts w:ascii="arial" w:hAnsi="arial"/>
          <w:sz w:val="18"/>
        </w:rPr>
        <w:t xml:space="preserve">In addition to the modification to the measurement periods, the HCCC added an additional metric, revenue, to the existing financial metric of adjusted operating income. Adjusted operating income is used because it is considered a performance measure over which executives can have significant impact and is also directly linked to the long-term strategic plan and performance that drives long-term stockholder value. In line with our strategic plan to be a profitable growth company, revenue was added as a balance to the adjusted operating income metric. </w:t>
      </w:r>
    </w:p>
    <w:p>
      <w:pPr>
        <w:pStyle w:val="TextBody"/>
        <w:bidi w:val="0"/>
        <w:spacing w:before="120" w:after="0"/>
        <w:jc w:val="left"/>
        <w:rPr>
          <w:rFonts w:ascii="arial" w:hAnsi="arial"/>
          <w:sz w:val="18"/>
        </w:rPr>
      </w:pPr>
      <w:r>
        <w:rPr>
          <w:rFonts w:ascii="arial" w:hAnsi="arial"/>
          <w:sz w:val="18"/>
        </w:rPr>
        <w:t xml:space="preserve">While the plans provide for adjustment due to extraordinary items, Spring, Fall and annual payouts reflect the actual, quantitative results, without retroactive adjustments. </w:t>
      </w:r>
    </w:p>
    <w:p>
      <w:pPr>
        <w:pStyle w:val="TextBody"/>
        <w:bidi w:val="0"/>
        <w:spacing w:before="120" w:after="0"/>
        <w:jc w:val="left"/>
        <w:rPr>
          <w:rFonts w:ascii="arial" w:hAnsi="arial"/>
          <w:sz w:val="18"/>
        </w:rPr>
      </w:pPr>
      <w:r>
        <w:rPr>
          <w:rFonts w:ascii="arial" w:hAnsi="arial"/>
          <w:sz w:val="18"/>
        </w:rPr>
        <w:t xml:space="preserve">At the beginning of the fiscal year and each six-month season, operating income and revenue goals are set by the HCCC with recommendations from management. The goals are based on: </w:t>
      </w:r>
    </w:p>
    <w:p>
      <w:pPr>
        <w:pStyle w:val="TextBody"/>
        <w:bidi w:val="0"/>
        <w:spacing w:before="0" w:after="0"/>
        <w:jc w:val="left"/>
        <w:rPr/>
      </w:pPr>
      <w:r>
        <w:rPr/>
        <w:t> </w:t>
      </w:r>
    </w:p>
    <w:tbl>
      <w:tblPr>
        <w:tblW w:w="3265" w:type="dxa"/>
        <w:jc w:val="left"/>
        <w:tblInd w:w="0" w:type="dxa"/>
        <w:tblLayout w:type="fixed"/>
        <w:tblCellMar>
          <w:top w:w="0" w:type="dxa"/>
          <w:left w:w="0" w:type="dxa"/>
          <w:bottom w:w="0" w:type="dxa"/>
          <w:right w:w="0" w:type="dxa"/>
        </w:tblCellMar>
      </w:tblPr>
      <w:tblGrid>
        <w:gridCol w:w="125"/>
        <w:gridCol w:w="60"/>
        <w:gridCol w:w="308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jc w:val="left"/>
              <w:rPr>
                <w:rFonts w:ascii="arial" w:hAnsi="arial"/>
                <w:sz w:val="18"/>
              </w:rPr>
            </w:pPr>
            <w:r>
              <w:rPr>
                <w:rFonts w:ascii="arial" w:hAnsi="arial"/>
                <w:sz w:val="18"/>
              </w:rPr>
              <w:t xml:space="preserve">An analysis of historical performance </w:t>
            </w:r>
          </w:p>
        </w:tc>
      </w:tr>
    </w:tbl>
    <w:p>
      <w:pPr>
        <w:pStyle w:val="TextBody"/>
        <w:bidi w:val="0"/>
        <w:spacing w:before="0" w:after="0"/>
        <w:jc w:val="left"/>
        <w:rPr/>
      </w:pPr>
      <w:r>
        <w:rPr/>
        <w:t> </w:t>
      </w:r>
    </w:p>
    <w:tbl>
      <w:tblPr>
        <w:tblW w:w="1360" w:type="dxa"/>
        <w:jc w:val="left"/>
        <w:tblInd w:w="0" w:type="dxa"/>
        <w:tblLayout w:type="fixed"/>
        <w:tblCellMar>
          <w:top w:w="0" w:type="dxa"/>
          <w:left w:w="0" w:type="dxa"/>
          <w:bottom w:w="0" w:type="dxa"/>
          <w:right w:w="0" w:type="dxa"/>
        </w:tblCellMar>
      </w:tblPr>
      <w:tblGrid>
        <w:gridCol w:w="125"/>
        <w:gridCol w:w="60"/>
        <w:gridCol w:w="1175"/>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jc w:val="left"/>
              <w:rPr>
                <w:rFonts w:ascii="arial" w:hAnsi="arial"/>
                <w:sz w:val="18"/>
              </w:rPr>
            </w:pPr>
            <w:r>
              <w:rPr>
                <w:rFonts w:ascii="arial" w:hAnsi="arial"/>
                <w:sz w:val="18"/>
              </w:rPr>
              <w:t xml:space="preserve">Income goals </w:t>
            </w:r>
          </w:p>
        </w:tc>
      </w:tr>
    </w:tbl>
    <w:p>
      <w:pPr>
        <w:pStyle w:val="TextBody"/>
        <w:bidi w:val="0"/>
        <w:spacing w:before="0" w:after="0"/>
        <w:jc w:val="left"/>
        <w:rPr/>
      </w:pPr>
      <w:r>
        <w:rPr/>
        <w:t> </w:t>
      </w:r>
    </w:p>
    <w:tbl>
      <w:tblPr>
        <w:tblW w:w="7525" w:type="dxa"/>
        <w:jc w:val="left"/>
        <w:tblInd w:w="0" w:type="dxa"/>
        <w:tblLayout w:type="fixed"/>
        <w:tblCellMar>
          <w:top w:w="0" w:type="dxa"/>
          <w:left w:w="0" w:type="dxa"/>
          <w:bottom w:w="0" w:type="dxa"/>
          <w:right w:w="0" w:type="dxa"/>
        </w:tblCellMar>
      </w:tblPr>
      <w:tblGrid>
        <w:gridCol w:w="125"/>
        <w:gridCol w:w="60"/>
        <w:gridCol w:w="734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7340" w:type="dxa"/>
            <w:tcBorders/>
            <w:vAlign w:val="center"/>
          </w:tcPr>
          <w:p>
            <w:pPr>
              <w:pStyle w:val="TableContents"/>
              <w:bidi w:val="0"/>
              <w:spacing w:before="0" w:after="0"/>
              <w:jc w:val="left"/>
              <w:rPr>
                <w:rFonts w:ascii="arial" w:hAnsi="arial"/>
                <w:sz w:val="18"/>
              </w:rPr>
            </w:pPr>
            <w:r>
              <w:rPr>
                <w:rFonts w:ascii="arial" w:hAnsi="arial"/>
                <w:sz w:val="18"/>
              </w:rPr>
              <w:t xml:space="preserve">Overall economic environment including financial results of other comparable businesses </w:t>
            </w:r>
          </w:p>
        </w:tc>
      </w:tr>
    </w:tbl>
    <w:p>
      <w:pPr>
        <w:pStyle w:val="TextBody"/>
        <w:bidi w:val="0"/>
        <w:spacing w:before="0" w:after="0"/>
        <w:jc w:val="left"/>
        <w:rPr/>
      </w:pPr>
      <w:r>
        <w:rPr/>
        <w:t> </w:t>
      </w:r>
    </w:p>
    <w:tbl>
      <w:tblPr>
        <w:tblW w:w="4720" w:type="dxa"/>
        <w:jc w:val="left"/>
        <w:tblInd w:w="0" w:type="dxa"/>
        <w:tblLayout w:type="fixed"/>
        <w:tblCellMar>
          <w:top w:w="0" w:type="dxa"/>
          <w:left w:w="0" w:type="dxa"/>
          <w:bottom w:w="0" w:type="dxa"/>
          <w:right w:w="0" w:type="dxa"/>
        </w:tblCellMar>
      </w:tblPr>
      <w:tblGrid>
        <w:gridCol w:w="125"/>
        <w:gridCol w:w="60"/>
        <w:gridCol w:w="4535"/>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4535" w:type="dxa"/>
            <w:tcBorders/>
            <w:vAlign w:val="center"/>
          </w:tcPr>
          <w:p>
            <w:pPr>
              <w:pStyle w:val="TableContents"/>
              <w:bidi w:val="0"/>
              <w:spacing w:before="0" w:after="0"/>
              <w:jc w:val="left"/>
              <w:rPr>
                <w:rFonts w:ascii="arial" w:hAnsi="arial"/>
                <w:sz w:val="18"/>
              </w:rPr>
            </w:pPr>
            <w:r>
              <w:rPr>
                <w:rFonts w:ascii="arial" w:hAnsi="arial"/>
                <w:sz w:val="18"/>
              </w:rPr>
              <w:t xml:space="preserve">Progress toward achieving our long-term strategic plan </w:t>
            </w:r>
          </w:p>
        </w:tc>
      </w:tr>
    </w:tbl>
    <w:p>
      <w:pPr>
        <w:pStyle w:val="TextBody"/>
        <w:bidi w:val="0"/>
        <w:spacing w:before="120" w:after="0"/>
        <w:jc w:val="left"/>
        <w:rPr>
          <w:rFonts w:ascii="arial" w:hAnsi="arial"/>
          <w:sz w:val="18"/>
        </w:rPr>
      </w:pPr>
      <w:r>
        <w:rPr>
          <w:rFonts w:ascii="arial" w:hAnsi="arial"/>
          <w:sz w:val="18"/>
        </w:rPr>
        <w:t xml:space="preserve">The table below shows the operating income (“OI”) goals for VS&amp;Co for each performance period required to earn short-term performance-based incentive compensation at target and actual performance. The full performance bands are shown along with corresponding payout per the plan design for threshold, target and maximum performance. </w:t>
      </w:r>
    </w:p>
    <w:p>
      <w:pPr>
        <w:pStyle w:val="TextBody"/>
        <w:bidi w:val="0"/>
        <w:spacing w:before="0" w:after="0"/>
        <w:jc w:val="left"/>
        <w:rPr/>
      </w:pPr>
      <w:r>
        <w:rPr/>
        <w:t> </w:t>
      </w:r>
    </w:p>
    <w:tbl>
      <w:tblPr>
        <w:tblW w:w="16235" w:type="dxa"/>
        <w:jc w:val="left"/>
        <w:tblInd w:w="0" w:type="dxa"/>
        <w:tblLayout w:type="fixed"/>
        <w:tblCellMar>
          <w:top w:w="0" w:type="dxa"/>
          <w:left w:w="0" w:type="dxa"/>
          <w:bottom w:w="0" w:type="dxa"/>
          <w:right w:w="0" w:type="dxa"/>
        </w:tblCellMar>
      </w:tblPr>
      <w:tblGrid>
        <w:gridCol w:w="1115"/>
        <w:gridCol w:w="60"/>
        <w:gridCol w:w="103"/>
        <w:gridCol w:w="967"/>
        <w:gridCol w:w="275"/>
        <w:gridCol w:w="60"/>
        <w:gridCol w:w="75"/>
        <w:gridCol w:w="710"/>
        <w:gridCol w:w="275"/>
        <w:gridCol w:w="60"/>
        <w:gridCol w:w="103"/>
        <w:gridCol w:w="967"/>
        <w:gridCol w:w="275"/>
        <w:gridCol w:w="60"/>
        <w:gridCol w:w="74"/>
        <w:gridCol w:w="696"/>
        <w:gridCol w:w="275"/>
        <w:gridCol w:w="60"/>
        <w:gridCol w:w="103"/>
        <w:gridCol w:w="967"/>
        <w:gridCol w:w="275"/>
        <w:gridCol w:w="60"/>
        <w:gridCol w:w="75"/>
        <w:gridCol w:w="710"/>
        <w:gridCol w:w="275"/>
        <w:gridCol w:w="60"/>
        <w:gridCol w:w="103"/>
        <w:gridCol w:w="967"/>
        <w:gridCol w:w="275"/>
        <w:gridCol w:w="60"/>
        <w:gridCol w:w="74"/>
        <w:gridCol w:w="696"/>
        <w:gridCol w:w="275"/>
        <w:gridCol w:w="60"/>
        <w:gridCol w:w="103"/>
        <w:gridCol w:w="967"/>
        <w:gridCol w:w="275"/>
        <w:gridCol w:w="60"/>
        <w:gridCol w:w="75"/>
        <w:gridCol w:w="710"/>
        <w:gridCol w:w="275"/>
        <w:gridCol w:w="60"/>
        <w:gridCol w:w="103"/>
        <w:gridCol w:w="967"/>
        <w:gridCol w:w="275"/>
        <w:gridCol w:w="60"/>
        <w:gridCol w:w="74"/>
        <w:gridCol w:w="696"/>
        <w:gridCol w:w="290"/>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15" w:type="dxa"/>
            <w:tcBorders/>
            <w:shd w:fill="FDEEF1" w:val="clear"/>
            <w:vAlign w:val="center"/>
          </w:tcPr>
          <w:p>
            <w:pPr>
              <w:pStyle w:val="TableContents"/>
              <w:bidi w:val="0"/>
              <w:spacing w:before="0" w:after="283"/>
              <w:jc w:val="left"/>
              <w:rPr>
                <w:sz w:val="4"/>
                <w:szCs w:val="4"/>
              </w:rPr>
            </w:pPr>
            <w:r>
              <w:rPr>
                <w:sz w:val="4"/>
                <w:szCs w:val="4"/>
              </w:rPr>
            </w:r>
          </w:p>
        </w:tc>
        <w:tc>
          <w:tcPr>
            <w:tcW w:w="5035" w:type="dxa"/>
            <w:gridSpan w:val="16"/>
            <w:tcBorders/>
            <w:shd w:fill="FDEEF1" w:val="clear"/>
            <w:vAlign w:val="center"/>
          </w:tcPr>
          <w:p>
            <w:pPr>
              <w:pStyle w:val="TableContents"/>
              <w:bidi w:val="0"/>
              <w:spacing w:before="0" w:after="283"/>
              <w:jc w:val="left"/>
              <w:rPr>
                <w:sz w:val="4"/>
                <w:szCs w:val="4"/>
              </w:rPr>
            </w:pPr>
            <w:r>
              <w:rPr>
                <w:sz w:val="4"/>
                <w:szCs w:val="4"/>
              </w:rPr>
            </w:r>
          </w:p>
        </w:tc>
        <w:tc>
          <w:tcPr>
            <w:tcW w:w="5035" w:type="dxa"/>
            <w:gridSpan w:val="16"/>
            <w:tcBorders/>
            <w:shd w:fill="FDEEF1" w:val="clear"/>
            <w:vAlign w:val="center"/>
          </w:tcPr>
          <w:p>
            <w:pPr>
              <w:pStyle w:val="TableContents"/>
              <w:bidi w:val="0"/>
              <w:spacing w:before="0" w:after="283"/>
              <w:jc w:val="left"/>
              <w:rPr>
                <w:sz w:val="4"/>
                <w:szCs w:val="4"/>
              </w:rPr>
            </w:pPr>
            <w:r>
              <w:rPr>
                <w:sz w:val="4"/>
                <w:szCs w:val="4"/>
              </w:rPr>
            </w:r>
          </w:p>
        </w:tc>
        <w:tc>
          <w:tcPr>
            <w:tcW w:w="5050" w:type="dxa"/>
            <w:gridSpan w:val="16"/>
            <w:tcBorders/>
            <w:shd w:fill="FDEEF1" w:val="clear"/>
            <w:vAlign w:val="center"/>
          </w:tcPr>
          <w:p>
            <w:pPr>
              <w:pStyle w:val="TableContents"/>
              <w:bidi w:val="0"/>
              <w:spacing w:before="0" w:after="283"/>
              <w:jc w:val="left"/>
              <w:rPr>
                <w:sz w:val="4"/>
                <w:szCs w:val="4"/>
              </w:rPr>
            </w:pPr>
            <w:r>
              <w:rPr>
                <w:sz w:val="4"/>
                <w:szCs w:val="4"/>
              </w:rPr>
            </w:r>
          </w:p>
        </w:tc>
      </w:tr>
      <w:tr>
        <w:trPr/>
        <w:tc>
          <w:tcPr>
            <w:tcW w:w="1115" w:type="dxa"/>
            <w:tcBorders/>
            <w:shd w:fill="FDEEF1" w:val="clear"/>
            <w:vAlign w:val="center"/>
          </w:tcPr>
          <w:p>
            <w:pPr>
              <w:pStyle w:val="TableContents"/>
              <w:bidi w:val="0"/>
              <w:jc w:val="left"/>
              <w:rPr/>
            </w:pPr>
            <w:r>
              <w:rPr/>
              <w:t> </w:t>
            </w:r>
          </w:p>
          <w:p>
            <w:pPr>
              <w:pStyle w:val="TableContents"/>
              <w:bidi w:val="0"/>
              <w:spacing w:before="0" w:after="0"/>
              <w:jc w:val="left"/>
              <w:rPr/>
            </w:pPr>
            <w:r>
              <w:rPr/>
              <w:t> </w:t>
            </w:r>
          </w:p>
        </w:tc>
        <w:tc>
          <w:tcPr>
            <w:tcW w:w="60" w:type="dxa"/>
            <w:tcBorders/>
            <w:shd w:fill="FDEEF1" w:val="clear"/>
            <w:vAlign w:val="center"/>
          </w:tcPr>
          <w:p>
            <w:pPr>
              <w:pStyle w:val="TableContents"/>
              <w:bidi w:val="0"/>
              <w:spacing w:before="0" w:after="283"/>
              <w:jc w:val="left"/>
              <w:rPr/>
            </w:pPr>
            <w:r>
              <w:rPr/>
              <w:t> </w:t>
            </w:r>
          </w:p>
        </w:tc>
        <w:tc>
          <w:tcPr>
            <w:tcW w:w="4700" w:type="dxa"/>
            <w:gridSpan w:val="14"/>
            <w:tcBorders/>
            <w:shd w:fill="FDEEF1" w:val="clear"/>
            <w:vAlign w:val="center"/>
          </w:tcPr>
          <w:p>
            <w:pPr>
              <w:pStyle w:val="TableContents"/>
              <w:bidi w:val="0"/>
              <w:spacing w:before="0" w:after="283"/>
              <w:jc w:val="center"/>
              <w:rPr>
                <w:b/>
              </w:rPr>
            </w:pPr>
            <w:r>
              <w:rPr>
                <w:b/>
              </w:rPr>
              <w:t>Fiscal 2023 Spring Season</w:t>
            </w:r>
          </w:p>
        </w:tc>
        <w:tc>
          <w:tcPr>
            <w:tcW w:w="275"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4700" w:type="dxa"/>
            <w:gridSpan w:val="14"/>
            <w:tcBorders/>
            <w:shd w:fill="FDEEF1" w:val="clear"/>
            <w:vAlign w:val="center"/>
          </w:tcPr>
          <w:p>
            <w:pPr>
              <w:pStyle w:val="TableContents"/>
              <w:bidi w:val="0"/>
              <w:spacing w:before="0" w:after="283"/>
              <w:jc w:val="center"/>
              <w:rPr>
                <w:b/>
              </w:rPr>
            </w:pPr>
            <w:r>
              <w:rPr>
                <w:b/>
              </w:rPr>
              <w:t>Fiscal 2023 Fall Season</w:t>
            </w:r>
          </w:p>
        </w:tc>
        <w:tc>
          <w:tcPr>
            <w:tcW w:w="275"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4700" w:type="dxa"/>
            <w:gridSpan w:val="14"/>
            <w:tcBorders/>
            <w:shd w:fill="FDEEF1" w:val="clear"/>
            <w:vAlign w:val="center"/>
          </w:tcPr>
          <w:p>
            <w:pPr>
              <w:pStyle w:val="TableContents"/>
              <w:bidi w:val="0"/>
              <w:spacing w:before="0" w:after="283"/>
              <w:jc w:val="center"/>
              <w:rPr>
                <w:b/>
              </w:rPr>
            </w:pPr>
            <w:r>
              <w:rPr>
                <w:b/>
              </w:rPr>
              <w:t>Fiscal 2023 Annual</w:t>
            </w:r>
          </w:p>
        </w:tc>
        <w:tc>
          <w:tcPr>
            <w:tcW w:w="290" w:type="dxa"/>
            <w:tcBorders/>
            <w:shd w:fill="FDEEF1" w:val="clear"/>
            <w:vAlign w:val="center"/>
          </w:tcPr>
          <w:p>
            <w:pPr>
              <w:pStyle w:val="TableContents"/>
              <w:bidi w:val="0"/>
              <w:spacing w:before="0" w:after="283"/>
              <w:jc w:val="left"/>
              <w:rPr/>
            </w:pPr>
            <w:r>
              <w:rPr/>
              <w:t> </w:t>
            </w:r>
          </w:p>
        </w:tc>
      </w:tr>
      <w:tr>
        <w:trPr/>
        <w:tc>
          <w:tcPr>
            <w:tcW w:w="1115" w:type="dxa"/>
            <w:tcBorders/>
            <w:shd w:fill="FDEEF1" w:val="clear"/>
            <w:vAlign w:val="center"/>
          </w:tcPr>
          <w:p>
            <w:pPr>
              <w:pStyle w:val="TableContents"/>
              <w:bidi w:val="0"/>
              <w:spacing w:before="0" w:after="283"/>
              <w:jc w:val="left"/>
              <w:rPr>
                <w:sz w:val="4"/>
                <w:szCs w:val="4"/>
              </w:rPr>
            </w:pPr>
            <w:r>
              <w:rPr>
                <w:sz w:val="4"/>
                <w:szCs w:val="4"/>
              </w:rPr>
            </w:r>
          </w:p>
        </w:tc>
        <w:tc>
          <w:tcPr>
            <w:tcW w:w="1405" w:type="dxa"/>
            <w:gridSpan w:val="4"/>
            <w:tcBorders/>
            <w:shd w:fill="FDEEF1" w:val="clear"/>
            <w:vAlign w:val="center"/>
          </w:tcPr>
          <w:p>
            <w:pPr>
              <w:pStyle w:val="TableContents"/>
              <w:bidi w:val="0"/>
              <w:spacing w:before="0" w:after="283"/>
              <w:jc w:val="left"/>
              <w:rPr>
                <w:sz w:val="4"/>
                <w:szCs w:val="4"/>
              </w:rPr>
            </w:pPr>
            <w:r>
              <w:rPr>
                <w:sz w:val="4"/>
                <w:szCs w:val="4"/>
              </w:rPr>
            </w:r>
          </w:p>
        </w:tc>
        <w:tc>
          <w:tcPr>
            <w:tcW w:w="1120" w:type="dxa"/>
            <w:gridSpan w:val="4"/>
            <w:tcBorders/>
            <w:shd w:fill="FDEEF1" w:val="clear"/>
            <w:vAlign w:val="center"/>
          </w:tcPr>
          <w:p>
            <w:pPr>
              <w:pStyle w:val="TableContents"/>
              <w:bidi w:val="0"/>
              <w:spacing w:before="0" w:after="283"/>
              <w:jc w:val="left"/>
              <w:rPr>
                <w:sz w:val="4"/>
                <w:szCs w:val="4"/>
              </w:rPr>
            </w:pPr>
            <w:r>
              <w:rPr>
                <w:sz w:val="4"/>
                <w:szCs w:val="4"/>
              </w:rPr>
            </w:r>
          </w:p>
        </w:tc>
        <w:tc>
          <w:tcPr>
            <w:tcW w:w="1405" w:type="dxa"/>
            <w:gridSpan w:val="4"/>
            <w:tcBorders/>
            <w:shd w:fill="FDEEF1" w:val="clear"/>
            <w:vAlign w:val="center"/>
          </w:tcPr>
          <w:p>
            <w:pPr>
              <w:pStyle w:val="TableContents"/>
              <w:bidi w:val="0"/>
              <w:spacing w:before="0" w:after="283"/>
              <w:jc w:val="left"/>
              <w:rPr>
                <w:sz w:val="4"/>
                <w:szCs w:val="4"/>
              </w:rPr>
            </w:pPr>
            <w:r>
              <w:rPr>
                <w:sz w:val="4"/>
                <w:szCs w:val="4"/>
              </w:rPr>
            </w:r>
          </w:p>
        </w:tc>
        <w:tc>
          <w:tcPr>
            <w:tcW w:w="1105" w:type="dxa"/>
            <w:gridSpan w:val="4"/>
            <w:tcBorders/>
            <w:shd w:fill="FDEEF1" w:val="clear"/>
            <w:vAlign w:val="center"/>
          </w:tcPr>
          <w:p>
            <w:pPr>
              <w:pStyle w:val="TableContents"/>
              <w:bidi w:val="0"/>
              <w:spacing w:before="0" w:after="283"/>
              <w:jc w:val="left"/>
              <w:rPr>
                <w:sz w:val="4"/>
                <w:szCs w:val="4"/>
              </w:rPr>
            </w:pPr>
            <w:r>
              <w:rPr>
                <w:sz w:val="4"/>
                <w:szCs w:val="4"/>
              </w:rPr>
            </w:r>
          </w:p>
        </w:tc>
        <w:tc>
          <w:tcPr>
            <w:tcW w:w="1405" w:type="dxa"/>
            <w:gridSpan w:val="4"/>
            <w:tcBorders/>
            <w:shd w:fill="FDEEF1" w:val="clear"/>
            <w:vAlign w:val="center"/>
          </w:tcPr>
          <w:p>
            <w:pPr>
              <w:pStyle w:val="TableContents"/>
              <w:bidi w:val="0"/>
              <w:spacing w:before="0" w:after="283"/>
              <w:jc w:val="left"/>
              <w:rPr>
                <w:sz w:val="4"/>
                <w:szCs w:val="4"/>
              </w:rPr>
            </w:pPr>
            <w:r>
              <w:rPr>
                <w:sz w:val="4"/>
                <w:szCs w:val="4"/>
              </w:rPr>
            </w:r>
          </w:p>
        </w:tc>
        <w:tc>
          <w:tcPr>
            <w:tcW w:w="1120" w:type="dxa"/>
            <w:gridSpan w:val="4"/>
            <w:tcBorders/>
            <w:shd w:fill="FDEEF1" w:val="clear"/>
            <w:vAlign w:val="center"/>
          </w:tcPr>
          <w:p>
            <w:pPr>
              <w:pStyle w:val="TableContents"/>
              <w:bidi w:val="0"/>
              <w:spacing w:before="0" w:after="283"/>
              <w:jc w:val="left"/>
              <w:rPr>
                <w:sz w:val="4"/>
                <w:szCs w:val="4"/>
              </w:rPr>
            </w:pPr>
            <w:r>
              <w:rPr>
                <w:sz w:val="4"/>
                <w:szCs w:val="4"/>
              </w:rPr>
            </w:r>
          </w:p>
        </w:tc>
        <w:tc>
          <w:tcPr>
            <w:tcW w:w="1405" w:type="dxa"/>
            <w:gridSpan w:val="4"/>
            <w:tcBorders/>
            <w:shd w:fill="FDEEF1" w:val="clear"/>
            <w:vAlign w:val="center"/>
          </w:tcPr>
          <w:p>
            <w:pPr>
              <w:pStyle w:val="TableContents"/>
              <w:bidi w:val="0"/>
              <w:spacing w:before="0" w:after="283"/>
              <w:jc w:val="left"/>
              <w:rPr>
                <w:sz w:val="4"/>
                <w:szCs w:val="4"/>
              </w:rPr>
            </w:pPr>
            <w:r>
              <w:rPr>
                <w:sz w:val="4"/>
                <w:szCs w:val="4"/>
              </w:rPr>
            </w:r>
          </w:p>
        </w:tc>
        <w:tc>
          <w:tcPr>
            <w:tcW w:w="1105" w:type="dxa"/>
            <w:gridSpan w:val="4"/>
            <w:tcBorders/>
            <w:shd w:fill="FDEEF1" w:val="clear"/>
            <w:vAlign w:val="center"/>
          </w:tcPr>
          <w:p>
            <w:pPr>
              <w:pStyle w:val="TableContents"/>
              <w:bidi w:val="0"/>
              <w:spacing w:before="0" w:after="283"/>
              <w:jc w:val="left"/>
              <w:rPr>
                <w:sz w:val="4"/>
                <w:szCs w:val="4"/>
              </w:rPr>
            </w:pPr>
            <w:r>
              <w:rPr>
                <w:sz w:val="4"/>
                <w:szCs w:val="4"/>
              </w:rPr>
            </w:r>
          </w:p>
        </w:tc>
        <w:tc>
          <w:tcPr>
            <w:tcW w:w="1405" w:type="dxa"/>
            <w:gridSpan w:val="4"/>
            <w:tcBorders/>
            <w:shd w:fill="FDEEF1" w:val="clear"/>
            <w:vAlign w:val="center"/>
          </w:tcPr>
          <w:p>
            <w:pPr>
              <w:pStyle w:val="TableContents"/>
              <w:bidi w:val="0"/>
              <w:spacing w:before="0" w:after="283"/>
              <w:jc w:val="left"/>
              <w:rPr>
                <w:sz w:val="4"/>
                <w:szCs w:val="4"/>
              </w:rPr>
            </w:pPr>
            <w:r>
              <w:rPr>
                <w:sz w:val="4"/>
                <w:szCs w:val="4"/>
              </w:rPr>
            </w:r>
          </w:p>
        </w:tc>
        <w:tc>
          <w:tcPr>
            <w:tcW w:w="1120" w:type="dxa"/>
            <w:gridSpan w:val="4"/>
            <w:tcBorders/>
            <w:shd w:fill="FDEEF1" w:val="clear"/>
            <w:vAlign w:val="center"/>
          </w:tcPr>
          <w:p>
            <w:pPr>
              <w:pStyle w:val="TableContents"/>
              <w:bidi w:val="0"/>
              <w:spacing w:before="0" w:after="283"/>
              <w:jc w:val="left"/>
              <w:rPr>
                <w:sz w:val="4"/>
                <w:szCs w:val="4"/>
              </w:rPr>
            </w:pPr>
            <w:r>
              <w:rPr>
                <w:sz w:val="4"/>
                <w:szCs w:val="4"/>
              </w:rPr>
            </w:r>
          </w:p>
        </w:tc>
        <w:tc>
          <w:tcPr>
            <w:tcW w:w="1405" w:type="dxa"/>
            <w:gridSpan w:val="4"/>
            <w:tcBorders/>
            <w:shd w:fill="FDEEF1" w:val="clear"/>
            <w:vAlign w:val="center"/>
          </w:tcPr>
          <w:p>
            <w:pPr>
              <w:pStyle w:val="TableContents"/>
              <w:bidi w:val="0"/>
              <w:spacing w:before="0" w:after="283"/>
              <w:jc w:val="left"/>
              <w:rPr>
                <w:sz w:val="4"/>
                <w:szCs w:val="4"/>
              </w:rPr>
            </w:pPr>
            <w:r>
              <w:rPr>
                <w:sz w:val="4"/>
                <w:szCs w:val="4"/>
              </w:rPr>
            </w:r>
          </w:p>
        </w:tc>
        <w:tc>
          <w:tcPr>
            <w:tcW w:w="1120" w:type="dxa"/>
            <w:gridSpan w:val="4"/>
            <w:tcBorders/>
            <w:shd w:fill="FDEEF1" w:val="clear"/>
            <w:vAlign w:val="center"/>
          </w:tcPr>
          <w:p>
            <w:pPr>
              <w:pStyle w:val="TableContents"/>
              <w:bidi w:val="0"/>
              <w:spacing w:before="0" w:after="283"/>
              <w:jc w:val="left"/>
              <w:rPr>
                <w:sz w:val="4"/>
                <w:szCs w:val="4"/>
              </w:rPr>
            </w:pPr>
            <w:r>
              <w:rPr>
                <w:sz w:val="4"/>
                <w:szCs w:val="4"/>
              </w:rPr>
            </w:r>
          </w:p>
        </w:tc>
      </w:tr>
      <w:tr>
        <w:trPr/>
        <w:tc>
          <w:tcPr>
            <w:tcW w:w="1115" w:type="dxa"/>
            <w:tcBorders/>
            <w:shd w:fill="FDEEF1" w:val="clear"/>
            <w:vAlign w:val="center"/>
          </w:tcPr>
          <w:p>
            <w:pPr>
              <w:pStyle w:val="TableContents"/>
              <w:bidi w:val="0"/>
              <w:jc w:val="left"/>
              <w:rPr/>
            </w:pPr>
            <w:r>
              <w:rPr/>
              <w:t> </w:t>
            </w:r>
          </w:p>
          <w:p>
            <w:pPr>
              <w:pStyle w:val="TableContents"/>
              <w:bidi w:val="0"/>
              <w:spacing w:before="0" w:after="0"/>
              <w:jc w:val="left"/>
              <w:rPr/>
            </w:pPr>
            <w:r>
              <w:rPr/>
              <w:t> </w:t>
            </w:r>
          </w:p>
        </w:tc>
        <w:tc>
          <w:tcPr>
            <w:tcW w:w="60" w:type="dxa"/>
            <w:tcBorders/>
            <w:shd w:fill="FDEEF1" w:val="clear"/>
            <w:vAlign w:val="center"/>
          </w:tcPr>
          <w:p>
            <w:pPr>
              <w:pStyle w:val="TableContents"/>
              <w:bidi w:val="0"/>
              <w:spacing w:before="0" w:after="283"/>
              <w:jc w:val="left"/>
              <w:rPr/>
            </w:pPr>
            <w:r>
              <w:rPr/>
              <w:t> </w:t>
            </w:r>
          </w:p>
        </w:tc>
        <w:tc>
          <w:tcPr>
            <w:tcW w:w="1070" w:type="dxa"/>
            <w:gridSpan w:val="2"/>
            <w:tcBorders/>
            <w:shd w:fill="FDEEF1" w:val="clear"/>
            <w:vAlign w:val="center"/>
          </w:tcPr>
          <w:p>
            <w:pPr>
              <w:pStyle w:val="TableContents"/>
              <w:bidi w:val="0"/>
              <w:spacing w:before="0" w:after="283"/>
              <w:jc w:val="center"/>
              <w:rPr>
                <w:b/>
              </w:rPr>
            </w:pPr>
            <w:r>
              <w:rPr>
                <w:b/>
              </w:rPr>
              <w:t>Threshold</w:t>
            </w:r>
          </w:p>
        </w:tc>
        <w:tc>
          <w:tcPr>
            <w:tcW w:w="275"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785" w:type="dxa"/>
            <w:gridSpan w:val="2"/>
            <w:tcBorders/>
            <w:shd w:fill="FDEEF1" w:val="clear"/>
            <w:vAlign w:val="center"/>
          </w:tcPr>
          <w:p>
            <w:pPr>
              <w:pStyle w:val="TableContents"/>
              <w:bidi w:val="0"/>
              <w:spacing w:before="0" w:after="283"/>
              <w:jc w:val="center"/>
              <w:rPr>
                <w:b/>
              </w:rPr>
            </w:pPr>
            <w:r>
              <w:rPr>
                <w:b/>
              </w:rPr>
              <w:t>Target(1)</w:t>
            </w:r>
          </w:p>
        </w:tc>
        <w:tc>
          <w:tcPr>
            <w:tcW w:w="275"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070" w:type="dxa"/>
            <w:gridSpan w:val="2"/>
            <w:tcBorders/>
            <w:shd w:fill="FDEEF1" w:val="clear"/>
            <w:vAlign w:val="center"/>
          </w:tcPr>
          <w:p>
            <w:pPr>
              <w:pStyle w:val="TableContents"/>
              <w:bidi w:val="0"/>
              <w:spacing w:before="0" w:after="283"/>
              <w:jc w:val="center"/>
              <w:rPr>
                <w:b/>
              </w:rPr>
            </w:pPr>
            <w:r>
              <w:rPr>
                <w:b/>
              </w:rPr>
              <w:t>Maximum</w:t>
            </w:r>
          </w:p>
        </w:tc>
        <w:tc>
          <w:tcPr>
            <w:tcW w:w="275"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770" w:type="dxa"/>
            <w:gridSpan w:val="2"/>
            <w:tcBorders/>
            <w:shd w:fill="FDEEF1" w:val="clear"/>
            <w:vAlign w:val="center"/>
          </w:tcPr>
          <w:p>
            <w:pPr>
              <w:pStyle w:val="TableContents"/>
              <w:bidi w:val="0"/>
              <w:spacing w:before="0" w:after="283"/>
              <w:jc w:val="center"/>
              <w:rPr>
                <w:b/>
              </w:rPr>
            </w:pPr>
            <w:r>
              <w:rPr>
                <w:b/>
              </w:rPr>
              <w:t>Actual(2)</w:t>
            </w:r>
          </w:p>
        </w:tc>
        <w:tc>
          <w:tcPr>
            <w:tcW w:w="275"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070" w:type="dxa"/>
            <w:gridSpan w:val="2"/>
            <w:tcBorders/>
            <w:shd w:fill="FDEEF1" w:val="clear"/>
            <w:vAlign w:val="center"/>
          </w:tcPr>
          <w:p>
            <w:pPr>
              <w:pStyle w:val="TableContents"/>
              <w:bidi w:val="0"/>
              <w:spacing w:before="0" w:after="283"/>
              <w:jc w:val="center"/>
              <w:rPr>
                <w:b/>
              </w:rPr>
            </w:pPr>
            <w:r>
              <w:rPr>
                <w:b/>
              </w:rPr>
              <w:t>Threshold</w:t>
            </w:r>
          </w:p>
        </w:tc>
        <w:tc>
          <w:tcPr>
            <w:tcW w:w="275"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785" w:type="dxa"/>
            <w:gridSpan w:val="2"/>
            <w:tcBorders/>
            <w:shd w:fill="FDEEF1" w:val="clear"/>
            <w:vAlign w:val="center"/>
          </w:tcPr>
          <w:p>
            <w:pPr>
              <w:pStyle w:val="TableContents"/>
              <w:bidi w:val="0"/>
              <w:spacing w:before="0" w:after="283"/>
              <w:jc w:val="center"/>
              <w:rPr>
                <w:b/>
              </w:rPr>
            </w:pPr>
            <w:r>
              <w:rPr>
                <w:b/>
              </w:rPr>
              <w:t>Target(1)</w:t>
            </w:r>
          </w:p>
        </w:tc>
        <w:tc>
          <w:tcPr>
            <w:tcW w:w="275"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070" w:type="dxa"/>
            <w:gridSpan w:val="2"/>
            <w:tcBorders/>
            <w:shd w:fill="FDEEF1" w:val="clear"/>
            <w:vAlign w:val="center"/>
          </w:tcPr>
          <w:p>
            <w:pPr>
              <w:pStyle w:val="TableContents"/>
              <w:bidi w:val="0"/>
              <w:spacing w:before="0" w:after="283"/>
              <w:jc w:val="center"/>
              <w:rPr>
                <w:b/>
              </w:rPr>
            </w:pPr>
            <w:r>
              <w:rPr>
                <w:b/>
              </w:rPr>
              <w:t>Maximum</w:t>
            </w:r>
          </w:p>
        </w:tc>
        <w:tc>
          <w:tcPr>
            <w:tcW w:w="275"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770" w:type="dxa"/>
            <w:gridSpan w:val="2"/>
            <w:tcBorders/>
            <w:shd w:fill="FDEEF1" w:val="clear"/>
            <w:vAlign w:val="center"/>
          </w:tcPr>
          <w:p>
            <w:pPr>
              <w:pStyle w:val="TableContents"/>
              <w:bidi w:val="0"/>
              <w:spacing w:before="0" w:after="283"/>
              <w:jc w:val="center"/>
              <w:rPr>
                <w:b/>
              </w:rPr>
            </w:pPr>
            <w:r>
              <w:rPr>
                <w:b/>
              </w:rPr>
              <w:t>Actual(2)</w:t>
            </w:r>
          </w:p>
        </w:tc>
        <w:tc>
          <w:tcPr>
            <w:tcW w:w="275"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070" w:type="dxa"/>
            <w:gridSpan w:val="2"/>
            <w:tcBorders/>
            <w:shd w:fill="FDEEF1" w:val="clear"/>
            <w:vAlign w:val="center"/>
          </w:tcPr>
          <w:p>
            <w:pPr>
              <w:pStyle w:val="TableContents"/>
              <w:bidi w:val="0"/>
              <w:spacing w:before="0" w:after="283"/>
              <w:jc w:val="center"/>
              <w:rPr>
                <w:b/>
              </w:rPr>
            </w:pPr>
            <w:r>
              <w:rPr>
                <w:b/>
              </w:rPr>
              <w:t>Threshold</w:t>
            </w:r>
          </w:p>
        </w:tc>
        <w:tc>
          <w:tcPr>
            <w:tcW w:w="275"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785" w:type="dxa"/>
            <w:gridSpan w:val="2"/>
            <w:tcBorders/>
            <w:shd w:fill="FDEEF1" w:val="clear"/>
            <w:vAlign w:val="center"/>
          </w:tcPr>
          <w:p>
            <w:pPr>
              <w:pStyle w:val="TableContents"/>
              <w:bidi w:val="0"/>
              <w:spacing w:before="0" w:after="283"/>
              <w:jc w:val="center"/>
              <w:rPr>
                <w:b/>
              </w:rPr>
            </w:pPr>
            <w:r>
              <w:rPr>
                <w:b/>
              </w:rPr>
              <w:t>Target(1)</w:t>
            </w:r>
          </w:p>
        </w:tc>
        <w:tc>
          <w:tcPr>
            <w:tcW w:w="275"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070" w:type="dxa"/>
            <w:gridSpan w:val="2"/>
            <w:tcBorders/>
            <w:shd w:fill="FDEEF1" w:val="clear"/>
            <w:vAlign w:val="center"/>
          </w:tcPr>
          <w:p>
            <w:pPr>
              <w:pStyle w:val="TableContents"/>
              <w:bidi w:val="0"/>
              <w:spacing w:before="0" w:after="283"/>
              <w:jc w:val="center"/>
              <w:rPr>
                <w:b/>
              </w:rPr>
            </w:pPr>
            <w:r>
              <w:rPr>
                <w:b/>
              </w:rPr>
              <w:t>Maximum</w:t>
            </w:r>
          </w:p>
        </w:tc>
        <w:tc>
          <w:tcPr>
            <w:tcW w:w="275"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770" w:type="dxa"/>
            <w:gridSpan w:val="2"/>
            <w:tcBorders/>
            <w:shd w:fill="FDEEF1" w:val="clear"/>
            <w:vAlign w:val="center"/>
          </w:tcPr>
          <w:p>
            <w:pPr>
              <w:pStyle w:val="TableContents"/>
              <w:bidi w:val="0"/>
              <w:spacing w:before="0" w:after="283"/>
              <w:jc w:val="center"/>
              <w:rPr>
                <w:b/>
              </w:rPr>
            </w:pPr>
            <w:r>
              <w:rPr>
                <w:b/>
              </w:rPr>
              <w:t>Actual(2)</w:t>
            </w:r>
          </w:p>
        </w:tc>
        <w:tc>
          <w:tcPr>
            <w:tcW w:w="290" w:type="dxa"/>
            <w:tcBorders/>
            <w:shd w:fill="FDEEF1" w:val="cle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sz w:val="4"/>
                <w:szCs w:val="4"/>
              </w:rPr>
            </w:pPr>
            <w:r>
              <w:rPr>
                <w:sz w:val="4"/>
                <w:szCs w:val="4"/>
              </w:rPr>
            </w:r>
          </w:p>
        </w:tc>
        <w:tc>
          <w:tcPr>
            <w:tcW w:w="1405" w:type="dxa"/>
            <w:gridSpan w:val="4"/>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405" w:type="dxa"/>
            <w:gridSpan w:val="4"/>
            <w:tcBorders/>
            <w:vAlign w:val="center"/>
          </w:tcPr>
          <w:p>
            <w:pPr>
              <w:pStyle w:val="TableContents"/>
              <w:bidi w:val="0"/>
              <w:spacing w:before="0" w:after="283"/>
              <w:jc w:val="left"/>
              <w:rPr>
                <w:sz w:val="4"/>
                <w:szCs w:val="4"/>
              </w:rPr>
            </w:pPr>
            <w:r>
              <w:rPr>
                <w:sz w:val="4"/>
                <w:szCs w:val="4"/>
              </w:rPr>
            </w:r>
          </w:p>
        </w:tc>
        <w:tc>
          <w:tcPr>
            <w:tcW w:w="1105" w:type="dxa"/>
            <w:gridSpan w:val="4"/>
            <w:tcBorders/>
            <w:vAlign w:val="center"/>
          </w:tcPr>
          <w:p>
            <w:pPr>
              <w:pStyle w:val="TableContents"/>
              <w:bidi w:val="0"/>
              <w:spacing w:before="0" w:after="283"/>
              <w:jc w:val="left"/>
              <w:rPr>
                <w:sz w:val="4"/>
                <w:szCs w:val="4"/>
              </w:rPr>
            </w:pPr>
            <w:r>
              <w:rPr>
                <w:sz w:val="4"/>
                <w:szCs w:val="4"/>
              </w:rPr>
            </w:r>
          </w:p>
        </w:tc>
        <w:tc>
          <w:tcPr>
            <w:tcW w:w="1405" w:type="dxa"/>
            <w:gridSpan w:val="4"/>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405" w:type="dxa"/>
            <w:gridSpan w:val="4"/>
            <w:tcBorders/>
            <w:vAlign w:val="center"/>
          </w:tcPr>
          <w:p>
            <w:pPr>
              <w:pStyle w:val="TableContents"/>
              <w:bidi w:val="0"/>
              <w:spacing w:before="0" w:after="283"/>
              <w:jc w:val="left"/>
              <w:rPr>
                <w:sz w:val="4"/>
                <w:szCs w:val="4"/>
              </w:rPr>
            </w:pPr>
            <w:r>
              <w:rPr>
                <w:sz w:val="4"/>
                <w:szCs w:val="4"/>
              </w:rPr>
            </w:r>
          </w:p>
        </w:tc>
        <w:tc>
          <w:tcPr>
            <w:tcW w:w="1105" w:type="dxa"/>
            <w:gridSpan w:val="4"/>
            <w:tcBorders/>
            <w:vAlign w:val="center"/>
          </w:tcPr>
          <w:p>
            <w:pPr>
              <w:pStyle w:val="TableContents"/>
              <w:bidi w:val="0"/>
              <w:spacing w:before="0" w:after="283"/>
              <w:jc w:val="left"/>
              <w:rPr>
                <w:sz w:val="4"/>
                <w:szCs w:val="4"/>
              </w:rPr>
            </w:pPr>
            <w:r>
              <w:rPr>
                <w:sz w:val="4"/>
                <w:szCs w:val="4"/>
              </w:rPr>
            </w:r>
          </w:p>
        </w:tc>
        <w:tc>
          <w:tcPr>
            <w:tcW w:w="1405" w:type="dxa"/>
            <w:gridSpan w:val="4"/>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405" w:type="dxa"/>
            <w:gridSpan w:val="4"/>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6" w:space="0" w:color="FBDDE3"/>
            </w:tcBorders>
            <w:tcMar>
              <w:bottom w:w="60" w:type="dxa"/>
            </w:tcMar>
            <w:vAlign w:val="center"/>
          </w:tcPr>
          <w:p>
            <w:pPr>
              <w:pStyle w:val="TableContents"/>
              <w:bidi w:val="0"/>
              <w:spacing w:before="0" w:after="0"/>
              <w:jc w:val="left"/>
              <w:rPr>
                <w:rFonts w:ascii="arial" w:hAnsi="arial"/>
                <w:sz w:val="17"/>
              </w:rPr>
            </w:pPr>
            <w:r>
              <w:rPr>
                <w:rFonts w:ascii="arial" w:hAnsi="arial"/>
                <w:sz w:val="17"/>
              </w:rPr>
              <w:t>Revenue $ ($ millions)</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03" w:type="dxa"/>
            <w:tcBorders>
              <w:bottom w:val="single" w:sz="6" w:space="0" w:color="FBDDE3"/>
            </w:tcBorders>
            <w:tcMar>
              <w:bottom w:w="60" w:type="dxa"/>
            </w:tcMar>
            <w:vAlign w:val="center"/>
          </w:tcPr>
          <w:p>
            <w:pPr>
              <w:pStyle w:val="TableContents"/>
              <w:bidi w:val="0"/>
              <w:spacing w:before="0" w:after="283"/>
              <w:jc w:val="left"/>
              <w:rPr/>
            </w:pPr>
            <w:r>
              <w:rPr/>
              <w:t> </w:t>
            </w:r>
          </w:p>
        </w:tc>
        <w:tc>
          <w:tcPr>
            <w:tcW w:w="967" w:type="dxa"/>
            <w:tcBorders>
              <w:bottom w:val="single" w:sz="6" w:space="0" w:color="FBDDE3"/>
            </w:tcBorders>
            <w:tcMar>
              <w:bottom w:w="60" w:type="dxa"/>
            </w:tcMar>
            <w:vAlign w:val="center"/>
          </w:tcPr>
          <w:p>
            <w:pPr>
              <w:pStyle w:val="TableContents"/>
              <w:bidi w:val="0"/>
              <w:spacing w:before="0" w:after="283"/>
              <w:jc w:val="right"/>
              <w:rPr/>
            </w:pPr>
            <w:r>
              <w:rPr/>
              <w:t>2,760</w:t>
            </w:r>
          </w:p>
        </w:tc>
        <w:tc>
          <w:tcPr>
            <w:tcW w:w="275"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c>
          <w:tcPr>
            <w:tcW w:w="710" w:type="dxa"/>
            <w:tcBorders>
              <w:bottom w:val="single" w:sz="6" w:space="0" w:color="FBDDE3"/>
            </w:tcBorders>
            <w:tcMar>
              <w:bottom w:w="60" w:type="dxa"/>
            </w:tcMar>
            <w:vAlign w:val="center"/>
          </w:tcPr>
          <w:p>
            <w:pPr>
              <w:pStyle w:val="TableContents"/>
              <w:bidi w:val="0"/>
              <w:spacing w:before="0" w:after="283"/>
              <w:jc w:val="right"/>
              <w:rPr/>
            </w:pPr>
            <w:r>
              <w:rPr/>
              <w:t>2,935</w:t>
            </w:r>
          </w:p>
        </w:tc>
        <w:tc>
          <w:tcPr>
            <w:tcW w:w="275"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03" w:type="dxa"/>
            <w:tcBorders>
              <w:bottom w:val="single" w:sz="6" w:space="0" w:color="FBDDE3"/>
            </w:tcBorders>
            <w:tcMar>
              <w:bottom w:w="60" w:type="dxa"/>
            </w:tcMar>
            <w:vAlign w:val="center"/>
          </w:tcPr>
          <w:p>
            <w:pPr>
              <w:pStyle w:val="TableContents"/>
              <w:bidi w:val="0"/>
              <w:spacing w:before="0" w:after="283"/>
              <w:jc w:val="left"/>
              <w:rPr/>
            </w:pPr>
            <w:r>
              <w:rPr/>
              <w:t> </w:t>
            </w:r>
          </w:p>
        </w:tc>
        <w:tc>
          <w:tcPr>
            <w:tcW w:w="967" w:type="dxa"/>
            <w:tcBorders>
              <w:bottom w:val="single" w:sz="6" w:space="0" w:color="FBDDE3"/>
            </w:tcBorders>
            <w:tcMar>
              <w:bottom w:w="60" w:type="dxa"/>
            </w:tcMar>
            <w:vAlign w:val="center"/>
          </w:tcPr>
          <w:p>
            <w:pPr>
              <w:pStyle w:val="TableContents"/>
              <w:bidi w:val="0"/>
              <w:spacing w:before="0" w:after="283"/>
              <w:jc w:val="right"/>
              <w:rPr/>
            </w:pPr>
            <w:r>
              <w:rPr/>
              <w:t>3,070</w:t>
            </w:r>
          </w:p>
        </w:tc>
        <w:tc>
          <w:tcPr>
            <w:tcW w:w="275"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4" w:type="dxa"/>
            <w:tcBorders>
              <w:bottom w:val="single" w:sz="6" w:space="0" w:color="FBDDE3"/>
            </w:tcBorders>
            <w:tcMar>
              <w:bottom w:w="60" w:type="dxa"/>
            </w:tcMar>
            <w:vAlign w:val="center"/>
          </w:tcPr>
          <w:p>
            <w:pPr>
              <w:pStyle w:val="TableContents"/>
              <w:bidi w:val="0"/>
              <w:spacing w:before="0" w:after="283"/>
              <w:jc w:val="left"/>
              <w:rPr/>
            </w:pPr>
            <w:r>
              <w:rPr/>
              <w:t> </w:t>
            </w:r>
          </w:p>
        </w:tc>
        <w:tc>
          <w:tcPr>
            <w:tcW w:w="696" w:type="dxa"/>
            <w:tcBorders>
              <w:bottom w:val="single" w:sz="6" w:space="0" w:color="FBDDE3"/>
            </w:tcBorders>
            <w:tcMar>
              <w:bottom w:w="60" w:type="dxa"/>
            </w:tcMar>
            <w:vAlign w:val="center"/>
          </w:tcPr>
          <w:p>
            <w:pPr>
              <w:pStyle w:val="TableContents"/>
              <w:bidi w:val="0"/>
              <w:spacing w:before="0" w:after="283"/>
              <w:jc w:val="right"/>
              <w:rPr/>
            </w:pPr>
            <w:r>
              <w:rPr/>
              <w:t>2,688</w:t>
            </w:r>
          </w:p>
        </w:tc>
        <w:tc>
          <w:tcPr>
            <w:tcW w:w="275"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03" w:type="dxa"/>
            <w:tcBorders>
              <w:bottom w:val="single" w:sz="6" w:space="0" w:color="FBDDE3"/>
            </w:tcBorders>
            <w:tcMar>
              <w:bottom w:w="60" w:type="dxa"/>
            </w:tcMar>
            <w:vAlign w:val="center"/>
          </w:tcPr>
          <w:p>
            <w:pPr>
              <w:pStyle w:val="TableContents"/>
              <w:bidi w:val="0"/>
              <w:spacing w:before="0" w:after="283"/>
              <w:jc w:val="left"/>
              <w:rPr/>
            </w:pPr>
            <w:r>
              <w:rPr/>
              <w:t> </w:t>
            </w:r>
          </w:p>
        </w:tc>
        <w:tc>
          <w:tcPr>
            <w:tcW w:w="967" w:type="dxa"/>
            <w:tcBorders>
              <w:bottom w:val="single" w:sz="6" w:space="0" w:color="FBDDE3"/>
            </w:tcBorders>
            <w:tcMar>
              <w:bottom w:w="60" w:type="dxa"/>
            </w:tcMar>
            <w:vAlign w:val="center"/>
          </w:tcPr>
          <w:p>
            <w:pPr>
              <w:pStyle w:val="TableContents"/>
              <w:bidi w:val="0"/>
              <w:spacing w:before="0" w:after="283"/>
              <w:jc w:val="right"/>
              <w:rPr/>
            </w:pPr>
            <w:r>
              <w:rPr/>
              <w:t>3,090</w:t>
            </w:r>
          </w:p>
        </w:tc>
        <w:tc>
          <w:tcPr>
            <w:tcW w:w="275"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c>
          <w:tcPr>
            <w:tcW w:w="710" w:type="dxa"/>
            <w:tcBorders>
              <w:bottom w:val="single" w:sz="6" w:space="0" w:color="FBDDE3"/>
            </w:tcBorders>
            <w:tcMar>
              <w:bottom w:w="60" w:type="dxa"/>
            </w:tcMar>
            <w:vAlign w:val="center"/>
          </w:tcPr>
          <w:p>
            <w:pPr>
              <w:pStyle w:val="TableContents"/>
              <w:bidi w:val="0"/>
              <w:spacing w:before="0" w:after="283"/>
              <w:jc w:val="right"/>
              <w:rPr/>
            </w:pPr>
            <w:r>
              <w:rPr/>
              <w:t>3,285</w:t>
            </w:r>
          </w:p>
        </w:tc>
        <w:tc>
          <w:tcPr>
            <w:tcW w:w="275"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03" w:type="dxa"/>
            <w:tcBorders>
              <w:bottom w:val="single" w:sz="6" w:space="0" w:color="FBDDE3"/>
            </w:tcBorders>
            <w:tcMar>
              <w:bottom w:w="60" w:type="dxa"/>
            </w:tcMar>
            <w:vAlign w:val="center"/>
          </w:tcPr>
          <w:p>
            <w:pPr>
              <w:pStyle w:val="TableContents"/>
              <w:bidi w:val="0"/>
              <w:spacing w:before="0" w:after="283"/>
              <w:jc w:val="left"/>
              <w:rPr/>
            </w:pPr>
            <w:r>
              <w:rPr/>
              <w:t> </w:t>
            </w:r>
          </w:p>
        </w:tc>
        <w:tc>
          <w:tcPr>
            <w:tcW w:w="967" w:type="dxa"/>
            <w:tcBorders>
              <w:bottom w:val="single" w:sz="6" w:space="0" w:color="FBDDE3"/>
            </w:tcBorders>
            <w:tcMar>
              <w:bottom w:w="60" w:type="dxa"/>
            </w:tcMar>
            <w:vAlign w:val="center"/>
          </w:tcPr>
          <w:p>
            <w:pPr>
              <w:pStyle w:val="TableContents"/>
              <w:bidi w:val="0"/>
              <w:spacing w:before="0" w:after="283"/>
              <w:jc w:val="right"/>
              <w:rPr/>
            </w:pPr>
            <w:r>
              <w:rPr/>
              <w:t>3,520</w:t>
            </w:r>
          </w:p>
        </w:tc>
        <w:tc>
          <w:tcPr>
            <w:tcW w:w="275"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4" w:type="dxa"/>
            <w:tcBorders>
              <w:bottom w:val="single" w:sz="6" w:space="0" w:color="FBDDE3"/>
            </w:tcBorders>
            <w:tcMar>
              <w:bottom w:w="60" w:type="dxa"/>
            </w:tcMar>
            <w:vAlign w:val="center"/>
          </w:tcPr>
          <w:p>
            <w:pPr>
              <w:pStyle w:val="TableContents"/>
              <w:bidi w:val="0"/>
              <w:spacing w:before="0" w:after="283"/>
              <w:jc w:val="left"/>
              <w:rPr/>
            </w:pPr>
            <w:r>
              <w:rPr/>
              <w:t> </w:t>
            </w:r>
          </w:p>
        </w:tc>
        <w:tc>
          <w:tcPr>
            <w:tcW w:w="696" w:type="dxa"/>
            <w:tcBorders>
              <w:bottom w:val="single" w:sz="6" w:space="0" w:color="FBDDE3"/>
            </w:tcBorders>
            <w:tcMar>
              <w:bottom w:w="60" w:type="dxa"/>
            </w:tcMar>
            <w:vAlign w:val="center"/>
          </w:tcPr>
          <w:p>
            <w:pPr>
              <w:pStyle w:val="TableContents"/>
              <w:bidi w:val="0"/>
              <w:spacing w:before="0" w:after="283"/>
              <w:jc w:val="right"/>
              <w:rPr/>
            </w:pPr>
            <w:r>
              <w:rPr/>
              <w:t>3,215</w:t>
            </w:r>
          </w:p>
        </w:tc>
        <w:tc>
          <w:tcPr>
            <w:tcW w:w="275"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03" w:type="dxa"/>
            <w:tcBorders>
              <w:bottom w:val="single" w:sz="6" w:space="0" w:color="FBDDE3"/>
            </w:tcBorders>
            <w:tcMar>
              <w:bottom w:w="60" w:type="dxa"/>
            </w:tcMar>
            <w:vAlign w:val="center"/>
          </w:tcPr>
          <w:p>
            <w:pPr>
              <w:pStyle w:val="TableContents"/>
              <w:bidi w:val="0"/>
              <w:spacing w:before="0" w:after="283"/>
              <w:jc w:val="left"/>
              <w:rPr/>
            </w:pPr>
            <w:r>
              <w:rPr/>
              <w:t> </w:t>
            </w:r>
          </w:p>
        </w:tc>
        <w:tc>
          <w:tcPr>
            <w:tcW w:w="967" w:type="dxa"/>
            <w:tcBorders>
              <w:bottom w:val="single" w:sz="6" w:space="0" w:color="FBDDE3"/>
            </w:tcBorders>
            <w:tcMar>
              <w:bottom w:w="60" w:type="dxa"/>
            </w:tcMar>
            <w:vAlign w:val="center"/>
          </w:tcPr>
          <w:p>
            <w:pPr>
              <w:pStyle w:val="TableContents"/>
              <w:bidi w:val="0"/>
              <w:spacing w:before="0" w:after="283"/>
              <w:jc w:val="right"/>
              <w:rPr/>
            </w:pPr>
            <w:r>
              <w:rPr/>
              <w:t>6,455</w:t>
            </w:r>
          </w:p>
        </w:tc>
        <w:tc>
          <w:tcPr>
            <w:tcW w:w="275"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c>
          <w:tcPr>
            <w:tcW w:w="710" w:type="dxa"/>
            <w:tcBorders>
              <w:bottom w:val="single" w:sz="6" w:space="0" w:color="FBDDE3"/>
            </w:tcBorders>
            <w:tcMar>
              <w:bottom w:w="60" w:type="dxa"/>
            </w:tcMar>
            <w:vAlign w:val="center"/>
          </w:tcPr>
          <w:p>
            <w:pPr>
              <w:pStyle w:val="TableContents"/>
              <w:bidi w:val="0"/>
              <w:spacing w:before="0" w:after="283"/>
              <w:jc w:val="right"/>
              <w:rPr/>
            </w:pPr>
            <w:r>
              <w:rPr/>
              <w:t>6,750</w:t>
            </w:r>
          </w:p>
        </w:tc>
        <w:tc>
          <w:tcPr>
            <w:tcW w:w="275"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03" w:type="dxa"/>
            <w:tcBorders>
              <w:bottom w:val="single" w:sz="6" w:space="0" w:color="FBDDE3"/>
            </w:tcBorders>
            <w:tcMar>
              <w:bottom w:w="60" w:type="dxa"/>
            </w:tcMar>
            <w:vAlign w:val="center"/>
          </w:tcPr>
          <w:p>
            <w:pPr>
              <w:pStyle w:val="TableContents"/>
              <w:bidi w:val="0"/>
              <w:spacing w:before="0" w:after="283"/>
              <w:jc w:val="left"/>
              <w:rPr/>
            </w:pPr>
            <w:r>
              <w:rPr/>
              <w:t> </w:t>
            </w:r>
          </w:p>
        </w:tc>
        <w:tc>
          <w:tcPr>
            <w:tcW w:w="967" w:type="dxa"/>
            <w:tcBorders>
              <w:bottom w:val="single" w:sz="6" w:space="0" w:color="FBDDE3"/>
            </w:tcBorders>
            <w:tcMar>
              <w:bottom w:w="60" w:type="dxa"/>
            </w:tcMar>
            <w:vAlign w:val="center"/>
          </w:tcPr>
          <w:p>
            <w:pPr>
              <w:pStyle w:val="TableContents"/>
              <w:bidi w:val="0"/>
              <w:spacing w:before="0" w:after="283"/>
              <w:jc w:val="right"/>
              <w:rPr/>
            </w:pPr>
            <w:r>
              <w:rPr/>
              <w:t>6,965</w:t>
            </w:r>
          </w:p>
        </w:tc>
        <w:tc>
          <w:tcPr>
            <w:tcW w:w="275"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4" w:type="dxa"/>
            <w:tcBorders>
              <w:bottom w:val="single" w:sz="6" w:space="0" w:color="FBDDE3"/>
            </w:tcBorders>
            <w:tcMar>
              <w:bottom w:w="60" w:type="dxa"/>
            </w:tcMar>
            <w:vAlign w:val="center"/>
          </w:tcPr>
          <w:p>
            <w:pPr>
              <w:pStyle w:val="TableContents"/>
              <w:bidi w:val="0"/>
              <w:spacing w:before="0" w:after="283"/>
              <w:jc w:val="left"/>
              <w:rPr/>
            </w:pPr>
            <w:r>
              <w:rPr/>
              <w:t> </w:t>
            </w:r>
          </w:p>
        </w:tc>
        <w:tc>
          <w:tcPr>
            <w:tcW w:w="696" w:type="dxa"/>
            <w:tcBorders>
              <w:bottom w:val="single" w:sz="6" w:space="0" w:color="FBDDE3"/>
            </w:tcBorders>
            <w:tcMar>
              <w:bottom w:w="60" w:type="dxa"/>
            </w:tcMar>
            <w:vAlign w:val="center"/>
          </w:tcPr>
          <w:p>
            <w:pPr>
              <w:pStyle w:val="TableContents"/>
              <w:bidi w:val="0"/>
              <w:spacing w:before="0" w:after="283"/>
              <w:jc w:val="right"/>
              <w:rPr/>
            </w:pPr>
            <w:r>
              <w:rPr/>
              <w:t>6,182</w:t>
            </w:r>
          </w:p>
        </w:tc>
        <w:tc>
          <w:tcPr>
            <w:tcW w:w="290"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sz w:val="4"/>
                <w:szCs w:val="4"/>
              </w:rPr>
            </w:pPr>
            <w:r>
              <w:rPr>
                <w:sz w:val="4"/>
                <w:szCs w:val="4"/>
              </w:rPr>
            </w:r>
          </w:p>
        </w:tc>
        <w:tc>
          <w:tcPr>
            <w:tcW w:w="1405" w:type="dxa"/>
            <w:gridSpan w:val="4"/>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405" w:type="dxa"/>
            <w:gridSpan w:val="4"/>
            <w:tcBorders/>
            <w:vAlign w:val="center"/>
          </w:tcPr>
          <w:p>
            <w:pPr>
              <w:pStyle w:val="TableContents"/>
              <w:bidi w:val="0"/>
              <w:spacing w:before="0" w:after="283"/>
              <w:jc w:val="left"/>
              <w:rPr>
                <w:sz w:val="4"/>
                <w:szCs w:val="4"/>
              </w:rPr>
            </w:pPr>
            <w:r>
              <w:rPr>
                <w:sz w:val="4"/>
                <w:szCs w:val="4"/>
              </w:rPr>
            </w:r>
          </w:p>
        </w:tc>
        <w:tc>
          <w:tcPr>
            <w:tcW w:w="1105" w:type="dxa"/>
            <w:gridSpan w:val="4"/>
            <w:tcBorders/>
            <w:vAlign w:val="center"/>
          </w:tcPr>
          <w:p>
            <w:pPr>
              <w:pStyle w:val="TableContents"/>
              <w:bidi w:val="0"/>
              <w:spacing w:before="0" w:after="283"/>
              <w:jc w:val="left"/>
              <w:rPr>
                <w:sz w:val="4"/>
                <w:szCs w:val="4"/>
              </w:rPr>
            </w:pPr>
            <w:r>
              <w:rPr>
                <w:sz w:val="4"/>
                <w:szCs w:val="4"/>
              </w:rPr>
            </w:r>
          </w:p>
        </w:tc>
        <w:tc>
          <w:tcPr>
            <w:tcW w:w="1405" w:type="dxa"/>
            <w:gridSpan w:val="4"/>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405" w:type="dxa"/>
            <w:gridSpan w:val="4"/>
            <w:tcBorders/>
            <w:vAlign w:val="center"/>
          </w:tcPr>
          <w:p>
            <w:pPr>
              <w:pStyle w:val="TableContents"/>
              <w:bidi w:val="0"/>
              <w:spacing w:before="0" w:after="283"/>
              <w:jc w:val="left"/>
              <w:rPr>
                <w:sz w:val="4"/>
                <w:szCs w:val="4"/>
              </w:rPr>
            </w:pPr>
            <w:r>
              <w:rPr>
                <w:sz w:val="4"/>
                <w:szCs w:val="4"/>
              </w:rPr>
            </w:r>
          </w:p>
        </w:tc>
        <w:tc>
          <w:tcPr>
            <w:tcW w:w="1105" w:type="dxa"/>
            <w:gridSpan w:val="4"/>
            <w:tcBorders/>
            <w:vAlign w:val="center"/>
          </w:tcPr>
          <w:p>
            <w:pPr>
              <w:pStyle w:val="TableContents"/>
              <w:bidi w:val="0"/>
              <w:spacing w:before="0" w:after="283"/>
              <w:jc w:val="left"/>
              <w:rPr>
                <w:sz w:val="4"/>
                <w:szCs w:val="4"/>
              </w:rPr>
            </w:pPr>
            <w:r>
              <w:rPr>
                <w:sz w:val="4"/>
                <w:szCs w:val="4"/>
              </w:rPr>
            </w:r>
          </w:p>
        </w:tc>
        <w:tc>
          <w:tcPr>
            <w:tcW w:w="1405" w:type="dxa"/>
            <w:gridSpan w:val="4"/>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405" w:type="dxa"/>
            <w:gridSpan w:val="4"/>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6" w:space="0" w:color="FBDDE3"/>
            </w:tcBorders>
            <w:tcMar>
              <w:bottom w:w="60" w:type="dxa"/>
            </w:tcMar>
            <w:vAlign w:val="center"/>
          </w:tcPr>
          <w:p>
            <w:pPr>
              <w:pStyle w:val="TableContents"/>
              <w:bidi w:val="0"/>
              <w:spacing w:before="0" w:after="0"/>
              <w:jc w:val="left"/>
              <w:rPr>
                <w:rFonts w:ascii="arial" w:hAnsi="arial"/>
                <w:sz w:val="17"/>
              </w:rPr>
            </w:pPr>
            <w:r>
              <w:rPr>
                <w:rFonts w:ascii="arial" w:hAnsi="arial"/>
                <w:sz w:val="17"/>
              </w:rPr>
              <w:t>OI $ Performance ($ millions)</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03" w:type="dxa"/>
            <w:tcBorders>
              <w:bottom w:val="single" w:sz="6" w:space="0" w:color="FBDDE3"/>
            </w:tcBorders>
            <w:tcMar>
              <w:bottom w:w="60" w:type="dxa"/>
            </w:tcMar>
            <w:vAlign w:val="center"/>
          </w:tcPr>
          <w:p>
            <w:pPr>
              <w:pStyle w:val="TableContents"/>
              <w:bidi w:val="0"/>
              <w:spacing w:before="0" w:after="283"/>
              <w:jc w:val="left"/>
              <w:rPr/>
            </w:pPr>
            <w:r>
              <w:rPr/>
              <w:t> </w:t>
            </w:r>
          </w:p>
        </w:tc>
        <w:tc>
          <w:tcPr>
            <w:tcW w:w="967" w:type="dxa"/>
            <w:tcBorders>
              <w:bottom w:val="single" w:sz="6" w:space="0" w:color="FBDDE3"/>
            </w:tcBorders>
            <w:tcMar>
              <w:bottom w:w="60" w:type="dxa"/>
            </w:tcMar>
            <w:vAlign w:val="center"/>
          </w:tcPr>
          <w:p>
            <w:pPr>
              <w:pStyle w:val="TableContents"/>
              <w:bidi w:val="0"/>
              <w:spacing w:before="0" w:after="283"/>
              <w:jc w:val="right"/>
              <w:rPr/>
            </w:pPr>
            <w:r>
              <w:rPr/>
              <w:t>155</w:t>
            </w:r>
          </w:p>
        </w:tc>
        <w:tc>
          <w:tcPr>
            <w:tcW w:w="275"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c>
          <w:tcPr>
            <w:tcW w:w="710" w:type="dxa"/>
            <w:tcBorders>
              <w:bottom w:val="single" w:sz="6" w:space="0" w:color="FBDDE3"/>
            </w:tcBorders>
            <w:tcMar>
              <w:bottom w:w="60" w:type="dxa"/>
            </w:tcMar>
            <w:vAlign w:val="center"/>
          </w:tcPr>
          <w:p>
            <w:pPr>
              <w:pStyle w:val="TableContents"/>
              <w:bidi w:val="0"/>
              <w:spacing w:before="0" w:after="283"/>
              <w:jc w:val="right"/>
              <w:rPr/>
            </w:pPr>
            <w:r>
              <w:rPr/>
              <w:t>230</w:t>
            </w:r>
          </w:p>
        </w:tc>
        <w:tc>
          <w:tcPr>
            <w:tcW w:w="275"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03" w:type="dxa"/>
            <w:tcBorders>
              <w:bottom w:val="single" w:sz="6" w:space="0" w:color="FBDDE3"/>
            </w:tcBorders>
            <w:tcMar>
              <w:bottom w:w="60" w:type="dxa"/>
            </w:tcMar>
            <w:vAlign w:val="center"/>
          </w:tcPr>
          <w:p>
            <w:pPr>
              <w:pStyle w:val="TableContents"/>
              <w:bidi w:val="0"/>
              <w:spacing w:before="0" w:after="283"/>
              <w:jc w:val="left"/>
              <w:rPr/>
            </w:pPr>
            <w:r>
              <w:rPr/>
              <w:t> </w:t>
            </w:r>
          </w:p>
        </w:tc>
        <w:tc>
          <w:tcPr>
            <w:tcW w:w="967" w:type="dxa"/>
            <w:tcBorders>
              <w:bottom w:val="single" w:sz="6" w:space="0" w:color="FBDDE3"/>
            </w:tcBorders>
            <w:tcMar>
              <w:bottom w:w="60" w:type="dxa"/>
            </w:tcMar>
            <w:vAlign w:val="center"/>
          </w:tcPr>
          <w:p>
            <w:pPr>
              <w:pStyle w:val="TableContents"/>
              <w:bidi w:val="0"/>
              <w:spacing w:before="0" w:after="283"/>
              <w:jc w:val="right"/>
              <w:rPr/>
            </w:pPr>
            <w:r>
              <w:rPr/>
              <w:t>305</w:t>
            </w:r>
          </w:p>
        </w:tc>
        <w:tc>
          <w:tcPr>
            <w:tcW w:w="275"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4" w:type="dxa"/>
            <w:tcBorders>
              <w:bottom w:val="single" w:sz="6" w:space="0" w:color="FBDDE3"/>
            </w:tcBorders>
            <w:tcMar>
              <w:bottom w:w="60" w:type="dxa"/>
            </w:tcMar>
            <w:vAlign w:val="center"/>
          </w:tcPr>
          <w:p>
            <w:pPr>
              <w:pStyle w:val="TableContents"/>
              <w:bidi w:val="0"/>
              <w:spacing w:before="0" w:after="283"/>
              <w:jc w:val="left"/>
              <w:rPr/>
            </w:pPr>
            <w:r>
              <w:rPr/>
              <w:t> </w:t>
            </w:r>
          </w:p>
        </w:tc>
        <w:tc>
          <w:tcPr>
            <w:tcW w:w="696" w:type="dxa"/>
            <w:tcBorders>
              <w:bottom w:val="single" w:sz="6" w:space="0" w:color="FBDDE3"/>
            </w:tcBorders>
            <w:tcMar>
              <w:bottom w:w="60" w:type="dxa"/>
            </w:tcMar>
            <w:vAlign w:val="center"/>
          </w:tcPr>
          <w:p>
            <w:pPr>
              <w:pStyle w:val="TableContents"/>
              <w:bidi w:val="0"/>
              <w:spacing w:before="0" w:after="283"/>
              <w:jc w:val="right"/>
              <w:rPr/>
            </w:pPr>
            <w:r>
              <w:rPr/>
              <w:t>98</w:t>
            </w:r>
          </w:p>
        </w:tc>
        <w:tc>
          <w:tcPr>
            <w:tcW w:w="275"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03" w:type="dxa"/>
            <w:tcBorders>
              <w:bottom w:val="single" w:sz="6" w:space="0" w:color="FBDDE3"/>
            </w:tcBorders>
            <w:tcMar>
              <w:bottom w:w="60" w:type="dxa"/>
            </w:tcMar>
            <w:vAlign w:val="center"/>
          </w:tcPr>
          <w:p>
            <w:pPr>
              <w:pStyle w:val="TableContents"/>
              <w:bidi w:val="0"/>
              <w:spacing w:before="0" w:after="283"/>
              <w:jc w:val="left"/>
              <w:rPr/>
            </w:pPr>
            <w:r>
              <w:rPr/>
              <w:t> </w:t>
            </w:r>
          </w:p>
        </w:tc>
        <w:tc>
          <w:tcPr>
            <w:tcW w:w="967" w:type="dxa"/>
            <w:tcBorders>
              <w:bottom w:val="single" w:sz="6" w:space="0" w:color="FBDDE3"/>
            </w:tcBorders>
            <w:tcMar>
              <w:bottom w:w="60" w:type="dxa"/>
            </w:tcMar>
            <w:vAlign w:val="center"/>
          </w:tcPr>
          <w:p>
            <w:pPr>
              <w:pStyle w:val="TableContents"/>
              <w:bidi w:val="0"/>
              <w:spacing w:before="0" w:after="283"/>
              <w:jc w:val="right"/>
              <w:rPr/>
            </w:pPr>
            <w:r>
              <w:rPr/>
              <w:t>130</w:t>
            </w:r>
          </w:p>
        </w:tc>
        <w:tc>
          <w:tcPr>
            <w:tcW w:w="275"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c>
          <w:tcPr>
            <w:tcW w:w="710" w:type="dxa"/>
            <w:tcBorders>
              <w:bottom w:val="single" w:sz="6" w:space="0" w:color="FBDDE3"/>
            </w:tcBorders>
            <w:tcMar>
              <w:bottom w:w="60" w:type="dxa"/>
            </w:tcMar>
            <w:vAlign w:val="center"/>
          </w:tcPr>
          <w:p>
            <w:pPr>
              <w:pStyle w:val="TableContents"/>
              <w:bidi w:val="0"/>
              <w:spacing w:before="0" w:after="283"/>
              <w:jc w:val="right"/>
              <w:rPr/>
            </w:pPr>
            <w:r>
              <w:rPr/>
              <w:t>230</w:t>
            </w:r>
          </w:p>
        </w:tc>
        <w:tc>
          <w:tcPr>
            <w:tcW w:w="275"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03" w:type="dxa"/>
            <w:tcBorders>
              <w:bottom w:val="single" w:sz="6" w:space="0" w:color="FBDDE3"/>
            </w:tcBorders>
            <w:tcMar>
              <w:bottom w:w="60" w:type="dxa"/>
            </w:tcMar>
            <w:vAlign w:val="center"/>
          </w:tcPr>
          <w:p>
            <w:pPr>
              <w:pStyle w:val="TableContents"/>
              <w:bidi w:val="0"/>
              <w:spacing w:before="0" w:after="283"/>
              <w:jc w:val="left"/>
              <w:rPr/>
            </w:pPr>
            <w:r>
              <w:rPr/>
              <w:t> </w:t>
            </w:r>
          </w:p>
        </w:tc>
        <w:tc>
          <w:tcPr>
            <w:tcW w:w="967" w:type="dxa"/>
            <w:tcBorders>
              <w:bottom w:val="single" w:sz="6" w:space="0" w:color="FBDDE3"/>
            </w:tcBorders>
            <w:tcMar>
              <w:bottom w:w="60" w:type="dxa"/>
            </w:tcMar>
            <w:vAlign w:val="center"/>
          </w:tcPr>
          <w:p>
            <w:pPr>
              <w:pStyle w:val="TableContents"/>
              <w:bidi w:val="0"/>
              <w:spacing w:before="0" w:after="283"/>
              <w:jc w:val="right"/>
              <w:rPr/>
            </w:pPr>
            <w:r>
              <w:rPr/>
              <w:t>330</w:t>
            </w:r>
          </w:p>
        </w:tc>
        <w:tc>
          <w:tcPr>
            <w:tcW w:w="275"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4" w:type="dxa"/>
            <w:tcBorders>
              <w:bottom w:val="single" w:sz="6" w:space="0" w:color="FBDDE3"/>
            </w:tcBorders>
            <w:tcMar>
              <w:bottom w:w="60" w:type="dxa"/>
            </w:tcMar>
            <w:vAlign w:val="center"/>
          </w:tcPr>
          <w:p>
            <w:pPr>
              <w:pStyle w:val="TableContents"/>
              <w:bidi w:val="0"/>
              <w:spacing w:before="0" w:after="283"/>
              <w:jc w:val="left"/>
              <w:rPr/>
            </w:pPr>
            <w:r>
              <w:rPr/>
              <w:t> </w:t>
            </w:r>
          </w:p>
        </w:tc>
        <w:tc>
          <w:tcPr>
            <w:tcW w:w="696" w:type="dxa"/>
            <w:tcBorders>
              <w:bottom w:val="single" w:sz="6" w:space="0" w:color="FBDDE3"/>
            </w:tcBorders>
            <w:tcMar>
              <w:bottom w:w="60" w:type="dxa"/>
            </w:tcMar>
            <w:vAlign w:val="center"/>
          </w:tcPr>
          <w:p>
            <w:pPr>
              <w:pStyle w:val="TableContents"/>
              <w:bidi w:val="0"/>
              <w:spacing w:before="0" w:after="283"/>
              <w:jc w:val="right"/>
              <w:rPr/>
            </w:pPr>
            <w:r>
              <w:rPr/>
              <w:t>205</w:t>
            </w:r>
          </w:p>
        </w:tc>
        <w:tc>
          <w:tcPr>
            <w:tcW w:w="275"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03" w:type="dxa"/>
            <w:tcBorders>
              <w:bottom w:val="single" w:sz="6" w:space="0" w:color="FBDDE3"/>
            </w:tcBorders>
            <w:tcMar>
              <w:bottom w:w="60" w:type="dxa"/>
            </w:tcMar>
            <w:vAlign w:val="center"/>
          </w:tcPr>
          <w:p>
            <w:pPr>
              <w:pStyle w:val="TableContents"/>
              <w:bidi w:val="0"/>
              <w:spacing w:before="0" w:after="283"/>
              <w:jc w:val="left"/>
              <w:rPr/>
            </w:pPr>
            <w:r>
              <w:rPr/>
              <w:t> </w:t>
            </w:r>
          </w:p>
        </w:tc>
        <w:tc>
          <w:tcPr>
            <w:tcW w:w="967" w:type="dxa"/>
            <w:tcBorders>
              <w:bottom w:val="single" w:sz="6" w:space="0" w:color="FBDDE3"/>
            </w:tcBorders>
            <w:tcMar>
              <w:bottom w:w="60" w:type="dxa"/>
            </w:tcMar>
            <w:vAlign w:val="center"/>
          </w:tcPr>
          <w:p>
            <w:pPr>
              <w:pStyle w:val="TableContents"/>
              <w:bidi w:val="0"/>
              <w:spacing w:before="0" w:after="283"/>
              <w:jc w:val="right"/>
              <w:rPr/>
            </w:pPr>
            <w:r>
              <w:rPr/>
              <w:t>455</w:t>
            </w:r>
          </w:p>
        </w:tc>
        <w:tc>
          <w:tcPr>
            <w:tcW w:w="275"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c>
          <w:tcPr>
            <w:tcW w:w="710" w:type="dxa"/>
            <w:tcBorders>
              <w:bottom w:val="single" w:sz="6" w:space="0" w:color="FBDDE3"/>
            </w:tcBorders>
            <w:tcMar>
              <w:bottom w:w="60" w:type="dxa"/>
            </w:tcMar>
            <w:vAlign w:val="center"/>
          </w:tcPr>
          <w:p>
            <w:pPr>
              <w:pStyle w:val="TableContents"/>
              <w:bidi w:val="0"/>
              <w:spacing w:before="0" w:after="283"/>
              <w:jc w:val="right"/>
              <w:rPr/>
            </w:pPr>
            <w:r>
              <w:rPr/>
              <w:t>590</w:t>
            </w:r>
          </w:p>
        </w:tc>
        <w:tc>
          <w:tcPr>
            <w:tcW w:w="275"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03" w:type="dxa"/>
            <w:tcBorders>
              <w:bottom w:val="single" w:sz="6" w:space="0" w:color="FBDDE3"/>
            </w:tcBorders>
            <w:tcMar>
              <w:bottom w:w="60" w:type="dxa"/>
            </w:tcMar>
            <w:vAlign w:val="center"/>
          </w:tcPr>
          <w:p>
            <w:pPr>
              <w:pStyle w:val="TableContents"/>
              <w:bidi w:val="0"/>
              <w:spacing w:before="0" w:after="283"/>
              <w:jc w:val="left"/>
              <w:rPr/>
            </w:pPr>
            <w:r>
              <w:rPr/>
              <w:t> </w:t>
            </w:r>
          </w:p>
        </w:tc>
        <w:tc>
          <w:tcPr>
            <w:tcW w:w="967" w:type="dxa"/>
            <w:tcBorders>
              <w:bottom w:val="single" w:sz="6" w:space="0" w:color="FBDDE3"/>
            </w:tcBorders>
            <w:tcMar>
              <w:bottom w:w="60" w:type="dxa"/>
            </w:tcMar>
            <w:vAlign w:val="center"/>
          </w:tcPr>
          <w:p>
            <w:pPr>
              <w:pStyle w:val="TableContents"/>
              <w:bidi w:val="0"/>
              <w:spacing w:before="0" w:after="283"/>
              <w:jc w:val="right"/>
              <w:rPr/>
            </w:pPr>
            <w:r>
              <w:rPr/>
              <w:t>725</w:t>
            </w:r>
          </w:p>
        </w:tc>
        <w:tc>
          <w:tcPr>
            <w:tcW w:w="275"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4" w:type="dxa"/>
            <w:tcBorders>
              <w:bottom w:val="single" w:sz="6" w:space="0" w:color="FBDDE3"/>
            </w:tcBorders>
            <w:tcMar>
              <w:bottom w:w="60" w:type="dxa"/>
            </w:tcMar>
            <w:vAlign w:val="center"/>
          </w:tcPr>
          <w:p>
            <w:pPr>
              <w:pStyle w:val="TableContents"/>
              <w:bidi w:val="0"/>
              <w:spacing w:before="0" w:after="283"/>
              <w:jc w:val="left"/>
              <w:rPr/>
            </w:pPr>
            <w:r>
              <w:rPr/>
              <w:t> </w:t>
            </w:r>
          </w:p>
        </w:tc>
        <w:tc>
          <w:tcPr>
            <w:tcW w:w="696" w:type="dxa"/>
            <w:tcBorders>
              <w:bottom w:val="single" w:sz="6" w:space="0" w:color="FBDDE3"/>
            </w:tcBorders>
            <w:tcMar>
              <w:bottom w:w="60" w:type="dxa"/>
            </w:tcMar>
            <w:vAlign w:val="center"/>
          </w:tcPr>
          <w:p>
            <w:pPr>
              <w:pStyle w:val="TableContents"/>
              <w:bidi w:val="0"/>
              <w:spacing w:before="0" w:after="283"/>
              <w:jc w:val="right"/>
              <w:rPr/>
            </w:pPr>
            <w:r>
              <w:rPr/>
              <w:t>327</w:t>
            </w:r>
          </w:p>
        </w:tc>
        <w:tc>
          <w:tcPr>
            <w:tcW w:w="290"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sz w:val="4"/>
                <w:szCs w:val="4"/>
              </w:rPr>
            </w:pPr>
            <w:r>
              <w:rPr>
                <w:sz w:val="4"/>
                <w:szCs w:val="4"/>
              </w:rPr>
            </w:r>
          </w:p>
        </w:tc>
        <w:tc>
          <w:tcPr>
            <w:tcW w:w="1405" w:type="dxa"/>
            <w:gridSpan w:val="4"/>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405" w:type="dxa"/>
            <w:gridSpan w:val="4"/>
            <w:tcBorders/>
            <w:vAlign w:val="center"/>
          </w:tcPr>
          <w:p>
            <w:pPr>
              <w:pStyle w:val="TableContents"/>
              <w:bidi w:val="0"/>
              <w:spacing w:before="0" w:after="283"/>
              <w:jc w:val="left"/>
              <w:rPr>
                <w:sz w:val="4"/>
                <w:szCs w:val="4"/>
              </w:rPr>
            </w:pPr>
            <w:r>
              <w:rPr>
                <w:sz w:val="4"/>
                <w:szCs w:val="4"/>
              </w:rPr>
            </w:r>
          </w:p>
        </w:tc>
        <w:tc>
          <w:tcPr>
            <w:tcW w:w="1105" w:type="dxa"/>
            <w:gridSpan w:val="4"/>
            <w:tcBorders/>
            <w:vAlign w:val="center"/>
          </w:tcPr>
          <w:p>
            <w:pPr>
              <w:pStyle w:val="TableContents"/>
              <w:bidi w:val="0"/>
              <w:spacing w:before="0" w:after="283"/>
              <w:jc w:val="left"/>
              <w:rPr>
                <w:sz w:val="4"/>
                <w:szCs w:val="4"/>
              </w:rPr>
            </w:pPr>
            <w:r>
              <w:rPr>
                <w:sz w:val="4"/>
                <w:szCs w:val="4"/>
              </w:rPr>
            </w:r>
          </w:p>
        </w:tc>
        <w:tc>
          <w:tcPr>
            <w:tcW w:w="1405" w:type="dxa"/>
            <w:gridSpan w:val="4"/>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405" w:type="dxa"/>
            <w:gridSpan w:val="4"/>
            <w:tcBorders/>
            <w:vAlign w:val="center"/>
          </w:tcPr>
          <w:p>
            <w:pPr>
              <w:pStyle w:val="TableContents"/>
              <w:bidi w:val="0"/>
              <w:spacing w:before="0" w:after="283"/>
              <w:jc w:val="left"/>
              <w:rPr>
                <w:sz w:val="4"/>
                <w:szCs w:val="4"/>
              </w:rPr>
            </w:pPr>
            <w:r>
              <w:rPr>
                <w:sz w:val="4"/>
                <w:szCs w:val="4"/>
              </w:rPr>
            </w:r>
          </w:p>
        </w:tc>
        <w:tc>
          <w:tcPr>
            <w:tcW w:w="1105" w:type="dxa"/>
            <w:gridSpan w:val="4"/>
            <w:tcBorders/>
            <w:vAlign w:val="center"/>
          </w:tcPr>
          <w:p>
            <w:pPr>
              <w:pStyle w:val="TableContents"/>
              <w:bidi w:val="0"/>
              <w:spacing w:before="0" w:after="283"/>
              <w:jc w:val="left"/>
              <w:rPr>
                <w:sz w:val="4"/>
                <w:szCs w:val="4"/>
              </w:rPr>
            </w:pPr>
            <w:r>
              <w:rPr>
                <w:sz w:val="4"/>
                <w:szCs w:val="4"/>
              </w:rPr>
            </w:r>
          </w:p>
        </w:tc>
        <w:tc>
          <w:tcPr>
            <w:tcW w:w="1405" w:type="dxa"/>
            <w:gridSpan w:val="4"/>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405" w:type="dxa"/>
            <w:gridSpan w:val="4"/>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r>
      <w:tr>
        <w:trPr/>
        <w:tc>
          <w:tcPr>
            <w:tcW w:w="1115" w:type="dxa"/>
            <w:tcBorders>
              <w:bottom w:val="single" w:sz="8" w:space="0" w:color="F7ACBA"/>
            </w:tcBorders>
            <w:tcMar>
              <w:bottom w:w="80" w:type="dxa"/>
            </w:tcMar>
            <w:vAlign w:val="center"/>
          </w:tcPr>
          <w:p>
            <w:pPr>
              <w:pStyle w:val="TableContents"/>
              <w:bidi w:val="0"/>
              <w:spacing w:before="0" w:after="0"/>
              <w:jc w:val="left"/>
              <w:rPr>
                <w:rFonts w:ascii="arial" w:hAnsi="arial"/>
                <w:sz w:val="17"/>
              </w:rPr>
            </w:pPr>
            <w:r>
              <w:rPr>
                <w:rFonts w:ascii="arial" w:hAnsi="arial"/>
                <w:sz w:val="17"/>
              </w:rPr>
              <w:t>Plan Payout</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03" w:type="dxa"/>
            <w:tcBorders>
              <w:bottom w:val="single" w:sz="8" w:space="0" w:color="F7ACBA"/>
            </w:tcBorders>
            <w:tcMar>
              <w:bottom w:w="80" w:type="dxa"/>
            </w:tcMar>
            <w:vAlign w:val="center"/>
          </w:tcPr>
          <w:p>
            <w:pPr>
              <w:pStyle w:val="TableContents"/>
              <w:bidi w:val="0"/>
              <w:spacing w:before="0" w:after="283"/>
              <w:jc w:val="left"/>
              <w:rPr/>
            </w:pPr>
            <w:r>
              <w:rPr/>
              <w:t> </w:t>
            </w:r>
          </w:p>
        </w:tc>
        <w:tc>
          <w:tcPr>
            <w:tcW w:w="967" w:type="dxa"/>
            <w:tcBorders>
              <w:bottom w:val="single" w:sz="8" w:space="0" w:color="F7ACBA"/>
            </w:tcBorders>
            <w:tcMar>
              <w:bottom w:w="80" w:type="dxa"/>
            </w:tcMar>
            <w:vAlign w:val="center"/>
          </w:tcPr>
          <w:p>
            <w:pPr>
              <w:pStyle w:val="TableContents"/>
              <w:bidi w:val="0"/>
              <w:spacing w:before="0" w:after="283"/>
              <w:jc w:val="right"/>
              <w:rPr/>
            </w:pPr>
            <w:r>
              <w:rPr/>
              <w:t>20</w:t>
            </w:r>
          </w:p>
        </w:tc>
        <w:tc>
          <w:tcPr>
            <w:tcW w:w="275"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75" w:type="dxa"/>
            <w:tcBorders>
              <w:bottom w:val="single" w:sz="8" w:space="0" w:color="F7ACBA"/>
            </w:tcBorders>
            <w:tcMar>
              <w:bottom w:w="80" w:type="dxa"/>
            </w:tcMar>
            <w:vAlign w:val="center"/>
          </w:tcPr>
          <w:p>
            <w:pPr>
              <w:pStyle w:val="TableContents"/>
              <w:bidi w:val="0"/>
              <w:spacing w:before="0" w:after="283"/>
              <w:jc w:val="left"/>
              <w:rPr/>
            </w:pPr>
            <w:r>
              <w:rPr/>
              <w:t> </w:t>
            </w:r>
          </w:p>
        </w:tc>
        <w:tc>
          <w:tcPr>
            <w:tcW w:w="710" w:type="dxa"/>
            <w:tcBorders>
              <w:bottom w:val="single" w:sz="8" w:space="0" w:color="F7ACBA"/>
            </w:tcBorders>
            <w:tcMar>
              <w:bottom w:w="80" w:type="dxa"/>
            </w:tcMar>
            <w:vAlign w:val="center"/>
          </w:tcPr>
          <w:p>
            <w:pPr>
              <w:pStyle w:val="TableContents"/>
              <w:bidi w:val="0"/>
              <w:spacing w:before="0" w:after="283"/>
              <w:jc w:val="right"/>
              <w:rPr/>
            </w:pPr>
            <w:r>
              <w:rPr/>
              <w:t>100</w:t>
            </w:r>
          </w:p>
        </w:tc>
        <w:tc>
          <w:tcPr>
            <w:tcW w:w="275"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03" w:type="dxa"/>
            <w:tcBorders>
              <w:bottom w:val="single" w:sz="8" w:space="0" w:color="F7ACBA"/>
            </w:tcBorders>
            <w:tcMar>
              <w:bottom w:w="80" w:type="dxa"/>
            </w:tcMar>
            <w:vAlign w:val="center"/>
          </w:tcPr>
          <w:p>
            <w:pPr>
              <w:pStyle w:val="TableContents"/>
              <w:bidi w:val="0"/>
              <w:spacing w:before="0" w:after="283"/>
              <w:jc w:val="left"/>
              <w:rPr/>
            </w:pPr>
            <w:r>
              <w:rPr/>
              <w:t> </w:t>
            </w:r>
          </w:p>
        </w:tc>
        <w:tc>
          <w:tcPr>
            <w:tcW w:w="967" w:type="dxa"/>
            <w:tcBorders>
              <w:bottom w:val="single" w:sz="8" w:space="0" w:color="F7ACBA"/>
            </w:tcBorders>
            <w:tcMar>
              <w:bottom w:w="80" w:type="dxa"/>
            </w:tcMar>
            <w:vAlign w:val="center"/>
          </w:tcPr>
          <w:p>
            <w:pPr>
              <w:pStyle w:val="TableContents"/>
              <w:bidi w:val="0"/>
              <w:spacing w:before="0" w:after="283"/>
              <w:jc w:val="right"/>
              <w:rPr/>
            </w:pPr>
            <w:r>
              <w:rPr/>
              <w:t>200</w:t>
            </w:r>
          </w:p>
        </w:tc>
        <w:tc>
          <w:tcPr>
            <w:tcW w:w="275"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74" w:type="dxa"/>
            <w:tcBorders>
              <w:bottom w:val="single" w:sz="8" w:space="0" w:color="F7ACBA"/>
            </w:tcBorders>
            <w:tcMar>
              <w:bottom w:w="80" w:type="dxa"/>
            </w:tcMar>
            <w:vAlign w:val="center"/>
          </w:tcPr>
          <w:p>
            <w:pPr>
              <w:pStyle w:val="TableContents"/>
              <w:bidi w:val="0"/>
              <w:spacing w:before="0" w:after="283"/>
              <w:jc w:val="left"/>
              <w:rPr/>
            </w:pPr>
            <w:r>
              <w:rPr/>
              <w:t> </w:t>
            </w:r>
          </w:p>
        </w:tc>
        <w:tc>
          <w:tcPr>
            <w:tcW w:w="696" w:type="dxa"/>
            <w:tcBorders>
              <w:bottom w:val="single" w:sz="8" w:space="0" w:color="F7ACBA"/>
            </w:tcBorders>
            <w:tcMar>
              <w:bottom w:w="80" w:type="dxa"/>
            </w:tcMar>
            <w:vAlign w:val="center"/>
          </w:tcPr>
          <w:p>
            <w:pPr>
              <w:pStyle w:val="TableContents"/>
              <w:bidi w:val="0"/>
              <w:spacing w:before="0" w:after="283"/>
              <w:jc w:val="right"/>
              <w:rPr/>
            </w:pPr>
            <w:r>
              <w:rPr/>
              <w:t>0</w:t>
            </w:r>
          </w:p>
        </w:tc>
        <w:tc>
          <w:tcPr>
            <w:tcW w:w="275"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03" w:type="dxa"/>
            <w:tcBorders>
              <w:bottom w:val="single" w:sz="8" w:space="0" w:color="F7ACBA"/>
            </w:tcBorders>
            <w:tcMar>
              <w:bottom w:w="80" w:type="dxa"/>
            </w:tcMar>
            <w:vAlign w:val="center"/>
          </w:tcPr>
          <w:p>
            <w:pPr>
              <w:pStyle w:val="TableContents"/>
              <w:bidi w:val="0"/>
              <w:spacing w:before="0" w:after="283"/>
              <w:jc w:val="left"/>
              <w:rPr/>
            </w:pPr>
            <w:r>
              <w:rPr/>
              <w:t> </w:t>
            </w:r>
          </w:p>
        </w:tc>
        <w:tc>
          <w:tcPr>
            <w:tcW w:w="967" w:type="dxa"/>
            <w:tcBorders>
              <w:bottom w:val="single" w:sz="8" w:space="0" w:color="F7ACBA"/>
            </w:tcBorders>
            <w:tcMar>
              <w:bottom w:w="80" w:type="dxa"/>
            </w:tcMar>
            <w:vAlign w:val="center"/>
          </w:tcPr>
          <w:p>
            <w:pPr>
              <w:pStyle w:val="TableContents"/>
              <w:bidi w:val="0"/>
              <w:spacing w:before="0" w:after="283"/>
              <w:jc w:val="right"/>
              <w:rPr/>
            </w:pPr>
            <w:r>
              <w:rPr/>
              <w:t>20</w:t>
            </w:r>
          </w:p>
        </w:tc>
        <w:tc>
          <w:tcPr>
            <w:tcW w:w="275"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75" w:type="dxa"/>
            <w:tcBorders>
              <w:bottom w:val="single" w:sz="8" w:space="0" w:color="F7ACBA"/>
            </w:tcBorders>
            <w:tcMar>
              <w:bottom w:w="80" w:type="dxa"/>
            </w:tcMar>
            <w:vAlign w:val="center"/>
          </w:tcPr>
          <w:p>
            <w:pPr>
              <w:pStyle w:val="TableContents"/>
              <w:bidi w:val="0"/>
              <w:spacing w:before="0" w:after="283"/>
              <w:jc w:val="left"/>
              <w:rPr/>
            </w:pPr>
            <w:r>
              <w:rPr/>
              <w:t> </w:t>
            </w:r>
          </w:p>
        </w:tc>
        <w:tc>
          <w:tcPr>
            <w:tcW w:w="710" w:type="dxa"/>
            <w:tcBorders>
              <w:bottom w:val="single" w:sz="8" w:space="0" w:color="F7ACBA"/>
            </w:tcBorders>
            <w:tcMar>
              <w:bottom w:w="80" w:type="dxa"/>
            </w:tcMar>
            <w:vAlign w:val="center"/>
          </w:tcPr>
          <w:p>
            <w:pPr>
              <w:pStyle w:val="TableContents"/>
              <w:bidi w:val="0"/>
              <w:spacing w:before="0" w:after="283"/>
              <w:jc w:val="right"/>
              <w:rPr/>
            </w:pPr>
            <w:r>
              <w:rPr/>
              <w:t>100</w:t>
            </w:r>
          </w:p>
        </w:tc>
        <w:tc>
          <w:tcPr>
            <w:tcW w:w="275"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03" w:type="dxa"/>
            <w:tcBorders>
              <w:bottom w:val="single" w:sz="8" w:space="0" w:color="F7ACBA"/>
            </w:tcBorders>
            <w:tcMar>
              <w:bottom w:w="80" w:type="dxa"/>
            </w:tcMar>
            <w:vAlign w:val="center"/>
          </w:tcPr>
          <w:p>
            <w:pPr>
              <w:pStyle w:val="TableContents"/>
              <w:bidi w:val="0"/>
              <w:spacing w:before="0" w:after="283"/>
              <w:jc w:val="left"/>
              <w:rPr/>
            </w:pPr>
            <w:r>
              <w:rPr/>
              <w:t> </w:t>
            </w:r>
          </w:p>
        </w:tc>
        <w:tc>
          <w:tcPr>
            <w:tcW w:w="967" w:type="dxa"/>
            <w:tcBorders>
              <w:bottom w:val="single" w:sz="8" w:space="0" w:color="F7ACBA"/>
            </w:tcBorders>
            <w:tcMar>
              <w:bottom w:w="80" w:type="dxa"/>
            </w:tcMar>
            <w:vAlign w:val="center"/>
          </w:tcPr>
          <w:p>
            <w:pPr>
              <w:pStyle w:val="TableContents"/>
              <w:bidi w:val="0"/>
              <w:spacing w:before="0" w:after="283"/>
              <w:jc w:val="right"/>
              <w:rPr/>
            </w:pPr>
            <w:r>
              <w:rPr/>
              <w:t>200</w:t>
            </w:r>
          </w:p>
        </w:tc>
        <w:tc>
          <w:tcPr>
            <w:tcW w:w="275"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74" w:type="dxa"/>
            <w:tcBorders>
              <w:bottom w:val="single" w:sz="8" w:space="0" w:color="F7ACBA"/>
            </w:tcBorders>
            <w:tcMar>
              <w:bottom w:w="80" w:type="dxa"/>
            </w:tcMar>
            <w:vAlign w:val="center"/>
          </w:tcPr>
          <w:p>
            <w:pPr>
              <w:pStyle w:val="TableContents"/>
              <w:bidi w:val="0"/>
              <w:spacing w:before="0" w:after="283"/>
              <w:jc w:val="left"/>
              <w:rPr/>
            </w:pPr>
            <w:r>
              <w:rPr/>
              <w:t> </w:t>
            </w:r>
          </w:p>
        </w:tc>
        <w:tc>
          <w:tcPr>
            <w:tcW w:w="696" w:type="dxa"/>
            <w:tcBorders>
              <w:bottom w:val="single" w:sz="8" w:space="0" w:color="F7ACBA"/>
            </w:tcBorders>
            <w:tcMar>
              <w:bottom w:w="80" w:type="dxa"/>
            </w:tcMar>
            <w:vAlign w:val="center"/>
          </w:tcPr>
          <w:p>
            <w:pPr>
              <w:pStyle w:val="TableContents"/>
              <w:bidi w:val="0"/>
              <w:spacing w:before="0" w:after="283"/>
              <w:jc w:val="right"/>
              <w:rPr/>
            </w:pPr>
            <w:r>
              <w:rPr/>
              <w:t>77.9</w:t>
            </w:r>
          </w:p>
        </w:tc>
        <w:tc>
          <w:tcPr>
            <w:tcW w:w="275"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03" w:type="dxa"/>
            <w:tcBorders>
              <w:bottom w:val="single" w:sz="8" w:space="0" w:color="F7ACBA"/>
            </w:tcBorders>
            <w:tcMar>
              <w:bottom w:w="80" w:type="dxa"/>
            </w:tcMar>
            <w:vAlign w:val="center"/>
          </w:tcPr>
          <w:p>
            <w:pPr>
              <w:pStyle w:val="TableContents"/>
              <w:bidi w:val="0"/>
              <w:spacing w:before="0" w:after="283"/>
              <w:jc w:val="left"/>
              <w:rPr/>
            </w:pPr>
            <w:r>
              <w:rPr/>
              <w:t> </w:t>
            </w:r>
          </w:p>
        </w:tc>
        <w:tc>
          <w:tcPr>
            <w:tcW w:w="967" w:type="dxa"/>
            <w:tcBorders>
              <w:bottom w:val="single" w:sz="8" w:space="0" w:color="F7ACBA"/>
            </w:tcBorders>
            <w:tcMar>
              <w:bottom w:w="80" w:type="dxa"/>
            </w:tcMar>
            <w:vAlign w:val="center"/>
          </w:tcPr>
          <w:p>
            <w:pPr>
              <w:pStyle w:val="TableContents"/>
              <w:bidi w:val="0"/>
              <w:spacing w:before="0" w:after="283"/>
              <w:jc w:val="right"/>
              <w:rPr/>
            </w:pPr>
            <w:r>
              <w:rPr/>
              <w:t>20</w:t>
            </w:r>
          </w:p>
        </w:tc>
        <w:tc>
          <w:tcPr>
            <w:tcW w:w="275"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75" w:type="dxa"/>
            <w:tcBorders>
              <w:bottom w:val="single" w:sz="8" w:space="0" w:color="F7ACBA"/>
            </w:tcBorders>
            <w:tcMar>
              <w:bottom w:w="80" w:type="dxa"/>
            </w:tcMar>
            <w:vAlign w:val="center"/>
          </w:tcPr>
          <w:p>
            <w:pPr>
              <w:pStyle w:val="TableContents"/>
              <w:bidi w:val="0"/>
              <w:spacing w:before="0" w:after="283"/>
              <w:jc w:val="left"/>
              <w:rPr/>
            </w:pPr>
            <w:r>
              <w:rPr/>
              <w:t> </w:t>
            </w:r>
          </w:p>
        </w:tc>
        <w:tc>
          <w:tcPr>
            <w:tcW w:w="710" w:type="dxa"/>
            <w:tcBorders>
              <w:bottom w:val="single" w:sz="8" w:space="0" w:color="F7ACBA"/>
            </w:tcBorders>
            <w:tcMar>
              <w:bottom w:w="80" w:type="dxa"/>
            </w:tcMar>
            <w:vAlign w:val="center"/>
          </w:tcPr>
          <w:p>
            <w:pPr>
              <w:pStyle w:val="TableContents"/>
              <w:bidi w:val="0"/>
              <w:spacing w:before="0" w:after="283"/>
              <w:jc w:val="right"/>
              <w:rPr/>
            </w:pPr>
            <w:r>
              <w:rPr/>
              <w:t>100</w:t>
            </w:r>
          </w:p>
        </w:tc>
        <w:tc>
          <w:tcPr>
            <w:tcW w:w="275"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03" w:type="dxa"/>
            <w:tcBorders>
              <w:bottom w:val="single" w:sz="8" w:space="0" w:color="F7ACBA"/>
            </w:tcBorders>
            <w:tcMar>
              <w:bottom w:w="80" w:type="dxa"/>
            </w:tcMar>
            <w:vAlign w:val="center"/>
          </w:tcPr>
          <w:p>
            <w:pPr>
              <w:pStyle w:val="TableContents"/>
              <w:bidi w:val="0"/>
              <w:spacing w:before="0" w:after="283"/>
              <w:jc w:val="left"/>
              <w:rPr/>
            </w:pPr>
            <w:r>
              <w:rPr/>
              <w:t> </w:t>
            </w:r>
          </w:p>
        </w:tc>
        <w:tc>
          <w:tcPr>
            <w:tcW w:w="967" w:type="dxa"/>
            <w:tcBorders>
              <w:bottom w:val="single" w:sz="8" w:space="0" w:color="F7ACBA"/>
            </w:tcBorders>
            <w:tcMar>
              <w:bottom w:w="80" w:type="dxa"/>
            </w:tcMar>
            <w:vAlign w:val="center"/>
          </w:tcPr>
          <w:p>
            <w:pPr>
              <w:pStyle w:val="TableContents"/>
              <w:bidi w:val="0"/>
              <w:spacing w:before="0" w:after="283"/>
              <w:jc w:val="right"/>
              <w:rPr/>
            </w:pPr>
            <w:r>
              <w:rPr/>
              <w:t>200</w:t>
            </w:r>
          </w:p>
        </w:tc>
        <w:tc>
          <w:tcPr>
            <w:tcW w:w="275"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74" w:type="dxa"/>
            <w:tcBorders>
              <w:bottom w:val="single" w:sz="8" w:space="0" w:color="F7ACBA"/>
            </w:tcBorders>
            <w:tcMar>
              <w:bottom w:w="80" w:type="dxa"/>
            </w:tcMar>
            <w:vAlign w:val="center"/>
          </w:tcPr>
          <w:p>
            <w:pPr>
              <w:pStyle w:val="TableContents"/>
              <w:bidi w:val="0"/>
              <w:spacing w:before="0" w:after="283"/>
              <w:jc w:val="left"/>
              <w:rPr/>
            </w:pPr>
            <w:r>
              <w:rPr/>
              <w:t> </w:t>
            </w:r>
          </w:p>
        </w:tc>
        <w:tc>
          <w:tcPr>
            <w:tcW w:w="696" w:type="dxa"/>
            <w:tcBorders>
              <w:bottom w:val="single" w:sz="8" w:space="0" w:color="F7ACBA"/>
            </w:tcBorders>
            <w:tcMar>
              <w:bottom w:w="80" w:type="dxa"/>
            </w:tcMar>
            <w:vAlign w:val="center"/>
          </w:tcPr>
          <w:p>
            <w:pPr>
              <w:pStyle w:val="TableContents"/>
              <w:bidi w:val="0"/>
              <w:spacing w:before="0" w:after="283"/>
              <w:jc w:val="right"/>
              <w:rPr/>
            </w:pPr>
            <w:r>
              <w:rPr/>
              <w:t>0</w:t>
            </w:r>
          </w:p>
        </w:tc>
        <w:tc>
          <w:tcPr>
            <w:tcW w:w="290" w:type="dxa"/>
            <w:tcBorders>
              <w:bottom w:val="single" w:sz="8" w:space="0" w:color="F7ACBA"/>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pPr>
            <w:r>
              <w:rPr/>
              <w:t>(1)</w:t>
            </w:r>
          </w:p>
        </w:tc>
        <w:tc>
          <w:tcPr>
            <w:tcW w:w="9911" w:type="dxa"/>
            <w:tcBorders/>
            <w:vAlign w:val="center"/>
          </w:tcPr>
          <w:p>
            <w:pPr>
              <w:pStyle w:val="TableContents"/>
              <w:bidi w:val="0"/>
              <w:spacing w:before="0" w:after="0"/>
              <w:jc w:val="left"/>
              <w:rPr>
                <w:rFonts w:ascii="arial" w:hAnsi="arial"/>
                <w:sz w:val="14"/>
              </w:rPr>
            </w:pPr>
            <w:r>
              <w:rPr>
                <w:rFonts w:ascii="arial" w:hAnsi="arial"/>
                <w:sz w:val="14"/>
              </w:rPr>
              <w:t xml:space="preserve">Revenue and operating income goals and performance for VS&amp;Co reflect goals and performance for the total segment, including international operations and North America operations. </w:t>
            </w:r>
          </w:p>
        </w:tc>
      </w:tr>
    </w:tbl>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09"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98" descr=""/>
                          <pic:cNvPicPr>
                            <a:picLocks noChangeAspect="1" noChangeArrowheads="1"/>
                          </pic:cNvPicPr>
                        </pic:nvPicPr>
                        <pic:blipFill>
                          <a:blip r:embed="rId99"/>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54 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COMPENSATION DISCUSSION AND ANALYSIS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(2)</w:t>
            </w:r>
          </w:p>
        </w:tc>
        <w:tc>
          <w:tcPr>
            <w:tcW w:w="9947" w:type="dxa"/>
            <w:tcBorders/>
            <w:vAlign w:val="center"/>
          </w:tcPr>
          <w:p>
            <w:pPr>
              <w:pStyle w:val="TableContents"/>
              <w:bidi w:val="0"/>
              <w:spacing w:before="0" w:after="0"/>
              <w:jc w:val="left"/>
              <w:rPr>
                <w:rFonts w:ascii="arial" w:hAnsi="arial"/>
                <w:sz w:val="14"/>
              </w:rPr>
            </w:pPr>
            <w:r>
              <w:rPr>
                <w:rFonts w:ascii="arial" w:hAnsi="arial"/>
                <w:sz w:val="14"/>
              </w:rPr>
              <w:t xml:space="preserve">Actual performance presents operating income on an adjusted basis that removes certain non-recurring, infrequent or unusual items that are not indicative of ongoing operations due to their size and nature. VS&amp;Co uses adjusted financial information as key performance measures of results for purposes of evaluating performance internally, which may not correspond to amounts reported externally. </w:t>
            </w:r>
          </w:p>
        </w:tc>
      </w:tr>
    </w:tbl>
    <w:p>
      <w:pPr>
        <w:pStyle w:val="TextBody"/>
        <w:bidi w:val="0"/>
        <w:spacing w:before="120" w:after="0"/>
        <w:jc w:val="left"/>
        <w:rPr>
          <w:rFonts w:ascii="arial" w:hAnsi="arial"/>
          <w:sz w:val="18"/>
        </w:rPr>
      </w:pPr>
      <w:r>
        <w:rPr>
          <w:rFonts w:ascii="arial" w:hAnsi="arial"/>
          <w:sz w:val="18"/>
        </w:rPr>
        <w:t xml:space="preserve">Performance between threshold and target and target and maximum is interpolated to determine payout percentage beginning at 20% for threshold performance up to 200% at maximum performance. </w:t>
      </w:r>
    </w:p>
    <w:p>
      <w:pPr>
        <w:pStyle w:val="TextBody"/>
        <w:bidi w:val="0"/>
        <w:spacing w:before="120" w:after="0"/>
        <w:jc w:val="left"/>
        <w:rPr>
          <w:rFonts w:ascii="arial" w:hAnsi="arial"/>
          <w:sz w:val="18"/>
        </w:rPr>
      </w:pPr>
      <w:r>
        <w:rPr>
          <w:rFonts w:ascii="arial" w:hAnsi="arial"/>
          <w:sz w:val="18"/>
        </w:rPr>
        <w:t xml:space="preserve">Fall 2023 seasonal financial targets for VS&amp;Co were set below prior year actual results to reflect macroeconomic pressure on our business observed in Spring 2023. When evaluating financial goals, the HCCC compares the change in operating income relative to the change in the incentive payments to associates to analyze the reasonableness of the potential payout. </w:t>
      </w:r>
    </w:p>
    <w:p>
      <w:pPr>
        <w:pStyle w:val="TextBody"/>
        <w:bidi w:val="0"/>
        <w:spacing w:before="120" w:after="0"/>
        <w:jc w:val="left"/>
        <w:rPr>
          <w:rFonts w:ascii="arial" w:hAnsi="arial"/>
          <w:sz w:val="18"/>
        </w:rPr>
      </w:pPr>
      <w:r>
        <w:rPr>
          <w:rFonts w:ascii="arial" w:hAnsi="arial"/>
          <w:sz w:val="18"/>
        </w:rPr>
        <w:t xml:space="preserve">Short-term performance-based cash incentive compensation targets are set as a percentage of base salary with the amount earned ranging from zero to double the target incentive, based on the extent to which financial goals are achieved or exceeded. </w:t>
      </w:r>
    </w:p>
    <w:p>
      <w:pPr>
        <w:pStyle w:val="TextBody"/>
        <w:bidi w:val="0"/>
        <w:spacing w:before="120" w:after="0"/>
        <w:jc w:val="left"/>
        <w:rPr>
          <w:rFonts w:ascii="arial" w:hAnsi="arial"/>
          <w:sz w:val="18"/>
        </w:rPr>
      </w:pPr>
      <w:r>
        <w:rPr>
          <w:rFonts w:ascii="arial" w:hAnsi="arial"/>
          <w:sz w:val="18"/>
        </w:rPr>
        <w:t xml:space="preserve">Payouts for fiscal 2023 performance are set forth below and in the “Non-Equity Incentive Plan Compensation” column of the 2023 Summary Compensation Table. Spring, Fall and annual payouts reflect the actual, quantitative results originally set at the beginning of each period. </w:t>
      </w:r>
    </w:p>
    <w:p>
      <w:pPr>
        <w:pStyle w:val="TextBody"/>
        <w:bidi w:val="0"/>
        <w:spacing w:before="240" w:after="0"/>
        <w:jc w:val="left"/>
        <w:rPr>
          <w:rFonts w:ascii="arial" w:hAnsi="arial"/>
          <w:b/>
          <w:color w:val="F7ACBA"/>
          <w:sz w:val="24"/>
        </w:rPr>
      </w:pPr>
      <w:r>
        <w:rPr>
          <w:rFonts w:ascii="arial" w:hAnsi="arial"/>
          <w:b/>
          <w:color w:val="F7ACBA"/>
          <w:sz w:val="24"/>
        </w:rPr>
        <w:t xml:space="preserve">Total Fiscal 2023 Short-Term Incentive Payout </w:t>
      </w:r>
    </w:p>
    <w:p>
      <w:pPr>
        <w:pStyle w:val="TextBody"/>
        <w:bidi w:val="0"/>
        <w:spacing w:before="0" w:after="0"/>
        <w:jc w:val="left"/>
        <w:rPr/>
      </w:pPr>
      <w:r>
        <w:rPr/>
        <w:t> </w:t>
      </w:r>
    </w:p>
    <w:tbl>
      <w:tblPr>
        <w:tblW w:w="10285" w:type="dxa"/>
        <w:jc w:val="left"/>
        <w:tblInd w:w="0" w:type="dxa"/>
        <w:tblLayout w:type="fixed"/>
        <w:tblCellMar>
          <w:top w:w="0" w:type="dxa"/>
          <w:left w:w="0" w:type="dxa"/>
          <w:bottom w:w="0" w:type="dxa"/>
          <w:right w:w="0" w:type="dxa"/>
        </w:tblCellMar>
      </w:tblPr>
      <w:tblGrid>
        <w:gridCol w:w="1040"/>
        <w:gridCol w:w="120"/>
        <w:gridCol w:w="96"/>
        <w:gridCol w:w="614"/>
        <w:gridCol w:w="60"/>
        <w:gridCol w:w="120"/>
        <w:gridCol w:w="66"/>
        <w:gridCol w:w="1079"/>
        <w:gridCol w:w="60"/>
        <w:gridCol w:w="120"/>
        <w:gridCol w:w="214"/>
        <w:gridCol w:w="931"/>
        <w:gridCol w:w="60"/>
        <w:gridCol w:w="120"/>
        <w:gridCol w:w="97"/>
        <w:gridCol w:w="1303"/>
        <w:gridCol w:w="60"/>
        <w:gridCol w:w="120"/>
        <w:gridCol w:w="214"/>
        <w:gridCol w:w="931"/>
        <w:gridCol w:w="60"/>
        <w:gridCol w:w="120"/>
        <w:gridCol w:w="89"/>
        <w:gridCol w:w="1191"/>
        <w:gridCol w:w="60"/>
        <w:gridCol w:w="120"/>
        <w:gridCol w:w="214"/>
        <w:gridCol w:w="931"/>
        <w:gridCol w:w="75"/>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40" w:type="dxa"/>
            <w:tcBorders/>
            <w:shd w:fill="FDEEF1" w:val="clear"/>
            <w:vAlign w:val="center"/>
          </w:tcPr>
          <w:p>
            <w:pPr>
              <w:pStyle w:val="TableContents"/>
              <w:bidi w:val="0"/>
              <w:spacing w:before="0" w:after="283"/>
              <w:jc w:val="left"/>
              <w:rPr>
                <w:sz w:val="4"/>
                <w:szCs w:val="4"/>
              </w:rPr>
            </w:pPr>
            <w:r>
              <w:rPr>
                <w:sz w:val="4"/>
                <w:szCs w:val="4"/>
              </w:rPr>
            </w:r>
          </w:p>
        </w:tc>
        <w:tc>
          <w:tcPr>
            <w:tcW w:w="890" w:type="dxa"/>
            <w:gridSpan w:val="4"/>
            <w:tcBorders/>
            <w:shd w:fill="FDEEF1" w:val="clear"/>
            <w:vAlign w:val="center"/>
          </w:tcPr>
          <w:p>
            <w:pPr>
              <w:pStyle w:val="TableContents"/>
              <w:bidi w:val="0"/>
              <w:spacing w:before="0" w:after="283"/>
              <w:jc w:val="left"/>
              <w:rPr>
                <w:sz w:val="4"/>
                <w:szCs w:val="4"/>
              </w:rPr>
            </w:pPr>
            <w:r>
              <w:rPr>
                <w:sz w:val="4"/>
                <w:szCs w:val="4"/>
              </w:rPr>
            </w:r>
          </w:p>
        </w:tc>
        <w:tc>
          <w:tcPr>
            <w:tcW w:w="1325" w:type="dxa"/>
            <w:gridSpan w:val="4"/>
            <w:tcBorders/>
            <w:shd w:fill="FDEEF1" w:val="clear"/>
            <w:vAlign w:val="center"/>
          </w:tcPr>
          <w:p>
            <w:pPr>
              <w:pStyle w:val="TableContents"/>
              <w:bidi w:val="0"/>
              <w:spacing w:before="0" w:after="283"/>
              <w:jc w:val="left"/>
              <w:rPr>
                <w:sz w:val="4"/>
                <w:szCs w:val="4"/>
              </w:rPr>
            </w:pPr>
            <w:r>
              <w:rPr>
                <w:sz w:val="4"/>
                <w:szCs w:val="4"/>
              </w:rPr>
            </w:r>
          </w:p>
        </w:tc>
        <w:tc>
          <w:tcPr>
            <w:tcW w:w="1325" w:type="dxa"/>
            <w:gridSpan w:val="4"/>
            <w:tcBorders/>
            <w:shd w:fill="FDEEF1" w:val="clear"/>
            <w:vAlign w:val="center"/>
          </w:tcPr>
          <w:p>
            <w:pPr>
              <w:pStyle w:val="TableContents"/>
              <w:bidi w:val="0"/>
              <w:spacing w:before="0" w:after="283"/>
              <w:jc w:val="left"/>
              <w:rPr>
                <w:sz w:val="4"/>
                <w:szCs w:val="4"/>
              </w:rPr>
            </w:pPr>
            <w:r>
              <w:rPr>
                <w:sz w:val="4"/>
                <w:szCs w:val="4"/>
              </w:rPr>
            </w:r>
          </w:p>
        </w:tc>
        <w:tc>
          <w:tcPr>
            <w:tcW w:w="1580" w:type="dxa"/>
            <w:gridSpan w:val="4"/>
            <w:tcBorders/>
            <w:shd w:fill="FDEEF1" w:val="clear"/>
            <w:vAlign w:val="center"/>
          </w:tcPr>
          <w:p>
            <w:pPr>
              <w:pStyle w:val="TableContents"/>
              <w:bidi w:val="0"/>
              <w:spacing w:before="0" w:after="283"/>
              <w:jc w:val="left"/>
              <w:rPr>
                <w:sz w:val="4"/>
                <w:szCs w:val="4"/>
              </w:rPr>
            </w:pPr>
            <w:r>
              <w:rPr>
                <w:sz w:val="4"/>
                <w:szCs w:val="4"/>
              </w:rPr>
            </w:r>
          </w:p>
        </w:tc>
        <w:tc>
          <w:tcPr>
            <w:tcW w:w="1325" w:type="dxa"/>
            <w:gridSpan w:val="4"/>
            <w:tcBorders/>
            <w:shd w:fill="FDEEF1" w:val="clear"/>
            <w:vAlign w:val="center"/>
          </w:tcPr>
          <w:p>
            <w:pPr>
              <w:pStyle w:val="TableContents"/>
              <w:bidi w:val="0"/>
              <w:spacing w:before="0" w:after="283"/>
              <w:jc w:val="left"/>
              <w:rPr>
                <w:sz w:val="4"/>
                <w:szCs w:val="4"/>
              </w:rPr>
            </w:pPr>
            <w:r>
              <w:rPr>
                <w:sz w:val="4"/>
                <w:szCs w:val="4"/>
              </w:rPr>
            </w:r>
          </w:p>
        </w:tc>
        <w:tc>
          <w:tcPr>
            <w:tcW w:w="1460" w:type="dxa"/>
            <w:gridSpan w:val="4"/>
            <w:tcBorders/>
            <w:shd w:fill="FDEEF1" w:val="clear"/>
            <w:vAlign w:val="center"/>
          </w:tcPr>
          <w:p>
            <w:pPr>
              <w:pStyle w:val="TableContents"/>
              <w:bidi w:val="0"/>
              <w:spacing w:before="0" w:after="283"/>
              <w:jc w:val="left"/>
              <w:rPr>
                <w:sz w:val="4"/>
                <w:szCs w:val="4"/>
              </w:rPr>
            </w:pPr>
            <w:r>
              <w:rPr>
                <w:sz w:val="4"/>
                <w:szCs w:val="4"/>
              </w:rPr>
            </w:r>
          </w:p>
        </w:tc>
        <w:tc>
          <w:tcPr>
            <w:tcW w:w="1340" w:type="dxa"/>
            <w:gridSpan w:val="4"/>
            <w:tcBorders/>
            <w:shd w:fill="FDEEF1" w:val="clear"/>
            <w:vAlign w:val="center"/>
          </w:tcPr>
          <w:p>
            <w:pPr>
              <w:pStyle w:val="TableContents"/>
              <w:bidi w:val="0"/>
              <w:spacing w:before="0" w:after="283"/>
              <w:jc w:val="left"/>
              <w:rPr>
                <w:sz w:val="4"/>
                <w:szCs w:val="4"/>
              </w:rPr>
            </w:pPr>
            <w:r>
              <w:rPr>
                <w:sz w:val="4"/>
                <w:szCs w:val="4"/>
              </w:rPr>
            </w:r>
          </w:p>
        </w:tc>
      </w:tr>
      <w:tr>
        <w:trPr/>
        <w:tc>
          <w:tcPr>
            <w:tcW w:w="1040" w:type="dxa"/>
            <w:tcBorders/>
            <w:shd w:fill="FDEEF1" w:val="clear"/>
            <w:vAlign w:val="center"/>
          </w:tcPr>
          <w:p>
            <w:pPr>
              <w:pStyle w:val="TableContents"/>
              <w:bidi w:val="0"/>
              <w:jc w:val="left"/>
              <w:rPr/>
            </w:pPr>
            <w:r>
              <w:rPr/>
              <w:t> </w:t>
            </w:r>
          </w:p>
          <w:p>
            <w:pPr>
              <w:pStyle w:val="TableContents"/>
              <w:bidi w:val="0"/>
              <w:spacing w:before="0" w:after="0"/>
              <w:jc w:val="left"/>
              <w:rPr/>
            </w:pPr>
            <w:r>
              <w:rPr/>
              <w:t> </w:t>
            </w:r>
          </w:p>
        </w:tc>
        <w:tc>
          <w:tcPr>
            <w:tcW w:w="120" w:type="dxa"/>
            <w:tcBorders/>
            <w:shd w:fill="FDEEF1" w:val="clear"/>
            <w:vAlign w:val="center"/>
          </w:tcPr>
          <w:p>
            <w:pPr>
              <w:pStyle w:val="TableContents"/>
              <w:bidi w:val="0"/>
              <w:spacing w:before="0" w:after="283"/>
              <w:jc w:val="left"/>
              <w:rPr/>
            </w:pPr>
            <w:r>
              <w:rPr/>
              <w:t>  </w:t>
            </w:r>
          </w:p>
        </w:tc>
        <w:tc>
          <w:tcPr>
            <w:tcW w:w="710" w:type="dxa"/>
            <w:gridSpan w:val="2"/>
            <w:tcBorders/>
            <w:shd w:fill="FDEEF1" w:val="clear"/>
            <w:vAlign w:val="center"/>
          </w:tcPr>
          <w:p>
            <w:pPr>
              <w:pStyle w:val="TableContents"/>
              <w:bidi w:val="0"/>
              <w:spacing w:before="0" w:after="283"/>
              <w:jc w:val="center"/>
              <w:rPr>
                <w:b/>
              </w:rPr>
            </w:pPr>
            <w:r>
              <w:rPr>
                <w:b/>
              </w:rPr>
              <w:t>Target</w:t>
              <w:br/>
              <w:t>(%</w:t>
              <w:br/>
              <w:t>of</w:t>
              <w:br/>
              <w:t>Base</w:t>
              <w:br/>
              <w:t>Salary)</w:t>
              <w:br/>
              <w:t>(%)</w:t>
            </w:r>
          </w:p>
        </w:tc>
        <w:tc>
          <w:tcPr>
            <w:tcW w:w="60" w:type="dxa"/>
            <w:tcBorders/>
            <w:shd w:fill="FDEEF1" w:val="clear"/>
            <w:vAlign w:val="center"/>
          </w:tcPr>
          <w:p>
            <w:pPr>
              <w:pStyle w:val="TableContents"/>
              <w:bidi w:val="0"/>
              <w:spacing w:before="0" w:after="283"/>
              <w:jc w:val="left"/>
              <w:rPr/>
            </w:pPr>
            <w:r>
              <w:rPr/>
              <w:t> </w:t>
            </w:r>
          </w:p>
        </w:tc>
        <w:tc>
          <w:tcPr>
            <w:tcW w:w="120" w:type="dxa"/>
            <w:tcBorders/>
            <w:shd w:fill="FDEEF1" w:val="clear"/>
            <w:vAlign w:val="center"/>
          </w:tcPr>
          <w:p>
            <w:pPr>
              <w:pStyle w:val="TableContents"/>
              <w:bidi w:val="0"/>
              <w:spacing w:before="0" w:after="283"/>
              <w:jc w:val="left"/>
              <w:rPr/>
            </w:pPr>
            <w:r>
              <w:rPr/>
              <w:t>  </w:t>
            </w:r>
          </w:p>
        </w:tc>
        <w:tc>
          <w:tcPr>
            <w:tcW w:w="1145" w:type="dxa"/>
            <w:gridSpan w:val="2"/>
            <w:tcBorders/>
            <w:shd w:fill="FDEEF1" w:val="clear"/>
            <w:vAlign w:val="center"/>
          </w:tcPr>
          <w:p>
            <w:pPr>
              <w:pStyle w:val="TableContents"/>
              <w:bidi w:val="0"/>
              <w:spacing w:before="0" w:after="283"/>
              <w:jc w:val="center"/>
              <w:rPr>
                <w:b/>
              </w:rPr>
            </w:pPr>
            <w:r>
              <w:rPr>
                <w:b/>
              </w:rPr>
              <w:t>Fiscal 2023</w:t>
              <w:br/>
              <w:t>Target</w:t>
              <w:br/>
              <w:t>Incentive</w:t>
              <w:br/>
              <w:t>($)</w:t>
            </w:r>
          </w:p>
        </w:tc>
        <w:tc>
          <w:tcPr>
            <w:tcW w:w="60" w:type="dxa"/>
            <w:tcBorders/>
            <w:shd w:fill="FDEEF1" w:val="clear"/>
            <w:vAlign w:val="center"/>
          </w:tcPr>
          <w:p>
            <w:pPr>
              <w:pStyle w:val="TableContents"/>
              <w:bidi w:val="0"/>
              <w:spacing w:before="0" w:after="283"/>
              <w:jc w:val="left"/>
              <w:rPr/>
            </w:pPr>
            <w:r>
              <w:rPr/>
              <w:t> </w:t>
            </w:r>
          </w:p>
        </w:tc>
        <w:tc>
          <w:tcPr>
            <w:tcW w:w="120" w:type="dxa"/>
            <w:tcBorders/>
            <w:shd w:fill="FDEEF1" w:val="clear"/>
            <w:vAlign w:val="center"/>
          </w:tcPr>
          <w:p>
            <w:pPr>
              <w:pStyle w:val="TableContents"/>
              <w:bidi w:val="0"/>
              <w:spacing w:before="0" w:after="283"/>
              <w:jc w:val="left"/>
              <w:rPr/>
            </w:pPr>
            <w:r>
              <w:rPr/>
              <w:t>  </w:t>
            </w:r>
          </w:p>
        </w:tc>
        <w:tc>
          <w:tcPr>
            <w:tcW w:w="1145" w:type="dxa"/>
            <w:gridSpan w:val="2"/>
            <w:tcBorders/>
            <w:shd w:fill="FDEEF1" w:val="clear"/>
            <w:vAlign w:val="center"/>
          </w:tcPr>
          <w:p>
            <w:pPr>
              <w:pStyle w:val="TableContents"/>
              <w:bidi w:val="0"/>
              <w:spacing w:before="0" w:after="283"/>
              <w:jc w:val="center"/>
              <w:rPr>
                <w:b/>
              </w:rPr>
            </w:pPr>
            <w:r>
              <w:rPr>
                <w:b/>
              </w:rPr>
              <w:t>Fiscal 2023</w:t>
              <w:br/>
              <w:t>Spring</w:t>
              <w:br/>
              <w:t>Incentive</w:t>
              <w:br/>
              <w:t>Payout(1)</w:t>
              <w:br/>
              <w:t>($)</w:t>
            </w:r>
          </w:p>
        </w:tc>
        <w:tc>
          <w:tcPr>
            <w:tcW w:w="60" w:type="dxa"/>
            <w:tcBorders/>
            <w:shd w:fill="FDEEF1" w:val="clear"/>
            <w:vAlign w:val="center"/>
          </w:tcPr>
          <w:p>
            <w:pPr>
              <w:pStyle w:val="TableContents"/>
              <w:bidi w:val="0"/>
              <w:spacing w:before="0" w:after="283"/>
              <w:jc w:val="left"/>
              <w:rPr/>
            </w:pPr>
            <w:r>
              <w:rPr/>
              <w:t> </w:t>
            </w:r>
          </w:p>
        </w:tc>
        <w:tc>
          <w:tcPr>
            <w:tcW w:w="120" w:type="dxa"/>
            <w:tcBorders/>
            <w:shd w:fill="FDEEF1" w:val="clear"/>
            <w:vAlign w:val="center"/>
          </w:tcPr>
          <w:p>
            <w:pPr>
              <w:pStyle w:val="TableContents"/>
              <w:bidi w:val="0"/>
              <w:spacing w:before="0" w:after="283"/>
              <w:jc w:val="left"/>
              <w:rPr/>
            </w:pPr>
            <w:r>
              <w:rPr/>
              <w:t>  </w:t>
            </w:r>
          </w:p>
        </w:tc>
        <w:tc>
          <w:tcPr>
            <w:tcW w:w="1400" w:type="dxa"/>
            <w:gridSpan w:val="2"/>
            <w:tcBorders/>
            <w:shd w:fill="FDEEF1" w:val="clear"/>
            <w:vAlign w:val="center"/>
          </w:tcPr>
          <w:p>
            <w:pPr>
              <w:pStyle w:val="TableContents"/>
              <w:bidi w:val="0"/>
              <w:spacing w:before="0" w:after="283"/>
              <w:jc w:val="center"/>
              <w:rPr>
                <w:b/>
              </w:rPr>
            </w:pPr>
            <w:r>
              <w:rPr>
                <w:b/>
              </w:rPr>
              <w:t>Fiscal 2023</w:t>
              <w:br/>
              <w:t>Fall Incentive</w:t>
              <w:br/>
              <w:t>Payout(2)</w:t>
              <w:br/>
              <w:t>($)</w:t>
            </w:r>
          </w:p>
        </w:tc>
        <w:tc>
          <w:tcPr>
            <w:tcW w:w="60" w:type="dxa"/>
            <w:tcBorders/>
            <w:shd w:fill="FDEEF1" w:val="clear"/>
            <w:vAlign w:val="center"/>
          </w:tcPr>
          <w:p>
            <w:pPr>
              <w:pStyle w:val="TableContents"/>
              <w:bidi w:val="0"/>
              <w:spacing w:before="0" w:after="283"/>
              <w:jc w:val="left"/>
              <w:rPr/>
            </w:pPr>
            <w:r>
              <w:rPr/>
              <w:t> </w:t>
            </w:r>
          </w:p>
        </w:tc>
        <w:tc>
          <w:tcPr>
            <w:tcW w:w="120" w:type="dxa"/>
            <w:tcBorders/>
            <w:shd w:fill="FDEEF1" w:val="clear"/>
            <w:vAlign w:val="center"/>
          </w:tcPr>
          <w:p>
            <w:pPr>
              <w:pStyle w:val="TableContents"/>
              <w:bidi w:val="0"/>
              <w:spacing w:before="0" w:after="283"/>
              <w:jc w:val="left"/>
              <w:rPr/>
            </w:pPr>
            <w:r>
              <w:rPr/>
              <w:t>  </w:t>
            </w:r>
          </w:p>
        </w:tc>
        <w:tc>
          <w:tcPr>
            <w:tcW w:w="1145" w:type="dxa"/>
            <w:gridSpan w:val="2"/>
            <w:tcBorders/>
            <w:shd w:fill="FDEEF1" w:val="clear"/>
            <w:vAlign w:val="center"/>
          </w:tcPr>
          <w:p>
            <w:pPr>
              <w:pStyle w:val="TableContents"/>
              <w:bidi w:val="0"/>
              <w:spacing w:before="0" w:after="283"/>
              <w:jc w:val="center"/>
              <w:rPr>
                <w:b/>
              </w:rPr>
            </w:pPr>
            <w:r>
              <w:rPr>
                <w:b/>
              </w:rPr>
              <w:t>Fiscal 2023</w:t>
              <w:br/>
              <w:t>Annual</w:t>
              <w:br/>
              <w:t>Incentive</w:t>
              <w:br/>
              <w:t>Payout(3)</w:t>
              <w:br/>
              <w:t>($)</w:t>
            </w:r>
          </w:p>
        </w:tc>
        <w:tc>
          <w:tcPr>
            <w:tcW w:w="60" w:type="dxa"/>
            <w:tcBorders/>
            <w:shd w:fill="FDEEF1" w:val="clear"/>
            <w:vAlign w:val="center"/>
          </w:tcPr>
          <w:p>
            <w:pPr>
              <w:pStyle w:val="TableContents"/>
              <w:bidi w:val="0"/>
              <w:spacing w:before="0" w:after="283"/>
              <w:jc w:val="left"/>
              <w:rPr/>
            </w:pPr>
            <w:r>
              <w:rPr/>
              <w:t> </w:t>
            </w:r>
          </w:p>
        </w:tc>
        <w:tc>
          <w:tcPr>
            <w:tcW w:w="120" w:type="dxa"/>
            <w:tcBorders/>
            <w:shd w:fill="FDEEF1" w:val="clear"/>
            <w:vAlign w:val="center"/>
          </w:tcPr>
          <w:p>
            <w:pPr>
              <w:pStyle w:val="TableContents"/>
              <w:bidi w:val="0"/>
              <w:spacing w:before="0" w:after="283"/>
              <w:jc w:val="left"/>
              <w:rPr/>
            </w:pPr>
            <w:r>
              <w:rPr/>
              <w:t>  </w:t>
            </w:r>
          </w:p>
        </w:tc>
        <w:tc>
          <w:tcPr>
            <w:tcW w:w="1280" w:type="dxa"/>
            <w:gridSpan w:val="2"/>
            <w:tcBorders/>
            <w:shd w:fill="FDEEF1" w:val="clear"/>
            <w:vAlign w:val="center"/>
          </w:tcPr>
          <w:p>
            <w:pPr>
              <w:pStyle w:val="TableContents"/>
              <w:bidi w:val="0"/>
              <w:spacing w:before="0" w:after="283"/>
              <w:jc w:val="center"/>
              <w:rPr>
                <w:b/>
              </w:rPr>
            </w:pPr>
            <w:r>
              <w:rPr>
                <w:b/>
              </w:rPr>
              <w:t>Total Fiscal</w:t>
              <w:br/>
              <w:t>2023 Payout</w:t>
              <w:br/>
              <w:t>($)</w:t>
            </w:r>
          </w:p>
        </w:tc>
        <w:tc>
          <w:tcPr>
            <w:tcW w:w="60" w:type="dxa"/>
            <w:tcBorders/>
            <w:shd w:fill="FDEEF1" w:val="clear"/>
            <w:vAlign w:val="center"/>
          </w:tcPr>
          <w:p>
            <w:pPr>
              <w:pStyle w:val="TableContents"/>
              <w:bidi w:val="0"/>
              <w:spacing w:before="0" w:after="283"/>
              <w:jc w:val="left"/>
              <w:rPr/>
            </w:pPr>
            <w:r>
              <w:rPr/>
              <w:t> </w:t>
            </w:r>
          </w:p>
        </w:tc>
        <w:tc>
          <w:tcPr>
            <w:tcW w:w="120" w:type="dxa"/>
            <w:tcBorders/>
            <w:shd w:fill="FDEEF1" w:val="clear"/>
            <w:vAlign w:val="center"/>
          </w:tcPr>
          <w:p>
            <w:pPr>
              <w:pStyle w:val="TableContents"/>
              <w:bidi w:val="0"/>
              <w:spacing w:before="0" w:after="283"/>
              <w:jc w:val="left"/>
              <w:rPr/>
            </w:pPr>
            <w:r>
              <w:rPr/>
              <w:t>  </w:t>
            </w:r>
          </w:p>
        </w:tc>
        <w:tc>
          <w:tcPr>
            <w:tcW w:w="1145" w:type="dxa"/>
            <w:gridSpan w:val="2"/>
            <w:tcBorders/>
            <w:shd w:fill="FDEEF1" w:val="clear"/>
            <w:vAlign w:val="center"/>
          </w:tcPr>
          <w:p>
            <w:pPr>
              <w:pStyle w:val="TableContents"/>
              <w:bidi w:val="0"/>
              <w:spacing w:before="0" w:after="283"/>
              <w:jc w:val="center"/>
              <w:rPr>
                <w:b/>
              </w:rPr>
            </w:pPr>
            <w:r>
              <w:rPr>
                <w:b/>
              </w:rPr>
              <w:t>Percent of</w:t>
              <w:br/>
              <w:t>Fiscal 2023</w:t>
              <w:br/>
              <w:t>Target</w:t>
              <w:br/>
              <w:t>(%)</w:t>
            </w:r>
          </w:p>
        </w:tc>
        <w:tc>
          <w:tcPr>
            <w:tcW w:w="75" w:type="dxa"/>
            <w:tcBorders/>
            <w:shd w:fill="FDEEF1"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1325" w:type="dxa"/>
            <w:gridSpan w:val="4"/>
            <w:tcBorders/>
            <w:vAlign w:val="center"/>
          </w:tcPr>
          <w:p>
            <w:pPr>
              <w:pStyle w:val="TableContents"/>
              <w:bidi w:val="0"/>
              <w:spacing w:before="0" w:after="283"/>
              <w:jc w:val="left"/>
              <w:rPr>
                <w:sz w:val="4"/>
                <w:szCs w:val="4"/>
              </w:rPr>
            </w:pPr>
            <w:r>
              <w:rPr>
                <w:sz w:val="4"/>
                <w:szCs w:val="4"/>
              </w:rPr>
            </w:r>
          </w:p>
        </w:tc>
        <w:tc>
          <w:tcPr>
            <w:tcW w:w="1325" w:type="dxa"/>
            <w:gridSpan w:val="4"/>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c>
          <w:tcPr>
            <w:tcW w:w="1325" w:type="dxa"/>
            <w:gridSpan w:val="4"/>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Mr. Waters</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96" w:type="dxa"/>
            <w:tcBorders>
              <w:bottom w:val="single" w:sz="6" w:space="0" w:color="FBDDE3"/>
            </w:tcBorders>
            <w:tcMar>
              <w:bottom w:w="60" w:type="dxa"/>
            </w:tcMar>
            <w:vAlign w:val="center"/>
          </w:tcPr>
          <w:p>
            <w:pPr>
              <w:pStyle w:val="TableContents"/>
              <w:bidi w:val="0"/>
              <w:spacing w:before="0" w:after="283"/>
              <w:jc w:val="left"/>
              <w:rPr/>
            </w:pPr>
            <w:r>
              <w:rPr/>
              <w:t> </w:t>
            </w:r>
          </w:p>
        </w:tc>
        <w:tc>
          <w:tcPr>
            <w:tcW w:w="614" w:type="dxa"/>
            <w:tcBorders>
              <w:bottom w:val="single" w:sz="6" w:space="0" w:color="FBDDE3"/>
            </w:tcBorders>
            <w:tcMar>
              <w:bottom w:w="60" w:type="dxa"/>
            </w:tcMar>
            <w:vAlign w:val="center"/>
          </w:tcPr>
          <w:p>
            <w:pPr>
              <w:pStyle w:val="TableContents"/>
              <w:bidi w:val="0"/>
              <w:spacing w:before="0" w:after="283"/>
              <w:jc w:val="right"/>
              <w:rPr/>
            </w:pPr>
            <w:r>
              <w:rPr/>
              <w:t>180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6" w:type="dxa"/>
            <w:tcBorders>
              <w:bottom w:val="single" w:sz="6" w:space="0" w:color="FBDDE3"/>
            </w:tcBorders>
            <w:tcMar>
              <w:bottom w:w="60" w:type="dxa"/>
            </w:tcMar>
            <w:vAlign w:val="center"/>
          </w:tcPr>
          <w:p>
            <w:pPr>
              <w:pStyle w:val="TableContents"/>
              <w:bidi w:val="0"/>
              <w:spacing w:before="0" w:after="283"/>
              <w:jc w:val="left"/>
              <w:rPr/>
            </w:pPr>
            <w:r>
              <w:rPr/>
              <w:t> </w:t>
            </w:r>
          </w:p>
        </w:tc>
        <w:tc>
          <w:tcPr>
            <w:tcW w:w="1079" w:type="dxa"/>
            <w:tcBorders>
              <w:bottom w:val="single" w:sz="6" w:space="0" w:color="FBDDE3"/>
            </w:tcBorders>
            <w:tcMar>
              <w:bottom w:w="60" w:type="dxa"/>
            </w:tcMar>
            <w:vAlign w:val="center"/>
          </w:tcPr>
          <w:p>
            <w:pPr>
              <w:pStyle w:val="TableContents"/>
              <w:bidi w:val="0"/>
              <w:spacing w:before="0" w:after="283"/>
              <w:jc w:val="right"/>
              <w:rPr/>
            </w:pPr>
            <w:r>
              <w:rPr/>
              <w:t>2,250,000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14" w:type="dxa"/>
            <w:tcBorders>
              <w:bottom w:val="single" w:sz="6" w:space="0" w:color="FBDDE3"/>
            </w:tcBorders>
            <w:tcMar>
              <w:bottom w:w="60" w:type="dxa"/>
            </w:tcMar>
            <w:vAlign w:val="center"/>
          </w:tcPr>
          <w:p>
            <w:pPr>
              <w:pStyle w:val="TableContents"/>
              <w:bidi w:val="0"/>
              <w:spacing w:before="0" w:after="283"/>
              <w:jc w:val="left"/>
              <w:rPr/>
            </w:pPr>
            <w:r>
              <w:rPr/>
              <w:t> </w:t>
            </w:r>
          </w:p>
        </w:tc>
        <w:tc>
          <w:tcPr>
            <w:tcW w:w="931" w:type="dxa"/>
            <w:tcBorders>
              <w:bottom w:val="single" w:sz="6" w:space="0" w:color="FBDDE3"/>
            </w:tcBorders>
            <w:tcMar>
              <w:bottom w:w="60" w:type="dxa"/>
            </w:tcMar>
            <w:vAlign w:val="center"/>
          </w:tcPr>
          <w:p>
            <w:pPr>
              <w:pStyle w:val="TableContents"/>
              <w:bidi w:val="0"/>
              <w:spacing w:before="0" w:after="283"/>
              <w:jc w:val="right"/>
              <w:rPr/>
            </w:pPr>
            <w:r>
              <w:rPr/>
              <w:t>—</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97" w:type="dxa"/>
            <w:tcBorders>
              <w:bottom w:val="single" w:sz="6" w:space="0" w:color="FBDDE3"/>
            </w:tcBorders>
            <w:tcMar>
              <w:bottom w:w="60" w:type="dxa"/>
            </w:tcMar>
            <w:vAlign w:val="center"/>
          </w:tcPr>
          <w:p>
            <w:pPr>
              <w:pStyle w:val="TableContents"/>
              <w:bidi w:val="0"/>
              <w:spacing w:before="0" w:after="283"/>
              <w:jc w:val="left"/>
              <w:rPr/>
            </w:pPr>
            <w:r>
              <w:rPr/>
              <w:t> </w:t>
            </w:r>
          </w:p>
        </w:tc>
        <w:tc>
          <w:tcPr>
            <w:tcW w:w="1303" w:type="dxa"/>
            <w:tcBorders>
              <w:bottom w:val="single" w:sz="6" w:space="0" w:color="FBDDE3"/>
            </w:tcBorders>
            <w:tcMar>
              <w:bottom w:w="60" w:type="dxa"/>
            </w:tcMar>
            <w:vAlign w:val="center"/>
          </w:tcPr>
          <w:p>
            <w:pPr>
              <w:pStyle w:val="TableContents"/>
              <w:bidi w:val="0"/>
              <w:spacing w:before="0" w:after="283"/>
              <w:jc w:val="right"/>
              <w:rPr/>
            </w:pPr>
            <w:r>
              <w:rPr/>
              <w:t>788,738</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14" w:type="dxa"/>
            <w:tcBorders>
              <w:bottom w:val="single" w:sz="6" w:space="0" w:color="FBDDE3"/>
            </w:tcBorders>
            <w:tcMar>
              <w:bottom w:w="60" w:type="dxa"/>
            </w:tcMar>
            <w:vAlign w:val="center"/>
          </w:tcPr>
          <w:p>
            <w:pPr>
              <w:pStyle w:val="TableContents"/>
              <w:bidi w:val="0"/>
              <w:spacing w:before="0" w:after="283"/>
              <w:jc w:val="left"/>
              <w:rPr/>
            </w:pPr>
            <w:r>
              <w:rPr/>
              <w:t> </w:t>
            </w:r>
          </w:p>
        </w:tc>
        <w:tc>
          <w:tcPr>
            <w:tcW w:w="931" w:type="dxa"/>
            <w:tcBorders>
              <w:bottom w:val="single" w:sz="6" w:space="0" w:color="FBDDE3"/>
            </w:tcBorders>
            <w:tcMar>
              <w:bottom w:w="60" w:type="dxa"/>
            </w:tcMar>
            <w:vAlign w:val="center"/>
          </w:tcPr>
          <w:p>
            <w:pPr>
              <w:pStyle w:val="TableContents"/>
              <w:bidi w:val="0"/>
              <w:spacing w:before="0" w:after="283"/>
              <w:jc w:val="right"/>
              <w:rPr/>
            </w:pPr>
            <w:r>
              <w:rPr/>
              <w:t>—</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89" w:type="dxa"/>
            <w:tcBorders>
              <w:bottom w:val="single" w:sz="6" w:space="0" w:color="FBDDE3"/>
            </w:tcBorders>
            <w:tcMar>
              <w:bottom w:w="60" w:type="dxa"/>
            </w:tcMar>
            <w:vAlign w:val="center"/>
          </w:tcPr>
          <w:p>
            <w:pPr>
              <w:pStyle w:val="TableContents"/>
              <w:bidi w:val="0"/>
              <w:spacing w:before="0" w:after="283"/>
              <w:jc w:val="left"/>
              <w:rPr/>
            </w:pPr>
            <w:r>
              <w:rPr/>
              <w:t> </w:t>
            </w:r>
          </w:p>
        </w:tc>
        <w:tc>
          <w:tcPr>
            <w:tcW w:w="1191" w:type="dxa"/>
            <w:tcBorders>
              <w:bottom w:val="single" w:sz="6" w:space="0" w:color="FBDDE3"/>
            </w:tcBorders>
            <w:tcMar>
              <w:bottom w:w="60" w:type="dxa"/>
            </w:tcMar>
            <w:vAlign w:val="center"/>
          </w:tcPr>
          <w:p>
            <w:pPr>
              <w:pStyle w:val="TableContents"/>
              <w:bidi w:val="0"/>
              <w:spacing w:before="0" w:after="283"/>
              <w:jc w:val="right"/>
              <w:rPr/>
            </w:pPr>
            <w:r>
              <w:rPr/>
              <w:t>788,738</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14" w:type="dxa"/>
            <w:tcBorders>
              <w:bottom w:val="single" w:sz="6" w:space="0" w:color="FBDDE3"/>
            </w:tcBorders>
            <w:tcMar>
              <w:bottom w:w="60" w:type="dxa"/>
            </w:tcMar>
            <w:vAlign w:val="center"/>
          </w:tcPr>
          <w:p>
            <w:pPr>
              <w:pStyle w:val="TableContents"/>
              <w:bidi w:val="0"/>
              <w:spacing w:before="0" w:after="283"/>
              <w:jc w:val="left"/>
              <w:rPr/>
            </w:pPr>
            <w:r>
              <w:rPr/>
              <w:t> </w:t>
            </w:r>
          </w:p>
        </w:tc>
        <w:tc>
          <w:tcPr>
            <w:tcW w:w="931" w:type="dxa"/>
            <w:tcBorders>
              <w:bottom w:val="single" w:sz="6" w:space="0" w:color="FBDDE3"/>
            </w:tcBorders>
            <w:tcMar>
              <w:bottom w:w="60" w:type="dxa"/>
            </w:tcMar>
            <w:vAlign w:val="center"/>
          </w:tcPr>
          <w:p>
            <w:pPr>
              <w:pStyle w:val="TableContents"/>
              <w:bidi w:val="0"/>
              <w:spacing w:before="0" w:after="283"/>
              <w:jc w:val="right"/>
              <w:rPr/>
            </w:pPr>
            <w:r>
              <w:rPr/>
              <w:t>35</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1325" w:type="dxa"/>
            <w:gridSpan w:val="4"/>
            <w:tcBorders/>
            <w:vAlign w:val="center"/>
          </w:tcPr>
          <w:p>
            <w:pPr>
              <w:pStyle w:val="TableContents"/>
              <w:bidi w:val="0"/>
              <w:spacing w:before="0" w:after="283"/>
              <w:jc w:val="left"/>
              <w:rPr>
                <w:sz w:val="4"/>
                <w:szCs w:val="4"/>
              </w:rPr>
            </w:pPr>
            <w:r>
              <w:rPr>
                <w:sz w:val="4"/>
                <w:szCs w:val="4"/>
              </w:rPr>
            </w:r>
          </w:p>
        </w:tc>
        <w:tc>
          <w:tcPr>
            <w:tcW w:w="1325" w:type="dxa"/>
            <w:gridSpan w:val="4"/>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c>
          <w:tcPr>
            <w:tcW w:w="1325" w:type="dxa"/>
            <w:gridSpan w:val="4"/>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Mr. Johnson</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96" w:type="dxa"/>
            <w:tcBorders>
              <w:bottom w:val="single" w:sz="6" w:space="0" w:color="FBDDE3"/>
            </w:tcBorders>
            <w:tcMar>
              <w:bottom w:w="60" w:type="dxa"/>
            </w:tcMar>
            <w:vAlign w:val="center"/>
          </w:tcPr>
          <w:p>
            <w:pPr>
              <w:pStyle w:val="TableContents"/>
              <w:bidi w:val="0"/>
              <w:spacing w:before="0" w:after="283"/>
              <w:jc w:val="left"/>
              <w:rPr/>
            </w:pPr>
            <w:r>
              <w:rPr/>
              <w:t> </w:t>
            </w:r>
          </w:p>
        </w:tc>
        <w:tc>
          <w:tcPr>
            <w:tcW w:w="614" w:type="dxa"/>
            <w:tcBorders>
              <w:bottom w:val="single" w:sz="6" w:space="0" w:color="FBDDE3"/>
            </w:tcBorders>
            <w:tcMar>
              <w:bottom w:w="60" w:type="dxa"/>
            </w:tcMar>
            <w:vAlign w:val="center"/>
          </w:tcPr>
          <w:p>
            <w:pPr>
              <w:pStyle w:val="TableContents"/>
              <w:bidi w:val="0"/>
              <w:spacing w:before="0" w:after="283"/>
              <w:jc w:val="right"/>
              <w:rPr/>
            </w:pPr>
            <w:r>
              <w:rPr/>
              <w:t>100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6" w:type="dxa"/>
            <w:tcBorders>
              <w:bottom w:val="single" w:sz="6" w:space="0" w:color="FBDDE3"/>
            </w:tcBorders>
            <w:tcMar>
              <w:bottom w:w="60" w:type="dxa"/>
            </w:tcMar>
            <w:vAlign w:val="center"/>
          </w:tcPr>
          <w:p>
            <w:pPr>
              <w:pStyle w:val="TableContents"/>
              <w:bidi w:val="0"/>
              <w:spacing w:before="0" w:after="283"/>
              <w:jc w:val="left"/>
              <w:rPr/>
            </w:pPr>
            <w:r>
              <w:rPr/>
              <w:t> </w:t>
            </w:r>
          </w:p>
        </w:tc>
        <w:tc>
          <w:tcPr>
            <w:tcW w:w="1079" w:type="dxa"/>
            <w:tcBorders>
              <w:bottom w:val="single" w:sz="6" w:space="0" w:color="FBDDE3"/>
            </w:tcBorders>
            <w:tcMar>
              <w:bottom w:w="60" w:type="dxa"/>
            </w:tcMar>
            <w:vAlign w:val="center"/>
          </w:tcPr>
          <w:p>
            <w:pPr>
              <w:pStyle w:val="TableContents"/>
              <w:bidi w:val="0"/>
              <w:spacing w:before="0" w:after="283"/>
              <w:jc w:val="right"/>
              <w:rPr/>
            </w:pPr>
            <w:r>
              <w:rPr/>
              <w:t>800,000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14" w:type="dxa"/>
            <w:tcBorders>
              <w:bottom w:val="single" w:sz="6" w:space="0" w:color="FBDDE3"/>
            </w:tcBorders>
            <w:tcMar>
              <w:bottom w:w="60" w:type="dxa"/>
            </w:tcMar>
            <w:vAlign w:val="center"/>
          </w:tcPr>
          <w:p>
            <w:pPr>
              <w:pStyle w:val="TableContents"/>
              <w:bidi w:val="0"/>
              <w:spacing w:before="0" w:after="283"/>
              <w:jc w:val="left"/>
              <w:rPr/>
            </w:pPr>
            <w:r>
              <w:rPr/>
              <w:t> </w:t>
            </w:r>
          </w:p>
        </w:tc>
        <w:tc>
          <w:tcPr>
            <w:tcW w:w="931" w:type="dxa"/>
            <w:tcBorders>
              <w:bottom w:val="single" w:sz="6" w:space="0" w:color="FBDDE3"/>
            </w:tcBorders>
            <w:tcMar>
              <w:bottom w:w="60" w:type="dxa"/>
            </w:tcMar>
            <w:vAlign w:val="center"/>
          </w:tcPr>
          <w:p>
            <w:pPr>
              <w:pStyle w:val="TableContents"/>
              <w:bidi w:val="0"/>
              <w:spacing w:before="0" w:after="283"/>
              <w:jc w:val="right"/>
              <w:rPr/>
            </w:pPr>
            <w:r>
              <w:rPr/>
              <w:t>—</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97" w:type="dxa"/>
            <w:tcBorders>
              <w:bottom w:val="single" w:sz="6" w:space="0" w:color="FBDDE3"/>
            </w:tcBorders>
            <w:tcMar>
              <w:bottom w:w="60" w:type="dxa"/>
            </w:tcMar>
            <w:vAlign w:val="center"/>
          </w:tcPr>
          <w:p>
            <w:pPr>
              <w:pStyle w:val="TableContents"/>
              <w:bidi w:val="0"/>
              <w:spacing w:before="0" w:after="283"/>
              <w:jc w:val="left"/>
              <w:rPr/>
            </w:pPr>
            <w:r>
              <w:rPr/>
              <w:t> </w:t>
            </w:r>
          </w:p>
        </w:tc>
        <w:tc>
          <w:tcPr>
            <w:tcW w:w="1303" w:type="dxa"/>
            <w:tcBorders>
              <w:bottom w:val="single" w:sz="6" w:space="0" w:color="FBDDE3"/>
            </w:tcBorders>
            <w:tcMar>
              <w:bottom w:w="60" w:type="dxa"/>
            </w:tcMar>
            <w:vAlign w:val="center"/>
          </w:tcPr>
          <w:p>
            <w:pPr>
              <w:pStyle w:val="TableContents"/>
              <w:bidi w:val="0"/>
              <w:spacing w:before="0" w:after="283"/>
              <w:jc w:val="right"/>
              <w:rPr/>
            </w:pPr>
            <w:r>
              <w:rPr/>
              <w:t>280,440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14" w:type="dxa"/>
            <w:tcBorders>
              <w:bottom w:val="single" w:sz="6" w:space="0" w:color="FBDDE3"/>
            </w:tcBorders>
            <w:tcMar>
              <w:bottom w:w="60" w:type="dxa"/>
            </w:tcMar>
            <w:vAlign w:val="center"/>
          </w:tcPr>
          <w:p>
            <w:pPr>
              <w:pStyle w:val="TableContents"/>
              <w:bidi w:val="0"/>
              <w:spacing w:before="0" w:after="283"/>
              <w:jc w:val="left"/>
              <w:rPr/>
            </w:pPr>
            <w:r>
              <w:rPr/>
              <w:t> </w:t>
            </w:r>
          </w:p>
        </w:tc>
        <w:tc>
          <w:tcPr>
            <w:tcW w:w="931" w:type="dxa"/>
            <w:tcBorders>
              <w:bottom w:val="single" w:sz="6" w:space="0" w:color="FBDDE3"/>
            </w:tcBorders>
            <w:tcMar>
              <w:bottom w:w="60" w:type="dxa"/>
            </w:tcMar>
            <w:vAlign w:val="center"/>
          </w:tcPr>
          <w:p>
            <w:pPr>
              <w:pStyle w:val="TableContents"/>
              <w:bidi w:val="0"/>
              <w:spacing w:before="0" w:after="283"/>
              <w:jc w:val="right"/>
              <w:rPr/>
            </w:pPr>
            <w:r>
              <w:rPr/>
              <w:t>—</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89" w:type="dxa"/>
            <w:tcBorders>
              <w:bottom w:val="single" w:sz="6" w:space="0" w:color="FBDDE3"/>
            </w:tcBorders>
            <w:tcMar>
              <w:bottom w:w="60" w:type="dxa"/>
            </w:tcMar>
            <w:vAlign w:val="center"/>
          </w:tcPr>
          <w:p>
            <w:pPr>
              <w:pStyle w:val="TableContents"/>
              <w:bidi w:val="0"/>
              <w:spacing w:before="0" w:after="283"/>
              <w:jc w:val="left"/>
              <w:rPr/>
            </w:pPr>
            <w:r>
              <w:rPr/>
              <w:t> </w:t>
            </w:r>
          </w:p>
        </w:tc>
        <w:tc>
          <w:tcPr>
            <w:tcW w:w="1191" w:type="dxa"/>
            <w:tcBorders>
              <w:bottom w:val="single" w:sz="6" w:space="0" w:color="FBDDE3"/>
            </w:tcBorders>
            <w:tcMar>
              <w:bottom w:w="60" w:type="dxa"/>
            </w:tcMar>
            <w:vAlign w:val="center"/>
          </w:tcPr>
          <w:p>
            <w:pPr>
              <w:pStyle w:val="TableContents"/>
              <w:bidi w:val="0"/>
              <w:spacing w:before="0" w:after="283"/>
              <w:jc w:val="right"/>
              <w:rPr/>
            </w:pPr>
            <w:r>
              <w:rPr/>
              <w:t>280,440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14" w:type="dxa"/>
            <w:tcBorders>
              <w:bottom w:val="single" w:sz="6" w:space="0" w:color="FBDDE3"/>
            </w:tcBorders>
            <w:tcMar>
              <w:bottom w:w="60" w:type="dxa"/>
            </w:tcMar>
            <w:vAlign w:val="center"/>
          </w:tcPr>
          <w:p>
            <w:pPr>
              <w:pStyle w:val="TableContents"/>
              <w:bidi w:val="0"/>
              <w:spacing w:before="0" w:after="283"/>
              <w:jc w:val="left"/>
              <w:rPr/>
            </w:pPr>
            <w:r>
              <w:rPr/>
              <w:t> </w:t>
            </w:r>
          </w:p>
        </w:tc>
        <w:tc>
          <w:tcPr>
            <w:tcW w:w="931" w:type="dxa"/>
            <w:tcBorders>
              <w:bottom w:val="single" w:sz="6" w:space="0" w:color="FBDDE3"/>
            </w:tcBorders>
            <w:tcMar>
              <w:bottom w:w="60" w:type="dxa"/>
            </w:tcMar>
            <w:vAlign w:val="center"/>
          </w:tcPr>
          <w:p>
            <w:pPr>
              <w:pStyle w:val="TableContents"/>
              <w:bidi w:val="0"/>
              <w:spacing w:before="0" w:after="283"/>
              <w:jc w:val="right"/>
              <w:rPr/>
            </w:pPr>
            <w:r>
              <w:rPr/>
              <w:t>35</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1325" w:type="dxa"/>
            <w:gridSpan w:val="4"/>
            <w:tcBorders/>
            <w:vAlign w:val="center"/>
          </w:tcPr>
          <w:p>
            <w:pPr>
              <w:pStyle w:val="TableContents"/>
              <w:bidi w:val="0"/>
              <w:spacing w:before="0" w:after="283"/>
              <w:jc w:val="left"/>
              <w:rPr>
                <w:sz w:val="4"/>
                <w:szCs w:val="4"/>
              </w:rPr>
            </w:pPr>
            <w:r>
              <w:rPr>
                <w:sz w:val="4"/>
                <w:szCs w:val="4"/>
              </w:rPr>
            </w:r>
          </w:p>
        </w:tc>
        <w:tc>
          <w:tcPr>
            <w:tcW w:w="1325" w:type="dxa"/>
            <w:gridSpan w:val="4"/>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c>
          <w:tcPr>
            <w:tcW w:w="1325" w:type="dxa"/>
            <w:gridSpan w:val="4"/>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Ms. McAfee</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96" w:type="dxa"/>
            <w:tcBorders>
              <w:bottom w:val="single" w:sz="6" w:space="0" w:color="FBDDE3"/>
            </w:tcBorders>
            <w:tcMar>
              <w:bottom w:w="60" w:type="dxa"/>
            </w:tcMar>
            <w:vAlign w:val="center"/>
          </w:tcPr>
          <w:p>
            <w:pPr>
              <w:pStyle w:val="TableContents"/>
              <w:bidi w:val="0"/>
              <w:spacing w:before="0" w:after="283"/>
              <w:jc w:val="left"/>
              <w:rPr/>
            </w:pPr>
            <w:r>
              <w:rPr/>
              <w:t> </w:t>
            </w:r>
          </w:p>
        </w:tc>
        <w:tc>
          <w:tcPr>
            <w:tcW w:w="614" w:type="dxa"/>
            <w:tcBorders>
              <w:bottom w:val="single" w:sz="6" w:space="0" w:color="FBDDE3"/>
            </w:tcBorders>
            <w:tcMar>
              <w:bottom w:w="60" w:type="dxa"/>
            </w:tcMar>
            <w:vAlign w:val="center"/>
          </w:tcPr>
          <w:p>
            <w:pPr>
              <w:pStyle w:val="TableContents"/>
              <w:bidi w:val="0"/>
              <w:spacing w:before="0" w:after="283"/>
              <w:jc w:val="right"/>
              <w:rPr/>
            </w:pPr>
            <w:r>
              <w:rPr/>
              <w:t>100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6" w:type="dxa"/>
            <w:tcBorders>
              <w:bottom w:val="single" w:sz="6" w:space="0" w:color="FBDDE3"/>
            </w:tcBorders>
            <w:tcMar>
              <w:bottom w:w="60" w:type="dxa"/>
            </w:tcMar>
            <w:vAlign w:val="center"/>
          </w:tcPr>
          <w:p>
            <w:pPr>
              <w:pStyle w:val="TableContents"/>
              <w:bidi w:val="0"/>
              <w:spacing w:before="0" w:after="283"/>
              <w:jc w:val="left"/>
              <w:rPr/>
            </w:pPr>
            <w:r>
              <w:rPr/>
              <w:t> </w:t>
            </w:r>
          </w:p>
        </w:tc>
        <w:tc>
          <w:tcPr>
            <w:tcW w:w="1079" w:type="dxa"/>
            <w:tcBorders>
              <w:bottom w:val="single" w:sz="6" w:space="0" w:color="FBDDE3"/>
            </w:tcBorders>
            <w:tcMar>
              <w:bottom w:w="60" w:type="dxa"/>
            </w:tcMar>
            <w:vAlign w:val="center"/>
          </w:tcPr>
          <w:p>
            <w:pPr>
              <w:pStyle w:val="TableContents"/>
              <w:bidi w:val="0"/>
              <w:spacing w:before="0" w:after="283"/>
              <w:jc w:val="right"/>
              <w:rPr/>
            </w:pPr>
            <w:r>
              <w:rPr/>
              <w:t>725,000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14" w:type="dxa"/>
            <w:tcBorders>
              <w:bottom w:val="single" w:sz="6" w:space="0" w:color="FBDDE3"/>
            </w:tcBorders>
            <w:tcMar>
              <w:bottom w:w="60" w:type="dxa"/>
            </w:tcMar>
            <w:vAlign w:val="center"/>
          </w:tcPr>
          <w:p>
            <w:pPr>
              <w:pStyle w:val="TableContents"/>
              <w:bidi w:val="0"/>
              <w:spacing w:before="0" w:after="283"/>
              <w:jc w:val="left"/>
              <w:rPr/>
            </w:pPr>
            <w:r>
              <w:rPr/>
              <w:t> </w:t>
            </w:r>
          </w:p>
        </w:tc>
        <w:tc>
          <w:tcPr>
            <w:tcW w:w="931" w:type="dxa"/>
            <w:tcBorders>
              <w:bottom w:val="single" w:sz="6" w:space="0" w:color="FBDDE3"/>
            </w:tcBorders>
            <w:tcMar>
              <w:bottom w:w="60" w:type="dxa"/>
            </w:tcMar>
            <w:vAlign w:val="center"/>
          </w:tcPr>
          <w:p>
            <w:pPr>
              <w:pStyle w:val="TableContents"/>
              <w:bidi w:val="0"/>
              <w:spacing w:before="0" w:after="283"/>
              <w:jc w:val="right"/>
              <w:rPr/>
            </w:pPr>
            <w:r>
              <w:rPr/>
              <w:t>—</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97" w:type="dxa"/>
            <w:tcBorders>
              <w:bottom w:val="single" w:sz="6" w:space="0" w:color="FBDDE3"/>
            </w:tcBorders>
            <w:tcMar>
              <w:bottom w:w="60" w:type="dxa"/>
            </w:tcMar>
            <w:vAlign w:val="center"/>
          </w:tcPr>
          <w:p>
            <w:pPr>
              <w:pStyle w:val="TableContents"/>
              <w:bidi w:val="0"/>
              <w:spacing w:before="0" w:after="283"/>
              <w:jc w:val="left"/>
              <w:rPr/>
            </w:pPr>
            <w:r>
              <w:rPr/>
              <w:t> </w:t>
            </w:r>
          </w:p>
        </w:tc>
        <w:tc>
          <w:tcPr>
            <w:tcW w:w="1303" w:type="dxa"/>
            <w:tcBorders>
              <w:bottom w:val="single" w:sz="6" w:space="0" w:color="FBDDE3"/>
            </w:tcBorders>
            <w:tcMar>
              <w:bottom w:w="60" w:type="dxa"/>
            </w:tcMar>
            <w:vAlign w:val="center"/>
          </w:tcPr>
          <w:p>
            <w:pPr>
              <w:pStyle w:val="TableContents"/>
              <w:bidi w:val="0"/>
              <w:spacing w:before="0" w:after="283"/>
              <w:jc w:val="right"/>
              <w:rPr/>
            </w:pPr>
            <w:r>
              <w:rPr/>
              <w:t>254,149</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14" w:type="dxa"/>
            <w:tcBorders>
              <w:bottom w:val="single" w:sz="6" w:space="0" w:color="FBDDE3"/>
            </w:tcBorders>
            <w:tcMar>
              <w:bottom w:w="60" w:type="dxa"/>
            </w:tcMar>
            <w:vAlign w:val="center"/>
          </w:tcPr>
          <w:p>
            <w:pPr>
              <w:pStyle w:val="TableContents"/>
              <w:bidi w:val="0"/>
              <w:spacing w:before="0" w:after="283"/>
              <w:jc w:val="left"/>
              <w:rPr/>
            </w:pPr>
            <w:r>
              <w:rPr/>
              <w:t> </w:t>
            </w:r>
          </w:p>
        </w:tc>
        <w:tc>
          <w:tcPr>
            <w:tcW w:w="931" w:type="dxa"/>
            <w:tcBorders>
              <w:bottom w:val="single" w:sz="6" w:space="0" w:color="FBDDE3"/>
            </w:tcBorders>
            <w:tcMar>
              <w:bottom w:w="60" w:type="dxa"/>
            </w:tcMar>
            <w:vAlign w:val="center"/>
          </w:tcPr>
          <w:p>
            <w:pPr>
              <w:pStyle w:val="TableContents"/>
              <w:bidi w:val="0"/>
              <w:spacing w:before="0" w:after="283"/>
              <w:jc w:val="right"/>
              <w:rPr/>
            </w:pPr>
            <w:r>
              <w:rPr/>
              <w:t>—</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89" w:type="dxa"/>
            <w:tcBorders>
              <w:bottom w:val="single" w:sz="6" w:space="0" w:color="FBDDE3"/>
            </w:tcBorders>
            <w:tcMar>
              <w:bottom w:w="60" w:type="dxa"/>
            </w:tcMar>
            <w:vAlign w:val="center"/>
          </w:tcPr>
          <w:p>
            <w:pPr>
              <w:pStyle w:val="TableContents"/>
              <w:bidi w:val="0"/>
              <w:spacing w:before="0" w:after="283"/>
              <w:jc w:val="left"/>
              <w:rPr/>
            </w:pPr>
            <w:r>
              <w:rPr/>
              <w:t> </w:t>
            </w:r>
          </w:p>
        </w:tc>
        <w:tc>
          <w:tcPr>
            <w:tcW w:w="1191" w:type="dxa"/>
            <w:tcBorders>
              <w:bottom w:val="single" w:sz="6" w:space="0" w:color="FBDDE3"/>
            </w:tcBorders>
            <w:tcMar>
              <w:bottom w:w="60" w:type="dxa"/>
            </w:tcMar>
            <w:vAlign w:val="center"/>
          </w:tcPr>
          <w:p>
            <w:pPr>
              <w:pStyle w:val="TableContents"/>
              <w:bidi w:val="0"/>
              <w:spacing w:before="0" w:after="283"/>
              <w:jc w:val="right"/>
              <w:rPr/>
            </w:pPr>
            <w:r>
              <w:rPr/>
              <w:t>254,149</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14" w:type="dxa"/>
            <w:tcBorders>
              <w:bottom w:val="single" w:sz="6" w:space="0" w:color="FBDDE3"/>
            </w:tcBorders>
            <w:tcMar>
              <w:bottom w:w="60" w:type="dxa"/>
            </w:tcMar>
            <w:vAlign w:val="center"/>
          </w:tcPr>
          <w:p>
            <w:pPr>
              <w:pStyle w:val="TableContents"/>
              <w:bidi w:val="0"/>
              <w:spacing w:before="0" w:after="283"/>
              <w:jc w:val="left"/>
              <w:rPr/>
            </w:pPr>
            <w:r>
              <w:rPr/>
              <w:t> </w:t>
            </w:r>
          </w:p>
        </w:tc>
        <w:tc>
          <w:tcPr>
            <w:tcW w:w="931" w:type="dxa"/>
            <w:tcBorders>
              <w:bottom w:val="single" w:sz="6" w:space="0" w:color="FBDDE3"/>
            </w:tcBorders>
            <w:tcMar>
              <w:bottom w:w="60" w:type="dxa"/>
            </w:tcMar>
            <w:vAlign w:val="center"/>
          </w:tcPr>
          <w:p>
            <w:pPr>
              <w:pStyle w:val="TableContents"/>
              <w:bidi w:val="0"/>
              <w:spacing w:before="0" w:after="283"/>
              <w:jc w:val="right"/>
              <w:rPr/>
            </w:pPr>
            <w:r>
              <w:rPr/>
              <w:t>35</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1325" w:type="dxa"/>
            <w:gridSpan w:val="4"/>
            <w:tcBorders/>
            <w:vAlign w:val="center"/>
          </w:tcPr>
          <w:p>
            <w:pPr>
              <w:pStyle w:val="TableContents"/>
              <w:bidi w:val="0"/>
              <w:spacing w:before="0" w:after="283"/>
              <w:jc w:val="left"/>
              <w:rPr>
                <w:sz w:val="4"/>
                <w:szCs w:val="4"/>
              </w:rPr>
            </w:pPr>
            <w:r>
              <w:rPr>
                <w:sz w:val="4"/>
                <w:szCs w:val="4"/>
              </w:rPr>
            </w:r>
          </w:p>
        </w:tc>
        <w:tc>
          <w:tcPr>
            <w:tcW w:w="1325" w:type="dxa"/>
            <w:gridSpan w:val="4"/>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c>
          <w:tcPr>
            <w:tcW w:w="1325" w:type="dxa"/>
            <w:gridSpan w:val="4"/>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Ms. Rupp</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96" w:type="dxa"/>
            <w:tcBorders>
              <w:bottom w:val="single" w:sz="6" w:space="0" w:color="FBDDE3"/>
            </w:tcBorders>
            <w:tcMar>
              <w:bottom w:w="60" w:type="dxa"/>
            </w:tcMar>
            <w:vAlign w:val="center"/>
          </w:tcPr>
          <w:p>
            <w:pPr>
              <w:pStyle w:val="TableContents"/>
              <w:bidi w:val="0"/>
              <w:spacing w:before="0" w:after="283"/>
              <w:jc w:val="left"/>
              <w:rPr/>
            </w:pPr>
            <w:r>
              <w:rPr/>
              <w:t> </w:t>
            </w:r>
          </w:p>
        </w:tc>
        <w:tc>
          <w:tcPr>
            <w:tcW w:w="614" w:type="dxa"/>
            <w:tcBorders>
              <w:bottom w:val="single" w:sz="6" w:space="0" w:color="FBDDE3"/>
            </w:tcBorders>
            <w:tcMar>
              <w:bottom w:w="60" w:type="dxa"/>
            </w:tcMar>
            <w:vAlign w:val="center"/>
          </w:tcPr>
          <w:p>
            <w:pPr>
              <w:pStyle w:val="TableContents"/>
              <w:bidi w:val="0"/>
              <w:spacing w:before="0" w:after="283"/>
              <w:jc w:val="right"/>
              <w:rPr/>
            </w:pPr>
            <w:r>
              <w:rPr/>
              <w:t>170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6" w:type="dxa"/>
            <w:tcBorders>
              <w:bottom w:val="single" w:sz="6" w:space="0" w:color="FBDDE3"/>
            </w:tcBorders>
            <w:tcMar>
              <w:bottom w:w="60" w:type="dxa"/>
            </w:tcMar>
            <w:vAlign w:val="center"/>
          </w:tcPr>
          <w:p>
            <w:pPr>
              <w:pStyle w:val="TableContents"/>
              <w:bidi w:val="0"/>
              <w:spacing w:before="0" w:after="283"/>
              <w:jc w:val="left"/>
              <w:rPr/>
            </w:pPr>
            <w:r>
              <w:rPr/>
              <w:t> </w:t>
            </w:r>
          </w:p>
        </w:tc>
        <w:tc>
          <w:tcPr>
            <w:tcW w:w="1079" w:type="dxa"/>
            <w:tcBorders>
              <w:bottom w:val="single" w:sz="6" w:space="0" w:color="FBDDE3"/>
            </w:tcBorders>
            <w:tcMar>
              <w:bottom w:w="60" w:type="dxa"/>
            </w:tcMar>
            <w:vAlign w:val="center"/>
          </w:tcPr>
          <w:p>
            <w:pPr>
              <w:pStyle w:val="TableContents"/>
              <w:bidi w:val="0"/>
              <w:spacing w:before="0" w:after="283"/>
              <w:jc w:val="right"/>
              <w:rPr/>
            </w:pPr>
            <w:r>
              <w:rPr/>
              <w:t>1,674,500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14" w:type="dxa"/>
            <w:tcBorders>
              <w:bottom w:val="single" w:sz="6" w:space="0" w:color="FBDDE3"/>
            </w:tcBorders>
            <w:tcMar>
              <w:bottom w:w="60" w:type="dxa"/>
            </w:tcMar>
            <w:vAlign w:val="center"/>
          </w:tcPr>
          <w:p>
            <w:pPr>
              <w:pStyle w:val="TableContents"/>
              <w:bidi w:val="0"/>
              <w:spacing w:before="0" w:after="283"/>
              <w:jc w:val="left"/>
              <w:rPr/>
            </w:pPr>
            <w:r>
              <w:rPr/>
              <w:t> </w:t>
            </w:r>
          </w:p>
        </w:tc>
        <w:tc>
          <w:tcPr>
            <w:tcW w:w="931" w:type="dxa"/>
            <w:tcBorders>
              <w:bottom w:val="single" w:sz="6" w:space="0" w:color="FBDDE3"/>
            </w:tcBorders>
            <w:tcMar>
              <w:bottom w:w="60" w:type="dxa"/>
            </w:tcMar>
            <w:vAlign w:val="center"/>
          </w:tcPr>
          <w:p>
            <w:pPr>
              <w:pStyle w:val="TableContents"/>
              <w:bidi w:val="0"/>
              <w:spacing w:before="0" w:after="283"/>
              <w:jc w:val="right"/>
              <w:rPr/>
            </w:pPr>
            <w:r>
              <w:rPr/>
              <w:t>—</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97" w:type="dxa"/>
            <w:tcBorders>
              <w:bottom w:val="single" w:sz="6" w:space="0" w:color="FBDDE3"/>
            </w:tcBorders>
            <w:tcMar>
              <w:bottom w:w="60" w:type="dxa"/>
            </w:tcMar>
            <w:vAlign w:val="center"/>
          </w:tcPr>
          <w:p>
            <w:pPr>
              <w:pStyle w:val="TableContents"/>
              <w:bidi w:val="0"/>
              <w:spacing w:before="0" w:after="283"/>
              <w:jc w:val="left"/>
              <w:rPr/>
            </w:pPr>
            <w:r>
              <w:rPr/>
              <w:t> </w:t>
            </w:r>
          </w:p>
        </w:tc>
        <w:tc>
          <w:tcPr>
            <w:tcW w:w="1303" w:type="dxa"/>
            <w:tcBorders>
              <w:bottom w:val="single" w:sz="6" w:space="0" w:color="FBDDE3"/>
            </w:tcBorders>
            <w:tcMar>
              <w:bottom w:w="60" w:type="dxa"/>
            </w:tcMar>
            <w:vAlign w:val="center"/>
          </w:tcPr>
          <w:p>
            <w:pPr>
              <w:pStyle w:val="TableContents"/>
              <w:bidi w:val="0"/>
              <w:spacing w:before="0" w:after="283"/>
              <w:jc w:val="right"/>
              <w:rPr/>
            </w:pPr>
            <w:r>
              <w:rPr/>
              <w:t>586,996</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14" w:type="dxa"/>
            <w:tcBorders>
              <w:bottom w:val="single" w:sz="6" w:space="0" w:color="FBDDE3"/>
            </w:tcBorders>
            <w:tcMar>
              <w:bottom w:w="60" w:type="dxa"/>
            </w:tcMar>
            <w:vAlign w:val="center"/>
          </w:tcPr>
          <w:p>
            <w:pPr>
              <w:pStyle w:val="TableContents"/>
              <w:bidi w:val="0"/>
              <w:spacing w:before="0" w:after="283"/>
              <w:jc w:val="left"/>
              <w:rPr/>
            </w:pPr>
            <w:r>
              <w:rPr/>
              <w:t> </w:t>
            </w:r>
          </w:p>
        </w:tc>
        <w:tc>
          <w:tcPr>
            <w:tcW w:w="931" w:type="dxa"/>
            <w:tcBorders>
              <w:bottom w:val="single" w:sz="6" w:space="0" w:color="FBDDE3"/>
            </w:tcBorders>
            <w:tcMar>
              <w:bottom w:w="60" w:type="dxa"/>
            </w:tcMar>
            <w:vAlign w:val="center"/>
          </w:tcPr>
          <w:p>
            <w:pPr>
              <w:pStyle w:val="TableContents"/>
              <w:bidi w:val="0"/>
              <w:spacing w:before="0" w:after="283"/>
              <w:jc w:val="right"/>
              <w:rPr/>
            </w:pPr>
            <w:r>
              <w:rPr/>
              <w:t>—</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89" w:type="dxa"/>
            <w:tcBorders>
              <w:bottom w:val="single" w:sz="6" w:space="0" w:color="FBDDE3"/>
            </w:tcBorders>
            <w:tcMar>
              <w:bottom w:w="60" w:type="dxa"/>
            </w:tcMar>
            <w:vAlign w:val="center"/>
          </w:tcPr>
          <w:p>
            <w:pPr>
              <w:pStyle w:val="TableContents"/>
              <w:bidi w:val="0"/>
              <w:spacing w:before="0" w:after="283"/>
              <w:jc w:val="left"/>
              <w:rPr/>
            </w:pPr>
            <w:r>
              <w:rPr/>
              <w:t> </w:t>
            </w:r>
          </w:p>
        </w:tc>
        <w:tc>
          <w:tcPr>
            <w:tcW w:w="1191" w:type="dxa"/>
            <w:tcBorders>
              <w:bottom w:val="single" w:sz="6" w:space="0" w:color="FBDDE3"/>
            </w:tcBorders>
            <w:tcMar>
              <w:bottom w:w="60" w:type="dxa"/>
            </w:tcMar>
            <w:vAlign w:val="center"/>
          </w:tcPr>
          <w:p>
            <w:pPr>
              <w:pStyle w:val="TableContents"/>
              <w:bidi w:val="0"/>
              <w:spacing w:before="0" w:after="283"/>
              <w:jc w:val="right"/>
              <w:rPr/>
            </w:pPr>
            <w:r>
              <w:rPr/>
              <w:t>586,996</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14" w:type="dxa"/>
            <w:tcBorders>
              <w:bottom w:val="single" w:sz="6" w:space="0" w:color="FBDDE3"/>
            </w:tcBorders>
            <w:tcMar>
              <w:bottom w:w="60" w:type="dxa"/>
            </w:tcMar>
            <w:vAlign w:val="center"/>
          </w:tcPr>
          <w:p>
            <w:pPr>
              <w:pStyle w:val="TableContents"/>
              <w:bidi w:val="0"/>
              <w:spacing w:before="0" w:after="283"/>
              <w:jc w:val="left"/>
              <w:rPr/>
            </w:pPr>
            <w:r>
              <w:rPr/>
              <w:t> </w:t>
            </w:r>
          </w:p>
        </w:tc>
        <w:tc>
          <w:tcPr>
            <w:tcW w:w="931" w:type="dxa"/>
            <w:tcBorders>
              <w:bottom w:val="single" w:sz="6" w:space="0" w:color="FBDDE3"/>
            </w:tcBorders>
            <w:tcMar>
              <w:bottom w:w="60" w:type="dxa"/>
            </w:tcMar>
            <w:vAlign w:val="center"/>
          </w:tcPr>
          <w:p>
            <w:pPr>
              <w:pStyle w:val="TableContents"/>
              <w:bidi w:val="0"/>
              <w:spacing w:before="0" w:after="283"/>
              <w:jc w:val="right"/>
              <w:rPr/>
            </w:pPr>
            <w:r>
              <w:rPr/>
              <w:t>35</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1325" w:type="dxa"/>
            <w:gridSpan w:val="4"/>
            <w:tcBorders/>
            <w:vAlign w:val="center"/>
          </w:tcPr>
          <w:p>
            <w:pPr>
              <w:pStyle w:val="TableContents"/>
              <w:bidi w:val="0"/>
              <w:spacing w:before="0" w:after="283"/>
              <w:jc w:val="left"/>
              <w:rPr>
                <w:sz w:val="4"/>
                <w:szCs w:val="4"/>
              </w:rPr>
            </w:pPr>
            <w:r>
              <w:rPr>
                <w:sz w:val="4"/>
                <w:szCs w:val="4"/>
              </w:rPr>
            </w:r>
          </w:p>
        </w:tc>
        <w:tc>
          <w:tcPr>
            <w:tcW w:w="1325" w:type="dxa"/>
            <w:gridSpan w:val="4"/>
            <w:tcBorders/>
            <w:vAlign w:val="center"/>
          </w:tcPr>
          <w:p>
            <w:pPr>
              <w:pStyle w:val="TableContents"/>
              <w:bidi w:val="0"/>
              <w:spacing w:before="0" w:after="283"/>
              <w:jc w:val="left"/>
              <w:rPr>
                <w:sz w:val="4"/>
                <w:szCs w:val="4"/>
              </w:rPr>
            </w:pPr>
            <w:r>
              <w:rPr>
                <w:sz w:val="4"/>
                <w:szCs w:val="4"/>
              </w:rPr>
            </w:r>
          </w:p>
        </w:tc>
        <w:tc>
          <w:tcPr>
            <w:tcW w:w="1580" w:type="dxa"/>
            <w:gridSpan w:val="4"/>
            <w:tcBorders/>
            <w:vAlign w:val="center"/>
          </w:tcPr>
          <w:p>
            <w:pPr>
              <w:pStyle w:val="TableContents"/>
              <w:bidi w:val="0"/>
              <w:spacing w:before="0" w:after="283"/>
              <w:jc w:val="left"/>
              <w:rPr>
                <w:sz w:val="4"/>
                <w:szCs w:val="4"/>
              </w:rPr>
            </w:pPr>
            <w:r>
              <w:rPr>
                <w:sz w:val="4"/>
                <w:szCs w:val="4"/>
              </w:rPr>
            </w:r>
          </w:p>
        </w:tc>
        <w:tc>
          <w:tcPr>
            <w:tcW w:w="1325" w:type="dxa"/>
            <w:gridSpan w:val="4"/>
            <w:tcBorders/>
            <w:vAlign w:val="center"/>
          </w:tcPr>
          <w:p>
            <w:pPr>
              <w:pStyle w:val="TableContents"/>
              <w:bidi w:val="0"/>
              <w:spacing w:before="0" w:after="283"/>
              <w:jc w:val="left"/>
              <w:rPr>
                <w:sz w:val="4"/>
                <w:szCs w:val="4"/>
              </w:rPr>
            </w:pPr>
            <w:r>
              <w:rPr>
                <w:sz w:val="4"/>
                <w:szCs w:val="4"/>
              </w:rPr>
            </w:r>
          </w:p>
        </w:tc>
        <w:tc>
          <w:tcPr>
            <w:tcW w:w="1460" w:type="dxa"/>
            <w:gridSpan w:val="4"/>
            <w:tcBorders/>
            <w:vAlign w:val="center"/>
          </w:tcPr>
          <w:p>
            <w:pPr>
              <w:pStyle w:val="TableContents"/>
              <w:bidi w:val="0"/>
              <w:spacing w:before="0" w:after="283"/>
              <w:jc w:val="left"/>
              <w:rPr>
                <w:sz w:val="4"/>
                <w:szCs w:val="4"/>
              </w:rPr>
            </w:pPr>
            <w:r>
              <w:rPr>
                <w:sz w:val="4"/>
                <w:szCs w:val="4"/>
              </w:rPr>
            </w:r>
          </w:p>
        </w:tc>
        <w:tc>
          <w:tcPr>
            <w:tcW w:w="1340"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bottom w:val="single" w:sz="8" w:space="0" w:color="F7ACBA"/>
            </w:tcBorders>
            <w:tcMar>
              <w:bottom w:w="80" w:type="dxa"/>
            </w:tcMar>
            <w:vAlign w:val="center"/>
          </w:tcPr>
          <w:p>
            <w:pPr>
              <w:pStyle w:val="TableContents"/>
              <w:bidi w:val="0"/>
              <w:spacing w:before="0" w:after="0"/>
              <w:jc w:val="left"/>
              <w:rPr>
                <w:rFonts w:ascii="arial" w:hAnsi="arial"/>
                <w:sz w:val="18"/>
              </w:rPr>
            </w:pPr>
            <w:r>
              <w:rPr>
                <w:rFonts w:ascii="arial" w:hAnsi="arial"/>
                <w:sz w:val="18"/>
              </w:rPr>
              <w:t>Mr. Unis(4)</w:t>
            </w:r>
          </w:p>
        </w:tc>
        <w:tc>
          <w:tcPr>
            <w:tcW w:w="120" w:type="dxa"/>
            <w:tcBorders>
              <w:bottom w:val="single" w:sz="8" w:space="0" w:color="F7ACBA"/>
            </w:tcBorders>
            <w:tcMar>
              <w:bottom w:w="28" w:type="dxa"/>
            </w:tcMar>
            <w:vAlign w:val="center"/>
          </w:tcPr>
          <w:p>
            <w:pPr>
              <w:pStyle w:val="TableContents"/>
              <w:bidi w:val="0"/>
              <w:spacing w:before="0" w:after="283"/>
              <w:jc w:val="left"/>
              <w:rPr/>
            </w:pPr>
            <w:r>
              <w:rPr/>
              <w:t>  </w:t>
            </w:r>
          </w:p>
        </w:tc>
        <w:tc>
          <w:tcPr>
            <w:tcW w:w="96" w:type="dxa"/>
            <w:tcBorders>
              <w:bottom w:val="single" w:sz="8" w:space="0" w:color="F7ACBA"/>
            </w:tcBorders>
            <w:tcMar>
              <w:bottom w:w="80" w:type="dxa"/>
            </w:tcMar>
            <w:vAlign w:val="center"/>
          </w:tcPr>
          <w:p>
            <w:pPr>
              <w:pStyle w:val="TableContents"/>
              <w:bidi w:val="0"/>
              <w:spacing w:before="0" w:after="283"/>
              <w:jc w:val="left"/>
              <w:rPr/>
            </w:pPr>
            <w:r>
              <w:rPr/>
              <w:t> </w:t>
            </w:r>
          </w:p>
        </w:tc>
        <w:tc>
          <w:tcPr>
            <w:tcW w:w="614" w:type="dxa"/>
            <w:tcBorders>
              <w:bottom w:val="single" w:sz="8" w:space="0" w:color="F7ACBA"/>
            </w:tcBorders>
            <w:tcMar>
              <w:bottom w:w="80" w:type="dxa"/>
            </w:tcMar>
            <w:vAlign w:val="center"/>
          </w:tcPr>
          <w:p>
            <w:pPr>
              <w:pStyle w:val="TableContents"/>
              <w:bidi w:val="0"/>
              <w:spacing w:before="0" w:after="283"/>
              <w:jc w:val="right"/>
              <w:rPr/>
            </w:pPr>
            <w:r>
              <w:rPr/>
              <w:t>170</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120" w:type="dxa"/>
            <w:tcBorders>
              <w:bottom w:val="single" w:sz="8" w:space="0" w:color="F7ACBA"/>
            </w:tcBorders>
            <w:tcMar>
              <w:bottom w:w="28" w:type="dxa"/>
            </w:tcMar>
            <w:vAlign w:val="center"/>
          </w:tcPr>
          <w:p>
            <w:pPr>
              <w:pStyle w:val="TableContents"/>
              <w:bidi w:val="0"/>
              <w:spacing w:before="0" w:after="283"/>
              <w:jc w:val="left"/>
              <w:rPr/>
            </w:pPr>
            <w:r>
              <w:rPr/>
              <w:t>  </w:t>
            </w:r>
          </w:p>
        </w:tc>
        <w:tc>
          <w:tcPr>
            <w:tcW w:w="66" w:type="dxa"/>
            <w:tcBorders>
              <w:bottom w:val="single" w:sz="8" w:space="0" w:color="F7ACBA"/>
            </w:tcBorders>
            <w:tcMar>
              <w:bottom w:w="80" w:type="dxa"/>
            </w:tcMar>
            <w:vAlign w:val="center"/>
          </w:tcPr>
          <w:p>
            <w:pPr>
              <w:pStyle w:val="TableContents"/>
              <w:bidi w:val="0"/>
              <w:spacing w:before="0" w:after="283"/>
              <w:jc w:val="left"/>
              <w:rPr/>
            </w:pPr>
            <w:r>
              <w:rPr/>
              <w:t> </w:t>
            </w:r>
          </w:p>
        </w:tc>
        <w:tc>
          <w:tcPr>
            <w:tcW w:w="1079" w:type="dxa"/>
            <w:tcBorders>
              <w:bottom w:val="single" w:sz="8" w:space="0" w:color="F7ACBA"/>
            </w:tcBorders>
            <w:tcMar>
              <w:bottom w:w="80" w:type="dxa"/>
            </w:tcMar>
            <w:vAlign w:val="center"/>
          </w:tcPr>
          <w:p>
            <w:pPr>
              <w:pStyle w:val="TableContents"/>
              <w:bidi w:val="0"/>
              <w:spacing w:before="0" w:after="283"/>
              <w:jc w:val="right"/>
              <w:rPr/>
            </w:pPr>
            <w:r>
              <w:rPr/>
              <w:t>1,717,018</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120" w:type="dxa"/>
            <w:tcBorders>
              <w:bottom w:val="single" w:sz="8" w:space="0" w:color="F7ACBA"/>
            </w:tcBorders>
            <w:tcMar>
              <w:bottom w:w="28" w:type="dxa"/>
            </w:tcMar>
            <w:vAlign w:val="center"/>
          </w:tcPr>
          <w:p>
            <w:pPr>
              <w:pStyle w:val="TableContents"/>
              <w:bidi w:val="0"/>
              <w:spacing w:before="0" w:after="283"/>
              <w:jc w:val="left"/>
              <w:rPr/>
            </w:pPr>
            <w:r>
              <w:rPr/>
              <w:t>  </w:t>
            </w:r>
          </w:p>
        </w:tc>
        <w:tc>
          <w:tcPr>
            <w:tcW w:w="214" w:type="dxa"/>
            <w:tcBorders>
              <w:bottom w:val="single" w:sz="8" w:space="0" w:color="F7ACBA"/>
            </w:tcBorders>
            <w:tcMar>
              <w:bottom w:w="80" w:type="dxa"/>
            </w:tcMar>
            <w:vAlign w:val="center"/>
          </w:tcPr>
          <w:p>
            <w:pPr>
              <w:pStyle w:val="TableContents"/>
              <w:bidi w:val="0"/>
              <w:spacing w:before="0" w:after="283"/>
              <w:jc w:val="left"/>
              <w:rPr/>
            </w:pPr>
            <w:r>
              <w:rPr/>
              <w:t> </w:t>
            </w:r>
          </w:p>
        </w:tc>
        <w:tc>
          <w:tcPr>
            <w:tcW w:w="931" w:type="dxa"/>
            <w:tcBorders>
              <w:bottom w:val="single" w:sz="8" w:space="0" w:color="F7ACBA"/>
            </w:tcBorders>
            <w:tcMar>
              <w:bottom w:w="80" w:type="dxa"/>
            </w:tcMar>
            <w:vAlign w:val="center"/>
          </w:tcPr>
          <w:p>
            <w:pPr>
              <w:pStyle w:val="TableContents"/>
              <w:bidi w:val="0"/>
              <w:spacing w:before="0" w:after="283"/>
              <w:jc w:val="right"/>
              <w:rPr/>
            </w:pPr>
            <w:r>
              <w:rPr/>
              <w:t>—</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120" w:type="dxa"/>
            <w:tcBorders>
              <w:bottom w:val="single" w:sz="8" w:space="0" w:color="F7ACBA"/>
            </w:tcBorders>
            <w:tcMar>
              <w:bottom w:w="28" w:type="dxa"/>
            </w:tcMar>
            <w:vAlign w:val="center"/>
          </w:tcPr>
          <w:p>
            <w:pPr>
              <w:pStyle w:val="TableContents"/>
              <w:bidi w:val="0"/>
              <w:spacing w:before="0" w:after="283"/>
              <w:jc w:val="left"/>
              <w:rPr/>
            </w:pPr>
            <w:r>
              <w:rPr/>
              <w:t>  </w:t>
            </w:r>
          </w:p>
        </w:tc>
        <w:tc>
          <w:tcPr>
            <w:tcW w:w="97" w:type="dxa"/>
            <w:tcBorders>
              <w:bottom w:val="single" w:sz="8" w:space="0" w:color="F7ACBA"/>
            </w:tcBorders>
            <w:tcMar>
              <w:bottom w:w="80" w:type="dxa"/>
            </w:tcMar>
            <w:vAlign w:val="center"/>
          </w:tcPr>
          <w:p>
            <w:pPr>
              <w:pStyle w:val="TableContents"/>
              <w:bidi w:val="0"/>
              <w:spacing w:before="0" w:after="283"/>
              <w:jc w:val="left"/>
              <w:rPr/>
            </w:pPr>
            <w:r>
              <w:rPr/>
              <w:t> </w:t>
            </w:r>
          </w:p>
        </w:tc>
        <w:tc>
          <w:tcPr>
            <w:tcW w:w="1303" w:type="dxa"/>
            <w:tcBorders>
              <w:bottom w:val="single" w:sz="8" w:space="0" w:color="F7ACBA"/>
            </w:tcBorders>
            <w:tcMar>
              <w:bottom w:w="80" w:type="dxa"/>
            </w:tcMar>
            <w:vAlign w:val="center"/>
          </w:tcPr>
          <w:p>
            <w:pPr>
              <w:pStyle w:val="TableContents"/>
              <w:bidi w:val="0"/>
              <w:spacing w:before="0" w:after="283"/>
              <w:jc w:val="right"/>
              <w:rPr/>
            </w:pPr>
            <w:r>
              <w:rPr/>
              <w:t>634,671</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120" w:type="dxa"/>
            <w:tcBorders>
              <w:bottom w:val="single" w:sz="8" w:space="0" w:color="F7ACBA"/>
            </w:tcBorders>
            <w:tcMar>
              <w:bottom w:w="28" w:type="dxa"/>
            </w:tcMar>
            <w:vAlign w:val="center"/>
          </w:tcPr>
          <w:p>
            <w:pPr>
              <w:pStyle w:val="TableContents"/>
              <w:bidi w:val="0"/>
              <w:spacing w:before="0" w:after="283"/>
              <w:jc w:val="left"/>
              <w:rPr/>
            </w:pPr>
            <w:r>
              <w:rPr/>
              <w:t>  </w:t>
            </w:r>
          </w:p>
        </w:tc>
        <w:tc>
          <w:tcPr>
            <w:tcW w:w="214" w:type="dxa"/>
            <w:tcBorders>
              <w:bottom w:val="single" w:sz="8" w:space="0" w:color="F7ACBA"/>
            </w:tcBorders>
            <w:tcMar>
              <w:bottom w:w="80" w:type="dxa"/>
            </w:tcMar>
            <w:vAlign w:val="center"/>
          </w:tcPr>
          <w:p>
            <w:pPr>
              <w:pStyle w:val="TableContents"/>
              <w:bidi w:val="0"/>
              <w:spacing w:before="0" w:after="283"/>
              <w:jc w:val="left"/>
              <w:rPr/>
            </w:pPr>
            <w:r>
              <w:rPr/>
              <w:t> </w:t>
            </w:r>
          </w:p>
        </w:tc>
        <w:tc>
          <w:tcPr>
            <w:tcW w:w="931" w:type="dxa"/>
            <w:tcBorders>
              <w:bottom w:val="single" w:sz="8" w:space="0" w:color="F7ACBA"/>
            </w:tcBorders>
            <w:tcMar>
              <w:bottom w:w="80" w:type="dxa"/>
            </w:tcMar>
            <w:vAlign w:val="center"/>
          </w:tcPr>
          <w:p>
            <w:pPr>
              <w:pStyle w:val="TableContents"/>
              <w:bidi w:val="0"/>
              <w:spacing w:before="0" w:after="283"/>
              <w:jc w:val="right"/>
              <w:rPr/>
            </w:pPr>
            <w:r>
              <w:rPr/>
              <w:t>—</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120" w:type="dxa"/>
            <w:tcBorders>
              <w:bottom w:val="single" w:sz="8" w:space="0" w:color="F7ACBA"/>
            </w:tcBorders>
            <w:tcMar>
              <w:bottom w:w="28" w:type="dxa"/>
            </w:tcMar>
            <w:vAlign w:val="center"/>
          </w:tcPr>
          <w:p>
            <w:pPr>
              <w:pStyle w:val="TableContents"/>
              <w:bidi w:val="0"/>
              <w:spacing w:before="0" w:after="283"/>
              <w:jc w:val="left"/>
              <w:rPr/>
            </w:pPr>
            <w:r>
              <w:rPr/>
              <w:t>  </w:t>
            </w:r>
          </w:p>
        </w:tc>
        <w:tc>
          <w:tcPr>
            <w:tcW w:w="89" w:type="dxa"/>
            <w:tcBorders>
              <w:bottom w:val="single" w:sz="8" w:space="0" w:color="F7ACBA"/>
            </w:tcBorders>
            <w:tcMar>
              <w:bottom w:w="80" w:type="dxa"/>
            </w:tcMar>
            <w:vAlign w:val="center"/>
          </w:tcPr>
          <w:p>
            <w:pPr>
              <w:pStyle w:val="TableContents"/>
              <w:bidi w:val="0"/>
              <w:spacing w:before="0" w:after="283"/>
              <w:jc w:val="left"/>
              <w:rPr/>
            </w:pPr>
            <w:r>
              <w:rPr/>
              <w:t> </w:t>
            </w:r>
          </w:p>
        </w:tc>
        <w:tc>
          <w:tcPr>
            <w:tcW w:w="1191" w:type="dxa"/>
            <w:tcBorders>
              <w:bottom w:val="single" w:sz="8" w:space="0" w:color="F7ACBA"/>
            </w:tcBorders>
            <w:tcMar>
              <w:bottom w:w="80" w:type="dxa"/>
            </w:tcMar>
            <w:vAlign w:val="center"/>
          </w:tcPr>
          <w:p>
            <w:pPr>
              <w:pStyle w:val="TableContents"/>
              <w:bidi w:val="0"/>
              <w:spacing w:before="0" w:after="283"/>
              <w:jc w:val="right"/>
              <w:rPr/>
            </w:pPr>
            <w:r>
              <w:rPr/>
              <w:t>634,671</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120" w:type="dxa"/>
            <w:tcBorders>
              <w:bottom w:val="single" w:sz="8" w:space="0" w:color="F7ACBA"/>
            </w:tcBorders>
            <w:tcMar>
              <w:bottom w:w="28" w:type="dxa"/>
            </w:tcMar>
            <w:vAlign w:val="center"/>
          </w:tcPr>
          <w:p>
            <w:pPr>
              <w:pStyle w:val="TableContents"/>
              <w:bidi w:val="0"/>
              <w:spacing w:before="0" w:after="283"/>
              <w:jc w:val="left"/>
              <w:rPr/>
            </w:pPr>
            <w:r>
              <w:rPr/>
              <w:t>  </w:t>
            </w:r>
          </w:p>
        </w:tc>
        <w:tc>
          <w:tcPr>
            <w:tcW w:w="214" w:type="dxa"/>
            <w:tcBorders>
              <w:bottom w:val="single" w:sz="8" w:space="0" w:color="F7ACBA"/>
            </w:tcBorders>
            <w:tcMar>
              <w:bottom w:w="80" w:type="dxa"/>
            </w:tcMar>
            <w:vAlign w:val="center"/>
          </w:tcPr>
          <w:p>
            <w:pPr>
              <w:pStyle w:val="TableContents"/>
              <w:bidi w:val="0"/>
              <w:spacing w:before="0" w:after="283"/>
              <w:jc w:val="left"/>
              <w:rPr/>
            </w:pPr>
            <w:r>
              <w:rPr/>
              <w:t> </w:t>
            </w:r>
          </w:p>
        </w:tc>
        <w:tc>
          <w:tcPr>
            <w:tcW w:w="931" w:type="dxa"/>
            <w:tcBorders>
              <w:bottom w:val="single" w:sz="8" w:space="0" w:color="F7ACBA"/>
            </w:tcBorders>
            <w:tcMar>
              <w:bottom w:w="80" w:type="dxa"/>
            </w:tcMar>
            <w:vAlign w:val="center"/>
          </w:tcPr>
          <w:p>
            <w:pPr>
              <w:pStyle w:val="TableContents"/>
              <w:bidi w:val="0"/>
              <w:spacing w:before="0" w:after="283"/>
              <w:jc w:val="right"/>
              <w:rPr/>
            </w:pPr>
            <w:r>
              <w:rPr/>
              <w:t>37</w:t>
            </w:r>
          </w:p>
        </w:tc>
        <w:tc>
          <w:tcPr>
            <w:tcW w:w="75" w:type="dxa"/>
            <w:tcBorders>
              <w:bottom w:val="single" w:sz="8" w:space="0" w:color="F7ACBA"/>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6460" w:type="dxa"/>
        <w:jc w:val="left"/>
        <w:tblInd w:w="0" w:type="dxa"/>
        <w:tblLayout w:type="fixed"/>
        <w:tblCellMar>
          <w:top w:w="0" w:type="dxa"/>
          <w:left w:w="0" w:type="dxa"/>
          <w:bottom w:w="0" w:type="dxa"/>
          <w:right w:w="0" w:type="dxa"/>
        </w:tblCellMar>
      </w:tblPr>
      <w:tblGrid>
        <w:gridCol w:w="305"/>
        <w:gridCol w:w="6155"/>
      </w:tblGrid>
      <w:tr>
        <w:trPr/>
        <w:tc>
          <w:tcPr>
            <w:tcW w:w="305" w:type="dxa"/>
            <w:tcBorders/>
            <w:vAlign w:val="center"/>
          </w:tcPr>
          <w:p>
            <w:pPr>
              <w:pStyle w:val="TableContents"/>
              <w:bidi w:val="0"/>
              <w:spacing w:before="0" w:after="283"/>
              <w:jc w:val="left"/>
              <w:rPr/>
            </w:pPr>
            <w:r>
              <w:rPr/>
              <w:t>(1)</w:t>
            </w:r>
          </w:p>
        </w:tc>
        <w:tc>
          <w:tcPr>
            <w:tcW w:w="6155" w:type="dxa"/>
            <w:tcBorders/>
            <w:vAlign w:val="center"/>
          </w:tcPr>
          <w:p>
            <w:pPr>
              <w:pStyle w:val="TableContents"/>
              <w:bidi w:val="0"/>
              <w:spacing w:before="0" w:after="0"/>
              <w:jc w:val="left"/>
              <w:rPr>
                <w:rFonts w:ascii="arial" w:hAnsi="arial"/>
                <w:sz w:val="14"/>
              </w:rPr>
            </w:pPr>
            <w:r>
              <w:rPr>
                <w:rFonts w:ascii="arial" w:hAnsi="arial"/>
                <w:sz w:val="14"/>
              </w:rPr>
              <w:t xml:space="preserve">Spring payout awarded at 0% based on achievement against operating income and revenue goals. </w:t>
            </w:r>
          </w:p>
        </w:tc>
      </w:tr>
    </w:tbl>
    <w:p>
      <w:pPr>
        <w:pStyle w:val="TextBody"/>
        <w:bidi w:val="0"/>
        <w:spacing w:before="0" w:after="0"/>
        <w:jc w:val="left"/>
        <w:rPr/>
      </w:pPr>
      <w:r>
        <w:rPr/>
        <w:t> </w:t>
      </w:r>
    </w:p>
    <w:tbl>
      <w:tblPr>
        <w:tblW w:w="6475" w:type="dxa"/>
        <w:jc w:val="left"/>
        <w:tblInd w:w="0" w:type="dxa"/>
        <w:tblLayout w:type="fixed"/>
        <w:tblCellMar>
          <w:top w:w="0" w:type="dxa"/>
          <w:left w:w="0" w:type="dxa"/>
          <w:bottom w:w="0" w:type="dxa"/>
          <w:right w:w="0" w:type="dxa"/>
        </w:tblCellMar>
      </w:tblPr>
      <w:tblGrid>
        <w:gridCol w:w="305"/>
        <w:gridCol w:w="6170"/>
      </w:tblGrid>
      <w:tr>
        <w:trPr/>
        <w:tc>
          <w:tcPr>
            <w:tcW w:w="305" w:type="dxa"/>
            <w:tcBorders/>
            <w:vAlign w:val="center"/>
          </w:tcPr>
          <w:p>
            <w:pPr>
              <w:pStyle w:val="TableContents"/>
              <w:bidi w:val="0"/>
              <w:spacing w:before="0" w:after="283"/>
              <w:jc w:val="left"/>
              <w:rPr/>
            </w:pPr>
            <w:r>
              <w:rPr/>
              <w:t>(2)</w:t>
            </w:r>
          </w:p>
        </w:tc>
        <w:tc>
          <w:tcPr>
            <w:tcW w:w="6170" w:type="dxa"/>
            <w:tcBorders/>
            <w:vAlign w:val="center"/>
          </w:tcPr>
          <w:p>
            <w:pPr>
              <w:pStyle w:val="TableContents"/>
              <w:bidi w:val="0"/>
              <w:spacing w:before="0" w:after="0"/>
              <w:jc w:val="left"/>
              <w:rPr>
                <w:rFonts w:ascii="arial" w:hAnsi="arial"/>
                <w:sz w:val="14"/>
              </w:rPr>
            </w:pPr>
            <w:r>
              <w:rPr>
                <w:rFonts w:ascii="arial" w:hAnsi="arial"/>
                <w:sz w:val="14"/>
              </w:rPr>
              <w:t xml:space="preserve">Fall payout awarded at 77.9% based on achievement against operating income and revenue goals. </w:t>
            </w:r>
          </w:p>
        </w:tc>
      </w:tr>
    </w:tbl>
    <w:p>
      <w:pPr>
        <w:pStyle w:val="TextBody"/>
        <w:bidi w:val="0"/>
        <w:spacing w:before="0" w:after="0"/>
        <w:jc w:val="left"/>
        <w:rPr/>
      </w:pPr>
      <w:r>
        <w:rPr/>
        <w:t> </w:t>
      </w:r>
    </w:p>
    <w:tbl>
      <w:tblPr>
        <w:tblW w:w="6490" w:type="dxa"/>
        <w:jc w:val="left"/>
        <w:tblInd w:w="0" w:type="dxa"/>
        <w:tblLayout w:type="fixed"/>
        <w:tblCellMar>
          <w:top w:w="0" w:type="dxa"/>
          <w:left w:w="0" w:type="dxa"/>
          <w:bottom w:w="0" w:type="dxa"/>
          <w:right w:w="0" w:type="dxa"/>
        </w:tblCellMar>
      </w:tblPr>
      <w:tblGrid>
        <w:gridCol w:w="305"/>
        <w:gridCol w:w="6185"/>
      </w:tblGrid>
      <w:tr>
        <w:trPr/>
        <w:tc>
          <w:tcPr>
            <w:tcW w:w="305" w:type="dxa"/>
            <w:tcBorders/>
            <w:vAlign w:val="center"/>
          </w:tcPr>
          <w:p>
            <w:pPr>
              <w:pStyle w:val="TableContents"/>
              <w:bidi w:val="0"/>
              <w:spacing w:before="0" w:after="283"/>
              <w:jc w:val="left"/>
              <w:rPr/>
            </w:pPr>
            <w:r>
              <w:rPr/>
              <w:t>(3)</w:t>
            </w:r>
          </w:p>
        </w:tc>
        <w:tc>
          <w:tcPr>
            <w:tcW w:w="6185" w:type="dxa"/>
            <w:tcBorders/>
            <w:vAlign w:val="center"/>
          </w:tcPr>
          <w:p>
            <w:pPr>
              <w:pStyle w:val="TableContents"/>
              <w:bidi w:val="0"/>
              <w:spacing w:before="0" w:after="0"/>
              <w:jc w:val="left"/>
              <w:rPr>
                <w:rFonts w:ascii="arial" w:hAnsi="arial"/>
                <w:sz w:val="14"/>
              </w:rPr>
            </w:pPr>
            <w:r>
              <w:rPr>
                <w:rFonts w:ascii="arial" w:hAnsi="arial"/>
                <w:sz w:val="14"/>
              </w:rPr>
              <w:t xml:space="preserve">Annual payout awarded at 0% based on achievement against operating income and revenue goals. </w:t>
            </w:r>
          </w:p>
        </w:tc>
      </w:tr>
    </w:tbl>
    <w:p>
      <w:pPr>
        <w:pStyle w:val="TextBody"/>
        <w:bidi w:val="0"/>
        <w:spacing w:before="0" w:after="0"/>
        <w:jc w:val="left"/>
        <w:rPr/>
      </w:pPr>
      <w:r>
        <w:rPr/>
        <w:t> </w:t>
      </w:r>
    </w:p>
    <w:tbl>
      <w:tblPr>
        <w:tblW w:w="8560" w:type="dxa"/>
        <w:jc w:val="left"/>
        <w:tblInd w:w="0" w:type="dxa"/>
        <w:tblLayout w:type="fixed"/>
        <w:tblCellMar>
          <w:top w:w="0" w:type="dxa"/>
          <w:left w:w="0" w:type="dxa"/>
          <w:bottom w:w="0" w:type="dxa"/>
          <w:right w:w="0" w:type="dxa"/>
        </w:tblCellMar>
      </w:tblPr>
      <w:tblGrid>
        <w:gridCol w:w="305"/>
        <w:gridCol w:w="8255"/>
      </w:tblGrid>
      <w:tr>
        <w:trPr/>
        <w:tc>
          <w:tcPr>
            <w:tcW w:w="305" w:type="dxa"/>
            <w:tcBorders/>
            <w:vAlign w:val="center"/>
          </w:tcPr>
          <w:p>
            <w:pPr>
              <w:pStyle w:val="TableContents"/>
              <w:bidi w:val="0"/>
              <w:spacing w:before="0" w:after="283"/>
              <w:jc w:val="left"/>
              <w:rPr/>
            </w:pPr>
            <w:r>
              <w:rPr/>
              <w:t>(4)</w:t>
            </w:r>
          </w:p>
        </w:tc>
        <w:tc>
          <w:tcPr>
            <w:tcW w:w="8255" w:type="dxa"/>
            <w:tcBorders/>
            <w:vAlign w:val="center"/>
          </w:tcPr>
          <w:p>
            <w:pPr>
              <w:pStyle w:val="TableContents"/>
              <w:bidi w:val="0"/>
              <w:spacing w:before="0" w:after="0"/>
              <w:jc w:val="left"/>
              <w:rPr>
                <w:rFonts w:ascii="arial" w:hAnsi="arial"/>
                <w:sz w:val="14"/>
              </w:rPr>
            </w:pPr>
            <w:r>
              <w:rPr>
                <w:rFonts w:ascii="arial" w:hAnsi="arial"/>
                <w:sz w:val="14"/>
              </w:rPr>
              <w:t xml:space="preserve">Mr. Unis’s payout was pro-rated based on the number of days his base salary increase was in effect before and after his promotion. </w:t>
            </w:r>
          </w:p>
        </w:tc>
      </w:tr>
    </w:tbl>
    <w:p>
      <w:pPr>
        <w:pStyle w:val="TextBody"/>
        <w:bidi w:val="0"/>
        <w:spacing w:before="120" w:after="0"/>
        <w:jc w:val="left"/>
        <w:rPr>
          <w:rFonts w:ascii="arial" w:hAnsi="arial"/>
          <w:sz w:val="18"/>
        </w:rPr>
      </w:pPr>
      <w:r>
        <w:rPr>
          <w:rFonts w:ascii="arial" w:hAnsi="arial"/>
          <w:sz w:val="18"/>
        </w:rPr>
        <w:t xml:space="preserve">The HCCC, in consultation with its compensation consultant, reviews performance metrics, performance periods, vesting and other terms and conditions as appropriate for VS&amp;Co considering our business goals and objectives. </w:t>
      </w:r>
    </w:p>
    <w:p>
      <w:pPr>
        <w:pStyle w:val="TextBody"/>
        <w:bidi w:val="0"/>
        <w:spacing w:before="240" w:after="0"/>
        <w:jc w:val="left"/>
        <w:rPr>
          <w:rFonts w:ascii="arial" w:hAnsi="arial"/>
          <w:b/>
          <w:color w:val="F7ACBA"/>
          <w:sz w:val="24"/>
        </w:rPr>
      </w:pPr>
      <w:r>
        <w:rPr>
          <w:rFonts w:ascii="arial" w:hAnsi="arial"/>
          <w:b/>
          <w:color w:val="F7ACBA"/>
          <w:sz w:val="24"/>
        </w:rPr>
        <w:t xml:space="preserve">Long-Term Equity Compensation </w:t>
      </w:r>
    </w:p>
    <w:p>
      <w:pPr>
        <w:pStyle w:val="TextBody"/>
        <w:bidi w:val="0"/>
        <w:spacing w:before="60" w:after="0"/>
        <w:jc w:val="left"/>
        <w:rPr>
          <w:rFonts w:ascii="arial" w:hAnsi="arial"/>
          <w:sz w:val="18"/>
        </w:rPr>
      </w:pPr>
      <w:r>
        <w:rPr>
          <w:rFonts w:ascii="arial" w:hAnsi="arial"/>
          <w:sz w:val="18"/>
        </w:rPr>
        <w:t xml:space="preserve">Equity awards granted to certain of our NEOs in fiscal 2021 were granted under L Brands’ equity compensation program prior to the spin-off. L Brands’ long-term equity compensation program for executive officers had historically been comprised of a mix of three types of awards: performance stock units (“PSUs”), time-vested restricted stock units (“RSUs”) and stock options, providing a balance of performance-based incentives, alignment with stockholders, and retention. Only Martin Waters was an executive officer of L Brands prior to the spin-off. Mr. Unis was a division leader and participated in an L Brands equity compensation program comprised of time-vested RSUs and stock options. </w:t>
      </w:r>
    </w:p>
    <w:p>
      <w:pPr>
        <w:pStyle w:val="TextBody"/>
        <w:bidi w:val="0"/>
        <w:spacing w:before="120" w:after="0"/>
        <w:jc w:val="left"/>
        <w:rPr>
          <w:rFonts w:ascii="arial" w:hAnsi="arial"/>
          <w:sz w:val="18"/>
        </w:rPr>
      </w:pPr>
      <w:r>
        <w:rPr>
          <w:rFonts w:ascii="arial" w:hAnsi="arial"/>
          <w:sz w:val="18"/>
        </w:rPr>
        <w:t xml:space="preserve">For fiscal 2023, the HCCC, in consultation with its compensation consultant, reviewed the long-term performance metrics, vesting and other terms and conditions of our long-term incentive (“LTI”) compensation structure and approved the following terms of VS&amp;Co’s LTI program, which were consistent with 2022: </w:t>
      </w:r>
    </w:p>
    <w:p>
      <w:pPr>
        <w:pStyle w:val="TextBody"/>
        <w:bidi w:val="0"/>
        <w:spacing w:before="0" w:after="0"/>
        <w:jc w:val="left"/>
        <w:rPr/>
      </w:pPr>
      <w:r>
        <w:rPr/>
        <w:t> </w:t>
      </w:r>
    </w:p>
    <w:tbl>
      <w:tblPr>
        <w:tblW w:w="6460" w:type="dxa"/>
        <w:jc w:val="left"/>
        <w:tblInd w:w="0" w:type="dxa"/>
        <w:tblLayout w:type="fixed"/>
        <w:tblCellMar>
          <w:top w:w="0" w:type="dxa"/>
          <w:left w:w="0" w:type="dxa"/>
          <w:bottom w:w="0" w:type="dxa"/>
          <w:right w:w="0" w:type="dxa"/>
        </w:tblCellMar>
      </w:tblPr>
      <w:tblGrid>
        <w:gridCol w:w="125"/>
        <w:gridCol w:w="60"/>
        <w:gridCol w:w="6275"/>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6275" w:type="dxa"/>
            <w:tcBorders/>
            <w:vAlign w:val="center"/>
          </w:tcPr>
          <w:p>
            <w:pPr>
              <w:pStyle w:val="TableContents"/>
              <w:bidi w:val="0"/>
              <w:spacing w:before="0" w:after="0"/>
              <w:jc w:val="left"/>
              <w:rPr>
                <w:rFonts w:ascii="arial" w:hAnsi="arial"/>
                <w:sz w:val="18"/>
              </w:rPr>
            </w:pPr>
            <w:r>
              <w:rPr>
                <w:rFonts w:ascii="arial" w:hAnsi="arial"/>
                <w:sz w:val="18"/>
              </w:rPr>
              <w:t xml:space="preserve">The CEO and other executive officers receive a mix of both PSUs and RSUs. </w:t>
            </w:r>
          </w:p>
        </w:tc>
      </w:tr>
    </w:tbl>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10"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99" descr=""/>
                          <pic:cNvPicPr>
                            <a:picLocks noChangeAspect="1" noChangeArrowheads="1"/>
                          </pic:cNvPicPr>
                        </pic:nvPicPr>
                        <pic:blipFill>
                          <a:blip r:embed="rId100"/>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55 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COMPENSATION DISCUSSION AND ANALYSIS </w:t>
      </w:r>
    </w:p>
    <w:p>
      <w:pPr>
        <w:pStyle w:val="TextBody"/>
        <w:bidi w:val="0"/>
        <w:spacing w:before="0" w:after="0"/>
        <w:jc w:val="left"/>
        <w:rPr/>
      </w:pPr>
      <w:r>
        <w:rPr/>
        <w:t> </w:t>
      </w:r>
    </w:p>
    <w:tbl>
      <w:tblPr>
        <w:tblW w:w="5995" w:type="dxa"/>
        <w:jc w:val="left"/>
        <w:tblInd w:w="0" w:type="dxa"/>
        <w:tblLayout w:type="fixed"/>
        <w:tblCellMar>
          <w:top w:w="0" w:type="dxa"/>
          <w:left w:w="0" w:type="dxa"/>
          <w:bottom w:w="0" w:type="dxa"/>
          <w:right w:w="0" w:type="dxa"/>
        </w:tblCellMar>
      </w:tblPr>
      <w:tblGrid>
        <w:gridCol w:w="125"/>
        <w:gridCol w:w="60"/>
        <w:gridCol w:w="581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5810" w:type="dxa"/>
            <w:tcBorders/>
            <w:vAlign w:val="center"/>
          </w:tcPr>
          <w:p>
            <w:pPr>
              <w:pStyle w:val="TableContents"/>
              <w:bidi w:val="0"/>
              <w:spacing w:before="0" w:after="0"/>
              <w:jc w:val="left"/>
              <w:rPr>
                <w:rFonts w:ascii="arial" w:hAnsi="arial"/>
                <w:sz w:val="18"/>
              </w:rPr>
            </w:pPr>
            <w:r>
              <w:rPr>
                <w:rFonts w:ascii="arial" w:hAnsi="arial"/>
                <w:sz w:val="18"/>
              </w:rPr>
              <w:t xml:space="preserve">The CEO’s award is more heavily weighted to PSUs—at 70% for 2023. </w:t>
            </w:r>
          </w:p>
        </w:tc>
      </w:tr>
    </w:tbl>
    <w:p>
      <w:pPr>
        <w:pStyle w:val="TextBody"/>
        <w:bidi w:val="0"/>
        <w:spacing w:before="0" w:after="0"/>
        <w:jc w:val="left"/>
        <w:rPr/>
      </w:pPr>
      <w:r>
        <w:rPr/>
        <w:t> </w:t>
      </w:r>
    </w:p>
    <w:tbl>
      <w:tblPr>
        <w:tblW w:w="8410" w:type="dxa"/>
        <w:jc w:val="left"/>
        <w:tblInd w:w="0" w:type="dxa"/>
        <w:tblLayout w:type="fixed"/>
        <w:tblCellMar>
          <w:top w:w="0" w:type="dxa"/>
          <w:left w:w="0" w:type="dxa"/>
          <w:bottom w:w="0" w:type="dxa"/>
          <w:right w:w="0" w:type="dxa"/>
        </w:tblCellMar>
      </w:tblPr>
      <w:tblGrid>
        <w:gridCol w:w="125"/>
        <w:gridCol w:w="60"/>
        <w:gridCol w:w="8225"/>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8225" w:type="dxa"/>
            <w:tcBorders/>
            <w:vAlign w:val="center"/>
          </w:tcPr>
          <w:p>
            <w:pPr>
              <w:pStyle w:val="TableContents"/>
              <w:bidi w:val="0"/>
              <w:spacing w:before="0" w:after="0"/>
              <w:jc w:val="left"/>
              <w:rPr>
                <w:rFonts w:ascii="arial" w:hAnsi="arial"/>
                <w:sz w:val="18"/>
              </w:rPr>
            </w:pPr>
            <w:r>
              <w:rPr>
                <w:rFonts w:ascii="arial" w:hAnsi="arial"/>
                <w:sz w:val="18"/>
              </w:rPr>
              <w:t xml:space="preserve">The other executive officers have an equal portion of their LTI award in PSUs and time-vested RSUs. </w:t>
            </w:r>
          </w:p>
        </w:tc>
      </w:tr>
    </w:tbl>
    <w:p>
      <w:pPr>
        <w:pStyle w:val="TextBody"/>
        <w:bidi w:val="0"/>
        <w:spacing w:before="120" w:after="0"/>
        <w:jc w:val="left"/>
        <w:rPr>
          <w:rFonts w:ascii="arial" w:hAnsi="arial"/>
          <w:sz w:val="18"/>
        </w:rPr>
      </w:pPr>
      <w:r>
        <w:rPr>
          <w:rFonts w:ascii="arial" w:hAnsi="arial"/>
          <w:sz w:val="18"/>
        </w:rPr>
        <w:t xml:space="preserve">The HCCC believes it is important that all executive officers of VS&amp;Co receive performance based LTI compensation to align the interests of the executive with our stockholders. The PSU metrics are comprised of three-year operating income goals and three-year relative total shareholder return compared to the S&amp;P 1500 Specialty Retail Index. The two PSU metrics are weighted equally. The two metrics strike a balance between an internal directly controllable metric and a metric that acts as a measure of our success compared to other specialty retail peers. </w:t>
      </w:r>
    </w:p>
    <w:p>
      <w:pPr>
        <w:pStyle w:val="TextBody"/>
        <w:bidi w:val="0"/>
        <w:spacing w:before="120" w:after="0"/>
        <w:jc w:val="left"/>
        <w:rPr>
          <w:rFonts w:ascii="arial" w:hAnsi="arial"/>
          <w:sz w:val="18"/>
        </w:rPr>
      </w:pPr>
      <w:r>
        <w:rPr>
          <w:rFonts w:ascii="arial" w:hAnsi="arial"/>
          <w:sz w:val="18"/>
        </w:rPr>
        <w:t xml:space="preserve">For the portion of the PSU measured by VS&amp;Co total shareholder return percentile ranking against the S&amp;P 1500 Specialty Retail Index, the payout is earned as follows: </w:t>
      </w:r>
    </w:p>
    <w:p>
      <w:pPr>
        <w:pStyle w:val="TextBody"/>
        <w:bidi w:val="0"/>
        <w:spacing w:before="0" w:after="0"/>
        <w:jc w:val="left"/>
        <w:rPr/>
      </w:pPr>
      <w:r>
        <w:rPr/>
        <w:t> </w:t>
      </w:r>
    </w:p>
    <w:tbl>
      <w:tblPr>
        <w:tblW w:w="3330" w:type="dxa"/>
        <w:jc w:val="left"/>
        <w:tblInd w:w="0" w:type="dxa"/>
        <w:tblLayout w:type="fixed"/>
        <w:tblCellMar>
          <w:top w:w="0" w:type="dxa"/>
          <w:left w:w="0" w:type="dxa"/>
          <w:bottom w:w="0" w:type="dxa"/>
          <w:right w:w="0" w:type="dxa"/>
        </w:tblCellMar>
      </w:tblPr>
      <w:tblGrid>
        <w:gridCol w:w="2180"/>
        <w:gridCol w:w="120"/>
        <w:gridCol w:w="100"/>
        <w:gridCol w:w="640"/>
        <w:gridCol w:w="290"/>
      </w:tblGrid>
      <w:tr>
        <w:trPr/>
        <w:tc>
          <w:tcPr>
            <w:tcW w:w="21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180" w:type="dxa"/>
            <w:tcBorders/>
            <w:shd w:fill="FDEEF1" w:val="clear"/>
            <w:vAlign w:val="center"/>
          </w:tcPr>
          <w:p>
            <w:pPr>
              <w:pStyle w:val="TableContents"/>
              <w:bidi w:val="0"/>
              <w:spacing w:before="0" w:after="283"/>
              <w:jc w:val="left"/>
              <w:rPr>
                <w:sz w:val="4"/>
                <w:szCs w:val="4"/>
              </w:rPr>
            </w:pPr>
            <w:r>
              <w:rPr>
                <w:sz w:val="4"/>
                <w:szCs w:val="4"/>
              </w:rPr>
            </w:r>
          </w:p>
        </w:tc>
        <w:tc>
          <w:tcPr>
            <w:tcW w:w="1150" w:type="dxa"/>
            <w:gridSpan w:val="4"/>
            <w:tcBorders/>
            <w:shd w:fill="FDEEF1" w:val="clear"/>
            <w:vAlign w:val="center"/>
          </w:tcPr>
          <w:p>
            <w:pPr>
              <w:pStyle w:val="TableContents"/>
              <w:bidi w:val="0"/>
              <w:spacing w:before="0" w:after="283"/>
              <w:jc w:val="left"/>
              <w:rPr>
                <w:sz w:val="4"/>
                <w:szCs w:val="4"/>
              </w:rPr>
            </w:pPr>
            <w:r>
              <w:rPr>
                <w:sz w:val="4"/>
                <w:szCs w:val="4"/>
              </w:rPr>
            </w:r>
          </w:p>
        </w:tc>
      </w:tr>
      <w:tr>
        <w:trPr/>
        <w:tc>
          <w:tcPr>
            <w:tcW w:w="2180" w:type="dxa"/>
            <w:tcBorders/>
            <w:shd w:fill="FDEEF1" w:val="clear"/>
            <w:vAlign w:val="center"/>
          </w:tcPr>
          <w:p>
            <w:pPr>
              <w:pStyle w:val="TableContents"/>
              <w:bidi w:val="0"/>
              <w:spacing w:before="0" w:after="0"/>
              <w:jc w:val="left"/>
              <w:rPr>
                <w:rFonts w:ascii="arial" w:hAnsi="arial"/>
                <w:b/>
                <w:sz w:val="16"/>
              </w:rPr>
            </w:pPr>
            <w:r>
              <w:rPr>
                <w:rFonts w:ascii="arial" w:hAnsi="arial"/>
                <w:b/>
                <w:sz w:val="16"/>
              </w:rPr>
              <w:t>Performance</w:t>
            </w:r>
          </w:p>
        </w:tc>
        <w:tc>
          <w:tcPr>
            <w:tcW w:w="120" w:type="dxa"/>
            <w:tcBorders/>
            <w:shd w:fill="FDEEF1" w:val="clear"/>
            <w:vAlign w:val="center"/>
          </w:tcPr>
          <w:p>
            <w:pPr>
              <w:pStyle w:val="TableContents"/>
              <w:bidi w:val="0"/>
              <w:spacing w:before="0" w:after="283"/>
              <w:jc w:val="left"/>
              <w:rPr/>
            </w:pPr>
            <w:r>
              <w:rPr/>
              <w:t>  </w:t>
            </w:r>
          </w:p>
        </w:tc>
        <w:tc>
          <w:tcPr>
            <w:tcW w:w="740" w:type="dxa"/>
            <w:gridSpan w:val="2"/>
            <w:tcBorders/>
            <w:shd w:fill="FDEEF1" w:val="clear"/>
            <w:vAlign w:val="center"/>
          </w:tcPr>
          <w:p>
            <w:pPr>
              <w:pStyle w:val="TableContents"/>
              <w:bidi w:val="0"/>
              <w:spacing w:before="0" w:after="283"/>
              <w:jc w:val="center"/>
              <w:rPr>
                <w:b/>
              </w:rPr>
            </w:pPr>
            <w:r>
              <w:rPr>
                <w:b/>
              </w:rPr>
              <w:t>Payout</w:t>
            </w:r>
          </w:p>
        </w:tc>
        <w:tc>
          <w:tcPr>
            <w:tcW w:w="290" w:type="dxa"/>
            <w:tcBorders/>
            <w:shd w:fill="FDEEF1" w:val="clear"/>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sz w:val="4"/>
                <w:szCs w:val="4"/>
              </w:rPr>
            </w:pPr>
            <w:r>
              <w:rPr>
                <w:sz w:val="4"/>
                <w:szCs w:val="4"/>
              </w:rPr>
            </w:r>
          </w:p>
        </w:tc>
        <w:tc>
          <w:tcPr>
            <w:tcW w:w="1150" w:type="dxa"/>
            <w:gridSpan w:val="4"/>
            <w:tcBorders/>
            <w:vAlign w:val="center"/>
          </w:tcPr>
          <w:p>
            <w:pPr>
              <w:pStyle w:val="TableContents"/>
              <w:bidi w:val="0"/>
              <w:spacing w:before="0" w:after="283"/>
              <w:jc w:val="left"/>
              <w:rPr>
                <w:sz w:val="4"/>
                <w:szCs w:val="4"/>
              </w:rPr>
            </w:pPr>
            <w:r>
              <w:rPr>
                <w:sz w:val="4"/>
                <w:szCs w:val="4"/>
              </w:rPr>
            </w:r>
          </w:p>
        </w:tc>
      </w:tr>
      <w:tr>
        <w:trPr/>
        <w:tc>
          <w:tcPr>
            <w:tcW w:w="218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Below 25th Percentile</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00" w:type="dxa"/>
            <w:tcBorders>
              <w:bottom w:val="single" w:sz="6" w:space="0" w:color="FBDDE3"/>
            </w:tcBorders>
            <w:tcMar>
              <w:bottom w:w="60" w:type="dxa"/>
            </w:tcMar>
            <w:vAlign w:val="center"/>
          </w:tcPr>
          <w:p>
            <w:pPr>
              <w:pStyle w:val="TableContents"/>
              <w:bidi w:val="0"/>
              <w:spacing w:before="0" w:after="283"/>
              <w:jc w:val="left"/>
              <w:rPr/>
            </w:pPr>
            <w:r>
              <w:rPr/>
              <w:t> </w:t>
            </w:r>
          </w:p>
        </w:tc>
        <w:tc>
          <w:tcPr>
            <w:tcW w:w="640" w:type="dxa"/>
            <w:tcBorders>
              <w:bottom w:val="single" w:sz="6" w:space="0" w:color="FBDDE3"/>
            </w:tcBorders>
            <w:tcMar>
              <w:bottom w:w="60" w:type="dxa"/>
            </w:tcMar>
            <w:vAlign w:val="center"/>
          </w:tcPr>
          <w:p>
            <w:pPr>
              <w:pStyle w:val="TableContents"/>
              <w:bidi w:val="0"/>
              <w:spacing w:before="0" w:after="283"/>
              <w:jc w:val="right"/>
              <w:rPr/>
            </w:pPr>
            <w:r>
              <w:rPr/>
              <w:t>—</w:t>
            </w:r>
          </w:p>
        </w:tc>
        <w:tc>
          <w:tcPr>
            <w:tcW w:w="290"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sz w:val="4"/>
                <w:szCs w:val="4"/>
              </w:rPr>
            </w:pPr>
            <w:r>
              <w:rPr>
                <w:sz w:val="4"/>
                <w:szCs w:val="4"/>
              </w:rPr>
            </w:r>
          </w:p>
        </w:tc>
        <w:tc>
          <w:tcPr>
            <w:tcW w:w="1150" w:type="dxa"/>
            <w:gridSpan w:val="4"/>
            <w:tcBorders/>
            <w:vAlign w:val="center"/>
          </w:tcPr>
          <w:p>
            <w:pPr>
              <w:pStyle w:val="TableContents"/>
              <w:bidi w:val="0"/>
              <w:spacing w:before="0" w:after="283"/>
              <w:jc w:val="left"/>
              <w:rPr>
                <w:sz w:val="4"/>
                <w:szCs w:val="4"/>
              </w:rPr>
            </w:pPr>
            <w:r>
              <w:rPr>
                <w:sz w:val="4"/>
                <w:szCs w:val="4"/>
              </w:rPr>
            </w:r>
          </w:p>
        </w:tc>
      </w:tr>
      <w:tr>
        <w:trPr/>
        <w:tc>
          <w:tcPr>
            <w:tcW w:w="218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25th Percentile</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00" w:type="dxa"/>
            <w:tcBorders>
              <w:bottom w:val="single" w:sz="6" w:space="0" w:color="FBDDE3"/>
            </w:tcBorders>
            <w:tcMar>
              <w:bottom w:w="60" w:type="dxa"/>
            </w:tcMar>
            <w:vAlign w:val="center"/>
          </w:tcPr>
          <w:p>
            <w:pPr>
              <w:pStyle w:val="TableContents"/>
              <w:bidi w:val="0"/>
              <w:spacing w:before="0" w:after="283"/>
              <w:jc w:val="left"/>
              <w:rPr/>
            </w:pPr>
            <w:r>
              <w:rPr/>
              <w:t> </w:t>
            </w:r>
          </w:p>
        </w:tc>
        <w:tc>
          <w:tcPr>
            <w:tcW w:w="640" w:type="dxa"/>
            <w:tcBorders>
              <w:bottom w:val="single" w:sz="6" w:space="0" w:color="FBDDE3"/>
            </w:tcBorders>
            <w:tcMar>
              <w:bottom w:w="60" w:type="dxa"/>
            </w:tcMar>
            <w:vAlign w:val="center"/>
          </w:tcPr>
          <w:p>
            <w:pPr>
              <w:pStyle w:val="TableContents"/>
              <w:bidi w:val="0"/>
              <w:spacing w:before="0" w:after="283"/>
              <w:jc w:val="right"/>
              <w:rPr/>
            </w:pPr>
            <w:r>
              <w:rPr/>
              <w:t>50</w:t>
            </w:r>
          </w:p>
        </w:tc>
        <w:tc>
          <w:tcPr>
            <w:tcW w:w="290"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sz w:val="4"/>
                <w:szCs w:val="4"/>
              </w:rPr>
            </w:pPr>
            <w:r>
              <w:rPr>
                <w:sz w:val="4"/>
                <w:szCs w:val="4"/>
              </w:rPr>
            </w:r>
          </w:p>
        </w:tc>
        <w:tc>
          <w:tcPr>
            <w:tcW w:w="1150" w:type="dxa"/>
            <w:gridSpan w:val="4"/>
            <w:tcBorders/>
            <w:vAlign w:val="center"/>
          </w:tcPr>
          <w:p>
            <w:pPr>
              <w:pStyle w:val="TableContents"/>
              <w:bidi w:val="0"/>
              <w:spacing w:before="0" w:after="283"/>
              <w:jc w:val="left"/>
              <w:rPr>
                <w:sz w:val="4"/>
                <w:szCs w:val="4"/>
              </w:rPr>
            </w:pPr>
            <w:r>
              <w:rPr>
                <w:sz w:val="4"/>
                <w:szCs w:val="4"/>
              </w:rPr>
            </w:r>
          </w:p>
        </w:tc>
      </w:tr>
      <w:tr>
        <w:trPr/>
        <w:tc>
          <w:tcPr>
            <w:tcW w:w="218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50th Percentile</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00" w:type="dxa"/>
            <w:tcBorders>
              <w:bottom w:val="single" w:sz="6" w:space="0" w:color="FBDDE3"/>
            </w:tcBorders>
            <w:tcMar>
              <w:bottom w:w="60" w:type="dxa"/>
            </w:tcMar>
            <w:vAlign w:val="center"/>
          </w:tcPr>
          <w:p>
            <w:pPr>
              <w:pStyle w:val="TableContents"/>
              <w:bidi w:val="0"/>
              <w:spacing w:before="0" w:after="283"/>
              <w:jc w:val="left"/>
              <w:rPr/>
            </w:pPr>
            <w:r>
              <w:rPr/>
              <w:t> </w:t>
            </w:r>
          </w:p>
        </w:tc>
        <w:tc>
          <w:tcPr>
            <w:tcW w:w="640" w:type="dxa"/>
            <w:tcBorders>
              <w:bottom w:val="single" w:sz="6" w:space="0" w:color="FBDDE3"/>
            </w:tcBorders>
            <w:tcMar>
              <w:bottom w:w="60" w:type="dxa"/>
            </w:tcMar>
            <w:vAlign w:val="center"/>
          </w:tcPr>
          <w:p>
            <w:pPr>
              <w:pStyle w:val="TableContents"/>
              <w:bidi w:val="0"/>
              <w:spacing w:before="0" w:after="283"/>
              <w:jc w:val="right"/>
              <w:rPr/>
            </w:pPr>
            <w:r>
              <w:rPr/>
              <w:t>100</w:t>
            </w:r>
          </w:p>
        </w:tc>
        <w:tc>
          <w:tcPr>
            <w:tcW w:w="290"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sz w:val="4"/>
                <w:szCs w:val="4"/>
              </w:rPr>
            </w:pPr>
            <w:r>
              <w:rPr>
                <w:sz w:val="4"/>
                <w:szCs w:val="4"/>
              </w:rPr>
            </w:r>
          </w:p>
        </w:tc>
        <w:tc>
          <w:tcPr>
            <w:tcW w:w="1150" w:type="dxa"/>
            <w:gridSpan w:val="4"/>
            <w:tcBorders/>
            <w:vAlign w:val="center"/>
          </w:tcPr>
          <w:p>
            <w:pPr>
              <w:pStyle w:val="TableContents"/>
              <w:bidi w:val="0"/>
              <w:spacing w:before="0" w:after="283"/>
              <w:jc w:val="left"/>
              <w:rPr>
                <w:sz w:val="4"/>
                <w:szCs w:val="4"/>
              </w:rPr>
            </w:pPr>
            <w:r>
              <w:rPr>
                <w:sz w:val="4"/>
                <w:szCs w:val="4"/>
              </w:rPr>
            </w:r>
          </w:p>
        </w:tc>
      </w:tr>
      <w:tr>
        <w:trPr/>
        <w:tc>
          <w:tcPr>
            <w:tcW w:w="2180" w:type="dxa"/>
            <w:tcBorders>
              <w:bottom w:val="single" w:sz="8" w:space="0" w:color="F7ACBA"/>
            </w:tcBorders>
            <w:tcMar>
              <w:bottom w:w="80" w:type="dxa"/>
            </w:tcMar>
            <w:vAlign w:val="center"/>
          </w:tcPr>
          <w:p>
            <w:pPr>
              <w:pStyle w:val="TableContents"/>
              <w:bidi w:val="0"/>
              <w:spacing w:before="0" w:after="0"/>
              <w:jc w:val="left"/>
              <w:rPr>
                <w:rFonts w:ascii="arial" w:hAnsi="arial"/>
                <w:sz w:val="18"/>
              </w:rPr>
            </w:pPr>
            <w:r>
              <w:rPr>
                <w:rFonts w:ascii="arial" w:hAnsi="arial"/>
                <w:sz w:val="18"/>
              </w:rPr>
              <w:t>75th Percentile and above</w:t>
            </w:r>
          </w:p>
        </w:tc>
        <w:tc>
          <w:tcPr>
            <w:tcW w:w="120" w:type="dxa"/>
            <w:tcBorders>
              <w:bottom w:val="single" w:sz="8" w:space="0" w:color="F7ACBA"/>
            </w:tcBorders>
            <w:tcMar>
              <w:bottom w:w="28" w:type="dxa"/>
            </w:tcMar>
            <w:vAlign w:val="center"/>
          </w:tcPr>
          <w:p>
            <w:pPr>
              <w:pStyle w:val="TableContents"/>
              <w:bidi w:val="0"/>
              <w:spacing w:before="0" w:after="283"/>
              <w:jc w:val="left"/>
              <w:rPr/>
            </w:pPr>
            <w:r>
              <w:rPr/>
              <w:t>  </w:t>
            </w:r>
          </w:p>
        </w:tc>
        <w:tc>
          <w:tcPr>
            <w:tcW w:w="100" w:type="dxa"/>
            <w:tcBorders>
              <w:bottom w:val="single" w:sz="8" w:space="0" w:color="F7ACBA"/>
            </w:tcBorders>
            <w:tcMar>
              <w:bottom w:w="80" w:type="dxa"/>
            </w:tcMar>
            <w:vAlign w:val="center"/>
          </w:tcPr>
          <w:p>
            <w:pPr>
              <w:pStyle w:val="TableContents"/>
              <w:bidi w:val="0"/>
              <w:spacing w:before="0" w:after="283"/>
              <w:jc w:val="left"/>
              <w:rPr/>
            </w:pPr>
            <w:r>
              <w:rPr/>
              <w:t> </w:t>
            </w:r>
          </w:p>
        </w:tc>
        <w:tc>
          <w:tcPr>
            <w:tcW w:w="640" w:type="dxa"/>
            <w:tcBorders>
              <w:bottom w:val="single" w:sz="8" w:space="0" w:color="F7ACBA"/>
            </w:tcBorders>
            <w:tcMar>
              <w:bottom w:w="80" w:type="dxa"/>
            </w:tcMar>
            <w:vAlign w:val="center"/>
          </w:tcPr>
          <w:p>
            <w:pPr>
              <w:pStyle w:val="TableContents"/>
              <w:bidi w:val="0"/>
              <w:spacing w:before="0" w:after="283"/>
              <w:jc w:val="right"/>
              <w:rPr/>
            </w:pPr>
            <w:r>
              <w:rPr/>
              <w:t>200</w:t>
            </w:r>
          </w:p>
        </w:tc>
        <w:tc>
          <w:tcPr>
            <w:tcW w:w="290" w:type="dxa"/>
            <w:tcBorders>
              <w:bottom w:val="single" w:sz="8" w:space="0" w:color="F7ACBA"/>
            </w:tcBorders>
            <w:tcMar>
              <w:bottom w:w="80" w:type="dxa"/>
            </w:tcMar>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18"/>
        </w:rPr>
      </w:pPr>
      <w:r>
        <w:rPr>
          <w:rFonts w:ascii="arial" w:hAnsi="arial"/>
          <w:sz w:val="18"/>
        </w:rPr>
        <w:t xml:space="preserve">Interpolation for payout is used for achievement between 25th and 50th percentile and 50th and 75th percentile. </w:t>
      </w:r>
    </w:p>
    <w:p>
      <w:pPr>
        <w:pStyle w:val="TextBody"/>
        <w:bidi w:val="0"/>
        <w:spacing w:before="120" w:after="0"/>
        <w:jc w:val="left"/>
        <w:rPr>
          <w:rFonts w:ascii="arial" w:hAnsi="arial"/>
          <w:sz w:val="18"/>
        </w:rPr>
      </w:pPr>
      <w:r>
        <w:rPr>
          <w:rFonts w:ascii="arial" w:hAnsi="arial"/>
          <w:sz w:val="18"/>
        </w:rPr>
        <w:t xml:space="preserve">The 2023 PSU operating income goals were set to drive meaningful growth in profit and stockholder value. Through a combination of higher sales and savings through transforming our foundation, the compound annual operating income growth rate for threshold, target and maximum were low single digit, low double digit and greater than 20% growth, respectively. </w:t>
      </w:r>
    </w:p>
    <w:p>
      <w:pPr>
        <w:pStyle w:val="TextBody"/>
        <w:bidi w:val="0"/>
        <w:spacing w:before="120" w:after="0"/>
        <w:jc w:val="left"/>
        <w:rPr>
          <w:rFonts w:ascii="arial" w:hAnsi="arial"/>
          <w:sz w:val="18"/>
        </w:rPr>
      </w:pPr>
      <w:r>
        <w:rPr>
          <w:rFonts w:ascii="arial" w:hAnsi="arial"/>
          <w:sz w:val="18"/>
        </w:rPr>
        <w:t xml:space="preserve">In determining the size of any grants of equity awards, the HCCC takes into account the applicable executive’s individual performance (including contribution to the achievement of business goals, execution of retail fundamentals and accomplishment of talent and cultural objectives), company performance, competitive practice, VS&amp;Co’s overall equity compensation expense budget, stockholder dilution, internal equity, and retention risk. </w:t>
      </w:r>
    </w:p>
    <w:p>
      <w:pPr>
        <w:pStyle w:val="TextBody"/>
        <w:bidi w:val="0"/>
        <w:spacing w:before="120" w:after="0"/>
        <w:jc w:val="left"/>
        <w:rPr>
          <w:rFonts w:ascii="arial" w:hAnsi="arial"/>
          <w:sz w:val="18"/>
        </w:rPr>
      </w:pPr>
      <w:r>
        <w:rPr>
          <w:rFonts w:ascii="arial" w:hAnsi="arial"/>
          <w:sz w:val="18"/>
        </w:rPr>
        <w:t xml:space="preserve">The table below shows the long-term incentive awards made in the March 2023 annual grant. </w:t>
      </w:r>
    </w:p>
    <w:p>
      <w:pPr>
        <w:pStyle w:val="TextBody"/>
        <w:bidi w:val="0"/>
        <w:spacing w:before="0" w:after="0"/>
        <w:jc w:val="left"/>
        <w:rPr/>
      </w:pPr>
      <w:r>
        <w:rPr/>
        <w:t> </w:t>
      </w:r>
    </w:p>
    <w:tbl>
      <w:tblPr>
        <w:tblW w:w="4715" w:type="dxa"/>
        <w:jc w:val="left"/>
        <w:tblInd w:w="0" w:type="dxa"/>
        <w:tblLayout w:type="fixed"/>
        <w:tblCellMar>
          <w:top w:w="0" w:type="dxa"/>
          <w:left w:w="0" w:type="dxa"/>
          <w:bottom w:w="0" w:type="dxa"/>
          <w:right w:w="0" w:type="dxa"/>
        </w:tblCellMar>
      </w:tblPr>
      <w:tblGrid>
        <w:gridCol w:w="1040"/>
        <w:gridCol w:w="120"/>
        <w:gridCol w:w="60"/>
        <w:gridCol w:w="980"/>
        <w:gridCol w:w="60"/>
        <w:gridCol w:w="120"/>
        <w:gridCol w:w="60"/>
        <w:gridCol w:w="980"/>
        <w:gridCol w:w="60"/>
        <w:gridCol w:w="120"/>
        <w:gridCol w:w="60"/>
        <w:gridCol w:w="980"/>
        <w:gridCol w:w="75"/>
      </w:tblGrid>
      <w:tr>
        <w:trPr/>
        <w:tc>
          <w:tcPr>
            <w:tcW w:w="10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40" w:type="dxa"/>
            <w:tcBorders/>
            <w:shd w:fill="FDEEF1" w:val="clear"/>
            <w:vAlign w:val="center"/>
          </w:tcPr>
          <w:p>
            <w:pPr>
              <w:pStyle w:val="TableContents"/>
              <w:bidi w:val="0"/>
              <w:spacing w:before="0" w:after="283"/>
              <w:jc w:val="left"/>
              <w:rPr>
                <w:sz w:val="4"/>
                <w:szCs w:val="4"/>
              </w:rPr>
            </w:pPr>
            <w:r>
              <w:rPr>
                <w:sz w:val="4"/>
                <w:szCs w:val="4"/>
              </w:rPr>
            </w:r>
          </w:p>
        </w:tc>
        <w:tc>
          <w:tcPr>
            <w:tcW w:w="1220" w:type="dxa"/>
            <w:gridSpan w:val="4"/>
            <w:tcBorders/>
            <w:shd w:fill="FDEEF1" w:val="clear"/>
            <w:vAlign w:val="center"/>
          </w:tcPr>
          <w:p>
            <w:pPr>
              <w:pStyle w:val="TableContents"/>
              <w:bidi w:val="0"/>
              <w:spacing w:before="0" w:after="283"/>
              <w:jc w:val="left"/>
              <w:rPr>
                <w:sz w:val="4"/>
                <w:szCs w:val="4"/>
              </w:rPr>
            </w:pPr>
            <w:r>
              <w:rPr>
                <w:sz w:val="4"/>
                <w:szCs w:val="4"/>
              </w:rPr>
            </w:r>
          </w:p>
        </w:tc>
        <w:tc>
          <w:tcPr>
            <w:tcW w:w="1220" w:type="dxa"/>
            <w:gridSpan w:val="4"/>
            <w:tcBorders/>
            <w:shd w:fill="FDEEF1" w:val="clear"/>
            <w:vAlign w:val="center"/>
          </w:tcPr>
          <w:p>
            <w:pPr>
              <w:pStyle w:val="TableContents"/>
              <w:bidi w:val="0"/>
              <w:spacing w:before="0" w:after="283"/>
              <w:jc w:val="left"/>
              <w:rPr>
                <w:sz w:val="4"/>
                <w:szCs w:val="4"/>
              </w:rPr>
            </w:pPr>
            <w:r>
              <w:rPr>
                <w:sz w:val="4"/>
                <w:szCs w:val="4"/>
              </w:rPr>
            </w:r>
          </w:p>
        </w:tc>
        <w:tc>
          <w:tcPr>
            <w:tcW w:w="1235" w:type="dxa"/>
            <w:gridSpan w:val="4"/>
            <w:tcBorders/>
            <w:shd w:fill="FDEEF1" w:val="clear"/>
            <w:vAlign w:val="center"/>
          </w:tcPr>
          <w:p>
            <w:pPr>
              <w:pStyle w:val="TableContents"/>
              <w:bidi w:val="0"/>
              <w:spacing w:before="0" w:after="283"/>
              <w:jc w:val="left"/>
              <w:rPr>
                <w:sz w:val="4"/>
                <w:szCs w:val="4"/>
              </w:rPr>
            </w:pPr>
            <w:r>
              <w:rPr>
                <w:sz w:val="4"/>
                <w:szCs w:val="4"/>
              </w:rPr>
            </w:r>
          </w:p>
        </w:tc>
      </w:tr>
      <w:tr>
        <w:trPr/>
        <w:tc>
          <w:tcPr>
            <w:tcW w:w="1040" w:type="dxa"/>
            <w:tcBorders/>
            <w:shd w:fill="FDEEF1" w:val="clear"/>
            <w:vAlign w:val="center"/>
          </w:tcPr>
          <w:p>
            <w:pPr>
              <w:pStyle w:val="TableContents"/>
              <w:bidi w:val="0"/>
              <w:jc w:val="left"/>
              <w:rPr/>
            </w:pPr>
            <w:r>
              <w:rPr/>
              <w:t> </w:t>
            </w:r>
          </w:p>
          <w:p>
            <w:pPr>
              <w:pStyle w:val="TableContents"/>
              <w:bidi w:val="0"/>
              <w:spacing w:before="0" w:after="0"/>
              <w:jc w:val="left"/>
              <w:rPr/>
            </w:pPr>
            <w:r>
              <w:rPr/>
              <w:t> </w:t>
            </w:r>
          </w:p>
        </w:tc>
        <w:tc>
          <w:tcPr>
            <w:tcW w:w="120" w:type="dxa"/>
            <w:tcBorders/>
            <w:shd w:fill="FDEEF1" w:val="clear"/>
            <w:vAlign w:val="center"/>
          </w:tcPr>
          <w:p>
            <w:pPr>
              <w:pStyle w:val="TableContents"/>
              <w:bidi w:val="0"/>
              <w:spacing w:before="0" w:after="283"/>
              <w:jc w:val="left"/>
              <w:rPr/>
            </w:pPr>
            <w:r>
              <w:rPr/>
              <w:t>  </w:t>
            </w:r>
          </w:p>
        </w:tc>
        <w:tc>
          <w:tcPr>
            <w:tcW w:w="1040" w:type="dxa"/>
            <w:gridSpan w:val="2"/>
            <w:tcBorders/>
            <w:shd w:fill="FDEEF1" w:val="clear"/>
            <w:vAlign w:val="center"/>
          </w:tcPr>
          <w:p>
            <w:pPr>
              <w:pStyle w:val="TableContents"/>
              <w:bidi w:val="0"/>
              <w:spacing w:before="0" w:after="283"/>
              <w:jc w:val="center"/>
              <w:rPr>
                <w:b/>
              </w:rPr>
            </w:pPr>
            <w:r>
              <w:rPr>
                <w:b/>
              </w:rPr>
              <w:t>RSUs</w:t>
              <w:br/>
              <w:t>($)</w:t>
            </w:r>
          </w:p>
        </w:tc>
        <w:tc>
          <w:tcPr>
            <w:tcW w:w="60" w:type="dxa"/>
            <w:tcBorders/>
            <w:shd w:fill="FDEEF1" w:val="clear"/>
            <w:vAlign w:val="center"/>
          </w:tcPr>
          <w:p>
            <w:pPr>
              <w:pStyle w:val="TableContents"/>
              <w:bidi w:val="0"/>
              <w:spacing w:before="0" w:after="283"/>
              <w:jc w:val="left"/>
              <w:rPr/>
            </w:pPr>
            <w:r>
              <w:rPr/>
              <w:t> </w:t>
            </w:r>
          </w:p>
        </w:tc>
        <w:tc>
          <w:tcPr>
            <w:tcW w:w="120" w:type="dxa"/>
            <w:tcBorders/>
            <w:shd w:fill="FDEEF1" w:val="clear"/>
            <w:vAlign w:val="center"/>
          </w:tcPr>
          <w:p>
            <w:pPr>
              <w:pStyle w:val="TableContents"/>
              <w:bidi w:val="0"/>
              <w:spacing w:before="0" w:after="283"/>
              <w:jc w:val="left"/>
              <w:rPr/>
            </w:pPr>
            <w:r>
              <w:rPr/>
              <w:t>  </w:t>
            </w:r>
          </w:p>
        </w:tc>
        <w:tc>
          <w:tcPr>
            <w:tcW w:w="1040" w:type="dxa"/>
            <w:gridSpan w:val="2"/>
            <w:tcBorders/>
            <w:shd w:fill="FDEEF1" w:val="clear"/>
            <w:vAlign w:val="center"/>
          </w:tcPr>
          <w:p>
            <w:pPr>
              <w:pStyle w:val="TableContents"/>
              <w:bidi w:val="0"/>
              <w:spacing w:before="0" w:after="283"/>
              <w:jc w:val="center"/>
              <w:rPr>
                <w:b/>
              </w:rPr>
            </w:pPr>
            <w:r>
              <w:rPr>
                <w:b/>
              </w:rPr>
              <w:t>PSUs</w:t>
              <w:br/>
              <w:t>($)</w:t>
            </w:r>
          </w:p>
        </w:tc>
        <w:tc>
          <w:tcPr>
            <w:tcW w:w="60" w:type="dxa"/>
            <w:tcBorders/>
            <w:shd w:fill="FDEEF1" w:val="clear"/>
            <w:vAlign w:val="center"/>
          </w:tcPr>
          <w:p>
            <w:pPr>
              <w:pStyle w:val="TableContents"/>
              <w:bidi w:val="0"/>
              <w:spacing w:before="0" w:after="283"/>
              <w:jc w:val="left"/>
              <w:rPr/>
            </w:pPr>
            <w:r>
              <w:rPr/>
              <w:t> </w:t>
            </w:r>
          </w:p>
        </w:tc>
        <w:tc>
          <w:tcPr>
            <w:tcW w:w="120" w:type="dxa"/>
            <w:tcBorders/>
            <w:shd w:fill="FDEEF1" w:val="clear"/>
            <w:vAlign w:val="center"/>
          </w:tcPr>
          <w:p>
            <w:pPr>
              <w:pStyle w:val="TableContents"/>
              <w:bidi w:val="0"/>
              <w:spacing w:before="0" w:after="283"/>
              <w:jc w:val="left"/>
              <w:rPr/>
            </w:pPr>
            <w:r>
              <w:rPr/>
              <w:t>  </w:t>
            </w:r>
          </w:p>
        </w:tc>
        <w:tc>
          <w:tcPr>
            <w:tcW w:w="1040" w:type="dxa"/>
            <w:gridSpan w:val="2"/>
            <w:tcBorders/>
            <w:shd w:fill="FDEEF1" w:val="clear"/>
            <w:vAlign w:val="center"/>
          </w:tcPr>
          <w:p>
            <w:pPr>
              <w:pStyle w:val="TableContents"/>
              <w:bidi w:val="0"/>
              <w:spacing w:before="0" w:after="283"/>
              <w:jc w:val="center"/>
              <w:rPr>
                <w:b/>
              </w:rPr>
            </w:pPr>
            <w:r>
              <w:rPr>
                <w:b/>
              </w:rPr>
              <w:t>Total</w:t>
              <w:br/>
              <w:t>($)</w:t>
            </w:r>
          </w:p>
        </w:tc>
        <w:tc>
          <w:tcPr>
            <w:tcW w:w="75" w:type="dxa"/>
            <w:tcBorders/>
            <w:shd w:fill="FDEEF1"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Mr. Waters</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2,400,000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5,600,000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8,000,000</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Mr. Johnson</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800,000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800,000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1,600,000</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Ms. McAfee</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725,000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725,000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1,450,000</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Ms. Rupp</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985,000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985,000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1,970,000</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bottom w:val="single" w:sz="8" w:space="0" w:color="F7ACBA"/>
            </w:tcBorders>
            <w:tcMar>
              <w:bottom w:w="80" w:type="dxa"/>
            </w:tcMar>
            <w:vAlign w:val="center"/>
          </w:tcPr>
          <w:p>
            <w:pPr>
              <w:pStyle w:val="TableContents"/>
              <w:bidi w:val="0"/>
              <w:spacing w:before="0" w:after="0"/>
              <w:jc w:val="left"/>
              <w:rPr>
                <w:rFonts w:ascii="arial" w:hAnsi="arial"/>
                <w:sz w:val="18"/>
              </w:rPr>
            </w:pPr>
            <w:r>
              <w:rPr>
                <w:rFonts w:ascii="arial" w:hAnsi="arial"/>
                <w:sz w:val="18"/>
              </w:rPr>
              <w:t>Mr. Unis</w:t>
            </w:r>
          </w:p>
        </w:tc>
        <w:tc>
          <w:tcPr>
            <w:tcW w:w="12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980" w:type="dxa"/>
            <w:tcBorders>
              <w:bottom w:val="single" w:sz="8" w:space="0" w:color="F7ACBA"/>
            </w:tcBorders>
            <w:tcMar>
              <w:bottom w:w="80" w:type="dxa"/>
            </w:tcMar>
            <w:vAlign w:val="center"/>
          </w:tcPr>
          <w:p>
            <w:pPr>
              <w:pStyle w:val="TableContents"/>
              <w:bidi w:val="0"/>
              <w:spacing w:before="0" w:after="283"/>
              <w:jc w:val="right"/>
              <w:rPr/>
            </w:pPr>
            <w:r>
              <w:rPr/>
              <w:t>905,000</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12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980" w:type="dxa"/>
            <w:tcBorders>
              <w:bottom w:val="single" w:sz="8" w:space="0" w:color="F7ACBA"/>
            </w:tcBorders>
            <w:tcMar>
              <w:bottom w:w="80" w:type="dxa"/>
            </w:tcMar>
            <w:vAlign w:val="center"/>
          </w:tcPr>
          <w:p>
            <w:pPr>
              <w:pStyle w:val="TableContents"/>
              <w:bidi w:val="0"/>
              <w:spacing w:before="0" w:after="283"/>
              <w:jc w:val="right"/>
              <w:rPr/>
            </w:pPr>
            <w:r>
              <w:rPr/>
              <w:t>905,000</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12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980" w:type="dxa"/>
            <w:tcBorders>
              <w:bottom w:val="single" w:sz="8" w:space="0" w:color="F7ACBA"/>
            </w:tcBorders>
            <w:tcMar>
              <w:bottom w:w="80" w:type="dxa"/>
            </w:tcMar>
            <w:vAlign w:val="center"/>
          </w:tcPr>
          <w:p>
            <w:pPr>
              <w:pStyle w:val="TableContents"/>
              <w:bidi w:val="0"/>
              <w:spacing w:before="0" w:after="283"/>
              <w:jc w:val="right"/>
              <w:rPr/>
            </w:pPr>
            <w:r>
              <w:rPr/>
              <w:t>1,810,000</w:t>
            </w:r>
          </w:p>
        </w:tc>
        <w:tc>
          <w:tcPr>
            <w:tcW w:w="75" w:type="dxa"/>
            <w:tcBorders>
              <w:bottom w:val="single" w:sz="8" w:space="0" w:color="F7ACBA"/>
            </w:tcBorders>
            <w:tcMar>
              <w:bottom w:w="80" w:type="dxa"/>
            </w:tcMar>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18"/>
        </w:rPr>
      </w:pPr>
      <w:r>
        <w:rPr>
          <w:rFonts w:ascii="arial" w:hAnsi="arial"/>
          <w:sz w:val="18"/>
        </w:rPr>
        <w:t xml:space="preserve">In addition to Mr. Unis’s annual grant, the HCCC approved a $1,500,000 grant in July 2023, split evenly between RSUs and PSUs, in connection with his promotion to Brand President of Victoria’s Secret Lingerie and PINK. </w:t>
      </w:r>
    </w:p>
    <w:p>
      <w:pPr>
        <w:pStyle w:val="TextBody"/>
        <w:bidi w:val="0"/>
        <w:spacing w:before="240" w:after="0"/>
        <w:jc w:val="left"/>
        <w:rPr>
          <w:rFonts w:ascii="arial" w:hAnsi="arial"/>
          <w:b/>
          <w:color w:val="F7ACBA"/>
          <w:sz w:val="24"/>
        </w:rPr>
      </w:pPr>
      <w:r>
        <w:rPr>
          <w:rFonts w:ascii="arial" w:hAnsi="arial"/>
          <w:b/>
          <w:color w:val="F7ACBA"/>
          <w:sz w:val="24"/>
        </w:rPr>
        <w:t xml:space="preserve">Inducement Cash Bonus Awards </w:t>
      </w:r>
    </w:p>
    <w:p>
      <w:pPr>
        <w:pStyle w:val="TextBody"/>
        <w:bidi w:val="0"/>
        <w:spacing w:before="60" w:after="0"/>
        <w:jc w:val="left"/>
        <w:rPr>
          <w:rFonts w:ascii="arial" w:hAnsi="arial"/>
          <w:sz w:val="18"/>
        </w:rPr>
      </w:pPr>
      <w:r>
        <w:rPr>
          <w:rFonts w:ascii="arial" w:hAnsi="arial"/>
          <w:sz w:val="18"/>
        </w:rPr>
        <w:t xml:space="preserve">As part of Ms. Rupp’s compensation arrangement made at her hire, to offset anticipated near-term future payments at her then-current employer, VS&amp;Co agreed to pay Ms. Rupp a one-time hire-on bonus paid on the first anniversary of her hire date if she was actively employed at the date. There are no other cash bonus arrangements with Ms. Rupp or any other executive officer. </w:t>
      </w:r>
    </w:p>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11"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0" descr=""/>
                          <pic:cNvPicPr>
                            <a:picLocks noChangeAspect="1" noChangeArrowheads="1"/>
                          </pic:cNvPicPr>
                        </pic:nvPicPr>
                        <pic:blipFill>
                          <a:blip r:embed="rId101"/>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56 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COMPENSATION DISCUSSION AND ANALYSIS </w:t>
      </w:r>
    </w:p>
    <w:p>
      <w:pPr>
        <w:pStyle w:val="TextBody"/>
        <w:bidi w:val="0"/>
        <w:spacing w:before="0" w:after="0"/>
        <w:jc w:val="left"/>
        <w:rPr/>
      </w:pPr>
      <w:r>
        <w:rPr/>
        <w:t> </w:t>
      </w:r>
    </w:p>
    <w:tbl>
      <w:tblPr>
        <w:tblW w:w="2980" w:type="dxa"/>
        <w:jc w:val="left"/>
        <w:tblInd w:w="0" w:type="dxa"/>
        <w:tblLayout w:type="fixed"/>
        <w:tblCellMar>
          <w:top w:w="0" w:type="dxa"/>
          <w:left w:w="0" w:type="dxa"/>
          <w:bottom w:w="0" w:type="dxa"/>
          <w:right w:w="0" w:type="dxa"/>
        </w:tblCellMar>
      </w:tblPr>
      <w:tblGrid>
        <w:gridCol w:w="815"/>
        <w:gridCol w:w="120"/>
        <w:gridCol w:w="137"/>
        <w:gridCol w:w="1833"/>
        <w:gridCol w:w="75"/>
      </w:tblGrid>
      <w:tr>
        <w:trPr/>
        <w:tc>
          <w:tcPr>
            <w:tcW w:w="8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15" w:type="dxa"/>
            <w:tcBorders/>
            <w:shd w:fill="FDEEF1" w:val="clear"/>
            <w:vAlign w:val="center"/>
          </w:tcPr>
          <w:p>
            <w:pPr>
              <w:pStyle w:val="TableContents"/>
              <w:bidi w:val="0"/>
              <w:spacing w:before="0" w:after="283"/>
              <w:jc w:val="left"/>
              <w:rPr>
                <w:sz w:val="4"/>
                <w:szCs w:val="4"/>
              </w:rPr>
            </w:pPr>
            <w:r>
              <w:rPr>
                <w:sz w:val="4"/>
                <w:szCs w:val="4"/>
              </w:rPr>
            </w:r>
          </w:p>
        </w:tc>
        <w:tc>
          <w:tcPr>
            <w:tcW w:w="2165" w:type="dxa"/>
            <w:gridSpan w:val="4"/>
            <w:tcBorders/>
            <w:shd w:fill="FDEEF1" w:val="clear"/>
            <w:vAlign w:val="center"/>
          </w:tcPr>
          <w:p>
            <w:pPr>
              <w:pStyle w:val="TableContents"/>
              <w:bidi w:val="0"/>
              <w:spacing w:before="0" w:after="283"/>
              <w:jc w:val="left"/>
              <w:rPr>
                <w:sz w:val="4"/>
                <w:szCs w:val="4"/>
              </w:rPr>
            </w:pPr>
            <w:r>
              <w:rPr>
                <w:sz w:val="4"/>
                <w:szCs w:val="4"/>
              </w:rPr>
            </w:r>
          </w:p>
        </w:tc>
      </w:tr>
      <w:tr>
        <w:trPr/>
        <w:tc>
          <w:tcPr>
            <w:tcW w:w="815" w:type="dxa"/>
            <w:tcBorders/>
            <w:shd w:fill="FDEEF1" w:val="clear"/>
            <w:vAlign w:val="center"/>
          </w:tcPr>
          <w:p>
            <w:pPr>
              <w:pStyle w:val="TableContents"/>
              <w:bidi w:val="0"/>
              <w:spacing w:before="0" w:after="0"/>
              <w:jc w:val="left"/>
              <w:rPr>
                <w:rFonts w:ascii="arial" w:hAnsi="arial"/>
                <w:b/>
                <w:sz w:val="16"/>
              </w:rPr>
            </w:pPr>
            <w:r>
              <w:rPr>
                <w:rFonts w:ascii="arial" w:hAnsi="arial"/>
                <w:b/>
                <w:sz w:val="16"/>
              </w:rPr>
              <w:t>NEO</w:t>
            </w:r>
          </w:p>
        </w:tc>
        <w:tc>
          <w:tcPr>
            <w:tcW w:w="120" w:type="dxa"/>
            <w:tcBorders/>
            <w:shd w:fill="FDEEF1" w:val="clear"/>
            <w:vAlign w:val="center"/>
          </w:tcPr>
          <w:p>
            <w:pPr>
              <w:pStyle w:val="TableContents"/>
              <w:bidi w:val="0"/>
              <w:spacing w:before="0" w:after="283"/>
              <w:jc w:val="left"/>
              <w:rPr/>
            </w:pPr>
            <w:r>
              <w:rPr/>
              <w:t>  </w:t>
            </w:r>
          </w:p>
        </w:tc>
        <w:tc>
          <w:tcPr>
            <w:tcW w:w="1970" w:type="dxa"/>
            <w:gridSpan w:val="2"/>
            <w:tcBorders/>
            <w:shd w:fill="FDEEF1" w:val="clear"/>
            <w:vAlign w:val="center"/>
          </w:tcPr>
          <w:p>
            <w:pPr>
              <w:pStyle w:val="TableContents"/>
              <w:bidi w:val="0"/>
              <w:spacing w:before="0" w:after="283"/>
              <w:jc w:val="center"/>
              <w:rPr>
                <w:b/>
              </w:rPr>
            </w:pPr>
            <w:r>
              <w:rPr>
                <w:b/>
              </w:rPr>
              <w:t>Total Cash</w:t>
              <w:br/>
              <w:t>Retention Bonus</w:t>
              <w:br/>
              <w:t>Award Amount ($)</w:t>
            </w:r>
          </w:p>
        </w:tc>
        <w:tc>
          <w:tcPr>
            <w:tcW w:w="75" w:type="dxa"/>
            <w:tcBorders/>
            <w:shd w:fill="FDEEF1" w:val="clear"/>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jc w:val="left"/>
              <w:rPr>
                <w:sz w:val="4"/>
                <w:szCs w:val="4"/>
              </w:rPr>
            </w:pPr>
            <w:r>
              <w:rPr>
                <w:sz w:val="4"/>
                <w:szCs w:val="4"/>
              </w:rPr>
            </w:r>
          </w:p>
        </w:tc>
        <w:tc>
          <w:tcPr>
            <w:tcW w:w="2165" w:type="dxa"/>
            <w:gridSpan w:val="4"/>
            <w:tcBorders/>
            <w:vAlign w:val="center"/>
          </w:tcPr>
          <w:p>
            <w:pPr>
              <w:pStyle w:val="TableContents"/>
              <w:bidi w:val="0"/>
              <w:spacing w:before="0" w:after="283"/>
              <w:jc w:val="left"/>
              <w:rPr>
                <w:sz w:val="4"/>
                <w:szCs w:val="4"/>
              </w:rPr>
            </w:pPr>
            <w:r>
              <w:rPr>
                <w:sz w:val="4"/>
                <w:szCs w:val="4"/>
              </w:rPr>
            </w:r>
          </w:p>
        </w:tc>
      </w:tr>
      <w:tr>
        <w:trPr/>
        <w:tc>
          <w:tcPr>
            <w:tcW w:w="815" w:type="dxa"/>
            <w:tcBorders>
              <w:bottom w:val="single" w:sz="8" w:space="0" w:color="F7ACBA"/>
            </w:tcBorders>
            <w:tcMar>
              <w:bottom w:w="80" w:type="dxa"/>
            </w:tcMar>
            <w:vAlign w:val="center"/>
          </w:tcPr>
          <w:p>
            <w:pPr>
              <w:pStyle w:val="TableContents"/>
              <w:bidi w:val="0"/>
              <w:spacing w:before="0" w:after="0"/>
              <w:jc w:val="left"/>
              <w:rPr>
                <w:rFonts w:ascii="arial" w:hAnsi="arial"/>
                <w:sz w:val="18"/>
              </w:rPr>
            </w:pPr>
            <w:r>
              <w:rPr>
                <w:rFonts w:ascii="arial" w:hAnsi="arial"/>
                <w:sz w:val="18"/>
              </w:rPr>
              <w:t>Ms. Rupp</w:t>
            </w:r>
          </w:p>
        </w:tc>
        <w:tc>
          <w:tcPr>
            <w:tcW w:w="120" w:type="dxa"/>
            <w:tcBorders>
              <w:bottom w:val="single" w:sz="8" w:space="0" w:color="F7ACBA"/>
            </w:tcBorders>
            <w:tcMar>
              <w:bottom w:w="28" w:type="dxa"/>
            </w:tcMar>
            <w:vAlign w:val="center"/>
          </w:tcPr>
          <w:p>
            <w:pPr>
              <w:pStyle w:val="TableContents"/>
              <w:bidi w:val="0"/>
              <w:spacing w:before="0" w:after="283"/>
              <w:jc w:val="left"/>
              <w:rPr/>
            </w:pPr>
            <w:r>
              <w:rPr/>
              <w:t>  </w:t>
            </w:r>
          </w:p>
        </w:tc>
        <w:tc>
          <w:tcPr>
            <w:tcW w:w="137" w:type="dxa"/>
            <w:tcBorders>
              <w:bottom w:val="single" w:sz="8" w:space="0" w:color="F7ACBA"/>
            </w:tcBorders>
            <w:tcMar>
              <w:bottom w:w="80" w:type="dxa"/>
            </w:tcMar>
            <w:vAlign w:val="center"/>
          </w:tcPr>
          <w:p>
            <w:pPr>
              <w:pStyle w:val="TableContents"/>
              <w:bidi w:val="0"/>
              <w:spacing w:before="0" w:after="283"/>
              <w:jc w:val="left"/>
              <w:rPr/>
            </w:pPr>
            <w:r>
              <w:rPr/>
              <w:t> </w:t>
            </w:r>
          </w:p>
        </w:tc>
        <w:tc>
          <w:tcPr>
            <w:tcW w:w="1833" w:type="dxa"/>
            <w:tcBorders>
              <w:bottom w:val="single" w:sz="8" w:space="0" w:color="F7ACBA"/>
            </w:tcBorders>
            <w:tcMar>
              <w:bottom w:w="80" w:type="dxa"/>
            </w:tcMar>
            <w:vAlign w:val="center"/>
          </w:tcPr>
          <w:p>
            <w:pPr>
              <w:pStyle w:val="TableContents"/>
              <w:bidi w:val="0"/>
              <w:spacing w:before="0" w:after="283"/>
              <w:jc w:val="right"/>
              <w:rPr/>
            </w:pPr>
            <w:r>
              <w:rPr/>
              <w:t>960,000</w:t>
            </w:r>
          </w:p>
        </w:tc>
        <w:tc>
          <w:tcPr>
            <w:tcW w:w="75" w:type="dxa"/>
            <w:tcBorders>
              <w:bottom w:val="single" w:sz="8" w:space="0" w:color="F7ACBA"/>
            </w:tcBorders>
            <w:tcMar>
              <w:bottom w:w="80" w:type="dxa"/>
            </w:tcMar>
            <w:vAlign w:val="center"/>
          </w:tcPr>
          <w:p>
            <w:pPr>
              <w:pStyle w:val="TableContents"/>
              <w:bidi w:val="0"/>
              <w:spacing w:before="0" w:after="283"/>
              <w:jc w:val="left"/>
              <w:rPr/>
            </w:pPr>
            <w:r>
              <w:rPr/>
              <w:t> </w:t>
            </w:r>
          </w:p>
        </w:tc>
      </w:tr>
    </w:tbl>
    <w:p>
      <w:pPr>
        <w:pStyle w:val="TextBody"/>
        <w:bidi w:val="0"/>
        <w:spacing w:before="240" w:after="0"/>
        <w:jc w:val="left"/>
        <w:rPr>
          <w:rFonts w:ascii="arial" w:hAnsi="arial"/>
          <w:b/>
          <w:color w:val="F7ACBA"/>
          <w:sz w:val="24"/>
        </w:rPr>
      </w:pPr>
      <w:r>
        <w:rPr>
          <w:rFonts w:ascii="arial" w:hAnsi="arial"/>
          <w:b/>
          <w:color w:val="F7ACBA"/>
          <w:sz w:val="24"/>
        </w:rPr>
        <w:t xml:space="preserve">Retirement and Other Post-Employment Benefits </w:t>
      </w:r>
    </w:p>
    <w:p>
      <w:pPr>
        <w:pStyle w:val="TextBody"/>
        <w:bidi w:val="0"/>
        <w:spacing w:before="60" w:after="0"/>
        <w:jc w:val="left"/>
        <w:rPr>
          <w:rFonts w:ascii="arial" w:hAnsi="arial"/>
          <w:sz w:val="18"/>
        </w:rPr>
      </w:pPr>
      <w:r>
        <w:rPr>
          <w:rFonts w:ascii="arial" w:hAnsi="arial"/>
          <w:sz w:val="18"/>
        </w:rPr>
        <w:t xml:space="preserve">Retirement and other post-employment benefits consist of qualified retirement plan benefits and termination benefits. VS&amp;Co does not have a non-qualified deferred compensation plan for executives but may create one in the future. </w:t>
      </w:r>
    </w:p>
    <w:p>
      <w:pPr>
        <w:pStyle w:val="TextBody"/>
        <w:bidi w:val="0"/>
        <w:spacing w:before="240" w:after="0"/>
        <w:jc w:val="left"/>
        <w:rPr>
          <w:rFonts w:ascii="Times New Roman" w:hAnsi="Times New Roman"/>
          <w:sz w:val="22"/>
        </w:rPr>
      </w:pPr>
      <w:r>
        <w:rPr>
          <w:rFonts w:ascii="Times New Roman" w:hAnsi="Times New Roman"/>
          <w:i/>
          <w:sz w:val="22"/>
        </w:rPr>
        <w:t>401(k) Plan</w:t>
      </w:r>
      <w:r>
        <w:rPr>
          <w:rFonts w:ascii="Times New Roman" w:hAnsi="Times New Roman"/>
          <w:sz w:val="22"/>
        </w:rPr>
        <w:t xml:space="preserve"> </w:t>
      </w:r>
    </w:p>
    <w:p>
      <w:pPr>
        <w:pStyle w:val="TextBody"/>
        <w:bidi w:val="0"/>
        <w:spacing w:before="60" w:after="0"/>
        <w:jc w:val="left"/>
        <w:rPr>
          <w:rFonts w:ascii="arial" w:hAnsi="arial"/>
          <w:sz w:val="18"/>
        </w:rPr>
      </w:pPr>
      <w:r>
        <w:rPr>
          <w:rFonts w:ascii="arial" w:hAnsi="arial"/>
          <w:sz w:val="18"/>
        </w:rPr>
        <w:t xml:space="preserve">VS&amp;Co’s qualified plan (the “401(k) Plan”) is available to all VS&amp;Co associates who meet certain age and service requirements. Associates can contribute up to the amounts allowable under Section 401 of the Internal Revenue Code. VS&amp;Co matches associates’ contributions according to a predetermined formula and contributes additional amounts based on a percentage of the associates’ eligible annual compensation and years of service. Associates’ contributions and VS&amp;Co’s matching contributions to the 401(k) Plan vest immediately. Additional VS&amp;Co contributions and the related investment earnings are subject to vesting based on years of service. </w:t>
      </w:r>
    </w:p>
    <w:p>
      <w:pPr>
        <w:pStyle w:val="TextBody"/>
        <w:bidi w:val="0"/>
        <w:spacing w:before="240" w:after="0"/>
        <w:jc w:val="left"/>
        <w:rPr>
          <w:rFonts w:ascii="arial" w:hAnsi="arial"/>
          <w:b/>
          <w:color w:val="F7ACBA"/>
          <w:sz w:val="24"/>
        </w:rPr>
      </w:pPr>
      <w:r>
        <w:rPr>
          <w:rFonts w:ascii="arial" w:hAnsi="arial"/>
          <w:b/>
          <w:color w:val="F7ACBA"/>
          <w:sz w:val="24"/>
        </w:rPr>
        <w:t xml:space="preserve">Termination Benefits: Severance and Change in Control Agreements </w:t>
      </w:r>
    </w:p>
    <w:p>
      <w:pPr>
        <w:pStyle w:val="TextBody"/>
        <w:bidi w:val="0"/>
        <w:spacing w:before="60" w:after="0"/>
        <w:jc w:val="left"/>
        <w:rPr>
          <w:rFonts w:ascii="arial" w:hAnsi="arial"/>
          <w:sz w:val="18"/>
        </w:rPr>
      </w:pPr>
      <w:r>
        <w:rPr>
          <w:rFonts w:ascii="arial" w:hAnsi="arial"/>
          <w:sz w:val="18"/>
        </w:rPr>
        <w:t xml:space="preserve">VS&amp;Co has entered into severance and change in control agreements with certain executives, including Messrs. Waters, Johnson, and Unis and Mses. McAfee and Rupp. For additional information regarding these arrangements, see “Estimated Post-Employment Payments and Benefits” below. </w:t>
      </w:r>
    </w:p>
    <w:p>
      <w:pPr>
        <w:pStyle w:val="TextBody"/>
        <w:bidi w:val="0"/>
        <w:spacing w:before="120" w:after="0"/>
        <w:jc w:val="left"/>
        <w:rPr>
          <w:rFonts w:ascii="arial" w:hAnsi="arial"/>
          <w:sz w:val="18"/>
        </w:rPr>
      </w:pPr>
      <w:r>
        <w:rPr>
          <w:rFonts w:ascii="arial" w:hAnsi="arial"/>
          <w:sz w:val="18"/>
        </w:rPr>
        <w:t xml:space="preserve">Upon a change in control of VS&amp;Co, VS&amp;Co equity awards will only vest if the executive’s employment is terminated by the executive for good reason or by VS&amp;Co other than for cause within 24 months of the change in control. </w:t>
      </w:r>
    </w:p>
    <w:p>
      <w:pPr>
        <w:pStyle w:val="TextBody"/>
        <w:bidi w:val="0"/>
        <w:spacing w:before="120" w:after="0"/>
        <w:jc w:val="left"/>
        <w:rPr>
          <w:rFonts w:ascii="arial" w:hAnsi="arial"/>
          <w:sz w:val="18"/>
        </w:rPr>
      </w:pPr>
      <w:r>
        <w:rPr>
          <w:rFonts w:ascii="arial" w:hAnsi="arial"/>
          <w:sz w:val="18"/>
        </w:rPr>
        <w:t xml:space="preserve">None of VS&amp;Co’s executives (including our NEOs) is entitled to a tax gross-up for any excise taxes on compensation paid in connection with a change in control. </w:t>
      </w:r>
    </w:p>
    <w:p>
      <w:pPr>
        <w:pStyle w:val="TextBody"/>
        <w:bidi w:val="0"/>
        <w:spacing w:before="240" w:after="0"/>
        <w:jc w:val="left"/>
        <w:rPr>
          <w:rFonts w:ascii="arial" w:hAnsi="arial"/>
          <w:b/>
          <w:color w:val="F7ACBA"/>
          <w:sz w:val="24"/>
        </w:rPr>
      </w:pPr>
      <w:r>
        <w:rPr>
          <w:rFonts w:ascii="arial" w:hAnsi="arial"/>
          <w:b/>
          <w:color w:val="F7ACBA"/>
          <w:sz w:val="24"/>
        </w:rPr>
        <w:t xml:space="preserve">Perquisites </w:t>
      </w:r>
    </w:p>
    <w:p>
      <w:pPr>
        <w:pStyle w:val="TextBody"/>
        <w:bidi w:val="0"/>
        <w:spacing w:before="60" w:after="0"/>
        <w:jc w:val="left"/>
        <w:rPr>
          <w:rFonts w:ascii="arial" w:hAnsi="arial"/>
          <w:sz w:val="18"/>
        </w:rPr>
      </w:pPr>
      <w:r>
        <w:rPr>
          <w:rFonts w:ascii="arial" w:hAnsi="arial"/>
          <w:sz w:val="18"/>
        </w:rPr>
        <w:t xml:space="preserve">VS&amp;Co provides its executives with perquisites that the HCCC has determined are reasonable and in the best interests of VS&amp;Co and its stockholders. These perquisites may include the reimbursement of financial planning costs of up to $9,500 per year for our CEO and supplemental disability and life insurance coverage provided by VS&amp;Co for associates at the Vice President level and above, including our NEOs. </w:t>
      </w:r>
    </w:p>
    <w:p>
      <w:pPr>
        <w:pStyle w:val="TextBody"/>
        <w:bidi w:val="0"/>
        <w:spacing w:before="120" w:after="0"/>
        <w:jc w:val="left"/>
        <w:rPr>
          <w:rFonts w:ascii="arial" w:hAnsi="arial"/>
          <w:sz w:val="18"/>
        </w:rPr>
      </w:pPr>
      <w:r>
        <w:rPr>
          <w:rFonts w:ascii="arial" w:hAnsi="arial"/>
          <w:sz w:val="18"/>
        </w:rPr>
        <w:t xml:space="preserve">The cost of providing these perquisites to the named executive officers is included in the amounts shown in the “All Other Compensation” column of the 2023 Summary Compensation Table and detailed in the footnotes to the table. </w:t>
      </w:r>
    </w:p>
    <w:p>
      <w:pPr>
        <w:pStyle w:val="TextBody"/>
        <w:bidi w:val="0"/>
        <w:spacing w:before="120" w:after="0"/>
        <w:jc w:val="left"/>
        <w:rPr>
          <w:rFonts w:ascii="arial" w:hAnsi="arial"/>
          <w:sz w:val="18"/>
        </w:rPr>
      </w:pPr>
      <w:r>
        <w:rPr>
          <w:rFonts w:ascii="arial" w:hAnsi="arial"/>
          <w:sz w:val="18"/>
        </w:rPr>
        <w:t xml:space="preserve">We reviewed our perquisites for our executives in 2022, including our NEOs, and added executive physicals through select providers. VS&amp;Co pays the cost of the physical and the executive is responsible for any associated tax. </w:t>
      </w:r>
    </w:p>
    <w:p>
      <w:pPr>
        <w:pStyle w:val="TextBody"/>
        <w:bidi w:val="0"/>
        <w:spacing w:before="360" w:after="0"/>
        <w:jc w:val="left"/>
        <w:rPr>
          <w:rFonts w:ascii="arial" w:hAnsi="arial"/>
          <w:sz w:val="30"/>
        </w:rPr>
      </w:pPr>
      <w:bookmarkStart w:id="22" w:name="toc540996_17"/>
      <w:bookmarkEnd w:id="22"/>
      <w:r>
        <w:rPr>
          <w:rFonts w:ascii="arial" w:hAnsi="arial"/>
          <w:sz w:val="30"/>
        </w:rPr>
        <w:t xml:space="preserve">Compensation Governance </w:t>
      </w:r>
    </w:p>
    <w:p>
      <w:pPr>
        <w:pStyle w:val="TextBody"/>
        <w:bidi w:val="0"/>
        <w:spacing w:before="120" w:after="0"/>
        <w:jc w:val="left"/>
        <w:rPr>
          <w:rFonts w:ascii="arial" w:hAnsi="arial"/>
          <w:b/>
          <w:color w:val="F7ACBA"/>
          <w:sz w:val="24"/>
        </w:rPr>
      </w:pPr>
      <w:r>
        <w:rPr>
          <w:rFonts w:ascii="arial" w:hAnsi="arial"/>
          <w:b/>
          <w:color w:val="F7ACBA"/>
          <w:sz w:val="24"/>
        </w:rPr>
        <w:t xml:space="preserve">Tax Deductibility </w:t>
      </w:r>
    </w:p>
    <w:p>
      <w:pPr>
        <w:pStyle w:val="TextBody"/>
        <w:bidi w:val="0"/>
        <w:spacing w:before="60" w:after="0"/>
        <w:jc w:val="left"/>
        <w:rPr>
          <w:rFonts w:ascii="arial" w:hAnsi="arial"/>
          <w:sz w:val="18"/>
        </w:rPr>
      </w:pPr>
      <w:r>
        <w:rPr>
          <w:rFonts w:ascii="arial" w:hAnsi="arial"/>
          <w:sz w:val="18"/>
        </w:rPr>
        <w:t xml:space="preserve">Section 162(m) of the Internal Revenue Code generally does not allow a tax deduction to public companies for compensation paid to certain executive officers that is more than $1 million during the tax year. Section 162(m) of the Internal Revenue Code provided an exemption from this deduction limitation for compensation that qualified as “performance-based compensation.” However, as part of the Tax Cuts and Jobs Act of 2017, this exemption was repealed, effective for taxable years beginning after December 31, 2017, subject to transition relief for certain “grandfathered” arrangements in effect as of November 2, 2017. </w:t>
      </w:r>
    </w:p>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12"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1" descr=""/>
                          <pic:cNvPicPr>
                            <a:picLocks noChangeAspect="1" noChangeArrowheads="1"/>
                          </pic:cNvPicPr>
                        </pic:nvPicPr>
                        <pic:blipFill>
                          <a:blip r:embed="rId102"/>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57 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COMPENSATION DISCUSSION AND ANALYSIS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In the exercise of its business judgment, the HCCC retains the flexibility to award and pay compensation even if the compensation is not deductible by VS&amp;Co for tax purposes if it believes it is in the Company’s best interests. </w:t>
      </w:r>
    </w:p>
    <w:p>
      <w:pPr>
        <w:pStyle w:val="TextBody"/>
        <w:bidi w:val="0"/>
        <w:spacing w:before="240" w:after="0"/>
        <w:jc w:val="left"/>
        <w:rPr>
          <w:rFonts w:ascii="arial" w:hAnsi="arial"/>
          <w:b/>
          <w:color w:val="F7ACBA"/>
          <w:sz w:val="24"/>
        </w:rPr>
      </w:pPr>
      <w:r>
        <w:rPr>
          <w:rFonts w:ascii="arial" w:hAnsi="arial"/>
          <w:b/>
          <w:color w:val="F7ACBA"/>
          <w:sz w:val="24"/>
        </w:rPr>
        <w:t xml:space="preserve">Stock Ownership Guidelines </w:t>
      </w:r>
    </w:p>
    <w:p>
      <w:pPr>
        <w:pStyle w:val="TextBody"/>
        <w:bidi w:val="0"/>
        <w:spacing w:before="60" w:after="0"/>
        <w:jc w:val="left"/>
        <w:rPr>
          <w:rFonts w:ascii="arial" w:hAnsi="arial"/>
          <w:sz w:val="18"/>
        </w:rPr>
      </w:pPr>
      <w:r>
        <w:rPr>
          <w:rFonts w:ascii="arial" w:hAnsi="arial"/>
          <w:sz w:val="18"/>
        </w:rPr>
        <w:t xml:space="preserve">The HCCC encourages VS&amp;Co stock ownership by our executives through stock ownership guidelines that promote a long-term focus on performance, discourage inappropriate risk-taking and align the interests of our executives with those of our stockholders. Stock ownership guidelines can be met through direct or beneficial ownership of VS&amp;Co common stock, including VS&amp;Co common stock held under stock incentive and retirement plans. </w:t>
      </w:r>
    </w:p>
    <w:p>
      <w:pPr>
        <w:pStyle w:val="TextBody"/>
        <w:bidi w:val="0"/>
        <w:spacing w:before="120" w:after="0"/>
        <w:jc w:val="left"/>
        <w:rPr>
          <w:rFonts w:ascii="arial" w:hAnsi="arial"/>
          <w:sz w:val="18"/>
        </w:rPr>
      </w:pPr>
      <w:r>
        <w:rPr>
          <w:rFonts w:ascii="arial" w:hAnsi="arial"/>
          <w:sz w:val="18"/>
        </w:rPr>
        <w:t xml:space="preserve">VS&amp;Co’s Chief Executive Officer is required to achieve and maintain beneficial ownership of VS&amp;Co common stock with a value of six times his base salary. VS&amp;Co’s other covered executives, including the NEOs, are required to achieve and maintain beneficial ownership of VS&amp;Co common stock with a value of three times such executive’s base salary within five years of becoming subject to the stock ownership guidelines. Members of the Board of Directors are required to maintain at least the number of net shares received as compensation for their service on the Board over the previous four years. All of our executive officers and directors are currently on track for compliance with the ownership guidelines by the required deadlines. </w:t>
      </w:r>
    </w:p>
    <w:p>
      <w:pPr>
        <w:pStyle w:val="TextBody"/>
        <w:bidi w:val="0"/>
        <w:spacing w:before="240" w:after="0"/>
        <w:jc w:val="left"/>
        <w:rPr>
          <w:rFonts w:ascii="arial" w:hAnsi="arial"/>
          <w:b/>
          <w:color w:val="F7ACBA"/>
          <w:sz w:val="24"/>
        </w:rPr>
      </w:pPr>
      <w:r>
        <w:rPr>
          <w:rFonts w:ascii="arial" w:hAnsi="arial"/>
          <w:b/>
          <w:color w:val="F7ACBA"/>
          <w:sz w:val="24"/>
        </w:rPr>
        <w:t xml:space="preserve">Recovery of Cash Bonus and Stock Compensation </w:t>
      </w:r>
    </w:p>
    <w:p>
      <w:pPr>
        <w:pStyle w:val="TextBody"/>
        <w:bidi w:val="0"/>
        <w:spacing w:before="60" w:after="0"/>
        <w:jc w:val="left"/>
        <w:rPr>
          <w:rFonts w:ascii="arial" w:hAnsi="arial"/>
          <w:sz w:val="18"/>
        </w:rPr>
      </w:pPr>
      <w:r>
        <w:rPr>
          <w:rFonts w:ascii="arial" w:hAnsi="arial"/>
          <w:sz w:val="18"/>
        </w:rPr>
        <w:t xml:space="preserve">In 2022, the HCCC adopted a new incentive compensation Clawback Policy in line with corporate governance best practice. The policy was further revised in 2023 to comply with SEC rules and NYSE listing requirements. Our Clawback Policy includes a cause-related clawback provision that applies to all cash-based performance or incentive compensation and any equity compensation granted, awarded, issued, paid or payable for all Senior Vice Presidents and above. The HCCC determines if a cause-related clawback trigger exists. The triggers are defined as: </w:t>
      </w:r>
    </w:p>
    <w:p>
      <w:pPr>
        <w:pStyle w:val="TextBody"/>
        <w:bidi w:val="0"/>
        <w:spacing w:before="0" w:after="0"/>
        <w:jc w:val="left"/>
        <w:rPr/>
      </w:pPr>
      <w:r>
        <w:rPr/>
        <w:t> </w:t>
      </w:r>
    </w:p>
    <w:tbl>
      <w:tblPr>
        <w:tblW w:w="5470" w:type="dxa"/>
        <w:jc w:val="left"/>
        <w:tblInd w:w="0" w:type="dxa"/>
        <w:tblLayout w:type="fixed"/>
        <w:tblCellMar>
          <w:top w:w="0" w:type="dxa"/>
          <w:left w:w="0" w:type="dxa"/>
          <w:bottom w:w="0" w:type="dxa"/>
          <w:right w:w="0" w:type="dxa"/>
        </w:tblCellMar>
      </w:tblPr>
      <w:tblGrid>
        <w:gridCol w:w="125"/>
        <w:gridCol w:w="60"/>
        <w:gridCol w:w="5285"/>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0"/>
              <w:jc w:val="left"/>
              <w:rPr>
                <w:rFonts w:ascii="arial" w:hAnsi="arial"/>
                <w:sz w:val="18"/>
              </w:rPr>
            </w:pPr>
            <w:r>
              <w:rPr>
                <w:rFonts w:ascii="arial" w:hAnsi="arial"/>
                <w:sz w:val="18"/>
              </w:rPr>
              <w:t xml:space="preserve">an executive was grossly negligent in the performance of duties;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an executive has pled “guilty” or “no contest” to, or has been convicted of, an act which is defined as a felony under applicable federal or state law;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an executive has engaged in misconduct in bad faith that could reasonably be expected to materially harm the Company’s business or its reputation;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an executive has violated a material provision of the Company’s Code of Conduct, including, but not limited to, committing Subject Conduct or other violations of the Company’s Discrimination, Anti-Harassment, Sexual Harassment and Non-Retaliation policies. “Subject Conduct” means sexual harassment (including creation of a hostile work environment), gender discrimination and retaliation. </w:t>
            </w:r>
          </w:p>
        </w:tc>
      </w:tr>
    </w:tbl>
    <w:p>
      <w:pPr>
        <w:pStyle w:val="TextBody"/>
        <w:bidi w:val="0"/>
        <w:spacing w:before="120" w:after="0"/>
        <w:jc w:val="left"/>
        <w:rPr>
          <w:rFonts w:ascii="arial" w:hAnsi="arial"/>
          <w:sz w:val="18"/>
        </w:rPr>
      </w:pPr>
      <w:r>
        <w:rPr>
          <w:rFonts w:ascii="arial" w:hAnsi="arial"/>
          <w:sz w:val="18"/>
        </w:rPr>
        <w:t xml:space="preserve">Our Clawback Policy is filed as an exhibit to our 2023 Annual Report. </w:t>
      </w:r>
    </w:p>
    <w:p>
      <w:pPr>
        <w:pStyle w:val="TextBody"/>
        <w:bidi w:val="0"/>
        <w:spacing w:before="240" w:after="0"/>
        <w:jc w:val="left"/>
        <w:rPr>
          <w:rFonts w:ascii="arial" w:hAnsi="arial"/>
          <w:b/>
          <w:color w:val="F7ACBA"/>
          <w:sz w:val="24"/>
        </w:rPr>
      </w:pPr>
      <w:r>
        <w:rPr>
          <w:rFonts w:ascii="arial" w:hAnsi="arial"/>
          <w:b/>
          <w:color w:val="F7ACBA"/>
          <w:sz w:val="24"/>
        </w:rPr>
        <w:t xml:space="preserve">Policy Regarding Hedging or Pledging </w:t>
      </w:r>
    </w:p>
    <w:p>
      <w:pPr>
        <w:pStyle w:val="TextBody"/>
        <w:bidi w:val="0"/>
        <w:spacing w:before="60" w:after="0"/>
        <w:jc w:val="left"/>
        <w:rPr>
          <w:rFonts w:ascii="arial" w:hAnsi="arial"/>
          <w:sz w:val="18"/>
        </w:rPr>
      </w:pPr>
      <w:r>
        <w:rPr>
          <w:rFonts w:ascii="arial" w:hAnsi="arial"/>
          <w:sz w:val="18"/>
        </w:rPr>
        <w:t xml:space="preserve">The VS&amp;Co Insider Trading Policy prohibits our directors and executives from engaging in transactions in derivative securities (including puts, calls, collars, forward contracts, equity swaps, exchange funds and the like) relating to VS&amp;Co securities, transactions hedging the risk of ownership of VS&amp;Co securities and short sales of VS&amp;Co securities. In addition, directors and executives are prohibited from holding VS&amp;Co securities in margin accounts or pledging VS&amp;Co securities as collateral for loans. </w:t>
      </w:r>
    </w:p>
    <w:p>
      <w:pPr>
        <w:pStyle w:val="TextBody"/>
        <w:bidi w:val="0"/>
        <w:spacing w:before="240" w:after="0"/>
        <w:jc w:val="left"/>
        <w:rPr>
          <w:rFonts w:ascii="arial" w:hAnsi="arial"/>
          <w:b/>
          <w:color w:val="F7ACBA"/>
          <w:sz w:val="24"/>
        </w:rPr>
      </w:pPr>
      <w:r>
        <w:rPr>
          <w:rFonts w:ascii="arial" w:hAnsi="arial"/>
          <w:b/>
          <w:color w:val="F7ACBA"/>
          <w:sz w:val="24"/>
        </w:rPr>
        <w:t xml:space="preserve">Risk Assessment </w:t>
      </w:r>
    </w:p>
    <w:p>
      <w:pPr>
        <w:pStyle w:val="TextBody"/>
        <w:bidi w:val="0"/>
        <w:spacing w:before="60" w:after="0"/>
        <w:jc w:val="left"/>
        <w:rPr>
          <w:rFonts w:ascii="arial" w:hAnsi="arial"/>
          <w:sz w:val="18"/>
        </w:rPr>
      </w:pPr>
      <w:r>
        <w:rPr>
          <w:rFonts w:ascii="arial" w:hAnsi="arial"/>
          <w:sz w:val="18"/>
        </w:rPr>
        <w:t xml:space="preserve">The Company has determined that any risks arising from its compensation programs and policies are not reasonably likely to have a material adverse effect on the Company. VS&amp;Co’s compensation programs and policies mitigate risk by combining performance-based, long-term compensation elements with payouts that are highly correlated to the value delivered to stockholders. The combination of performance measures for short-term incentive payouts and the equity compensation </w:t>
      </w:r>
    </w:p>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13"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02" descr=""/>
                          <pic:cNvPicPr>
                            <a:picLocks noChangeAspect="1" noChangeArrowheads="1"/>
                          </pic:cNvPicPr>
                        </pic:nvPicPr>
                        <pic:blipFill>
                          <a:blip r:embed="rId103"/>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58 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COMPENSATION DISCUSSION AND ANALYSIS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programs, share ownership guidelines for named executive officers, as well as the multiyear vesting schedules for equity awards encourage employees to maintain both a short-and long-term view with respect to Company performance. </w:t>
      </w:r>
    </w:p>
    <w:p>
      <w:pPr>
        <w:pStyle w:val="TextBody"/>
        <w:bidi w:val="0"/>
        <w:spacing w:before="360" w:after="0"/>
        <w:jc w:val="left"/>
        <w:rPr>
          <w:rFonts w:ascii="arial" w:hAnsi="arial"/>
          <w:sz w:val="30"/>
        </w:rPr>
      </w:pPr>
      <w:bookmarkStart w:id="23" w:name="toc540996_21a"/>
      <w:bookmarkEnd w:id="23"/>
      <w:r>
        <w:rPr>
          <w:rFonts w:ascii="arial" w:hAnsi="arial"/>
          <w:sz w:val="30"/>
        </w:rPr>
        <w:t xml:space="preserve">Compensation Committee Report </w:t>
      </w:r>
    </w:p>
    <w:p>
      <w:pPr>
        <w:pStyle w:val="TextBody"/>
        <w:bidi w:val="0"/>
        <w:spacing w:before="120" w:after="0"/>
        <w:jc w:val="left"/>
        <w:rPr>
          <w:rFonts w:ascii="arial" w:hAnsi="arial"/>
          <w:sz w:val="18"/>
        </w:rPr>
      </w:pPr>
      <w:r>
        <w:rPr>
          <w:rFonts w:ascii="arial" w:hAnsi="arial"/>
          <w:sz w:val="18"/>
        </w:rPr>
        <w:t xml:space="preserve">The Human Capital and Compensation Committee of the Board of Directors is composed of five directors who are independent, as defined under the NYSE listing standards. Additionally, each member of the Human Capital and Compensation Committee is a “non-employee director” within the meaning of Section 16b-3 under the Securities Exchange Act of 1934, as amended. </w:t>
      </w:r>
    </w:p>
    <w:p>
      <w:pPr>
        <w:pStyle w:val="TextBody"/>
        <w:bidi w:val="0"/>
        <w:spacing w:before="120" w:after="0"/>
        <w:jc w:val="left"/>
        <w:rPr>
          <w:rFonts w:ascii="arial" w:hAnsi="arial"/>
          <w:sz w:val="18"/>
        </w:rPr>
      </w:pPr>
      <w:r>
        <w:rPr>
          <w:rFonts w:ascii="arial" w:hAnsi="arial"/>
          <w:sz w:val="18"/>
        </w:rPr>
        <w:t xml:space="preserve">The Human Capital and Compensation Committee has reviewed and discussed the CD&amp;A with management. Based on that review and discussion, the Human Capital and Compensation Committee recommended to the Board that the CD&amp;A be included in this Proxy Statement and in the Annual Report on Form 10-K for the fiscal year ended February 3, 2024. </w:t>
      </w:r>
    </w:p>
    <w:p>
      <w:pPr>
        <w:pStyle w:val="TextBody"/>
        <w:bidi w:val="0"/>
        <w:spacing w:before="240" w:after="0"/>
        <w:jc w:val="left"/>
        <w:rPr>
          <w:rFonts w:ascii="arial" w:hAnsi="arial"/>
          <w:sz w:val="18"/>
        </w:rPr>
      </w:pPr>
      <w:r>
        <w:rPr>
          <w:rFonts w:ascii="arial" w:hAnsi="arial"/>
          <w:sz w:val="18"/>
        </w:rPr>
        <w:t xml:space="preserve">Human Capital and Compensation Committee </w:t>
      </w:r>
    </w:p>
    <w:p>
      <w:pPr>
        <w:pStyle w:val="TextBody"/>
        <w:bidi w:val="0"/>
        <w:spacing w:before="120" w:after="0"/>
        <w:jc w:val="left"/>
        <w:rPr>
          <w:rFonts w:ascii="arial" w:hAnsi="arial"/>
          <w:sz w:val="18"/>
        </w:rPr>
      </w:pPr>
      <w:r>
        <w:rPr>
          <w:rFonts w:ascii="arial" w:hAnsi="arial"/>
          <w:sz w:val="18"/>
        </w:rPr>
        <w:t xml:space="preserve">Irene Chang Britt, Chair </w:t>
      </w:r>
    </w:p>
    <w:p>
      <w:pPr>
        <w:pStyle w:val="TextBody"/>
        <w:bidi w:val="0"/>
        <w:spacing w:before="0" w:after="0"/>
        <w:jc w:val="left"/>
        <w:rPr>
          <w:rFonts w:ascii="arial" w:hAnsi="arial"/>
          <w:sz w:val="18"/>
        </w:rPr>
      </w:pPr>
      <w:r>
        <w:rPr>
          <w:rFonts w:ascii="arial" w:hAnsi="arial"/>
          <w:sz w:val="18"/>
        </w:rPr>
        <w:t xml:space="preserve">Jacqueline Hernández </w:t>
      </w:r>
    </w:p>
    <w:p>
      <w:pPr>
        <w:pStyle w:val="TextBody"/>
        <w:bidi w:val="0"/>
        <w:spacing w:before="0" w:after="0"/>
        <w:jc w:val="left"/>
        <w:rPr>
          <w:rFonts w:ascii="arial" w:hAnsi="arial"/>
          <w:sz w:val="18"/>
        </w:rPr>
      </w:pPr>
      <w:r>
        <w:rPr>
          <w:rFonts w:ascii="arial" w:hAnsi="arial"/>
          <w:sz w:val="18"/>
        </w:rPr>
        <w:t xml:space="preserve">Rod Little </w:t>
      </w:r>
    </w:p>
    <w:p>
      <w:pPr>
        <w:pStyle w:val="TextBody"/>
        <w:bidi w:val="0"/>
        <w:spacing w:before="0" w:after="0"/>
        <w:jc w:val="left"/>
        <w:rPr>
          <w:rFonts w:ascii="arial" w:hAnsi="arial"/>
          <w:sz w:val="18"/>
        </w:rPr>
      </w:pPr>
      <w:r>
        <w:rPr>
          <w:rFonts w:ascii="arial" w:hAnsi="arial"/>
          <w:sz w:val="18"/>
        </w:rPr>
        <w:t xml:space="preserve">Lauren Peters </w:t>
      </w:r>
    </w:p>
    <w:p>
      <w:pPr>
        <w:pStyle w:val="TextBody"/>
        <w:bidi w:val="0"/>
        <w:spacing w:before="0" w:after="0"/>
        <w:jc w:val="left"/>
        <w:rPr>
          <w:rFonts w:ascii="arial" w:hAnsi="arial"/>
          <w:sz w:val="18"/>
        </w:rPr>
      </w:pPr>
      <w:r>
        <w:rPr>
          <w:rFonts w:ascii="arial" w:hAnsi="arial"/>
          <w:sz w:val="18"/>
        </w:rPr>
        <w:t xml:space="preserve">Anne Sheehan </w:t>
      </w:r>
    </w:p>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14"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03" descr=""/>
                          <pic:cNvPicPr>
                            <a:picLocks noChangeAspect="1" noChangeArrowheads="1"/>
                          </pic:cNvPicPr>
                        </pic:nvPicPr>
                        <pic:blipFill>
                          <a:blip r:embed="rId104"/>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59 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COMPENSATION DISCUSSION AND ANALYSIS </w:t>
      </w:r>
    </w:p>
    <w:p>
      <w:pPr>
        <w:pStyle w:val="TextBody"/>
        <w:bidi w:val="0"/>
        <w:spacing w:before="0" w:after="0"/>
        <w:jc w:val="left"/>
        <w:rPr/>
      </w:pPr>
      <w:r>
        <w:rPr/>
        <w:t> </w:t>
      </w:r>
    </w:p>
    <w:p>
      <w:pPr>
        <w:pStyle w:val="TextBody"/>
        <w:bidi w:val="0"/>
        <w:spacing w:before="0" w:after="0"/>
        <w:jc w:val="left"/>
        <w:rPr>
          <w:rFonts w:ascii="arial" w:hAnsi="arial"/>
          <w:sz w:val="30"/>
        </w:rPr>
      </w:pPr>
      <w:bookmarkStart w:id="24" w:name="toc540996_18"/>
      <w:bookmarkEnd w:id="24"/>
      <w:r>
        <w:rPr>
          <w:rFonts w:ascii="arial" w:hAnsi="arial"/>
          <w:sz w:val="30"/>
        </w:rPr>
        <w:t xml:space="preserve">Executive Compensation Tables </w:t>
      </w:r>
    </w:p>
    <w:p>
      <w:pPr>
        <w:pStyle w:val="TextBody"/>
        <w:bidi w:val="0"/>
        <w:spacing w:before="240" w:after="0"/>
        <w:jc w:val="left"/>
        <w:rPr>
          <w:rFonts w:ascii="arial" w:hAnsi="arial"/>
          <w:b/>
          <w:color w:val="F7ACBA"/>
          <w:sz w:val="24"/>
        </w:rPr>
      </w:pPr>
      <w:r>
        <w:rPr>
          <w:rFonts w:ascii="arial" w:hAnsi="arial"/>
          <w:b/>
          <w:color w:val="F7ACBA"/>
          <w:sz w:val="24"/>
        </w:rPr>
        <w:t xml:space="preserve">2023 Summary Compensation Table </w:t>
      </w:r>
    </w:p>
    <w:p>
      <w:pPr>
        <w:pStyle w:val="TextBody"/>
        <w:bidi w:val="0"/>
        <w:spacing w:before="120" w:after="0"/>
        <w:jc w:val="left"/>
        <w:rPr>
          <w:rFonts w:ascii="arial" w:hAnsi="arial"/>
          <w:sz w:val="18"/>
        </w:rPr>
      </w:pPr>
      <w:r>
        <w:rPr>
          <w:rFonts w:ascii="arial" w:hAnsi="arial"/>
          <w:sz w:val="18"/>
        </w:rPr>
        <w:t xml:space="preserve">The following table sets forth information concerning total compensation earned by or paid to our NEOs for the fiscal year ended February 3, 2024. </w:t>
      </w:r>
    </w:p>
    <w:p>
      <w:pPr>
        <w:pStyle w:val="TextBody"/>
        <w:bidi w:val="0"/>
        <w:spacing w:before="0" w:after="0"/>
        <w:jc w:val="left"/>
        <w:rPr/>
      </w:pPr>
      <w:r>
        <w:rPr/>
        <w:t> </w:t>
      </w:r>
    </w:p>
    <w:tbl>
      <w:tblPr>
        <w:tblW w:w="11175" w:type="dxa"/>
        <w:jc w:val="left"/>
        <w:tblInd w:w="0" w:type="dxa"/>
        <w:tblLayout w:type="fixed"/>
        <w:tblCellMar>
          <w:top w:w="0" w:type="dxa"/>
          <w:left w:w="0" w:type="dxa"/>
          <w:bottom w:w="0" w:type="dxa"/>
          <w:right w:w="0" w:type="dxa"/>
        </w:tblCellMar>
      </w:tblPr>
      <w:tblGrid>
        <w:gridCol w:w="1520"/>
        <w:gridCol w:w="60"/>
        <w:gridCol w:w="60"/>
        <w:gridCol w:w="500"/>
        <w:gridCol w:w="60"/>
        <w:gridCol w:w="60"/>
        <w:gridCol w:w="60"/>
        <w:gridCol w:w="980"/>
        <w:gridCol w:w="60"/>
        <w:gridCol w:w="60"/>
        <w:gridCol w:w="60"/>
        <w:gridCol w:w="980"/>
        <w:gridCol w:w="60"/>
        <w:gridCol w:w="60"/>
        <w:gridCol w:w="60"/>
        <w:gridCol w:w="980"/>
        <w:gridCol w:w="60"/>
        <w:gridCol w:w="60"/>
        <w:gridCol w:w="60"/>
        <w:gridCol w:w="800"/>
        <w:gridCol w:w="60"/>
        <w:gridCol w:w="60"/>
        <w:gridCol w:w="85"/>
        <w:gridCol w:w="1405"/>
        <w:gridCol w:w="60"/>
        <w:gridCol w:w="60"/>
        <w:gridCol w:w="103"/>
        <w:gridCol w:w="1387"/>
        <w:gridCol w:w="60"/>
        <w:gridCol w:w="60"/>
        <w:gridCol w:w="60"/>
        <w:gridCol w:w="1100"/>
        <w:gridCol w:w="75"/>
      </w:tblGrid>
      <w:tr>
        <w:trPr/>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20" w:type="dxa"/>
            <w:tcBorders/>
            <w:shd w:fill="FDEEF1" w:val="clear"/>
            <w:vAlign w:val="center"/>
          </w:tcPr>
          <w:p>
            <w:pPr>
              <w:pStyle w:val="TableContents"/>
              <w:bidi w:val="0"/>
              <w:spacing w:before="0" w:after="283"/>
              <w:jc w:val="left"/>
              <w:rPr>
                <w:sz w:val="4"/>
                <w:szCs w:val="4"/>
              </w:rPr>
            </w:pPr>
            <w:r>
              <w:rPr>
                <w:sz w:val="4"/>
                <w:szCs w:val="4"/>
              </w:rPr>
            </w:r>
          </w:p>
        </w:tc>
        <w:tc>
          <w:tcPr>
            <w:tcW w:w="680" w:type="dxa"/>
            <w:gridSpan w:val="4"/>
            <w:tcBorders/>
            <w:shd w:fill="FDEEF1" w:val="clear"/>
            <w:vAlign w:val="center"/>
          </w:tcPr>
          <w:p>
            <w:pPr>
              <w:pStyle w:val="TableContents"/>
              <w:bidi w:val="0"/>
              <w:spacing w:before="0" w:after="283"/>
              <w:jc w:val="left"/>
              <w:rPr>
                <w:sz w:val="4"/>
                <w:szCs w:val="4"/>
              </w:rPr>
            </w:pPr>
            <w:r>
              <w:rPr>
                <w:sz w:val="4"/>
                <w:szCs w:val="4"/>
              </w:rPr>
            </w:r>
          </w:p>
        </w:tc>
        <w:tc>
          <w:tcPr>
            <w:tcW w:w="1160" w:type="dxa"/>
            <w:gridSpan w:val="4"/>
            <w:tcBorders/>
            <w:shd w:fill="FDEEF1" w:val="clear"/>
            <w:vAlign w:val="center"/>
          </w:tcPr>
          <w:p>
            <w:pPr>
              <w:pStyle w:val="TableContents"/>
              <w:bidi w:val="0"/>
              <w:spacing w:before="0" w:after="283"/>
              <w:jc w:val="left"/>
              <w:rPr>
                <w:sz w:val="4"/>
                <w:szCs w:val="4"/>
              </w:rPr>
            </w:pPr>
            <w:r>
              <w:rPr>
                <w:sz w:val="4"/>
                <w:szCs w:val="4"/>
              </w:rPr>
            </w:r>
          </w:p>
        </w:tc>
        <w:tc>
          <w:tcPr>
            <w:tcW w:w="1160" w:type="dxa"/>
            <w:gridSpan w:val="4"/>
            <w:tcBorders/>
            <w:shd w:fill="FDEEF1" w:val="clear"/>
            <w:vAlign w:val="center"/>
          </w:tcPr>
          <w:p>
            <w:pPr>
              <w:pStyle w:val="TableContents"/>
              <w:bidi w:val="0"/>
              <w:spacing w:before="0" w:after="283"/>
              <w:jc w:val="left"/>
              <w:rPr>
                <w:sz w:val="4"/>
                <w:szCs w:val="4"/>
              </w:rPr>
            </w:pPr>
            <w:r>
              <w:rPr>
                <w:sz w:val="4"/>
                <w:szCs w:val="4"/>
              </w:rPr>
            </w:r>
          </w:p>
        </w:tc>
        <w:tc>
          <w:tcPr>
            <w:tcW w:w="1160" w:type="dxa"/>
            <w:gridSpan w:val="4"/>
            <w:tcBorders/>
            <w:shd w:fill="FDEEF1" w:val="clear"/>
            <w:vAlign w:val="center"/>
          </w:tcPr>
          <w:p>
            <w:pPr>
              <w:pStyle w:val="TableContents"/>
              <w:bidi w:val="0"/>
              <w:spacing w:before="0" w:after="283"/>
              <w:jc w:val="left"/>
              <w:rPr>
                <w:sz w:val="4"/>
                <w:szCs w:val="4"/>
              </w:rPr>
            </w:pPr>
            <w:r>
              <w:rPr>
                <w:sz w:val="4"/>
                <w:szCs w:val="4"/>
              </w:rPr>
            </w:r>
          </w:p>
        </w:tc>
        <w:tc>
          <w:tcPr>
            <w:tcW w:w="980" w:type="dxa"/>
            <w:gridSpan w:val="4"/>
            <w:tcBorders/>
            <w:shd w:fill="FDEEF1" w:val="clear"/>
            <w:vAlign w:val="center"/>
          </w:tcPr>
          <w:p>
            <w:pPr>
              <w:pStyle w:val="TableContents"/>
              <w:bidi w:val="0"/>
              <w:spacing w:before="0" w:after="283"/>
              <w:jc w:val="left"/>
              <w:rPr>
                <w:sz w:val="4"/>
                <w:szCs w:val="4"/>
              </w:rPr>
            </w:pPr>
            <w:r>
              <w:rPr>
                <w:sz w:val="4"/>
                <w:szCs w:val="4"/>
              </w:rPr>
            </w:r>
          </w:p>
        </w:tc>
        <w:tc>
          <w:tcPr>
            <w:tcW w:w="1610" w:type="dxa"/>
            <w:gridSpan w:val="4"/>
            <w:tcBorders/>
            <w:shd w:fill="FDEEF1" w:val="clear"/>
            <w:vAlign w:val="center"/>
          </w:tcPr>
          <w:p>
            <w:pPr>
              <w:pStyle w:val="TableContents"/>
              <w:bidi w:val="0"/>
              <w:spacing w:before="0" w:after="283"/>
              <w:jc w:val="left"/>
              <w:rPr>
                <w:sz w:val="4"/>
                <w:szCs w:val="4"/>
              </w:rPr>
            </w:pPr>
            <w:r>
              <w:rPr>
                <w:sz w:val="4"/>
                <w:szCs w:val="4"/>
              </w:rPr>
            </w:r>
          </w:p>
        </w:tc>
        <w:tc>
          <w:tcPr>
            <w:tcW w:w="1610" w:type="dxa"/>
            <w:gridSpan w:val="4"/>
            <w:tcBorders/>
            <w:shd w:fill="FDEEF1" w:val="clear"/>
            <w:vAlign w:val="center"/>
          </w:tcPr>
          <w:p>
            <w:pPr>
              <w:pStyle w:val="TableContents"/>
              <w:bidi w:val="0"/>
              <w:spacing w:before="0" w:after="283"/>
              <w:jc w:val="left"/>
              <w:rPr>
                <w:sz w:val="4"/>
                <w:szCs w:val="4"/>
              </w:rPr>
            </w:pPr>
            <w:r>
              <w:rPr>
                <w:sz w:val="4"/>
                <w:szCs w:val="4"/>
              </w:rPr>
            </w:r>
          </w:p>
        </w:tc>
        <w:tc>
          <w:tcPr>
            <w:tcW w:w="1295" w:type="dxa"/>
            <w:gridSpan w:val="4"/>
            <w:tcBorders/>
            <w:shd w:fill="FDEEF1" w:val="clear"/>
            <w:vAlign w:val="center"/>
          </w:tcPr>
          <w:p>
            <w:pPr>
              <w:pStyle w:val="TableContents"/>
              <w:bidi w:val="0"/>
              <w:spacing w:before="0" w:after="283"/>
              <w:jc w:val="left"/>
              <w:rPr>
                <w:sz w:val="4"/>
                <w:szCs w:val="4"/>
              </w:rPr>
            </w:pPr>
            <w:r>
              <w:rPr>
                <w:sz w:val="4"/>
                <w:szCs w:val="4"/>
              </w:rPr>
            </w:r>
          </w:p>
        </w:tc>
      </w:tr>
      <w:tr>
        <w:trPr/>
        <w:tc>
          <w:tcPr>
            <w:tcW w:w="1520" w:type="dxa"/>
            <w:tcBorders/>
            <w:shd w:fill="FDEEF1" w:val="clear"/>
            <w:vAlign w:val="center"/>
          </w:tcPr>
          <w:p>
            <w:pPr>
              <w:pStyle w:val="TableContents"/>
              <w:bidi w:val="0"/>
              <w:spacing w:before="0" w:after="0"/>
              <w:jc w:val="left"/>
              <w:rPr>
                <w:rFonts w:ascii="arial" w:hAnsi="arial"/>
                <w:b/>
                <w:sz w:val="16"/>
              </w:rPr>
            </w:pPr>
            <w:r>
              <w:rPr>
                <w:rFonts w:ascii="arial" w:hAnsi="arial"/>
                <w:b/>
                <w:sz w:val="16"/>
              </w:rPr>
              <w:t>Name and</w:t>
              <w:br/>
              <w:t> Principal Position</w:t>
            </w:r>
          </w:p>
        </w:tc>
        <w:tc>
          <w:tcPr>
            <w:tcW w:w="60" w:type="dxa"/>
            <w:tcBorders/>
            <w:shd w:fill="FDEEF1" w:val="clear"/>
            <w:vAlign w:val="center"/>
          </w:tcPr>
          <w:p>
            <w:pPr>
              <w:pStyle w:val="TableContents"/>
              <w:bidi w:val="0"/>
              <w:spacing w:before="0" w:after="283"/>
              <w:jc w:val="left"/>
              <w:rPr/>
            </w:pPr>
            <w:r>
              <w:rPr/>
              <w:t> </w:t>
            </w:r>
          </w:p>
        </w:tc>
        <w:tc>
          <w:tcPr>
            <w:tcW w:w="560" w:type="dxa"/>
            <w:gridSpan w:val="2"/>
            <w:tcBorders/>
            <w:shd w:fill="FDEEF1" w:val="clear"/>
            <w:vAlign w:val="center"/>
          </w:tcPr>
          <w:p>
            <w:pPr>
              <w:pStyle w:val="TableContents"/>
              <w:bidi w:val="0"/>
              <w:spacing w:before="0" w:after="283"/>
              <w:jc w:val="center"/>
              <w:rPr>
                <w:b/>
              </w:rPr>
            </w:pPr>
            <w:r>
              <w:rPr>
                <w:b/>
              </w:rPr>
              <w:t>Year</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040" w:type="dxa"/>
            <w:gridSpan w:val="2"/>
            <w:tcBorders/>
            <w:shd w:fill="FDEEF1" w:val="clear"/>
            <w:vAlign w:val="center"/>
          </w:tcPr>
          <w:p>
            <w:pPr>
              <w:pStyle w:val="TableContents"/>
              <w:bidi w:val="0"/>
              <w:spacing w:before="0" w:after="0"/>
              <w:jc w:val="center"/>
              <w:rPr>
                <w:rFonts w:ascii="arial" w:hAnsi="arial"/>
                <w:b/>
                <w:sz w:val="16"/>
              </w:rPr>
            </w:pPr>
            <w:r>
              <w:rPr>
                <w:rFonts w:ascii="arial" w:hAnsi="arial"/>
                <w:b/>
                <w:sz w:val="16"/>
              </w:rPr>
              <w:t>Salary</w:t>
            </w:r>
          </w:p>
          <w:p>
            <w:pPr>
              <w:pStyle w:val="TableContents"/>
              <w:bidi w:val="0"/>
              <w:spacing w:before="0" w:after="20"/>
              <w:jc w:val="center"/>
              <w:rPr>
                <w:rFonts w:ascii="arial" w:hAnsi="arial"/>
                <w:b/>
                <w:sz w:val="16"/>
              </w:rPr>
            </w:pPr>
            <w:r>
              <w:rPr>
                <w:rFonts w:ascii="arial" w:hAnsi="arial"/>
                <w:b/>
                <w:sz w:val="16"/>
              </w:rPr>
              <w:t>($)</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040" w:type="dxa"/>
            <w:gridSpan w:val="2"/>
            <w:tcBorders/>
            <w:shd w:fill="FDEEF1" w:val="clear"/>
            <w:vAlign w:val="center"/>
          </w:tcPr>
          <w:p>
            <w:pPr>
              <w:pStyle w:val="TableContents"/>
              <w:bidi w:val="0"/>
              <w:spacing w:before="0" w:after="283"/>
              <w:jc w:val="center"/>
              <w:rPr>
                <w:b/>
              </w:rPr>
            </w:pPr>
            <w:r>
              <w:rPr>
                <w:b/>
              </w:rPr>
              <w:t>Bonus</w:t>
              <w:br/>
              <w:t>($)(1)</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040" w:type="dxa"/>
            <w:gridSpan w:val="2"/>
            <w:tcBorders/>
            <w:shd w:fill="FDEEF1" w:val="clear"/>
            <w:vAlign w:val="center"/>
          </w:tcPr>
          <w:p>
            <w:pPr>
              <w:pStyle w:val="TableContents"/>
              <w:bidi w:val="0"/>
              <w:spacing w:before="0" w:after="283"/>
              <w:jc w:val="center"/>
              <w:rPr>
                <w:b/>
              </w:rPr>
            </w:pPr>
            <w:r>
              <w:rPr>
                <w:b/>
              </w:rPr>
              <w:t>Stock</w:t>
              <w:br/>
              <w:t>Awards</w:t>
              <w:br/>
              <w:t>($)(2)</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860" w:type="dxa"/>
            <w:gridSpan w:val="2"/>
            <w:tcBorders/>
            <w:shd w:fill="FDEEF1" w:val="clear"/>
            <w:vAlign w:val="center"/>
          </w:tcPr>
          <w:p>
            <w:pPr>
              <w:pStyle w:val="TableContents"/>
              <w:bidi w:val="0"/>
              <w:spacing w:before="0" w:after="283"/>
              <w:jc w:val="center"/>
              <w:rPr>
                <w:b/>
              </w:rPr>
            </w:pPr>
            <w:r>
              <w:rPr>
                <w:b/>
              </w:rPr>
              <w:t>Option</w:t>
              <w:br/>
              <w:t>Awards</w:t>
              <w:br/>
              <w:t>($)(3)</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490" w:type="dxa"/>
            <w:gridSpan w:val="2"/>
            <w:tcBorders/>
            <w:shd w:fill="FDEEF1" w:val="clear"/>
            <w:vAlign w:val="center"/>
          </w:tcPr>
          <w:p>
            <w:pPr>
              <w:pStyle w:val="TableContents"/>
              <w:bidi w:val="0"/>
              <w:spacing w:before="0" w:after="283"/>
              <w:jc w:val="center"/>
              <w:rPr>
                <w:b/>
              </w:rPr>
            </w:pPr>
            <w:r>
              <w:rPr>
                <w:b/>
              </w:rPr>
              <w:t>Non-Equity</w:t>
              <w:br/>
              <w:t>Incentive Plan</w:t>
              <w:br/>
              <w:t>Compensation</w:t>
              <w:br/>
              <w:t>($)(4)</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490" w:type="dxa"/>
            <w:gridSpan w:val="2"/>
            <w:tcBorders/>
            <w:shd w:fill="FDEEF1" w:val="clear"/>
            <w:vAlign w:val="center"/>
          </w:tcPr>
          <w:p>
            <w:pPr>
              <w:pStyle w:val="TableContents"/>
              <w:bidi w:val="0"/>
              <w:spacing w:before="0" w:after="283"/>
              <w:jc w:val="center"/>
              <w:rPr>
                <w:b/>
              </w:rPr>
            </w:pPr>
            <w:r>
              <w:rPr>
                <w:b/>
              </w:rPr>
              <w:t>All Other</w:t>
              <w:br/>
              <w:t>Compensation</w:t>
              <w:br/>
              <w:t>($)(5)</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160" w:type="dxa"/>
            <w:gridSpan w:val="2"/>
            <w:tcBorders/>
            <w:shd w:fill="FDEEF1" w:val="clear"/>
            <w:vAlign w:val="center"/>
          </w:tcPr>
          <w:p>
            <w:pPr>
              <w:pStyle w:val="TableContents"/>
              <w:bidi w:val="0"/>
              <w:spacing w:before="0" w:after="0"/>
              <w:jc w:val="center"/>
              <w:rPr>
                <w:rFonts w:ascii="arial" w:hAnsi="arial"/>
                <w:b/>
                <w:sz w:val="16"/>
              </w:rPr>
            </w:pPr>
            <w:r>
              <w:rPr>
                <w:rFonts w:ascii="arial" w:hAnsi="arial"/>
                <w:b/>
                <w:sz w:val="16"/>
              </w:rPr>
              <w:t>Total</w:t>
            </w:r>
          </w:p>
          <w:p>
            <w:pPr>
              <w:pStyle w:val="TableContents"/>
              <w:bidi w:val="0"/>
              <w:spacing w:before="0" w:after="20"/>
              <w:jc w:val="center"/>
              <w:rPr>
                <w:rFonts w:ascii="arial" w:hAnsi="arial"/>
                <w:b/>
                <w:sz w:val="16"/>
              </w:rPr>
            </w:pPr>
            <w:r>
              <w:rPr>
                <w:rFonts w:ascii="arial" w:hAnsi="arial"/>
                <w:b/>
                <w:sz w:val="16"/>
              </w:rPr>
              <w:t>($)</w:t>
            </w:r>
          </w:p>
        </w:tc>
        <w:tc>
          <w:tcPr>
            <w:tcW w:w="75" w:type="dxa"/>
            <w:tcBorders/>
            <w:shd w:fill="FDEEF1"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1520" w:type="dxa"/>
            <w:vMerge w:val="restart"/>
            <w:tcBorders>
              <w:bottom w:val="single" w:sz="8" w:space="0" w:color="F7ACBA"/>
            </w:tcBorders>
            <w:tcMar>
              <w:bottom w:w="60" w:type="dxa"/>
            </w:tcMar>
            <w:vAlign w:val="center"/>
          </w:tcPr>
          <w:p>
            <w:pPr>
              <w:pStyle w:val="TableContents"/>
              <w:bidi w:val="0"/>
              <w:spacing w:before="0" w:after="0"/>
              <w:jc w:val="left"/>
              <w:rPr>
                <w:rFonts w:ascii="arial" w:hAnsi="arial"/>
                <w:b/>
                <w:sz w:val="18"/>
              </w:rPr>
            </w:pPr>
            <w:r>
              <w:rPr>
                <w:rFonts w:ascii="arial" w:hAnsi="arial"/>
                <w:b/>
                <w:sz w:val="18"/>
              </w:rPr>
              <w:t>Martin Waters</w:t>
            </w:r>
          </w:p>
          <w:p>
            <w:pPr>
              <w:pStyle w:val="TableContents"/>
              <w:bidi w:val="0"/>
              <w:spacing w:before="0" w:after="0"/>
              <w:jc w:val="left"/>
              <w:rPr>
                <w:rFonts w:ascii="arial" w:hAnsi="arial"/>
                <w:sz w:val="16"/>
              </w:rPr>
            </w:pPr>
            <w:r>
              <w:rPr>
                <w:rFonts w:ascii="arial" w:hAnsi="arial"/>
                <w:sz w:val="16"/>
              </w:rPr>
              <w:t>Chief Executive</w:t>
            </w:r>
          </w:p>
          <w:p>
            <w:pPr>
              <w:pStyle w:val="TableContents"/>
              <w:bidi w:val="0"/>
              <w:spacing w:before="0" w:after="20"/>
              <w:jc w:val="left"/>
              <w:rPr>
                <w:rFonts w:ascii="arial" w:hAnsi="arial"/>
                <w:sz w:val="16"/>
              </w:rPr>
            </w:pPr>
            <w:r>
              <w:rPr>
                <w:rFonts w:ascii="arial" w:hAnsi="arial"/>
                <w:sz w:val="16"/>
              </w:rPr>
              <w:t>Officer</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500" w:type="dxa"/>
            <w:tcBorders>
              <w:bottom w:val="single" w:sz="6" w:space="0" w:color="FBDDE3"/>
            </w:tcBorders>
            <w:tcMar>
              <w:bottom w:w="60" w:type="dxa"/>
            </w:tcMar>
            <w:vAlign w:val="center"/>
          </w:tcPr>
          <w:p>
            <w:pPr>
              <w:pStyle w:val="TableContents"/>
              <w:bidi w:val="0"/>
              <w:spacing w:before="0" w:after="283"/>
              <w:jc w:val="right"/>
              <w:rPr/>
            </w:pPr>
            <w:r>
              <w:rPr/>
              <w:t>2023</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1,250,000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8,851,198</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5" w:type="dxa"/>
            <w:tcBorders>
              <w:bottom w:val="single" w:sz="6" w:space="0" w:color="FBDDE3"/>
            </w:tcBorders>
            <w:tcMar>
              <w:bottom w:w="60" w:type="dxa"/>
            </w:tcMar>
            <w:vAlign w:val="center"/>
          </w:tcPr>
          <w:p>
            <w:pPr>
              <w:pStyle w:val="TableContents"/>
              <w:bidi w:val="0"/>
              <w:spacing w:before="0" w:after="283"/>
              <w:jc w:val="left"/>
              <w:rPr/>
            </w:pPr>
            <w:r>
              <w:rPr/>
              <w:t> </w:t>
            </w:r>
          </w:p>
        </w:tc>
        <w:tc>
          <w:tcPr>
            <w:tcW w:w="1405" w:type="dxa"/>
            <w:tcBorders>
              <w:bottom w:val="single" w:sz="6" w:space="0" w:color="FBDDE3"/>
            </w:tcBorders>
            <w:tcMar>
              <w:bottom w:w="60" w:type="dxa"/>
            </w:tcMar>
            <w:vAlign w:val="center"/>
          </w:tcPr>
          <w:p>
            <w:pPr>
              <w:pStyle w:val="TableContents"/>
              <w:bidi w:val="0"/>
              <w:spacing w:before="0" w:after="283"/>
              <w:jc w:val="right"/>
              <w:rPr/>
            </w:pPr>
            <w:r>
              <w:rPr/>
              <w:t>788,738</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03" w:type="dxa"/>
            <w:tcBorders>
              <w:bottom w:val="single" w:sz="6" w:space="0" w:color="FBDDE3"/>
            </w:tcBorders>
            <w:tcMar>
              <w:bottom w:w="60" w:type="dxa"/>
            </w:tcMar>
            <w:vAlign w:val="center"/>
          </w:tcPr>
          <w:p>
            <w:pPr>
              <w:pStyle w:val="TableContents"/>
              <w:bidi w:val="0"/>
              <w:spacing w:before="0" w:after="283"/>
              <w:jc w:val="left"/>
              <w:rPr/>
            </w:pPr>
            <w:r>
              <w:rPr/>
              <w:t> </w:t>
            </w:r>
          </w:p>
        </w:tc>
        <w:tc>
          <w:tcPr>
            <w:tcW w:w="1387" w:type="dxa"/>
            <w:tcBorders>
              <w:bottom w:val="single" w:sz="6" w:space="0" w:color="FBDDE3"/>
            </w:tcBorders>
            <w:tcMar>
              <w:bottom w:w="60" w:type="dxa"/>
            </w:tcMar>
            <w:vAlign w:val="center"/>
          </w:tcPr>
          <w:p>
            <w:pPr>
              <w:pStyle w:val="TableContents"/>
              <w:bidi w:val="0"/>
              <w:spacing w:before="0" w:after="283"/>
              <w:jc w:val="right"/>
              <w:rPr/>
            </w:pPr>
            <w:r>
              <w:rPr/>
              <w:t>35,315</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b/>
              </w:rPr>
            </w:pPr>
            <w:r>
              <w:rPr>
                <w:b/>
              </w:rPr>
              <w:t>10,925,251</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520" w:type="dxa"/>
            <w:vMerge w:val="continue"/>
            <w:tcBorders>
              <w:bottom w:val="single" w:sz="8" w:space="0" w:color="F7ACBA"/>
            </w:tcBorders>
            <w:tcMar>
              <w:bottom w:w="60" w:type="dxa"/>
            </w:tcMar>
            <w:vAlign w:val="center"/>
          </w:tcPr>
          <w:p>
            <w:pPr>
              <w:pStyle w:val="Normal"/>
              <w:bidi w:val="0"/>
              <w:jc w:val="left"/>
              <w:rPr/>
            </w:pPr>
            <w:r>
              <w:rPr/>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500" w:type="dxa"/>
            <w:tcBorders>
              <w:bottom w:val="single" w:sz="6" w:space="0" w:color="FBDDE3"/>
            </w:tcBorders>
            <w:tcMar>
              <w:bottom w:w="60" w:type="dxa"/>
            </w:tcMar>
            <w:vAlign w:val="center"/>
          </w:tcPr>
          <w:p>
            <w:pPr>
              <w:pStyle w:val="TableContents"/>
              <w:bidi w:val="0"/>
              <w:spacing w:before="0" w:after="283"/>
              <w:jc w:val="right"/>
              <w:rPr/>
            </w:pPr>
            <w:r>
              <w:rPr/>
              <w:t>2022</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1,250,000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1,000,000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9,450,415</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5" w:type="dxa"/>
            <w:tcBorders>
              <w:bottom w:val="single" w:sz="6" w:space="0" w:color="FBDDE3"/>
            </w:tcBorders>
            <w:tcMar>
              <w:bottom w:w="60" w:type="dxa"/>
            </w:tcMar>
            <w:vAlign w:val="center"/>
          </w:tcPr>
          <w:p>
            <w:pPr>
              <w:pStyle w:val="TableContents"/>
              <w:bidi w:val="0"/>
              <w:spacing w:before="0" w:after="283"/>
              <w:jc w:val="left"/>
              <w:rPr/>
            </w:pPr>
            <w:r>
              <w:rPr/>
              <w:t> </w:t>
            </w:r>
          </w:p>
        </w:tc>
        <w:tc>
          <w:tcPr>
            <w:tcW w:w="1405" w:type="dxa"/>
            <w:tcBorders>
              <w:bottom w:val="single" w:sz="6" w:space="0" w:color="FBDDE3"/>
            </w:tcBorders>
            <w:tcMar>
              <w:bottom w:w="60" w:type="dxa"/>
            </w:tcMar>
            <w:vAlign w:val="center"/>
          </w:tcPr>
          <w:p>
            <w:pPr>
              <w:pStyle w:val="TableContents"/>
              <w:bidi w:val="0"/>
              <w:spacing w:before="0" w:after="283"/>
              <w:jc w:val="right"/>
              <w:rPr/>
            </w:pPr>
            <w:r>
              <w:rPr/>
              <w:t>788,400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03" w:type="dxa"/>
            <w:tcBorders>
              <w:bottom w:val="single" w:sz="6" w:space="0" w:color="FBDDE3"/>
            </w:tcBorders>
            <w:tcMar>
              <w:bottom w:w="60" w:type="dxa"/>
            </w:tcMar>
            <w:vAlign w:val="center"/>
          </w:tcPr>
          <w:p>
            <w:pPr>
              <w:pStyle w:val="TableContents"/>
              <w:bidi w:val="0"/>
              <w:spacing w:before="0" w:after="283"/>
              <w:jc w:val="left"/>
              <w:rPr/>
            </w:pPr>
            <w:r>
              <w:rPr/>
              <w:t> </w:t>
            </w:r>
          </w:p>
        </w:tc>
        <w:tc>
          <w:tcPr>
            <w:tcW w:w="1387" w:type="dxa"/>
            <w:tcBorders>
              <w:bottom w:val="single" w:sz="6" w:space="0" w:color="FBDDE3"/>
            </w:tcBorders>
            <w:tcMar>
              <w:bottom w:w="60" w:type="dxa"/>
            </w:tcMar>
            <w:vAlign w:val="center"/>
          </w:tcPr>
          <w:p>
            <w:pPr>
              <w:pStyle w:val="TableContents"/>
              <w:bidi w:val="0"/>
              <w:spacing w:before="0" w:after="283"/>
              <w:jc w:val="right"/>
              <w:rPr/>
            </w:pPr>
            <w:r>
              <w:rPr/>
              <w:t>31,097</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b/>
              </w:rPr>
            </w:pPr>
            <w:r>
              <w:rPr>
                <w:b/>
              </w:rPr>
              <w:t>12,519,912</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520" w:type="dxa"/>
            <w:vMerge w:val="continue"/>
            <w:tcBorders>
              <w:bottom w:val="single" w:sz="8" w:space="0" w:color="F7ACBA"/>
            </w:tcBorders>
            <w:tcMar>
              <w:bottom w:w="60" w:type="dxa"/>
            </w:tcMar>
            <w:vAlign w:val="center"/>
          </w:tcPr>
          <w:p>
            <w:pPr>
              <w:pStyle w:val="Normal"/>
              <w:bidi w:val="0"/>
              <w:jc w:val="left"/>
              <w:rPr/>
            </w:pPr>
            <w:r>
              <w:rPr/>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500" w:type="dxa"/>
            <w:tcBorders>
              <w:bottom w:val="single" w:sz="8" w:space="0" w:color="F7ACBA"/>
            </w:tcBorders>
            <w:tcMar>
              <w:bottom w:w="80" w:type="dxa"/>
            </w:tcMar>
            <w:vAlign w:val="center"/>
          </w:tcPr>
          <w:p>
            <w:pPr>
              <w:pStyle w:val="TableContents"/>
              <w:bidi w:val="0"/>
              <w:spacing w:before="0" w:after="283"/>
              <w:jc w:val="right"/>
              <w:rPr/>
            </w:pPr>
            <w:r>
              <w:rPr/>
              <w:t>2021</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980" w:type="dxa"/>
            <w:tcBorders>
              <w:bottom w:val="single" w:sz="8" w:space="0" w:color="F7ACBA"/>
            </w:tcBorders>
            <w:tcMar>
              <w:bottom w:w="80" w:type="dxa"/>
            </w:tcMar>
            <w:vAlign w:val="center"/>
          </w:tcPr>
          <w:p>
            <w:pPr>
              <w:pStyle w:val="TableContents"/>
              <w:bidi w:val="0"/>
              <w:spacing w:before="0" w:after="283"/>
              <w:jc w:val="right"/>
              <w:rPr/>
            </w:pPr>
            <w:r>
              <w:rPr/>
              <w:t>1,250,000</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980" w:type="dxa"/>
            <w:tcBorders>
              <w:bottom w:val="single" w:sz="8" w:space="0" w:color="F7ACBA"/>
            </w:tcBorders>
            <w:tcMar>
              <w:bottom w:w="80" w:type="dxa"/>
            </w:tcMar>
            <w:vAlign w:val="center"/>
          </w:tcPr>
          <w:p>
            <w:pPr>
              <w:pStyle w:val="TableContents"/>
              <w:bidi w:val="0"/>
              <w:spacing w:before="0" w:after="283"/>
              <w:jc w:val="right"/>
              <w:rPr/>
            </w:pPr>
            <w:r>
              <w:rPr/>
              <w:t>1,600,000</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980" w:type="dxa"/>
            <w:tcBorders>
              <w:bottom w:val="single" w:sz="8" w:space="0" w:color="F7ACBA"/>
            </w:tcBorders>
            <w:tcMar>
              <w:bottom w:w="80" w:type="dxa"/>
            </w:tcMar>
            <w:vAlign w:val="center"/>
          </w:tcPr>
          <w:p>
            <w:pPr>
              <w:pStyle w:val="TableContents"/>
              <w:bidi w:val="0"/>
              <w:spacing w:before="0" w:after="283"/>
              <w:jc w:val="right"/>
              <w:rPr/>
            </w:pPr>
            <w:r>
              <w:rPr/>
              <w:t>6,500,029</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800" w:type="dxa"/>
            <w:tcBorders>
              <w:bottom w:val="single" w:sz="8" w:space="0" w:color="F7ACBA"/>
            </w:tcBorders>
            <w:tcMar>
              <w:bottom w:w="80" w:type="dxa"/>
            </w:tcMar>
            <w:vAlign w:val="center"/>
          </w:tcPr>
          <w:p>
            <w:pPr>
              <w:pStyle w:val="TableContents"/>
              <w:bidi w:val="0"/>
              <w:spacing w:before="0" w:after="283"/>
              <w:jc w:val="right"/>
              <w:rPr/>
            </w:pPr>
            <w:r>
              <w:rPr/>
              <w:t>–</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85" w:type="dxa"/>
            <w:tcBorders>
              <w:bottom w:val="single" w:sz="8" w:space="0" w:color="F7ACBA"/>
            </w:tcBorders>
            <w:tcMar>
              <w:bottom w:w="80" w:type="dxa"/>
            </w:tcMar>
            <w:vAlign w:val="center"/>
          </w:tcPr>
          <w:p>
            <w:pPr>
              <w:pStyle w:val="TableContents"/>
              <w:bidi w:val="0"/>
              <w:spacing w:before="0" w:after="283"/>
              <w:jc w:val="left"/>
              <w:rPr/>
            </w:pPr>
            <w:r>
              <w:rPr/>
              <w:t> </w:t>
            </w:r>
          </w:p>
        </w:tc>
        <w:tc>
          <w:tcPr>
            <w:tcW w:w="1405" w:type="dxa"/>
            <w:tcBorders>
              <w:bottom w:val="single" w:sz="8" w:space="0" w:color="F7ACBA"/>
            </w:tcBorders>
            <w:tcMar>
              <w:bottom w:w="80" w:type="dxa"/>
            </w:tcMar>
            <w:vAlign w:val="center"/>
          </w:tcPr>
          <w:p>
            <w:pPr>
              <w:pStyle w:val="TableContents"/>
              <w:bidi w:val="0"/>
              <w:spacing w:before="0" w:after="283"/>
              <w:jc w:val="right"/>
              <w:rPr/>
            </w:pPr>
            <w:r>
              <w:rPr/>
              <w:t>3,395,700</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03" w:type="dxa"/>
            <w:tcBorders>
              <w:bottom w:val="single" w:sz="8" w:space="0" w:color="F7ACBA"/>
            </w:tcBorders>
            <w:tcMar>
              <w:bottom w:w="80" w:type="dxa"/>
            </w:tcMar>
            <w:vAlign w:val="center"/>
          </w:tcPr>
          <w:p>
            <w:pPr>
              <w:pStyle w:val="TableContents"/>
              <w:bidi w:val="0"/>
              <w:spacing w:before="0" w:after="283"/>
              <w:jc w:val="left"/>
              <w:rPr/>
            </w:pPr>
            <w:r>
              <w:rPr/>
              <w:t> </w:t>
            </w:r>
          </w:p>
        </w:tc>
        <w:tc>
          <w:tcPr>
            <w:tcW w:w="1387" w:type="dxa"/>
            <w:tcBorders>
              <w:bottom w:val="single" w:sz="8" w:space="0" w:color="F7ACBA"/>
            </w:tcBorders>
            <w:tcMar>
              <w:bottom w:w="80" w:type="dxa"/>
            </w:tcMar>
            <w:vAlign w:val="center"/>
          </w:tcPr>
          <w:p>
            <w:pPr>
              <w:pStyle w:val="TableContents"/>
              <w:bidi w:val="0"/>
              <w:spacing w:before="0" w:after="283"/>
              <w:jc w:val="right"/>
              <w:rPr/>
            </w:pPr>
            <w:r>
              <w:rPr/>
              <w:t>125,956</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1100" w:type="dxa"/>
            <w:tcBorders>
              <w:bottom w:val="single" w:sz="8" w:space="0" w:color="F7ACBA"/>
            </w:tcBorders>
            <w:tcMar>
              <w:bottom w:w="80" w:type="dxa"/>
            </w:tcMar>
            <w:vAlign w:val="center"/>
          </w:tcPr>
          <w:p>
            <w:pPr>
              <w:pStyle w:val="TableContents"/>
              <w:bidi w:val="0"/>
              <w:spacing w:before="0" w:after="283"/>
              <w:jc w:val="right"/>
              <w:rPr>
                <w:b/>
              </w:rPr>
            </w:pPr>
            <w:r>
              <w:rPr>
                <w:b/>
              </w:rPr>
              <w:t>12,905,231</w:t>
            </w:r>
          </w:p>
        </w:tc>
        <w:tc>
          <w:tcPr>
            <w:tcW w:w="75" w:type="dxa"/>
            <w:tcBorders>
              <w:bottom w:val="single" w:sz="8" w:space="0" w:color="F7ACBA"/>
            </w:tcBorders>
            <w:tcMar>
              <w:bottom w:w="80" w:type="dxa"/>
            </w:tcM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1520" w:type="dxa"/>
            <w:vMerge w:val="restart"/>
            <w:tcBorders>
              <w:bottom w:val="single" w:sz="8" w:space="0" w:color="F7ACBA"/>
            </w:tcBorders>
            <w:tcMar>
              <w:bottom w:w="60" w:type="dxa"/>
            </w:tcMar>
            <w:vAlign w:val="center"/>
          </w:tcPr>
          <w:p>
            <w:pPr>
              <w:pStyle w:val="TableContents"/>
              <w:bidi w:val="0"/>
              <w:spacing w:before="0" w:after="0"/>
              <w:jc w:val="left"/>
              <w:rPr>
                <w:rFonts w:ascii="arial" w:hAnsi="arial"/>
                <w:b/>
                <w:sz w:val="18"/>
              </w:rPr>
            </w:pPr>
            <w:r>
              <w:rPr>
                <w:rFonts w:ascii="arial" w:hAnsi="arial"/>
                <w:b/>
                <w:sz w:val="18"/>
              </w:rPr>
              <w:t>Timothy Johnson</w:t>
            </w:r>
          </w:p>
          <w:p>
            <w:pPr>
              <w:pStyle w:val="TableContents"/>
              <w:bidi w:val="0"/>
              <w:spacing w:before="0" w:after="20"/>
              <w:jc w:val="left"/>
              <w:rPr>
                <w:rFonts w:ascii="arial" w:hAnsi="arial"/>
                <w:sz w:val="16"/>
              </w:rPr>
            </w:pPr>
            <w:r>
              <w:rPr>
                <w:rFonts w:ascii="arial" w:hAnsi="arial"/>
                <w:sz w:val="16"/>
              </w:rPr>
              <w:t>Chief Financial and Administrative Officer</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500" w:type="dxa"/>
            <w:tcBorders>
              <w:bottom w:val="single" w:sz="6" w:space="0" w:color="FBDDE3"/>
            </w:tcBorders>
            <w:tcMar>
              <w:bottom w:w="60" w:type="dxa"/>
            </w:tcMar>
            <w:vAlign w:val="center"/>
          </w:tcPr>
          <w:p>
            <w:pPr>
              <w:pStyle w:val="TableContents"/>
              <w:bidi w:val="0"/>
              <w:spacing w:before="0" w:after="283"/>
              <w:jc w:val="right"/>
              <w:rPr/>
            </w:pPr>
            <w:r>
              <w:rPr/>
              <w:t>2023</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795,755</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1,721,602</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5" w:type="dxa"/>
            <w:tcBorders>
              <w:bottom w:val="single" w:sz="6" w:space="0" w:color="FBDDE3"/>
            </w:tcBorders>
            <w:tcMar>
              <w:bottom w:w="60" w:type="dxa"/>
            </w:tcMar>
            <w:vAlign w:val="center"/>
          </w:tcPr>
          <w:p>
            <w:pPr>
              <w:pStyle w:val="TableContents"/>
              <w:bidi w:val="0"/>
              <w:spacing w:before="0" w:after="283"/>
              <w:jc w:val="left"/>
              <w:rPr/>
            </w:pPr>
            <w:r>
              <w:rPr/>
              <w:t> </w:t>
            </w:r>
          </w:p>
        </w:tc>
        <w:tc>
          <w:tcPr>
            <w:tcW w:w="1405" w:type="dxa"/>
            <w:tcBorders>
              <w:bottom w:val="single" w:sz="6" w:space="0" w:color="FBDDE3"/>
            </w:tcBorders>
            <w:tcMar>
              <w:bottom w:w="60" w:type="dxa"/>
            </w:tcMar>
            <w:vAlign w:val="center"/>
          </w:tcPr>
          <w:p>
            <w:pPr>
              <w:pStyle w:val="TableContents"/>
              <w:bidi w:val="0"/>
              <w:spacing w:before="0" w:after="283"/>
              <w:jc w:val="right"/>
              <w:rPr/>
            </w:pPr>
            <w:r>
              <w:rPr/>
              <w:t>280,440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03" w:type="dxa"/>
            <w:tcBorders>
              <w:bottom w:val="single" w:sz="6" w:space="0" w:color="FBDDE3"/>
            </w:tcBorders>
            <w:tcMar>
              <w:bottom w:w="60" w:type="dxa"/>
            </w:tcMar>
            <w:vAlign w:val="center"/>
          </w:tcPr>
          <w:p>
            <w:pPr>
              <w:pStyle w:val="TableContents"/>
              <w:bidi w:val="0"/>
              <w:spacing w:before="0" w:after="283"/>
              <w:jc w:val="left"/>
              <w:rPr/>
            </w:pPr>
            <w:r>
              <w:rPr/>
              <w:t> </w:t>
            </w:r>
          </w:p>
        </w:tc>
        <w:tc>
          <w:tcPr>
            <w:tcW w:w="1387" w:type="dxa"/>
            <w:tcBorders>
              <w:bottom w:val="single" w:sz="6" w:space="0" w:color="FBDDE3"/>
            </w:tcBorders>
            <w:tcMar>
              <w:bottom w:w="60" w:type="dxa"/>
            </w:tcMar>
            <w:vAlign w:val="center"/>
          </w:tcPr>
          <w:p>
            <w:pPr>
              <w:pStyle w:val="TableContents"/>
              <w:bidi w:val="0"/>
              <w:spacing w:before="0" w:after="283"/>
              <w:jc w:val="right"/>
              <w:rPr/>
            </w:pPr>
            <w:r>
              <w:rPr/>
              <w:t>34,973</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b/>
              </w:rPr>
            </w:pPr>
            <w:r>
              <w:rPr>
                <w:b/>
              </w:rPr>
              <w:t>2,832,770</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520" w:type="dxa"/>
            <w:vMerge w:val="continue"/>
            <w:tcBorders>
              <w:bottom w:val="single" w:sz="8" w:space="0" w:color="F7ACBA"/>
            </w:tcBorders>
            <w:tcMar>
              <w:bottom w:w="60" w:type="dxa"/>
            </w:tcMar>
            <w:vAlign w:val="center"/>
          </w:tcPr>
          <w:p>
            <w:pPr>
              <w:pStyle w:val="Normal"/>
              <w:bidi w:val="0"/>
              <w:jc w:val="left"/>
              <w:rPr/>
            </w:pPr>
            <w:r>
              <w:rPr/>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500" w:type="dxa"/>
            <w:tcBorders>
              <w:bottom w:val="single" w:sz="6" w:space="0" w:color="FBDDE3"/>
            </w:tcBorders>
            <w:tcMar>
              <w:bottom w:w="60" w:type="dxa"/>
            </w:tcMar>
            <w:vAlign w:val="center"/>
          </w:tcPr>
          <w:p>
            <w:pPr>
              <w:pStyle w:val="TableContents"/>
              <w:bidi w:val="0"/>
              <w:spacing w:before="0" w:after="283"/>
              <w:jc w:val="right"/>
              <w:rPr/>
            </w:pPr>
            <w:r>
              <w:rPr/>
              <w:t>2022</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770,673</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2,315,465</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5" w:type="dxa"/>
            <w:tcBorders>
              <w:bottom w:val="single" w:sz="6" w:space="0" w:color="FBDDE3"/>
            </w:tcBorders>
            <w:tcMar>
              <w:bottom w:w="60" w:type="dxa"/>
            </w:tcMar>
            <w:vAlign w:val="center"/>
          </w:tcPr>
          <w:p>
            <w:pPr>
              <w:pStyle w:val="TableContents"/>
              <w:bidi w:val="0"/>
              <w:spacing w:before="0" w:after="283"/>
              <w:jc w:val="left"/>
              <w:rPr/>
            </w:pPr>
            <w:r>
              <w:rPr/>
              <w:t> </w:t>
            </w:r>
          </w:p>
        </w:tc>
        <w:tc>
          <w:tcPr>
            <w:tcW w:w="1405" w:type="dxa"/>
            <w:tcBorders>
              <w:bottom w:val="single" w:sz="6" w:space="0" w:color="FBDDE3"/>
            </w:tcBorders>
            <w:tcMar>
              <w:bottom w:w="60" w:type="dxa"/>
            </w:tcMar>
            <w:vAlign w:val="center"/>
          </w:tcPr>
          <w:p>
            <w:pPr>
              <w:pStyle w:val="TableContents"/>
              <w:bidi w:val="0"/>
              <w:spacing w:before="0" w:after="283"/>
              <w:jc w:val="right"/>
              <w:rPr/>
            </w:pPr>
            <w:r>
              <w:rPr/>
              <w:t>271,560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03" w:type="dxa"/>
            <w:tcBorders>
              <w:bottom w:val="single" w:sz="6" w:space="0" w:color="FBDDE3"/>
            </w:tcBorders>
            <w:tcMar>
              <w:bottom w:w="60" w:type="dxa"/>
            </w:tcMar>
            <w:vAlign w:val="center"/>
          </w:tcPr>
          <w:p>
            <w:pPr>
              <w:pStyle w:val="TableContents"/>
              <w:bidi w:val="0"/>
              <w:spacing w:before="0" w:after="283"/>
              <w:jc w:val="left"/>
              <w:rPr/>
            </w:pPr>
            <w:r>
              <w:rPr/>
              <w:t> </w:t>
            </w:r>
          </w:p>
        </w:tc>
        <w:tc>
          <w:tcPr>
            <w:tcW w:w="1387" w:type="dxa"/>
            <w:tcBorders>
              <w:bottom w:val="single" w:sz="6" w:space="0" w:color="FBDDE3"/>
            </w:tcBorders>
            <w:tcMar>
              <w:bottom w:w="60" w:type="dxa"/>
            </w:tcMar>
            <w:vAlign w:val="center"/>
          </w:tcPr>
          <w:p>
            <w:pPr>
              <w:pStyle w:val="TableContents"/>
              <w:bidi w:val="0"/>
              <w:spacing w:before="0" w:after="283"/>
              <w:jc w:val="right"/>
              <w:rPr/>
            </w:pPr>
            <w:r>
              <w:rPr/>
              <w:t>14,542</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b/>
              </w:rPr>
            </w:pPr>
            <w:r>
              <w:rPr>
                <w:b/>
              </w:rPr>
              <w:t>3,372,240</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520" w:type="dxa"/>
            <w:vMerge w:val="continue"/>
            <w:tcBorders>
              <w:bottom w:val="single" w:sz="8" w:space="0" w:color="F7ACBA"/>
            </w:tcBorders>
            <w:tcMar>
              <w:bottom w:w="60" w:type="dxa"/>
            </w:tcMar>
            <w:vAlign w:val="center"/>
          </w:tcPr>
          <w:p>
            <w:pPr>
              <w:pStyle w:val="Normal"/>
              <w:bidi w:val="0"/>
              <w:jc w:val="left"/>
              <w:rPr/>
            </w:pPr>
            <w:r>
              <w:rPr/>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500" w:type="dxa"/>
            <w:tcBorders>
              <w:bottom w:val="single" w:sz="8" w:space="0" w:color="F7ACBA"/>
            </w:tcBorders>
            <w:tcMar>
              <w:bottom w:w="80" w:type="dxa"/>
            </w:tcMar>
            <w:vAlign w:val="center"/>
          </w:tcPr>
          <w:p>
            <w:pPr>
              <w:pStyle w:val="TableContents"/>
              <w:bidi w:val="0"/>
              <w:spacing w:before="0" w:after="283"/>
              <w:jc w:val="right"/>
              <w:rPr/>
            </w:pPr>
            <w:r>
              <w:rPr/>
              <w:t>2021</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980" w:type="dxa"/>
            <w:tcBorders>
              <w:bottom w:val="single" w:sz="8" w:space="0" w:color="F7ACBA"/>
            </w:tcBorders>
            <w:tcMar>
              <w:bottom w:w="80" w:type="dxa"/>
            </w:tcMar>
            <w:vAlign w:val="center"/>
          </w:tcPr>
          <w:p>
            <w:pPr>
              <w:pStyle w:val="TableContents"/>
              <w:bidi w:val="0"/>
              <w:spacing w:before="0" w:after="283"/>
              <w:jc w:val="right"/>
              <w:rPr/>
            </w:pPr>
            <w:r>
              <w:rPr/>
              <w:t>498,626</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980" w:type="dxa"/>
            <w:tcBorders>
              <w:bottom w:val="single" w:sz="8" w:space="0" w:color="F7ACBA"/>
            </w:tcBorders>
            <w:tcMar>
              <w:bottom w:w="80" w:type="dxa"/>
            </w:tcMar>
            <w:vAlign w:val="center"/>
          </w:tcPr>
          <w:p>
            <w:pPr>
              <w:pStyle w:val="TableContents"/>
              <w:bidi w:val="0"/>
              <w:spacing w:before="0" w:after="283"/>
              <w:jc w:val="right"/>
              <w:rPr/>
            </w:pPr>
            <w:r>
              <w:rPr/>
              <w:t>–</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980" w:type="dxa"/>
            <w:tcBorders>
              <w:bottom w:val="single" w:sz="8" w:space="0" w:color="F7ACBA"/>
            </w:tcBorders>
            <w:tcMar>
              <w:bottom w:w="80" w:type="dxa"/>
            </w:tcMar>
            <w:vAlign w:val="center"/>
          </w:tcPr>
          <w:p>
            <w:pPr>
              <w:pStyle w:val="TableContents"/>
              <w:bidi w:val="0"/>
              <w:spacing w:before="0" w:after="283"/>
              <w:jc w:val="right"/>
              <w:rPr/>
            </w:pPr>
            <w:r>
              <w:rPr/>
              <w:t>1,500,025</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800" w:type="dxa"/>
            <w:tcBorders>
              <w:bottom w:val="single" w:sz="8" w:space="0" w:color="F7ACBA"/>
            </w:tcBorders>
            <w:tcMar>
              <w:bottom w:w="80" w:type="dxa"/>
            </w:tcMar>
            <w:vAlign w:val="center"/>
          </w:tcPr>
          <w:p>
            <w:pPr>
              <w:pStyle w:val="TableContents"/>
              <w:bidi w:val="0"/>
              <w:spacing w:before="0" w:after="283"/>
              <w:jc w:val="right"/>
              <w:rPr/>
            </w:pPr>
            <w:r>
              <w:rPr/>
              <w:t>–</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85" w:type="dxa"/>
            <w:tcBorders>
              <w:bottom w:val="single" w:sz="8" w:space="0" w:color="F7ACBA"/>
            </w:tcBorders>
            <w:tcMar>
              <w:bottom w:w="80" w:type="dxa"/>
            </w:tcMar>
            <w:vAlign w:val="center"/>
          </w:tcPr>
          <w:p>
            <w:pPr>
              <w:pStyle w:val="TableContents"/>
              <w:bidi w:val="0"/>
              <w:spacing w:before="0" w:after="283"/>
              <w:jc w:val="left"/>
              <w:rPr/>
            </w:pPr>
            <w:r>
              <w:rPr/>
              <w:t> </w:t>
            </w:r>
          </w:p>
        </w:tc>
        <w:tc>
          <w:tcPr>
            <w:tcW w:w="1405" w:type="dxa"/>
            <w:tcBorders>
              <w:bottom w:val="single" w:sz="8" w:space="0" w:color="F7ACBA"/>
            </w:tcBorders>
            <w:tcMar>
              <w:bottom w:w="80" w:type="dxa"/>
            </w:tcMar>
            <w:vAlign w:val="center"/>
          </w:tcPr>
          <w:p>
            <w:pPr>
              <w:pStyle w:val="TableContents"/>
              <w:bidi w:val="0"/>
              <w:spacing w:before="0" w:after="283"/>
              <w:jc w:val="right"/>
              <w:rPr/>
            </w:pPr>
            <w:r>
              <w:rPr/>
              <w:t>656,732</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03" w:type="dxa"/>
            <w:tcBorders>
              <w:bottom w:val="single" w:sz="8" w:space="0" w:color="F7ACBA"/>
            </w:tcBorders>
            <w:tcMar>
              <w:bottom w:w="80" w:type="dxa"/>
            </w:tcMar>
            <w:vAlign w:val="center"/>
          </w:tcPr>
          <w:p>
            <w:pPr>
              <w:pStyle w:val="TableContents"/>
              <w:bidi w:val="0"/>
              <w:spacing w:before="0" w:after="283"/>
              <w:jc w:val="left"/>
              <w:rPr/>
            </w:pPr>
            <w:r>
              <w:rPr/>
              <w:t> </w:t>
            </w:r>
          </w:p>
        </w:tc>
        <w:tc>
          <w:tcPr>
            <w:tcW w:w="1387" w:type="dxa"/>
            <w:tcBorders>
              <w:bottom w:val="single" w:sz="8" w:space="0" w:color="F7ACBA"/>
            </w:tcBorders>
            <w:tcMar>
              <w:bottom w:w="80" w:type="dxa"/>
            </w:tcMar>
            <w:vAlign w:val="center"/>
          </w:tcPr>
          <w:p>
            <w:pPr>
              <w:pStyle w:val="TableContents"/>
              <w:bidi w:val="0"/>
              <w:spacing w:before="0" w:after="283"/>
              <w:jc w:val="right"/>
              <w:rPr/>
            </w:pPr>
            <w:r>
              <w:rPr/>
              <w:t>213</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1100" w:type="dxa"/>
            <w:tcBorders>
              <w:bottom w:val="single" w:sz="8" w:space="0" w:color="F7ACBA"/>
            </w:tcBorders>
            <w:tcMar>
              <w:bottom w:w="80" w:type="dxa"/>
            </w:tcMar>
            <w:vAlign w:val="center"/>
          </w:tcPr>
          <w:p>
            <w:pPr>
              <w:pStyle w:val="TableContents"/>
              <w:bidi w:val="0"/>
              <w:spacing w:before="0" w:after="283"/>
              <w:jc w:val="right"/>
              <w:rPr>
                <w:b/>
              </w:rPr>
            </w:pPr>
            <w:r>
              <w:rPr>
                <w:b/>
              </w:rPr>
              <w:t>2,655,596</w:t>
            </w:r>
          </w:p>
        </w:tc>
        <w:tc>
          <w:tcPr>
            <w:tcW w:w="75" w:type="dxa"/>
            <w:tcBorders>
              <w:bottom w:val="single" w:sz="8" w:space="0" w:color="F7ACBA"/>
            </w:tcBorders>
            <w:tcMar>
              <w:bottom w:w="80" w:type="dxa"/>
            </w:tcM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1520" w:type="dxa"/>
            <w:tcBorders>
              <w:bottom w:val="single" w:sz="8" w:space="0" w:color="F7ACBA"/>
            </w:tcBorders>
            <w:tcMar>
              <w:bottom w:w="60" w:type="dxa"/>
            </w:tcMar>
            <w:vAlign w:val="center"/>
          </w:tcPr>
          <w:p>
            <w:pPr>
              <w:pStyle w:val="TableContents"/>
              <w:bidi w:val="0"/>
              <w:spacing w:before="0" w:after="0"/>
              <w:jc w:val="left"/>
              <w:rPr>
                <w:rFonts w:ascii="arial" w:hAnsi="arial"/>
                <w:b/>
                <w:sz w:val="18"/>
              </w:rPr>
            </w:pPr>
            <w:r>
              <w:rPr>
                <w:rFonts w:ascii="arial" w:hAnsi="arial"/>
                <w:b/>
                <w:sz w:val="18"/>
              </w:rPr>
              <w:t>Melinda McAfee</w:t>
            </w:r>
          </w:p>
          <w:p>
            <w:pPr>
              <w:pStyle w:val="TableContents"/>
              <w:bidi w:val="0"/>
              <w:spacing w:before="0" w:after="20"/>
              <w:jc w:val="left"/>
              <w:rPr>
                <w:rFonts w:ascii="arial" w:hAnsi="arial"/>
                <w:sz w:val="16"/>
              </w:rPr>
            </w:pPr>
            <w:r>
              <w:rPr>
                <w:rFonts w:ascii="arial" w:hAnsi="arial"/>
                <w:sz w:val="16"/>
              </w:rPr>
              <w:t>Chief Human Resources and Legal Officer</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60" w:type="dxa"/>
            </w:tcMar>
            <w:vAlign w:val="center"/>
          </w:tcPr>
          <w:p>
            <w:pPr>
              <w:pStyle w:val="TableContents"/>
              <w:bidi w:val="0"/>
              <w:spacing w:before="0" w:after="283"/>
              <w:jc w:val="left"/>
              <w:rPr/>
            </w:pPr>
            <w:r>
              <w:rPr/>
              <w:t> </w:t>
            </w:r>
          </w:p>
        </w:tc>
        <w:tc>
          <w:tcPr>
            <w:tcW w:w="500" w:type="dxa"/>
            <w:tcBorders>
              <w:bottom w:val="single" w:sz="8" w:space="0" w:color="F7ACBA"/>
            </w:tcBorders>
            <w:tcMar>
              <w:bottom w:w="60" w:type="dxa"/>
            </w:tcMar>
            <w:vAlign w:val="center"/>
          </w:tcPr>
          <w:p>
            <w:pPr>
              <w:pStyle w:val="TableContents"/>
              <w:bidi w:val="0"/>
              <w:spacing w:before="0" w:after="283"/>
              <w:jc w:val="right"/>
              <w:rPr/>
            </w:pPr>
            <w:r>
              <w:rPr/>
              <w:t>2023</w:t>
            </w:r>
          </w:p>
        </w:tc>
        <w:tc>
          <w:tcPr>
            <w:tcW w:w="60" w:type="dxa"/>
            <w:tcBorders>
              <w:bottom w:val="single" w:sz="8" w:space="0" w:color="F7ACBA"/>
            </w:tcBorders>
            <w:tcMar>
              <w:bottom w:w="6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60" w:type="dxa"/>
            </w:tcMar>
            <w:vAlign w:val="center"/>
          </w:tcPr>
          <w:p>
            <w:pPr>
              <w:pStyle w:val="TableContents"/>
              <w:bidi w:val="0"/>
              <w:spacing w:before="0" w:after="283"/>
              <w:jc w:val="left"/>
              <w:rPr/>
            </w:pPr>
            <w:r>
              <w:rPr/>
              <w:t> </w:t>
            </w:r>
          </w:p>
        </w:tc>
        <w:tc>
          <w:tcPr>
            <w:tcW w:w="980" w:type="dxa"/>
            <w:tcBorders>
              <w:bottom w:val="single" w:sz="8" w:space="0" w:color="F7ACBA"/>
            </w:tcBorders>
            <w:tcMar>
              <w:bottom w:w="60" w:type="dxa"/>
            </w:tcMar>
            <w:vAlign w:val="center"/>
          </w:tcPr>
          <w:p>
            <w:pPr>
              <w:pStyle w:val="TableContents"/>
              <w:bidi w:val="0"/>
              <w:spacing w:before="0" w:after="283"/>
              <w:jc w:val="right"/>
              <w:rPr/>
            </w:pPr>
            <w:r>
              <w:rPr/>
              <w:t>720,755</w:t>
            </w:r>
          </w:p>
        </w:tc>
        <w:tc>
          <w:tcPr>
            <w:tcW w:w="60" w:type="dxa"/>
            <w:tcBorders>
              <w:bottom w:val="single" w:sz="8" w:space="0" w:color="F7ACBA"/>
            </w:tcBorders>
            <w:tcMar>
              <w:bottom w:w="6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60" w:type="dxa"/>
            </w:tcMar>
            <w:vAlign w:val="center"/>
          </w:tcPr>
          <w:p>
            <w:pPr>
              <w:pStyle w:val="TableContents"/>
              <w:bidi w:val="0"/>
              <w:spacing w:before="0" w:after="283"/>
              <w:jc w:val="left"/>
              <w:rPr/>
            </w:pPr>
            <w:r>
              <w:rPr/>
              <w:t> </w:t>
            </w:r>
          </w:p>
        </w:tc>
        <w:tc>
          <w:tcPr>
            <w:tcW w:w="980" w:type="dxa"/>
            <w:tcBorders>
              <w:bottom w:val="single" w:sz="8" w:space="0" w:color="F7ACBA"/>
            </w:tcBorders>
            <w:tcMar>
              <w:bottom w:w="60" w:type="dxa"/>
            </w:tcMar>
            <w:vAlign w:val="center"/>
          </w:tcPr>
          <w:p>
            <w:pPr>
              <w:pStyle w:val="TableContents"/>
              <w:bidi w:val="0"/>
              <w:spacing w:before="0" w:after="283"/>
              <w:jc w:val="right"/>
              <w:rPr/>
            </w:pPr>
            <w:r>
              <w:rPr/>
              <w:t>–</w:t>
            </w:r>
          </w:p>
        </w:tc>
        <w:tc>
          <w:tcPr>
            <w:tcW w:w="60" w:type="dxa"/>
            <w:tcBorders>
              <w:bottom w:val="single" w:sz="8" w:space="0" w:color="F7ACBA"/>
            </w:tcBorders>
            <w:tcMar>
              <w:bottom w:w="6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60" w:type="dxa"/>
            </w:tcMar>
            <w:vAlign w:val="center"/>
          </w:tcPr>
          <w:p>
            <w:pPr>
              <w:pStyle w:val="TableContents"/>
              <w:bidi w:val="0"/>
              <w:spacing w:before="0" w:after="283"/>
              <w:jc w:val="left"/>
              <w:rPr/>
            </w:pPr>
            <w:r>
              <w:rPr/>
              <w:t> </w:t>
            </w:r>
          </w:p>
        </w:tc>
        <w:tc>
          <w:tcPr>
            <w:tcW w:w="980" w:type="dxa"/>
            <w:tcBorders>
              <w:bottom w:val="single" w:sz="8" w:space="0" w:color="F7ACBA"/>
            </w:tcBorders>
            <w:tcMar>
              <w:bottom w:w="60" w:type="dxa"/>
            </w:tcMar>
            <w:vAlign w:val="center"/>
          </w:tcPr>
          <w:p>
            <w:pPr>
              <w:pStyle w:val="TableContents"/>
              <w:bidi w:val="0"/>
              <w:spacing w:before="0" w:after="283"/>
              <w:jc w:val="right"/>
              <w:rPr/>
            </w:pPr>
            <w:r>
              <w:rPr/>
              <w:t>1,560,183</w:t>
            </w:r>
          </w:p>
        </w:tc>
        <w:tc>
          <w:tcPr>
            <w:tcW w:w="60" w:type="dxa"/>
            <w:tcBorders>
              <w:bottom w:val="single" w:sz="8" w:space="0" w:color="F7ACBA"/>
            </w:tcBorders>
            <w:tcMar>
              <w:bottom w:w="6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60" w:type="dxa"/>
            </w:tcMar>
            <w:vAlign w:val="center"/>
          </w:tcPr>
          <w:p>
            <w:pPr>
              <w:pStyle w:val="TableContents"/>
              <w:bidi w:val="0"/>
              <w:spacing w:before="0" w:after="283"/>
              <w:jc w:val="left"/>
              <w:rPr/>
            </w:pPr>
            <w:r>
              <w:rPr/>
              <w:t> </w:t>
            </w:r>
          </w:p>
        </w:tc>
        <w:tc>
          <w:tcPr>
            <w:tcW w:w="800" w:type="dxa"/>
            <w:tcBorders>
              <w:bottom w:val="single" w:sz="8" w:space="0" w:color="F7ACBA"/>
            </w:tcBorders>
            <w:tcMar>
              <w:bottom w:w="60" w:type="dxa"/>
            </w:tcMar>
            <w:vAlign w:val="center"/>
          </w:tcPr>
          <w:p>
            <w:pPr>
              <w:pStyle w:val="TableContents"/>
              <w:bidi w:val="0"/>
              <w:spacing w:before="0" w:after="283"/>
              <w:jc w:val="right"/>
              <w:rPr/>
            </w:pPr>
            <w:r>
              <w:rPr/>
              <w:t>–</w:t>
            </w:r>
          </w:p>
        </w:tc>
        <w:tc>
          <w:tcPr>
            <w:tcW w:w="60" w:type="dxa"/>
            <w:tcBorders>
              <w:bottom w:val="single" w:sz="8" w:space="0" w:color="F7ACBA"/>
            </w:tcBorders>
            <w:tcMar>
              <w:bottom w:w="6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85" w:type="dxa"/>
            <w:tcBorders>
              <w:bottom w:val="single" w:sz="8" w:space="0" w:color="F7ACBA"/>
            </w:tcBorders>
            <w:tcMar>
              <w:bottom w:w="60" w:type="dxa"/>
            </w:tcMar>
            <w:vAlign w:val="center"/>
          </w:tcPr>
          <w:p>
            <w:pPr>
              <w:pStyle w:val="TableContents"/>
              <w:bidi w:val="0"/>
              <w:spacing w:before="0" w:after="283"/>
              <w:jc w:val="left"/>
              <w:rPr/>
            </w:pPr>
            <w:r>
              <w:rPr/>
              <w:t> </w:t>
            </w:r>
          </w:p>
        </w:tc>
        <w:tc>
          <w:tcPr>
            <w:tcW w:w="1405" w:type="dxa"/>
            <w:tcBorders>
              <w:bottom w:val="single" w:sz="8" w:space="0" w:color="F7ACBA"/>
            </w:tcBorders>
            <w:tcMar>
              <w:bottom w:w="60" w:type="dxa"/>
            </w:tcMar>
            <w:vAlign w:val="center"/>
          </w:tcPr>
          <w:p>
            <w:pPr>
              <w:pStyle w:val="TableContents"/>
              <w:bidi w:val="0"/>
              <w:spacing w:before="0" w:after="283"/>
              <w:jc w:val="right"/>
              <w:rPr/>
            </w:pPr>
            <w:r>
              <w:rPr/>
              <w:t>254,149</w:t>
            </w:r>
          </w:p>
        </w:tc>
        <w:tc>
          <w:tcPr>
            <w:tcW w:w="60" w:type="dxa"/>
            <w:tcBorders>
              <w:bottom w:val="single" w:sz="8" w:space="0" w:color="F7ACBA"/>
            </w:tcBorders>
            <w:tcMar>
              <w:bottom w:w="6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03" w:type="dxa"/>
            <w:tcBorders>
              <w:bottom w:val="single" w:sz="8" w:space="0" w:color="F7ACBA"/>
            </w:tcBorders>
            <w:tcMar>
              <w:bottom w:w="60" w:type="dxa"/>
            </w:tcMar>
            <w:vAlign w:val="center"/>
          </w:tcPr>
          <w:p>
            <w:pPr>
              <w:pStyle w:val="TableContents"/>
              <w:bidi w:val="0"/>
              <w:spacing w:before="0" w:after="283"/>
              <w:jc w:val="left"/>
              <w:rPr/>
            </w:pPr>
            <w:r>
              <w:rPr/>
              <w:t> </w:t>
            </w:r>
          </w:p>
        </w:tc>
        <w:tc>
          <w:tcPr>
            <w:tcW w:w="1387" w:type="dxa"/>
            <w:tcBorders>
              <w:bottom w:val="single" w:sz="8" w:space="0" w:color="F7ACBA"/>
            </w:tcBorders>
            <w:tcMar>
              <w:bottom w:w="60" w:type="dxa"/>
            </w:tcMar>
            <w:vAlign w:val="center"/>
          </w:tcPr>
          <w:p>
            <w:pPr>
              <w:pStyle w:val="TableContents"/>
              <w:bidi w:val="0"/>
              <w:spacing w:before="0" w:after="283"/>
              <w:jc w:val="right"/>
              <w:rPr/>
            </w:pPr>
            <w:r>
              <w:rPr/>
              <w:t>29,695</w:t>
            </w:r>
          </w:p>
        </w:tc>
        <w:tc>
          <w:tcPr>
            <w:tcW w:w="60" w:type="dxa"/>
            <w:tcBorders>
              <w:bottom w:val="single" w:sz="8" w:space="0" w:color="F7ACBA"/>
            </w:tcBorders>
            <w:tcMar>
              <w:bottom w:w="6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60" w:type="dxa"/>
            </w:tcMar>
            <w:vAlign w:val="center"/>
          </w:tcPr>
          <w:p>
            <w:pPr>
              <w:pStyle w:val="TableContents"/>
              <w:bidi w:val="0"/>
              <w:spacing w:before="0" w:after="283"/>
              <w:jc w:val="left"/>
              <w:rPr/>
            </w:pPr>
            <w:r>
              <w:rPr/>
              <w:t> </w:t>
            </w:r>
          </w:p>
        </w:tc>
        <w:tc>
          <w:tcPr>
            <w:tcW w:w="1100" w:type="dxa"/>
            <w:tcBorders>
              <w:bottom w:val="single" w:sz="8" w:space="0" w:color="F7ACBA"/>
            </w:tcBorders>
            <w:tcMar>
              <w:bottom w:w="60" w:type="dxa"/>
            </w:tcMar>
            <w:vAlign w:val="center"/>
          </w:tcPr>
          <w:p>
            <w:pPr>
              <w:pStyle w:val="TableContents"/>
              <w:bidi w:val="0"/>
              <w:spacing w:before="0" w:after="283"/>
              <w:jc w:val="right"/>
              <w:rPr>
                <w:b/>
              </w:rPr>
            </w:pPr>
            <w:r>
              <w:rPr>
                <w:b/>
              </w:rPr>
              <w:t>2,564,782</w:t>
            </w:r>
          </w:p>
        </w:tc>
        <w:tc>
          <w:tcPr>
            <w:tcW w:w="75" w:type="dxa"/>
            <w:tcBorders>
              <w:bottom w:val="single" w:sz="8" w:space="0" w:color="F7ACBA"/>
            </w:tcBorders>
            <w:tcMar>
              <w:bottom w:w="60" w:type="dxa"/>
            </w:tcM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1520" w:type="dxa"/>
            <w:vMerge w:val="restart"/>
            <w:tcBorders>
              <w:bottom w:val="single" w:sz="8" w:space="0" w:color="F7ACBA"/>
            </w:tcBorders>
            <w:tcMar>
              <w:bottom w:w="80" w:type="dxa"/>
            </w:tcMar>
            <w:vAlign w:val="center"/>
          </w:tcPr>
          <w:p>
            <w:pPr>
              <w:pStyle w:val="TableContents"/>
              <w:bidi w:val="0"/>
              <w:spacing w:before="0" w:after="0"/>
              <w:jc w:val="left"/>
              <w:rPr>
                <w:rFonts w:ascii="arial" w:hAnsi="arial"/>
                <w:b/>
                <w:sz w:val="18"/>
              </w:rPr>
            </w:pPr>
            <w:r>
              <w:rPr>
                <w:rFonts w:ascii="arial" w:hAnsi="arial"/>
                <w:b/>
                <w:sz w:val="18"/>
              </w:rPr>
              <w:t>Christine Rupp</w:t>
            </w:r>
          </w:p>
          <w:p>
            <w:pPr>
              <w:pStyle w:val="TableContents"/>
              <w:bidi w:val="0"/>
              <w:spacing w:before="0" w:after="20"/>
              <w:jc w:val="left"/>
              <w:rPr>
                <w:rFonts w:ascii="arial" w:hAnsi="arial"/>
                <w:sz w:val="16"/>
              </w:rPr>
            </w:pPr>
            <w:r>
              <w:rPr>
                <w:rFonts w:ascii="arial" w:hAnsi="arial"/>
                <w:sz w:val="16"/>
              </w:rPr>
              <w:t>Chief Customer Officer</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80" w:type="dxa"/>
            </w:tcMar>
            <w:vAlign w:val="center"/>
          </w:tcPr>
          <w:p>
            <w:pPr>
              <w:pStyle w:val="TableContents"/>
              <w:bidi w:val="0"/>
              <w:spacing w:before="0" w:after="283"/>
              <w:jc w:val="left"/>
              <w:rPr/>
            </w:pPr>
            <w:r>
              <w:rPr/>
              <w:t> </w:t>
            </w:r>
          </w:p>
        </w:tc>
        <w:tc>
          <w:tcPr>
            <w:tcW w:w="500" w:type="dxa"/>
            <w:tcBorders>
              <w:bottom w:val="single" w:sz="6" w:space="0" w:color="FBDDE3"/>
            </w:tcBorders>
            <w:tcMar>
              <w:bottom w:w="80" w:type="dxa"/>
            </w:tcMar>
            <w:vAlign w:val="center"/>
          </w:tcPr>
          <w:p>
            <w:pPr>
              <w:pStyle w:val="TableContents"/>
              <w:bidi w:val="0"/>
              <w:spacing w:before="0" w:after="283"/>
              <w:jc w:val="right"/>
              <w:rPr>
                <w:sz w:val="16"/>
              </w:rPr>
            </w:pPr>
            <w:r>
              <w:rPr>
                <w:sz w:val="16"/>
              </w:rPr>
              <w:t>2023</w:t>
            </w:r>
          </w:p>
        </w:tc>
        <w:tc>
          <w:tcPr>
            <w:tcW w:w="60" w:type="dxa"/>
            <w:tcBorders>
              <w:bottom w:val="single" w:sz="6" w:space="0" w:color="FBDDE3"/>
            </w:tcBorders>
            <w:tcMar>
              <w:bottom w:w="8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80" w:type="dxa"/>
            </w:tcMar>
            <w:vAlign w:val="center"/>
          </w:tcPr>
          <w:p>
            <w:pPr>
              <w:pStyle w:val="TableContents"/>
              <w:bidi w:val="0"/>
              <w:spacing w:before="0" w:after="283"/>
              <w:jc w:val="left"/>
              <w:rPr/>
            </w:pPr>
            <w:r>
              <w:rPr/>
              <w:t> </w:t>
            </w:r>
          </w:p>
        </w:tc>
        <w:tc>
          <w:tcPr>
            <w:tcW w:w="980" w:type="dxa"/>
            <w:tcBorders>
              <w:bottom w:val="single" w:sz="6" w:space="0" w:color="FBDDE3"/>
            </w:tcBorders>
            <w:tcMar>
              <w:bottom w:w="80" w:type="dxa"/>
            </w:tcMar>
            <w:vAlign w:val="center"/>
          </w:tcPr>
          <w:p>
            <w:pPr>
              <w:pStyle w:val="TableContents"/>
              <w:bidi w:val="0"/>
              <w:spacing w:before="0" w:after="283"/>
              <w:jc w:val="right"/>
              <w:rPr>
                <w:sz w:val="16"/>
              </w:rPr>
            </w:pPr>
            <w:r>
              <w:rPr>
                <w:sz w:val="16"/>
              </w:rPr>
              <w:t>980,755</w:t>
            </w:r>
          </w:p>
        </w:tc>
        <w:tc>
          <w:tcPr>
            <w:tcW w:w="60" w:type="dxa"/>
            <w:tcBorders>
              <w:bottom w:val="single" w:sz="6" w:space="0" w:color="FBDDE3"/>
            </w:tcBorders>
            <w:tcMar>
              <w:bottom w:w="8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80" w:type="dxa"/>
            </w:tcMar>
            <w:vAlign w:val="center"/>
          </w:tcPr>
          <w:p>
            <w:pPr>
              <w:pStyle w:val="TableContents"/>
              <w:bidi w:val="0"/>
              <w:spacing w:before="0" w:after="283"/>
              <w:jc w:val="left"/>
              <w:rPr/>
            </w:pPr>
            <w:r>
              <w:rPr/>
              <w:t> </w:t>
            </w:r>
          </w:p>
        </w:tc>
        <w:tc>
          <w:tcPr>
            <w:tcW w:w="980" w:type="dxa"/>
            <w:tcBorders>
              <w:bottom w:val="single" w:sz="6" w:space="0" w:color="FBDDE3"/>
            </w:tcBorders>
            <w:tcMar>
              <w:bottom w:w="80" w:type="dxa"/>
            </w:tcMar>
            <w:vAlign w:val="center"/>
          </w:tcPr>
          <w:p>
            <w:pPr>
              <w:pStyle w:val="TableContents"/>
              <w:bidi w:val="0"/>
              <w:spacing w:before="0" w:after="283"/>
              <w:jc w:val="right"/>
              <w:rPr>
                <w:sz w:val="16"/>
              </w:rPr>
            </w:pPr>
            <w:r>
              <w:rPr>
                <w:sz w:val="16"/>
              </w:rPr>
              <w:t>960,000</w:t>
            </w:r>
          </w:p>
        </w:tc>
        <w:tc>
          <w:tcPr>
            <w:tcW w:w="60" w:type="dxa"/>
            <w:tcBorders>
              <w:bottom w:val="single" w:sz="6" w:space="0" w:color="FBDDE3"/>
            </w:tcBorders>
            <w:tcMar>
              <w:bottom w:w="8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80" w:type="dxa"/>
            </w:tcMar>
            <w:vAlign w:val="center"/>
          </w:tcPr>
          <w:p>
            <w:pPr>
              <w:pStyle w:val="TableContents"/>
              <w:bidi w:val="0"/>
              <w:spacing w:before="0" w:after="283"/>
              <w:jc w:val="left"/>
              <w:rPr/>
            </w:pPr>
            <w:r>
              <w:rPr/>
              <w:t> </w:t>
            </w:r>
          </w:p>
        </w:tc>
        <w:tc>
          <w:tcPr>
            <w:tcW w:w="980" w:type="dxa"/>
            <w:tcBorders>
              <w:bottom w:val="single" w:sz="6" w:space="0" w:color="FBDDE3"/>
            </w:tcBorders>
            <w:tcMar>
              <w:bottom w:w="80" w:type="dxa"/>
            </w:tcMar>
            <w:vAlign w:val="center"/>
          </w:tcPr>
          <w:p>
            <w:pPr>
              <w:pStyle w:val="TableContents"/>
              <w:bidi w:val="0"/>
              <w:spacing w:before="0" w:after="283"/>
              <w:jc w:val="right"/>
              <w:rPr>
                <w:sz w:val="16"/>
              </w:rPr>
            </w:pPr>
            <w:r>
              <w:rPr>
                <w:sz w:val="16"/>
              </w:rPr>
              <w:t>2,119,695</w:t>
            </w:r>
          </w:p>
        </w:tc>
        <w:tc>
          <w:tcPr>
            <w:tcW w:w="60" w:type="dxa"/>
            <w:tcBorders>
              <w:bottom w:val="single" w:sz="6" w:space="0" w:color="FBDDE3"/>
            </w:tcBorders>
            <w:tcMar>
              <w:bottom w:w="8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80" w:type="dxa"/>
            </w:tcMar>
            <w:vAlign w:val="center"/>
          </w:tcPr>
          <w:p>
            <w:pPr>
              <w:pStyle w:val="TableContents"/>
              <w:bidi w:val="0"/>
              <w:spacing w:before="0" w:after="283"/>
              <w:jc w:val="left"/>
              <w:rPr/>
            </w:pPr>
            <w:r>
              <w:rPr/>
              <w:t> </w:t>
            </w:r>
          </w:p>
        </w:tc>
        <w:tc>
          <w:tcPr>
            <w:tcW w:w="800" w:type="dxa"/>
            <w:tcBorders>
              <w:bottom w:val="single" w:sz="6" w:space="0" w:color="FBDDE3"/>
            </w:tcBorders>
            <w:tcMar>
              <w:bottom w:w="80" w:type="dxa"/>
            </w:tcMar>
            <w:vAlign w:val="center"/>
          </w:tcPr>
          <w:p>
            <w:pPr>
              <w:pStyle w:val="TableContents"/>
              <w:bidi w:val="0"/>
              <w:spacing w:before="0" w:after="283"/>
              <w:jc w:val="right"/>
              <w:rPr/>
            </w:pPr>
            <w:r>
              <w:rPr/>
              <w:t>–</w:t>
            </w:r>
          </w:p>
        </w:tc>
        <w:tc>
          <w:tcPr>
            <w:tcW w:w="60" w:type="dxa"/>
            <w:tcBorders>
              <w:bottom w:val="single" w:sz="6" w:space="0" w:color="FBDDE3"/>
            </w:tcBorders>
            <w:tcMar>
              <w:bottom w:w="8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5" w:type="dxa"/>
            <w:tcBorders>
              <w:bottom w:val="single" w:sz="6" w:space="0" w:color="FBDDE3"/>
            </w:tcBorders>
            <w:tcMar>
              <w:bottom w:w="80" w:type="dxa"/>
            </w:tcMar>
            <w:vAlign w:val="center"/>
          </w:tcPr>
          <w:p>
            <w:pPr>
              <w:pStyle w:val="TableContents"/>
              <w:bidi w:val="0"/>
              <w:spacing w:before="0" w:after="283"/>
              <w:jc w:val="left"/>
              <w:rPr/>
            </w:pPr>
            <w:r>
              <w:rPr/>
              <w:t> </w:t>
            </w:r>
          </w:p>
        </w:tc>
        <w:tc>
          <w:tcPr>
            <w:tcW w:w="1405" w:type="dxa"/>
            <w:tcBorders>
              <w:bottom w:val="single" w:sz="6" w:space="0" w:color="FBDDE3"/>
            </w:tcBorders>
            <w:tcMar>
              <w:bottom w:w="80" w:type="dxa"/>
            </w:tcMar>
            <w:vAlign w:val="center"/>
          </w:tcPr>
          <w:p>
            <w:pPr>
              <w:pStyle w:val="TableContents"/>
              <w:bidi w:val="0"/>
              <w:spacing w:before="0" w:after="283"/>
              <w:jc w:val="right"/>
              <w:rPr>
                <w:sz w:val="16"/>
              </w:rPr>
            </w:pPr>
            <w:r>
              <w:rPr>
                <w:sz w:val="16"/>
              </w:rPr>
              <w:t>586,996</w:t>
            </w:r>
          </w:p>
        </w:tc>
        <w:tc>
          <w:tcPr>
            <w:tcW w:w="60" w:type="dxa"/>
            <w:tcBorders>
              <w:bottom w:val="single" w:sz="6" w:space="0" w:color="FBDDE3"/>
            </w:tcBorders>
            <w:tcMar>
              <w:bottom w:w="8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03" w:type="dxa"/>
            <w:tcBorders>
              <w:bottom w:val="single" w:sz="6" w:space="0" w:color="FBDDE3"/>
            </w:tcBorders>
            <w:tcMar>
              <w:bottom w:w="80" w:type="dxa"/>
            </w:tcMar>
            <w:vAlign w:val="center"/>
          </w:tcPr>
          <w:p>
            <w:pPr>
              <w:pStyle w:val="TableContents"/>
              <w:bidi w:val="0"/>
              <w:spacing w:before="0" w:after="283"/>
              <w:jc w:val="left"/>
              <w:rPr/>
            </w:pPr>
            <w:r>
              <w:rPr/>
              <w:t> </w:t>
            </w:r>
          </w:p>
        </w:tc>
        <w:tc>
          <w:tcPr>
            <w:tcW w:w="1387" w:type="dxa"/>
            <w:tcBorders>
              <w:bottom w:val="single" w:sz="6" w:space="0" w:color="FBDDE3"/>
            </w:tcBorders>
            <w:tcMar>
              <w:bottom w:w="80" w:type="dxa"/>
            </w:tcMar>
            <w:vAlign w:val="center"/>
          </w:tcPr>
          <w:p>
            <w:pPr>
              <w:pStyle w:val="TableContents"/>
              <w:bidi w:val="0"/>
              <w:spacing w:before="0" w:after="283"/>
              <w:jc w:val="right"/>
              <w:rPr>
                <w:sz w:val="16"/>
              </w:rPr>
            </w:pPr>
            <w:r>
              <w:rPr>
                <w:sz w:val="16"/>
              </w:rPr>
              <w:t>18,291</w:t>
            </w:r>
          </w:p>
        </w:tc>
        <w:tc>
          <w:tcPr>
            <w:tcW w:w="60" w:type="dxa"/>
            <w:tcBorders>
              <w:bottom w:val="single" w:sz="6" w:space="0" w:color="FBDDE3"/>
            </w:tcBorders>
            <w:tcMar>
              <w:bottom w:w="8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80" w:type="dxa"/>
            </w:tcMar>
            <w:vAlign w:val="center"/>
          </w:tcPr>
          <w:p>
            <w:pPr>
              <w:pStyle w:val="TableContents"/>
              <w:bidi w:val="0"/>
              <w:spacing w:before="0" w:after="283"/>
              <w:jc w:val="left"/>
              <w:rPr/>
            </w:pPr>
            <w:r>
              <w:rPr/>
              <w:t> </w:t>
            </w:r>
          </w:p>
        </w:tc>
        <w:tc>
          <w:tcPr>
            <w:tcW w:w="1100" w:type="dxa"/>
            <w:tcBorders>
              <w:bottom w:val="single" w:sz="6" w:space="0" w:color="FBDDE3"/>
            </w:tcBorders>
            <w:tcMar>
              <w:bottom w:w="80" w:type="dxa"/>
            </w:tcMar>
            <w:vAlign w:val="center"/>
          </w:tcPr>
          <w:p>
            <w:pPr>
              <w:pStyle w:val="TableContents"/>
              <w:bidi w:val="0"/>
              <w:spacing w:before="0" w:after="283"/>
              <w:jc w:val="right"/>
              <w:rPr>
                <w:b/>
                <w:sz w:val="16"/>
              </w:rPr>
            </w:pPr>
            <w:r>
              <w:rPr>
                <w:b/>
                <w:sz w:val="16"/>
              </w:rPr>
              <w:t>4,665,737</w:t>
            </w:r>
          </w:p>
        </w:tc>
        <w:tc>
          <w:tcPr>
            <w:tcW w:w="75" w:type="dxa"/>
            <w:tcBorders>
              <w:bottom w:val="single" w:sz="6" w:space="0" w:color="FBDDE3"/>
            </w:tcBorders>
            <w:tcMar>
              <w:bottom w:w="80" w:type="dxa"/>
            </w:tcMar>
            <w:vAlign w:val="center"/>
          </w:tcPr>
          <w:p>
            <w:pPr>
              <w:pStyle w:val="TableContents"/>
              <w:bidi w:val="0"/>
              <w:spacing w:before="0" w:after="283"/>
              <w:jc w:val="left"/>
              <w:rPr/>
            </w:pPr>
            <w:r>
              <w:rPr/>
              <w:t> </w:t>
            </w:r>
          </w:p>
        </w:tc>
      </w:tr>
      <w:tr>
        <w:trPr/>
        <w:tc>
          <w:tcPr>
            <w:tcW w:w="1520" w:type="dxa"/>
            <w:vMerge w:val="continue"/>
            <w:tcBorders>
              <w:bottom w:val="single" w:sz="8" w:space="0" w:color="F7ACBA"/>
            </w:tcBorders>
            <w:tcMar>
              <w:bottom w:w="80" w:type="dxa"/>
            </w:tcMar>
            <w:vAlign w:val="center"/>
          </w:tcPr>
          <w:p>
            <w:pPr>
              <w:pStyle w:val="Normal"/>
              <w:bidi w:val="0"/>
              <w:jc w:val="left"/>
              <w:rPr/>
            </w:pPr>
            <w:r>
              <w:rPr/>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60" w:type="dxa"/>
            </w:tcMar>
            <w:vAlign w:val="center"/>
          </w:tcPr>
          <w:p>
            <w:pPr>
              <w:pStyle w:val="TableContents"/>
              <w:bidi w:val="0"/>
              <w:spacing w:before="0" w:after="283"/>
              <w:jc w:val="left"/>
              <w:rPr/>
            </w:pPr>
            <w:r>
              <w:rPr/>
              <w:t> </w:t>
            </w:r>
          </w:p>
        </w:tc>
        <w:tc>
          <w:tcPr>
            <w:tcW w:w="500" w:type="dxa"/>
            <w:tcBorders>
              <w:bottom w:val="single" w:sz="8" w:space="0" w:color="F7ACBA"/>
            </w:tcBorders>
            <w:tcMar>
              <w:bottom w:w="60" w:type="dxa"/>
            </w:tcMar>
            <w:vAlign w:val="center"/>
          </w:tcPr>
          <w:p>
            <w:pPr>
              <w:pStyle w:val="TableContents"/>
              <w:bidi w:val="0"/>
              <w:spacing w:before="0" w:after="283"/>
              <w:jc w:val="right"/>
              <w:rPr/>
            </w:pPr>
            <w:r>
              <w:rPr/>
              <w:t>2022</w:t>
            </w:r>
          </w:p>
        </w:tc>
        <w:tc>
          <w:tcPr>
            <w:tcW w:w="60" w:type="dxa"/>
            <w:tcBorders>
              <w:bottom w:val="single" w:sz="8" w:space="0" w:color="F7ACBA"/>
            </w:tcBorders>
            <w:tcMar>
              <w:bottom w:w="6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60" w:type="dxa"/>
            </w:tcMar>
            <w:vAlign w:val="center"/>
          </w:tcPr>
          <w:p>
            <w:pPr>
              <w:pStyle w:val="TableContents"/>
              <w:bidi w:val="0"/>
              <w:spacing w:before="0" w:after="283"/>
              <w:jc w:val="left"/>
              <w:rPr/>
            </w:pPr>
            <w:r>
              <w:rPr/>
              <w:t> </w:t>
            </w:r>
          </w:p>
        </w:tc>
        <w:tc>
          <w:tcPr>
            <w:tcW w:w="980" w:type="dxa"/>
            <w:tcBorders>
              <w:bottom w:val="single" w:sz="8" w:space="0" w:color="F7ACBA"/>
            </w:tcBorders>
            <w:tcMar>
              <w:bottom w:w="60" w:type="dxa"/>
            </w:tcMar>
            <w:vAlign w:val="center"/>
          </w:tcPr>
          <w:p>
            <w:pPr>
              <w:pStyle w:val="TableContents"/>
              <w:bidi w:val="0"/>
              <w:spacing w:before="0" w:after="283"/>
              <w:jc w:val="right"/>
              <w:rPr/>
            </w:pPr>
            <w:r>
              <w:rPr/>
              <w:t>382,418</w:t>
            </w:r>
          </w:p>
        </w:tc>
        <w:tc>
          <w:tcPr>
            <w:tcW w:w="60" w:type="dxa"/>
            <w:tcBorders>
              <w:bottom w:val="single" w:sz="8" w:space="0" w:color="F7ACBA"/>
            </w:tcBorders>
            <w:tcMar>
              <w:bottom w:w="6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60" w:type="dxa"/>
            </w:tcMar>
            <w:vAlign w:val="center"/>
          </w:tcPr>
          <w:p>
            <w:pPr>
              <w:pStyle w:val="TableContents"/>
              <w:bidi w:val="0"/>
              <w:spacing w:before="0" w:after="283"/>
              <w:jc w:val="left"/>
              <w:rPr/>
            </w:pPr>
            <w:r>
              <w:rPr/>
              <w:t> </w:t>
            </w:r>
          </w:p>
        </w:tc>
        <w:tc>
          <w:tcPr>
            <w:tcW w:w="980" w:type="dxa"/>
            <w:tcBorders>
              <w:bottom w:val="single" w:sz="8" w:space="0" w:color="F7ACBA"/>
            </w:tcBorders>
            <w:tcMar>
              <w:bottom w:w="60" w:type="dxa"/>
            </w:tcMar>
            <w:vAlign w:val="center"/>
          </w:tcPr>
          <w:p>
            <w:pPr>
              <w:pStyle w:val="TableContents"/>
              <w:bidi w:val="0"/>
              <w:spacing w:before="0" w:after="283"/>
              <w:jc w:val="right"/>
              <w:rPr/>
            </w:pPr>
            <w:r>
              <w:rPr/>
              <w:t>–</w:t>
            </w:r>
          </w:p>
        </w:tc>
        <w:tc>
          <w:tcPr>
            <w:tcW w:w="60" w:type="dxa"/>
            <w:tcBorders>
              <w:bottom w:val="single" w:sz="8" w:space="0" w:color="F7ACBA"/>
            </w:tcBorders>
            <w:tcMar>
              <w:bottom w:w="6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60" w:type="dxa"/>
            </w:tcMar>
            <w:vAlign w:val="center"/>
          </w:tcPr>
          <w:p>
            <w:pPr>
              <w:pStyle w:val="TableContents"/>
              <w:bidi w:val="0"/>
              <w:spacing w:before="0" w:after="283"/>
              <w:jc w:val="left"/>
              <w:rPr/>
            </w:pPr>
            <w:r>
              <w:rPr/>
              <w:t> </w:t>
            </w:r>
          </w:p>
        </w:tc>
        <w:tc>
          <w:tcPr>
            <w:tcW w:w="980" w:type="dxa"/>
            <w:tcBorders>
              <w:bottom w:val="single" w:sz="8" w:space="0" w:color="F7ACBA"/>
            </w:tcBorders>
            <w:tcMar>
              <w:bottom w:w="60" w:type="dxa"/>
            </w:tcMar>
            <w:vAlign w:val="center"/>
          </w:tcPr>
          <w:p>
            <w:pPr>
              <w:pStyle w:val="TableContents"/>
              <w:bidi w:val="0"/>
              <w:spacing w:before="0" w:after="283"/>
              <w:jc w:val="right"/>
              <w:rPr/>
            </w:pPr>
            <w:r>
              <w:rPr/>
              <w:t>4,248,661</w:t>
            </w:r>
          </w:p>
        </w:tc>
        <w:tc>
          <w:tcPr>
            <w:tcW w:w="60" w:type="dxa"/>
            <w:tcBorders>
              <w:bottom w:val="single" w:sz="8" w:space="0" w:color="F7ACBA"/>
            </w:tcBorders>
            <w:tcMar>
              <w:bottom w:w="6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60" w:type="dxa"/>
            </w:tcMar>
            <w:vAlign w:val="center"/>
          </w:tcPr>
          <w:p>
            <w:pPr>
              <w:pStyle w:val="TableContents"/>
              <w:bidi w:val="0"/>
              <w:spacing w:before="0" w:after="283"/>
              <w:jc w:val="left"/>
              <w:rPr/>
            </w:pPr>
            <w:r>
              <w:rPr/>
              <w:t> </w:t>
            </w:r>
          </w:p>
        </w:tc>
        <w:tc>
          <w:tcPr>
            <w:tcW w:w="800" w:type="dxa"/>
            <w:tcBorders>
              <w:bottom w:val="single" w:sz="8" w:space="0" w:color="F7ACBA"/>
            </w:tcBorders>
            <w:tcMar>
              <w:bottom w:w="60" w:type="dxa"/>
            </w:tcMar>
            <w:vAlign w:val="center"/>
          </w:tcPr>
          <w:p>
            <w:pPr>
              <w:pStyle w:val="TableContents"/>
              <w:bidi w:val="0"/>
              <w:spacing w:before="0" w:after="283"/>
              <w:jc w:val="right"/>
              <w:rPr/>
            </w:pPr>
            <w:r>
              <w:rPr/>
              <w:t>–</w:t>
            </w:r>
          </w:p>
        </w:tc>
        <w:tc>
          <w:tcPr>
            <w:tcW w:w="60" w:type="dxa"/>
            <w:tcBorders>
              <w:bottom w:val="single" w:sz="8" w:space="0" w:color="F7ACBA"/>
            </w:tcBorders>
            <w:tcMar>
              <w:bottom w:w="6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85" w:type="dxa"/>
            <w:tcBorders>
              <w:bottom w:val="single" w:sz="8" w:space="0" w:color="F7ACBA"/>
            </w:tcBorders>
            <w:tcMar>
              <w:bottom w:w="60" w:type="dxa"/>
            </w:tcMar>
            <w:vAlign w:val="center"/>
          </w:tcPr>
          <w:p>
            <w:pPr>
              <w:pStyle w:val="TableContents"/>
              <w:bidi w:val="0"/>
              <w:spacing w:before="0" w:after="283"/>
              <w:jc w:val="left"/>
              <w:rPr/>
            </w:pPr>
            <w:r>
              <w:rPr/>
              <w:t> </w:t>
            </w:r>
          </w:p>
        </w:tc>
        <w:tc>
          <w:tcPr>
            <w:tcW w:w="1405" w:type="dxa"/>
            <w:tcBorders>
              <w:bottom w:val="single" w:sz="8" w:space="0" w:color="F7ACBA"/>
            </w:tcBorders>
            <w:tcMar>
              <w:bottom w:w="60" w:type="dxa"/>
            </w:tcMar>
            <w:vAlign w:val="center"/>
          </w:tcPr>
          <w:p>
            <w:pPr>
              <w:pStyle w:val="TableContents"/>
              <w:bidi w:val="0"/>
              <w:spacing w:before="0" w:after="283"/>
              <w:jc w:val="right"/>
              <w:rPr/>
            </w:pPr>
            <w:r>
              <w:rPr/>
              <w:t>455,597</w:t>
            </w:r>
          </w:p>
        </w:tc>
        <w:tc>
          <w:tcPr>
            <w:tcW w:w="60" w:type="dxa"/>
            <w:tcBorders>
              <w:bottom w:val="single" w:sz="8" w:space="0" w:color="F7ACBA"/>
            </w:tcBorders>
            <w:tcMar>
              <w:bottom w:w="6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03" w:type="dxa"/>
            <w:tcBorders>
              <w:bottom w:val="single" w:sz="8" w:space="0" w:color="F7ACBA"/>
            </w:tcBorders>
            <w:tcMar>
              <w:bottom w:w="60" w:type="dxa"/>
            </w:tcMar>
            <w:vAlign w:val="center"/>
          </w:tcPr>
          <w:p>
            <w:pPr>
              <w:pStyle w:val="TableContents"/>
              <w:bidi w:val="0"/>
              <w:spacing w:before="0" w:after="283"/>
              <w:jc w:val="left"/>
              <w:rPr/>
            </w:pPr>
            <w:r>
              <w:rPr/>
              <w:t> </w:t>
            </w:r>
          </w:p>
        </w:tc>
        <w:tc>
          <w:tcPr>
            <w:tcW w:w="1387" w:type="dxa"/>
            <w:tcBorders>
              <w:bottom w:val="single" w:sz="8" w:space="0" w:color="F7ACBA"/>
            </w:tcBorders>
            <w:tcMar>
              <w:bottom w:w="60" w:type="dxa"/>
            </w:tcMar>
            <w:vAlign w:val="center"/>
          </w:tcPr>
          <w:p>
            <w:pPr>
              <w:pStyle w:val="TableContents"/>
              <w:bidi w:val="0"/>
              <w:spacing w:before="0" w:after="283"/>
              <w:jc w:val="right"/>
              <w:rPr/>
            </w:pPr>
            <w:r>
              <w:rPr/>
              <w:t>585,286</w:t>
            </w:r>
          </w:p>
        </w:tc>
        <w:tc>
          <w:tcPr>
            <w:tcW w:w="60" w:type="dxa"/>
            <w:tcBorders>
              <w:bottom w:val="single" w:sz="8" w:space="0" w:color="F7ACBA"/>
            </w:tcBorders>
            <w:tcMar>
              <w:bottom w:w="6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60" w:type="dxa"/>
            </w:tcMar>
            <w:vAlign w:val="center"/>
          </w:tcPr>
          <w:p>
            <w:pPr>
              <w:pStyle w:val="TableContents"/>
              <w:bidi w:val="0"/>
              <w:spacing w:before="0" w:after="283"/>
              <w:jc w:val="left"/>
              <w:rPr/>
            </w:pPr>
            <w:r>
              <w:rPr/>
              <w:t> </w:t>
            </w:r>
          </w:p>
        </w:tc>
        <w:tc>
          <w:tcPr>
            <w:tcW w:w="1100" w:type="dxa"/>
            <w:tcBorders>
              <w:bottom w:val="single" w:sz="8" w:space="0" w:color="F7ACBA"/>
            </w:tcBorders>
            <w:tcMar>
              <w:bottom w:w="60" w:type="dxa"/>
            </w:tcMar>
            <w:vAlign w:val="center"/>
          </w:tcPr>
          <w:p>
            <w:pPr>
              <w:pStyle w:val="TableContents"/>
              <w:bidi w:val="0"/>
              <w:spacing w:before="0" w:after="283"/>
              <w:jc w:val="right"/>
              <w:rPr>
                <w:b/>
              </w:rPr>
            </w:pPr>
            <w:r>
              <w:rPr>
                <w:b/>
              </w:rPr>
              <w:t>5,671,962</w:t>
            </w:r>
          </w:p>
        </w:tc>
        <w:tc>
          <w:tcPr>
            <w:tcW w:w="75" w:type="dxa"/>
            <w:tcBorders>
              <w:bottom w:val="single" w:sz="8" w:space="0" w:color="F7ACBA"/>
            </w:tcBorders>
            <w:tcMar>
              <w:bottom w:w="60" w:type="dxa"/>
            </w:tcM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r>
      <w:tr>
        <w:trPr/>
        <w:tc>
          <w:tcPr>
            <w:tcW w:w="1520" w:type="dxa"/>
            <w:vMerge w:val="restart"/>
            <w:tcBorders>
              <w:bottom w:val="single" w:sz="8" w:space="0" w:color="F7ACBA"/>
            </w:tcBorders>
            <w:tcMar>
              <w:bottom w:w="80" w:type="dxa"/>
            </w:tcMar>
            <w:vAlign w:val="center"/>
          </w:tcPr>
          <w:p>
            <w:pPr>
              <w:pStyle w:val="TableContents"/>
              <w:bidi w:val="0"/>
              <w:spacing w:before="0" w:after="0"/>
              <w:jc w:val="left"/>
              <w:rPr>
                <w:rFonts w:ascii="arial" w:hAnsi="arial"/>
                <w:b/>
                <w:sz w:val="18"/>
              </w:rPr>
            </w:pPr>
            <w:r>
              <w:rPr>
                <w:rFonts w:ascii="arial" w:hAnsi="arial"/>
                <w:b/>
                <w:sz w:val="18"/>
              </w:rPr>
              <w:t>Gregory Unis(6)</w:t>
            </w:r>
          </w:p>
          <w:p>
            <w:pPr>
              <w:pStyle w:val="TableContents"/>
              <w:bidi w:val="0"/>
              <w:spacing w:before="0" w:after="20"/>
              <w:jc w:val="left"/>
              <w:rPr>
                <w:rFonts w:ascii="arial" w:hAnsi="arial"/>
                <w:sz w:val="16"/>
              </w:rPr>
            </w:pPr>
            <w:r>
              <w:rPr>
                <w:rFonts w:ascii="arial" w:hAnsi="arial"/>
                <w:sz w:val="16"/>
              </w:rPr>
              <w:t>Brand President, Victoria’s Secret and PINK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sz w:val="16"/>
              </w:rPr>
            </w:pPr>
            <w:r>
              <w:rPr>
                <w:sz w:val="16"/>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sz w:val="16"/>
              </w:rPr>
            </w:pPr>
            <w:r>
              <w:rPr>
                <w:sz w:val="16"/>
              </w:rPr>
              <w:t>997,358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sz w:val="16"/>
              </w:rPr>
            </w:pPr>
            <w:r>
              <w:rPr>
                <w:sz w:val="16"/>
              </w:rPr>
              <w:t>3,561,545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405" w:type="dxa"/>
            <w:tcBorders/>
            <w:vAlign w:val="center"/>
          </w:tcPr>
          <w:p>
            <w:pPr>
              <w:pStyle w:val="TableContents"/>
              <w:bidi w:val="0"/>
              <w:spacing w:before="0" w:after="283"/>
              <w:jc w:val="right"/>
              <w:rPr>
                <w:sz w:val="16"/>
              </w:rPr>
            </w:pPr>
            <w:r>
              <w:rPr>
                <w:sz w:val="16"/>
              </w:rPr>
              <w:t>634,671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387" w:type="dxa"/>
            <w:tcBorders/>
            <w:vAlign w:val="center"/>
          </w:tcPr>
          <w:p>
            <w:pPr>
              <w:pStyle w:val="TableContents"/>
              <w:bidi w:val="0"/>
              <w:spacing w:before="0" w:after="283"/>
              <w:jc w:val="right"/>
              <w:rPr>
                <w:sz w:val="16"/>
              </w:rPr>
            </w:pPr>
            <w:r>
              <w:rPr>
                <w:sz w:val="16"/>
              </w:rPr>
              <w:t>36,385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b/>
                <w:sz w:val="16"/>
              </w:rPr>
            </w:pPr>
            <w:r>
              <w:rPr>
                <w:b/>
                <w:sz w:val="16"/>
              </w:rPr>
              <w:t>5,229,959</w:t>
            </w:r>
          </w:p>
        </w:tc>
        <w:tc>
          <w:tcPr>
            <w:tcW w:w="75" w:type="dxa"/>
            <w:tcBorders/>
            <w:vAlign w:val="center"/>
          </w:tcPr>
          <w:p>
            <w:pPr>
              <w:pStyle w:val="TableContents"/>
              <w:bidi w:val="0"/>
              <w:spacing w:before="0" w:after="283"/>
              <w:jc w:val="left"/>
              <w:rPr/>
            </w:pPr>
            <w:r>
              <w:rPr/>
              <w:t> </w:t>
            </w:r>
          </w:p>
        </w:tc>
      </w:tr>
      <w:tr>
        <w:trPr/>
        <w:tc>
          <w:tcPr>
            <w:tcW w:w="1520" w:type="dxa"/>
            <w:vMerge w:val="continue"/>
            <w:tcBorders>
              <w:bottom w:val="single" w:sz="8" w:space="0" w:color="F7ACBA"/>
            </w:tcBorders>
            <w:tcMar>
              <w:bottom w:w="80" w:type="dxa"/>
            </w:tcMar>
            <w:vAlign w:val="center"/>
          </w:tcPr>
          <w:p>
            <w:pPr>
              <w:pStyle w:val="Normal"/>
              <w:bidi w:val="0"/>
              <w:jc w:val="left"/>
              <w:rPr/>
            </w:pPr>
            <w:r>
              <w:rPr/>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500" w:type="dxa"/>
            <w:tcBorders>
              <w:bottom w:val="single" w:sz="6" w:space="0" w:color="FBDDE3"/>
            </w:tcBorders>
            <w:tcMar>
              <w:bottom w:w="60" w:type="dxa"/>
            </w:tcMar>
            <w:vAlign w:val="center"/>
          </w:tcPr>
          <w:p>
            <w:pPr>
              <w:pStyle w:val="TableContents"/>
              <w:bidi w:val="0"/>
              <w:spacing w:before="0" w:after="283"/>
              <w:jc w:val="right"/>
              <w:rPr/>
            </w:pPr>
            <w:r>
              <w:rPr/>
              <w:t>2022</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880,000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700,000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2,617,456</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5" w:type="dxa"/>
            <w:tcBorders>
              <w:bottom w:val="single" w:sz="6" w:space="0" w:color="FBDDE3"/>
            </w:tcBorders>
            <w:tcMar>
              <w:bottom w:w="60" w:type="dxa"/>
            </w:tcMar>
            <w:vAlign w:val="center"/>
          </w:tcPr>
          <w:p>
            <w:pPr>
              <w:pStyle w:val="TableContents"/>
              <w:bidi w:val="0"/>
              <w:spacing w:before="0" w:after="283"/>
              <w:jc w:val="left"/>
              <w:rPr/>
            </w:pPr>
            <w:r>
              <w:rPr/>
              <w:t> </w:t>
            </w:r>
          </w:p>
        </w:tc>
        <w:tc>
          <w:tcPr>
            <w:tcW w:w="1405" w:type="dxa"/>
            <w:tcBorders>
              <w:bottom w:val="single" w:sz="6" w:space="0" w:color="FBDDE3"/>
            </w:tcBorders>
            <w:tcMar>
              <w:bottom w:w="60" w:type="dxa"/>
            </w:tcMar>
            <w:vAlign w:val="center"/>
          </w:tcPr>
          <w:p>
            <w:pPr>
              <w:pStyle w:val="TableContents"/>
              <w:bidi w:val="0"/>
              <w:spacing w:before="0" w:after="283"/>
              <w:jc w:val="right"/>
              <w:rPr/>
            </w:pPr>
            <w:r>
              <w:rPr/>
              <w:t>524,198</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03" w:type="dxa"/>
            <w:tcBorders>
              <w:bottom w:val="single" w:sz="6" w:space="0" w:color="FBDDE3"/>
            </w:tcBorders>
            <w:tcMar>
              <w:bottom w:w="60" w:type="dxa"/>
            </w:tcMar>
            <w:vAlign w:val="center"/>
          </w:tcPr>
          <w:p>
            <w:pPr>
              <w:pStyle w:val="TableContents"/>
              <w:bidi w:val="0"/>
              <w:spacing w:before="0" w:after="283"/>
              <w:jc w:val="left"/>
              <w:rPr/>
            </w:pPr>
            <w:r>
              <w:rPr/>
              <w:t> </w:t>
            </w:r>
          </w:p>
        </w:tc>
        <w:tc>
          <w:tcPr>
            <w:tcW w:w="1387" w:type="dxa"/>
            <w:tcBorders>
              <w:bottom w:val="single" w:sz="6" w:space="0" w:color="FBDDE3"/>
            </w:tcBorders>
            <w:tcMar>
              <w:bottom w:w="60" w:type="dxa"/>
            </w:tcMar>
            <w:vAlign w:val="center"/>
          </w:tcPr>
          <w:p>
            <w:pPr>
              <w:pStyle w:val="TableContents"/>
              <w:bidi w:val="0"/>
              <w:spacing w:before="0" w:after="283"/>
              <w:jc w:val="right"/>
              <w:rPr/>
            </w:pPr>
            <w:r>
              <w:rPr/>
              <w:t>31,281</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b/>
              </w:rPr>
            </w:pPr>
            <w:r>
              <w:rPr>
                <w:b/>
              </w:rPr>
              <w:t>4,752,935</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520" w:type="dxa"/>
            <w:vMerge w:val="continue"/>
            <w:tcBorders>
              <w:bottom w:val="single" w:sz="8" w:space="0" w:color="F7ACBA"/>
            </w:tcBorders>
            <w:tcMar>
              <w:bottom w:w="80" w:type="dxa"/>
            </w:tcMar>
            <w:vAlign w:val="center"/>
          </w:tcPr>
          <w:p>
            <w:pPr>
              <w:pStyle w:val="Normal"/>
              <w:bidi w:val="0"/>
              <w:jc w:val="left"/>
              <w:rPr/>
            </w:pPr>
            <w:r>
              <w:rPr/>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500" w:type="dxa"/>
            <w:tcBorders>
              <w:bottom w:val="single" w:sz="8" w:space="0" w:color="F7ACBA"/>
            </w:tcBorders>
            <w:tcMar>
              <w:bottom w:w="80" w:type="dxa"/>
            </w:tcMar>
            <w:vAlign w:val="center"/>
          </w:tcPr>
          <w:p>
            <w:pPr>
              <w:pStyle w:val="TableContents"/>
              <w:bidi w:val="0"/>
              <w:spacing w:before="0" w:after="283"/>
              <w:jc w:val="right"/>
              <w:rPr/>
            </w:pPr>
            <w:r>
              <w:rPr/>
              <w:t>2021</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980" w:type="dxa"/>
            <w:tcBorders>
              <w:bottom w:val="single" w:sz="8" w:space="0" w:color="F7ACBA"/>
            </w:tcBorders>
            <w:tcMar>
              <w:bottom w:w="80" w:type="dxa"/>
            </w:tcMar>
            <w:vAlign w:val="center"/>
          </w:tcPr>
          <w:p>
            <w:pPr>
              <w:pStyle w:val="TableContents"/>
              <w:bidi w:val="0"/>
              <w:spacing w:before="0" w:after="283"/>
              <w:jc w:val="right"/>
              <w:rPr/>
            </w:pPr>
            <w:r>
              <w:rPr/>
              <w:t>874,808</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980" w:type="dxa"/>
            <w:tcBorders>
              <w:bottom w:val="single" w:sz="8" w:space="0" w:color="F7ACBA"/>
            </w:tcBorders>
            <w:tcMar>
              <w:bottom w:w="80" w:type="dxa"/>
            </w:tcMar>
            <w:vAlign w:val="center"/>
          </w:tcPr>
          <w:p>
            <w:pPr>
              <w:pStyle w:val="TableContents"/>
              <w:bidi w:val="0"/>
              <w:spacing w:before="0" w:after="283"/>
              <w:jc w:val="right"/>
              <w:rPr/>
            </w:pPr>
            <w:r>
              <w:rPr/>
              <w:t>1,400,000</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980" w:type="dxa"/>
            <w:tcBorders>
              <w:bottom w:val="single" w:sz="8" w:space="0" w:color="F7ACBA"/>
            </w:tcBorders>
            <w:tcMar>
              <w:bottom w:w="80" w:type="dxa"/>
            </w:tcMar>
            <w:vAlign w:val="center"/>
          </w:tcPr>
          <w:p>
            <w:pPr>
              <w:pStyle w:val="TableContents"/>
              <w:bidi w:val="0"/>
              <w:spacing w:before="0" w:after="283"/>
              <w:jc w:val="right"/>
              <w:rPr/>
            </w:pPr>
            <w:r>
              <w:rPr/>
              <w:t>660,002</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800" w:type="dxa"/>
            <w:tcBorders>
              <w:bottom w:val="single" w:sz="8" w:space="0" w:color="F7ACBA"/>
            </w:tcBorders>
            <w:tcMar>
              <w:bottom w:w="80" w:type="dxa"/>
            </w:tcMar>
            <w:vAlign w:val="center"/>
          </w:tcPr>
          <w:p>
            <w:pPr>
              <w:pStyle w:val="TableContents"/>
              <w:bidi w:val="0"/>
              <w:spacing w:before="0" w:after="283"/>
              <w:jc w:val="right"/>
              <w:rPr/>
            </w:pPr>
            <w:r>
              <w:rPr/>
              <w:t>220,001</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85" w:type="dxa"/>
            <w:tcBorders>
              <w:bottom w:val="single" w:sz="8" w:space="0" w:color="F7ACBA"/>
            </w:tcBorders>
            <w:tcMar>
              <w:bottom w:w="80" w:type="dxa"/>
            </w:tcMar>
            <w:vAlign w:val="center"/>
          </w:tcPr>
          <w:p>
            <w:pPr>
              <w:pStyle w:val="TableContents"/>
              <w:bidi w:val="0"/>
              <w:spacing w:before="0" w:after="283"/>
              <w:jc w:val="left"/>
              <w:rPr/>
            </w:pPr>
            <w:r>
              <w:rPr/>
              <w:t> </w:t>
            </w:r>
          </w:p>
        </w:tc>
        <w:tc>
          <w:tcPr>
            <w:tcW w:w="1405" w:type="dxa"/>
            <w:tcBorders>
              <w:bottom w:val="single" w:sz="8" w:space="0" w:color="F7ACBA"/>
            </w:tcBorders>
            <w:tcMar>
              <w:bottom w:w="80" w:type="dxa"/>
            </w:tcMar>
            <w:vAlign w:val="center"/>
          </w:tcPr>
          <w:p>
            <w:pPr>
              <w:pStyle w:val="TableContents"/>
              <w:bidi w:val="0"/>
              <w:spacing w:before="0" w:after="283"/>
              <w:jc w:val="right"/>
              <w:rPr/>
            </w:pPr>
            <w:r>
              <w:rPr/>
              <w:t>2,257,763</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03" w:type="dxa"/>
            <w:tcBorders>
              <w:bottom w:val="single" w:sz="8" w:space="0" w:color="F7ACBA"/>
            </w:tcBorders>
            <w:tcMar>
              <w:bottom w:w="80" w:type="dxa"/>
            </w:tcMar>
            <w:vAlign w:val="center"/>
          </w:tcPr>
          <w:p>
            <w:pPr>
              <w:pStyle w:val="TableContents"/>
              <w:bidi w:val="0"/>
              <w:spacing w:before="0" w:after="283"/>
              <w:jc w:val="left"/>
              <w:rPr/>
            </w:pPr>
            <w:r>
              <w:rPr/>
              <w:t> </w:t>
            </w:r>
          </w:p>
        </w:tc>
        <w:tc>
          <w:tcPr>
            <w:tcW w:w="1387" w:type="dxa"/>
            <w:tcBorders>
              <w:bottom w:val="single" w:sz="8" w:space="0" w:color="F7ACBA"/>
            </w:tcBorders>
            <w:tcMar>
              <w:bottom w:w="80" w:type="dxa"/>
            </w:tcMar>
            <w:vAlign w:val="center"/>
          </w:tcPr>
          <w:p>
            <w:pPr>
              <w:pStyle w:val="TableContents"/>
              <w:bidi w:val="0"/>
              <w:spacing w:before="0" w:after="283"/>
              <w:jc w:val="right"/>
              <w:rPr/>
            </w:pPr>
            <w:r>
              <w:rPr/>
              <w:t>179,144</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1100" w:type="dxa"/>
            <w:tcBorders>
              <w:bottom w:val="single" w:sz="8" w:space="0" w:color="F7ACBA"/>
            </w:tcBorders>
            <w:tcMar>
              <w:bottom w:w="80" w:type="dxa"/>
            </w:tcMar>
            <w:vAlign w:val="center"/>
          </w:tcPr>
          <w:p>
            <w:pPr>
              <w:pStyle w:val="TableContents"/>
              <w:bidi w:val="0"/>
              <w:spacing w:before="0" w:after="283"/>
              <w:jc w:val="right"/>
              <w:rPr>
                <w:b/>
              </w:rPr>
            </w:pPr>
            <w:r>
              <w:rPr>
                <w:b/>
              </w:rPr>
              <w:t>5,597,399</w:t>
            </w:r>
          </w:p>
        </w:tc>
        <w:tc>
          <w:tcPr>
            <w:tcW w:w="75" w:type="dxa"/>
            <w:tcBorders>
              <w:bottom w:val="single" w:sz="8" w:space="0" w:color="F7ACBA"/>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305"/>
        <w:gridCol w:w="7325"/>
      </w:tblGrid>
      <w:tr>
        <w:trPr/>
        <w:tc>
          <w:tcPr>
            <w:tcW w:w="305" w:type="dxa"/>
            <w:tcBorders/>
            <w:vAlign w:val="center"/>
          </w:tcPr>
          <w:p>
            <w:pPr>
              <w:pStyle w:val="TableContents"/>
              <w:bidi w:val="0"/>
              <w:spacing w:before="0" w:after="283"/>
              <w:jc w:val="left"/>
              <w:rPr/>
            </w:pPr>
            <w:r>
              <w:rPr/>
              <w:t>(1)</w:t>
            </w:r>
          </w:p>
        </w:tc>
        <w:tc>
          <w:tcPr>
            <w:tcW w:w="7325" w:type="dxa"/>
            <w:tcBorders/>
            <w:vAlign w:val="center"/>
          </w:tcPr>
          <w:p>
            <w:pPr>
              <w:pStyle w:val="TableContents"/>
              <w:bidi w:val="0"/>
              <w:spacing w:before="0" w:after="0"/>
              <w:jc w:val="left"/>
              <w:rPr>
                <w:rFonts w:ascii="arial" w:hAnsi="arial"/>
                <w:sz w:val="14"/>
              </w:rPr>
            </w:pPr>
            <w:r>
              <w:rPr>
                <w:rFonts w:ascii="arial" w:hAnsi="arial"/>
                <w:sz w:val="14"/>
              </w:rPr>
              <w:t xml:space="preserve">The amounts reported for 2023 represent a sign on bonus paid on the one-year anniversary of Ms. Rupp’s start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(2)</w:t>
            </w:r>
          </w:p>
        </w:tc>
        <w:tc>
          <w:tcPr>
            <w:tcW w:w="9961" w:type="dxa"/>
            <w:tcBorders/>
            <w:vAlign w:val="center"/>
          </w:tcPr>
          <w:p>
            <w:pPr>
              <w:pStyle w:val="TableContents"/>
              <w:bidi w:val="0"/>
              <w:spacing w:before="0" w:after="0"/>
              <w:jc w:val="left"/>
              <w:rPr>
                <w:rFonts w:ascii="arial" w:hAnsi="arial"/>
                <w:sz w:val="14"/>
              </w:rPr>
            </w:pPr>
            <w:r>
              <w:rPr>
                <w:rFonts w:ascii="arial" w:hAnsi="arial"/>
                <w:sz w:val="14"/>
              </w:rPr>
              <w:t xml:space="preserve">The amounts reported represent the aggregate grant date fair value computed in accordance with FASB ASC Topic 718 of PSUs (at target) and RSUs granted during the fiscal year. The amounts reported do not represent amounts paid to or realized by the NEOs. Assumptions used in the calculation of the stock awards included in this column are included in Note 19 to the consolidated financial statements included in the Company’s Annual Report on Form 10-K for the year ended February 3, 2024. The accounting values of the PSUs granted during fiscal 2023 assuming that the highest level of performance conditions will be achieved are: Mr. Waters—$12,902,377; Mr. Johnson—$1,843,198; Ms. McAfee—$1,670,382; Ms. Rupp—$2,269,409; Mr. Unis—$3,813,104. </w:t>
            </w:r>
          </w:p>
        </w:tc>
      </w:tr>
    </w:tbl>
    <w:p>
      <w:pPr>
        <w:pStyle w:val="TextBody"/>
        <w:bidi w:val="0"/>
        <w:spacing w:before="0" w:after="0"/>
        <w:jc w:val="left"/>
        <w:rPr/>
      </w:pPr>
      <w:r>
        <w:rPr/>
        <w:t> </w:t>
      </w:r>
    </w:p>
    <w:tbl>
      <w:tblPr>
        <w:tblW w:w="10165" w:type="dxa"/>
        <w:jc w:val="left"/>
        <w:tblInd w:w="0" w:type="dxa"/>
        <w:tblLayout w:type="fixed"/>
        <w:tblCellMar>
          <w:top w:w="0" w:type="dxa"/>
          <w:left w:w="0" w:type="dxa"/>
          <w:bottom w:w="0" w:type="dxa"/>
          <w:right w:w="0" w:type="dxa"/>
        </w:tblCellMar>
      </w:tblPr>
      <w:tblGrid>
        <w:gridCol w:w="305"/>
        <w:gridCol w:w="9860"/>
      </w:tblGrid>
      <w:tr>
        <w:trPr/>
        <w:tc>
          <w:tcPr>
            <w:tcW w:w="305" w:type="dxa"/>
            <w:tcBorders/>
            <w:vAlign w:val="center"/>
          </w:tcPr>
          <w:p>
            <w:pPr>
              <w:pStyle w:val="TableContents"/>
              <w:bidi w:val="0"/>
              <w:spacing w:before="0" w:after="283"/>
              <w:jc w:val="left"/>
              <w:rPr/>
            </w:pPr>
            <w:r>
              <w:rPr/>
              <w:t>(3)</w:t>
            </w:r>
          </w:p>
        </w:tc>
        <w:tc>
          <w:tcPr>
            <w:tcW w:w="9860" w:type="dxa"/>
            <w:tcBorders/>
            <w:vAlign w:val="center"/>
          </w:tcPr>
          <w:p>
            <w:pPr>
              <w:pStyle w:val="TableContents"/>
              <w:bidi w:val="0"/>
              <w:spacing w:before="0" w:after="0"/>
              <w:jc w:val="left"/>
              <w:rPr>
                <w:rFonts w:ascii="arial" w:hAnsi="arial"/>
                <w:sz w:val="14"/>
              </w:rPr>
            </w:pPr>
            <w:r>
              <w:rPr>
                <w:rFonts w:ascii="arial" w:hAnsi="arial"/>
                <w:sz w:val="14"/>
              </w:rPr>
              <w:t xml:space="preserve">The amounts reported represent the aggregate grant date fair value computed in accordance with FASB ASC Topic 718 of stock options granted to our NEOs.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(4)</w:t>
            </w:r>
          </w:p>
        </w:tc>
        <w:tc>
          <w:tcPr>
            <w:tcW w:w="9951" w:type="dxa"/>
            <w:tcBorders/>
            <w:vAlign w:val="center"/>
          </w:tcPr>
          <w:p>
            <w:pPr>
              <w:pStyle w:val="TableContents"/>
              <w:bidi w:val="0"/>
              <w:spacing w:before="0" w:after="0"/>
              <w:jc w:val="left"/>
              <w:rPr>
                <w:rFonts w:ascii="arial" w:hAnsi="arial"/>
                <w:sz w:val="14"/>
              </w:rPr>
            </w:pPr>
            <w:r>
              <w:rPr>
                <w:rFonts w:ascii="arial" w:hAnsi="arial"/>
                <w:sz w:val="14"/>
              </w:rPr>
              <w:t xml:space="preserve">The amounts reported represent the aggregate value of the non-equity performance-based incentive compensation paid for the applicable Spring and Fall selling seasons and the annual performance period based on the full fiscal year, as applicable. Incentive compensation targets are set based on a percentage of base salary and are paid both seasonally and annually based on the achievement of adjusted operating income and revenue results. </w:t>
            </w:r>
          </w:p>
        </w:tc>
      </w:tr>
    </w:tbl>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15"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04" descr=""/>
                          <pic:cNvPicPr>
                            <a:picLocks noChangeAspect="1" noChangeArrowheads="1"/>
                          </pic:cNvPicPr>
                        </pic:nvPicPr>
                        <pic:blipFill>
                          <a:blip r:embed="rId105"/>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60 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COMPENSATION DISCUSSION AND ANALYSIS </w:t>
      </w:r>
    </w:p>
    <w:p>
      <w:pPr>
        <w:pStyle w:val="TextBody"/>
        <w:bidi w:val="0"/>
        <w:spacing w:before="0" w:after="0"/>
        <w:jc w:val="left"/>
        <w:rPr/>
      </w:pPr>
      <w:r>
        <w:rPr/>
        <w:t> </w:t>
      </w:r>
    </w:p>
    <w:tbl>
      <w:tblPr>
        <w:tblW w:w="8200" w:type="dxa"/>
        <w:jc w:val="left"/>
        <w:tblInd w:w="0" w:type="dxa"/>
        <w:tblLayout w:type="fixed"/>
        <w:tblCellMar>
          <w:top w:w="0" w:type="dxa"/>
          <w:left w:w="0" w:type="dxa"/>
          <w:bottom w:w="0" w:type="dxa"/>
          <w:right w:w="0" w:type="dxa"/>
        </w:tblCellMar>
      </w:tblPr>
      <w:tblGrid>
        <w:gridCol w:w="305"/>
        <w:gridCol w:w="7895"/>
      </w:tblGrid>
      <w:tr>
        <w:trPr/>
        <w:tc>
          <w:tcPr>
            <w:tcW w:w="305" w:type="dxa"/>
            <w:tcBorders/>
            <w:vAlign w:val="center"/>
          </w:tcPr>
          <w:p>
            <w:pPr>
              <w:pStyle w:val="TableContents"/>
              <w:bidi w:val="0"/>
              <w:spacing w:before="0" w:after="283"/>
              <w:jc w:val="left"/>
              <w:rPr/>
            </w:pPr>
            <w:r>
              <w:rPr/>
              <w:t>(5)</w:t>
            </w:r>
          </w:p>
        </w:tc>
        <w:tc>
          <w:tcPr>
            <w:tcW w:w="7895" w:type="dxa"/>
            <w:tcBorders/>
            <w:vAlign w:val="center"/>
          </w:tcPr>
          <w:p>
            <w:pPr>
              <w:pStyle w:val="TableContents"/>
              <w:bidi w:val="0"/>
              <w:spacing w:before="0" w:after="0"/>
              <w:jc w:val="left"/>
              <w:rPr>
                <w:rFonts w:ascii="arial" w:hAnsi="arial"/>
                <w:sz w:val="14"/>
              </w:rPr>
            </w:pPr>
            <w:r>
              <w:rPr>
                <w:rFonts w:ascii="arial" w:hAnsi="arial"/>
                <w:sz w:val="14"/>
              </w:rPr>
              <w:t xml:space="preserve">The elements of compensation included in the “All Other Compensation” column for fiscal 2023 are set forth in the table below. </w:t>
            </w:r>
          </w:p>
        </w:tc>
      </w:tr>
    </w:tbl>
    <w:p>
      <w:pPr>
        <w:pStyle w:val="TextBody"/>
        <w:bidi w:val="0"/>
        <w:spacing w:before="0" w:after="0"/>
        <w:jc w:val="left"/>
        <w:rPr/>
      </w:pPr>
      <w:r>
        <w:rPr/>
        <w:t> </w:t>
      </w:r>
    </w:p>
    <w:tbl>
      <w:tblPr>
        <w:tblW w:w="7405" w:type="dxa"/>
        <w:jc w:val="left"/>
        <w:tblInd w:w="0" w:type="dxa"/>
        <w:tblLayout w:type="fixed"/>
        <w:tblCellMar>
          <w:top w:w="0" w:type="dxa"/>
          <w:left w:w="0" w:type="dxa"/>
          <w:bottom w:w="0" w:type="dxa"/>
          <w:right w:w="0" w:type="dxa"/>
        </w:tblCellMar>
      </w:tblPr>
      <w:tblGrid>
        <w:gridCol w:w="1430"/>
        <w:gridCol w:w="60"/>
        <w:gridCol w:w="162"/>
        <w:gridCol w:w="1838"/>
        <w:gridCol w:w="60"/>
        <w:gridCol w:w="60"/>
        <w:gridCol w:w="309"/>
        <w:gridCol w:w="1961"/>
        <w:gridCol w:w="60"/>
        <w:gridCol w:w="60"/>
        <w:gridCol w:w="141"/>
        <w:gridCol w:w="329"/>
        <w:gridCol w:w="60"/>
        <w:gridCol w:w="60"/>
        <w:gridCol w:w="60"/>
        <w:gridCol w:w="680"/>
        <w:gridCol w:w="75"/>
      </w:tblGrid>
      <w:tr>
        <w:trPr/>
        <w:tc>
          <w:tcPr>
            <w:tcW w:w="1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30" w:type="dxa"/>
            <w:tcBorders/>
            <w:shd w:fill="FDEEF1" w:val="clear"/>
            <w:vAlign w:val="center"/>
          </w:tcPr>
          <w:p>
            <w:pPr>
              <w:pStyle w:val="TableContents"/>
              <w:bidi w:val="0"/>
              <w:spacing w:before="0" w:after="283"/>
              <w:jc w:val="left"/>
              <w:rPr>
                <w:sz w:val="4"/>
                <w:szCs w:val="4"/>
              </w:rPr>
            </w:pPr>
            <w:r>
              <w:rPr>
                <w:sz w:val="4"/>
                <w:szCs w:val="4"/>
              </w:rPr>
            </w:r>
          </w:p>
        </w:tc>
        <w:tc>
          <w:tcPr>
            <w:tcW w:w="2120" w:type="dxa"/>
            <w:gridSpan w:val="4"/>
            <w:tcBorders/>
            <w:shd w:fill="FDEEF1" w:val="clear"/>
            <w:vAlign w:val="center"/>
          </w:tcPr>
          <w:p>
            <w:pPr>
              <w:pStyle w:val="TableContents"/>
              <w:bidi w:val="0"/>
              <w:spacing w:before="0" w:after="283"/>
              <w:jc w:val="left"/>
              <w:rPr>
                <w:sz w:val="4"/>
                <w:szCs w:val="4"/>
              </w:rPr>
            </w:pPr>
            <w:r>
              <w:rPr>
                <w:sz w:val="4"/>
                <w:szCs w:val="4"/>
              </w:rPr>
            </w:r>
          </w:p>
        </w:tc>
        <w:tc>
          <w:tcPr>
            <w:tcW w:w="2390" w:type="dxa"/>
            <w:gridSpan w:val="4"/>
            <w:tcBorders/>
            <w:shd w:fill="FDEEF1" w:val="clear"/>
            <w:vAlign w:val="center"/>
          </w:tcPr>
          <w:p>
            <w:pPr>
              <w:pStyle w:val="TableContents"/>
              <w:bidi w:val="0"/>
              <w:spacing w:before="0" w:after="283"/>
              <w:jc w:val="left"/>
              <w:rPr>
                <w:sz w:val="4"/>
                <w:szCs w:val="4"/>
              </w:rPr>
            </w:pPr>
            <w:r>
              <w:rPr>
                <w:sz w:val="4"/>
                <w:szCs w:val="4"/>
              </w:rPr>
            </w:r>
          </w:p>
        </w:tc>
        <w:tc>
          <w:tcPr>
            <w:tcW w:w="590" w:type="dxa"/>
            <w:gridSpan w:val="4"/>
            <w:tcBorders/>
            <w:shd w:fill="FDEEF1" w:val="clear"/>
            <w:vAlign w:val="center"/>
          </w:tcPr>
          <w:p>
            <w:pPr>
              <w:pStyle w:val="TableContents"/>
              <w:bidi w:val="0"/>
              <w:spacing w:before="0" w:after="283"/>
              <w:jc w:val="left"/>
              <w:rPr>
                <w:sz w:val="4"/>
                <w:szCs w:val="4"/>
              </w:rPr>
            </w:pPr>
            <w:r>
              <w:rPr>
                <w:sz w:val="4"/>
                <w:szCs w:val="4"/>
              </w:rPr>
            </w:r>
          </w:p>
        </w:tc>
        <w:tc>
          <w:tcPr>
            <w:tcW w:w="875" w:type="dxa"/>
            <w:gridSpan w:val="4"/>
            <w:tcBorders/>
            <w:shd w:fill="FDEEF1" w:val="clear"/>
            <w:vAlign w:val="center"/>
          </w:tcPr>
          <w:p>
            <w:pPr>
              <w:pStyle w:val="TableContents"/>
              <w:bidi w:val="0"/>
              <w:spacing w:before="0" w:after="283"/>
              <w:jc w:val="left"/>
              <w:rPr>
                <w:sz w:val="4"/>
                <w:szCs w:val="4"/>
              </w:rPr>
            </w:pPr>
            <w:r>
              <w:rPr>
                <w:sz w:val="4"/>
                <w:szCs w:val="4"/>
              </w:rPr>
            </w:r>
          </w:p>
        </w:tc>
      </w:tr>
      <w:tr>
        <w:trPr/>
        <w:tc>
          <w:tcPr>
            <w:tcW w:w="1430" w:type="dxa"/>
            <w:tcBorders/>
            <w:shd w:fill="FDEEF1" w:val="clear"/>
            <w:vAlign w:val="center"/>
          </w:tcPr>
          <w:p>
            <w:pPr>
              <w:pStyle w:val="TableContents"/>
              <w:bidi w:val="0"/>
              <w:spacing w:before="0" w:after="0"/>
              <w:jc w:val="left"/>
              <w:rPr>
                <w:rFonts w:ascii="arial" w:hAnsi="arial"/>
                <w:b/>
                <w:sz w:val="16"/>
              </w:rPr>
            </w:pPr>
            <w:r>
              <w:rPr>
                <w:rFonts w:ascii="arial" w:hAnsi="arial"/>
                <w:b/>
                <w:sz w:val="16"/>
              </w:rPr>
              <w:t>Name</w:t>
            </w:r>
          </w:p>
        </w:tc>
        <w:tc>
          <w:tcPr>
            <w:tcW w:w="60" w:type="dxa"/>
            <w:tcBorders/>
            <w:shd w:fill="FDEEF1" w:val="clear"/>
            <w:vAlign w:val="center"/>
          </w:tcPr>
          <w:p>
            <w:pPr>
              <w:pStyle w:val="TableContents"/>
              <w:bidi w:val="0"/>
              <w:spacing w:before="0" w:after="283"/>
              <w:jc w:val="left"/>
              <w:rPr/>
            </w:pPr>
            <w:r>
              <w:rPr/>
              <w:t> </w:t>
            </w:r>
          </w:p>
        </w:tc>
        <w:tc>
          <w:tcPr>
            <w:tcW w:w="2000" w:type="dxa"/>
            <w:gridSpan w:val="2"/>
            <w:tcBorders/>
            <w:shd w:fill="FDEEF1" w:val="clear"/>
            <w:vAlign w:val="center"/>
          </w:tcPr>
          <w:p>
            <w:pPr>
              <w:pStyle w:val="TableContents"/>
              <w:bidi w:val="0"/>
              <w:spacing w:before="0" w:after="0"/>
              <w:jc w:val="center"/>
              <w:rPr>
                <w:rFonts w:ascii="arial" w:hAnsi="arial"/>
                <w:b/>
                <w:sz w:val="16"/>
              </w:rPr>
            </w:pPr>
            <w:r>
              <w:rPr>
                <w:rFonts w:ascii="arial" w:hAnsi="arial"/>
                <w:b/>
                <w:sz w:val="16"/>
              </w:rPr>
              <w:t>Company</w:t>
              <w:br/>
              <w:t>Contributions to the</w:t>
              <w:br/>
              <w:t>Executive’s Qualified</w:t>
              <w:br/>
              <w:t>and Non-Qualified</w:t>
              <w:br/>
              <w:t>Retirement Plan Account</w:t>
            </w:r>
          </w:p>
          <w:p>
            <w:pPr>
              <w:pStyle w:val="TableContents"/>
              <w:bidi w:val="0"/>
              <w:spacing w:before="0" w:after="20"/>
              <w:jc w:val="center"/>
              <w:rPr>
                <w:rFonts w:ascii="arial" w:hAnsi="arial"/>
                <w:b/>
                <w:sz w:val="16"/>
              </w:rPr>
            </w:pPr>
            <w:r>
              <w:rPr>
                <w:rFonts w:ascii="arial" w:hAnsi="arial"/>
                <w:b/>
                <w:sz w:val="16"/>
              </w:rPr>
              <w:t>($)</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2270" w:type="dxa"/>
            <w:gridSpan w:val="2"/>
            <w:tcBorders/>
            <w:shd w:fill="FDEEF1" w:val="clear"/>
            <w:vAlign w:val="center"/>
          </w:tcPr>
          <w:p>
            <w:pPr>
              <w:pStyle w:val="TableContents"/>
              <w:bidi w:val="0"/>
              <w:spacing w:before="0" w:after="283"/>
              <w:jc w:val="center"/>
              <w:rPr>
                <w:b/>
              </w:rPr>
            </w:pPr>
            <w:r>
              <w:rPr>
                <w:b/>
              </w:rPr>
              <w:t>Incremental</w:t>
              <w:br/>
              <w:t>Company Cost to</w:t>
              <w:br/>
              <w:t>Provide Supplemental</w:t>
              <w:br/>
              <w:t>Life and Disability</w:t>
              <w:br/>
              <w:t>Insurance Coverage</w:t>
              <w:br/>
              <w:t>($)</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470" w:type="dxa"/>
            <w:gridSpan w:val="2"/>
            <w:tcBorders/>
            <w:shd w:fill="FDEEF1" w:val="clear"/>
            <w:vAlign w:val="center"/>
          </w:tcPr>
          <w:p>
            <w:pPr>
              <w:pStyle w:val="TableContents"/>
              <w:bidi w:val="0"/>
              <w:spacing w:before="0" w:after="0"/>
              <w:jc w:val="center"/>
              <w:rPr>
                <w:rFonts w:ascii="arial" w:hAnsi="arial"/>
                <w:b/>
                <w:sz w:val="16"/>
              </w:rPr>
            </w:pPr>
            <w:r>
              <w:rPr>
                <w:rFonts w:ascii="arial" w:hAnsi="arial"/>
                <w:b/>
                <w:sz w:val="16"/>
              </w:rPr>
              <w:t>Other</w:t>
            </w:r>
          </w:p>
          <w:p>
            <w:pPr>
              <w:pStyle w:val="TableContents"/>
              <w:bidi w:val="0"/>
              <w:spacing w:before="0" w:after="20"/>
              <w:jc w:val="center"/>
              <w:rPr>
                <w:rFonts w:ascii="arial" w:hAnsi="arial"/>
                <w:b/>
                <w:sz w:val="16"/>
              </w:rPr>
            </w:pPr>
            <w:r>
              <w:rPr>
                <w:rFonts w:ascii="arial" w:hAnsi="arial"/>
                <w:b/>
                <w:sz w:val="16"/>
              </w:rPr>
              <w:t>($)</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740" w:type="dxa"/>
            <w:gridSpan w:val="2"/>
            <w:tcBorders/>
            <w:shd w:fill="FDEEF1" w:val="clear"/>
            <w:vAlign w:val="center"/>
          </w:tcPr>
          <w:p>
            <w:pPr>
              <w:pStyle w:val="TableContents"/>
              <w:bidi w:val="0"/>
              <w:spacing w:before="0" w:after="283"/>
              <w:jc w:val="center"/>
              <w:rPr>
                <w:b/>
              </w:rPr>
            </w:pPr>
            <w:r>
              <w:rPr>
                <w:b/>
              </w:rPr>
              <w:t>Total</w:t>
              <w:br/>
              <w:t>($)</w:t>
            </w:r>
          </w:p>
        </w:tc>
        <w:tc>
          <w:tcPr>
            <w:tcW w:w="75" w:type="dxa"/>
            <w:tcBorders/>
            <w:shd w:fill="FDEEF1" w:val="cle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sz w:val="4"/>
                <w:szCs w:val="4"/>
              </w:rPr>
            </w:pPr>
            <w:r>
              <w:rPr>
                <w:sz w:val="4"/>
                <w:szCs w:val="4"/>
              </w:rPr>
            </w:r>
          </w:p>
        </w:tc>
        <w:tc>
          <w:tcPr>
            <w:tcW w:w="2120" w:type="dxa"/>
            <w:gridSpan w:val="4"/>
            <w:tcBorders/>
            <w:vAlign w:val="center"/>
          </w:tcPr>
          <w:p>
            <w:pPr>
              <w:pStyle w:val="TableContents"/>
              <w:bidi w:val="0"/>
              <w:spacing w:before="0" w:after="283"/>
              <w:jc w:val="left"/>
              <w:rPr>
                <w:sz w:val="4"/>
                <w:szCs w:val="4"/>
              </w:rPr>
            </w:pPr>
            <w:r>
              <w:rPr>
                <w:sz w:val="4"/>
                <w:szCs w:val="4"/>
              </w:rPr>
            </w:r>
          </w:p>
        </w:tc>
        <w:tc>
          <w:tcPr>
            <w:tcW w:w="23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43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Martin Waters</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62" w:type="dxa"/>
            <w:tcBorders>
              <w:bottom w:val="single" w:sz="6" w:space="0" w:color="FBDDE3"/>
            </w:tcBorders>
            <w:tcMar>
              <w:bottom w:w="60" w:type="dxa"/>
            </w:tcMar>
            <w:vAlign w:val="center"/>
          </w:tcPr>
          <w:p>
            <w:pPr>
              <w:pStyle w:val="TableContents"/>
              <w:bidi w:val="0"/>
              <w:spacing w:before="0" w:after="283"/>
              <w:jc w:val="left"/>
              <w:rPr/>
            </w:pPr>
            <w:r>
              <w:rPr/>
              <w:t> </w:t>
            </w:r>
          </w:p>
        </w:tc>
        <w:tc>
          <w:tcPr>
            <w:tcW w:w="1838" w:type="dxa"/>
            <w:tcBorders>
              <w:bottom w:val="single" w:sz="6" w:space="0" w:color="FBDDE3"/>
            </w:tcBorders>
            <w:tcMar>
              <w:bottom w:w="60" w:type="dxa"/>
            </w:tcMar>
            <w:vAlign w:val="center"/>
          </w:tcPr>
          <w:p>
            <w:pPr>
              <w:pStyle w:val="TableContents"/>
              <w:bidi w:val="0"/>
              <w:spacing w:before="0" w:after="283"/>
              <w:jc w:val="right"/>
              <w:rPr/>
            </w:pPr>
            <w:r>
              <w:rPr/>
              <w:t>34,685</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309" w:type="dxa"/>
            <w:tcBorders>
              <w:bottom w:val="single" w:sz="6" w:space="0" w:color="FBDDE3"/>
            </w:tcBorders>
            <w:tcMar>
              <w:bottom w:w="60" w:type="dxa"/>
            </w:tcMar>
            <w:vAlign w:val="center"/>
          </w:tcPr>
          <w:p>
            <w:pPr>
              <w:pStyle w:val="TableContents"/>
              <w:bidi w:val="0"/>
              <w:spacing w:before="0" w:after="283"/>
              <w:jc w:val="left"/>
              <w:rPr/>
            </w:pPr>
            <w:r>
              <w:rPr/>
              <w:t> </w:t>
            </w:r>
          </w:p>
        </w:tc>
        <w:tc>
          <w:tcPr>
            <w:tcW w:w="1961" w:type="dxa"/>
            <w:tcBorders>
              <w:bottom w:val="single" w:sz="6" w:space="0" w:color="FBDDE3"/>
            </w:tcBorders>
            <w:tcMar>
              <w:bottom w:w="60" w:type="dxa"/>
            </w:tcMar>
            <w:vAlign w:val="center"/>
          </w:tcPr>
          <w:p>
            <w:pPr>
              <w:pStyle w:val="TableContents"/>
              <w:bidi w:val="0"/>
              <w:spacing w:before="0" w:after="283"/>
              <w:jc w:val="right"/>
              <w:rPr/>
            </w:pPr>
            <w:r>
              <w:rPr/>
              <w:t>630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41" w:type="dxa"/>
            <w:tcBorders>
              <w:bottom w:val="single" w:sz="6" w:space="0" w:color="FBDDE3"/>
            </w:tcBorders>
            <w:tcMar>
              <w:bottom w:w="60" w:type="dxa"/>
            </w:tcMar>
            <w:vAlign w:val="center"/>
          </w:tcPr>
          <w:p>
            <w:pPr>
              <w:pStyle w:val="TableContents"/>
              <w:bidi w:val="0"/>
              <w:spacing w:before="0" w:after="283"/>
              <w:jc w:val="left"/>
              <w:rPr/>
            </w:pPr>
            <w:r>
              <w:rPr/>
              <w:t> </w:t>
            </w:r>
          </w:p>
        </w:tc>
        <w:tc>
          <w:tcPr>
            <w:tcW w:w="329" w:type="dxa"/>
            <w:tcBorders>
              <w:bottom w:val="single" w:sz="6" w:space="0" w:color="FBDDE3"/>
            </w:tcBorders>
            <w:tcMar>
              <w:bottom w:w="60" w:type="dxa"/>
            </w:tcMar>
            <w:vAlign w:val="center"/>
          </w:tcPr>
          <w:p>
            <w:pPr>
              <w:pStyle w:val="TableContents"/>
              <w:bidi w:val="0"/>
              <w:spacing w:before="0" w:after="283"/>
              <w:jc w:val="right"/>
              <w:rPr/>
            </w:pPr>
            <w:r>
              <w:rPr/>
              <w:t>–</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80" w:type="dxa"/>
            <w:tcBorders>
              <w:bottom w:val="single" w:sz="6" w:space="0" w:color="FBDDE3"/>
            </w:tcBorders>
            <w:tcMar>
              <w:bottom w:w="60" w:type="dxa"/>
            </w:tcMar>
            <w:vAlign w:val="center"/>
          </w:tcPr>
          <w:p>
            <w:pPr>
              <w:pStyle w:val="TableContents"/>
              <w:bidi w:val="0"/>
              <w:spacing w:before="0" w:after="283"/>
              <w:jc w:val="right"/>
              <w:rPr/>
            </w:pPr>
            <w:r>
              <w:rPr/>
              <w:t>35,315</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sz w:val="4"/>
                <w:szCs w:val="4"/>
              </w:rPr>
            </w:pPr>
            <w:r>
              <w:rPr>
                <w:sz w:val="4"/>
                <w:szCs w:val="4"/>
              </w:rPr>
            </w:r>
          </w:p>
        </w:tc>
        <w:tc>
          <w:tcPr>
            <w:tcW w:w="2120" w:type="dxa"/>
            <w:gridSpan w:val="4"/>
            <w:tcBorders/>
            <w:vAlign w:val="center"/>
          </w:tcPr>
          <w:p>
            <w:pPr>
              <w:pStyle w:val="TableContents"/>
              <w:bidi w:val="0"/>
              <w:spacing w:before="0" w:after="283"/>
              <w:jc w:val="left"/>
              <w:rPr>
                <w:sz w:val="4"/>
                <w:szCs w:val="4"/>
              </w:rPr>
            </w:pPr>
            <w:r>
              <w:rPr>
                <w:sz w:val="4"/>
                <w:szCs w:val="4"/>
              </w:rPr>
            </w:r>
          </w:p>
        </w:tc>
        <w:tc>
          <w:tcPr>
            <w:tcW w:w="23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43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Timothy Johnson</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62" w:type="dxa"/>
            <w:tcBorders>
              <w:bottom w:val="single" w:sz="6" w:space="0" w:color="FBDDE3"/>
            </w:tcBorders>
            <w:tcMar>
              <w:bottom w:w="60" w:type="dxa"/>
            </w:tcMar>
            <w:vAlign w:val="center"/>
          </w:tcPr>
          <w:p>
            <w:pPr>
              <w:pStyle w:val="TableContents"/>
              <w:bidi w:val="0"/>
              <w:spacing w:before="0" w:after="283"/>
              <w:jc w:val="left"/>
              <w:rPr/>
            </w:pPr>
            <w:r>
              <w:rPr/>
              <w:t> </w:t>
            </w:r>
          </w:p>
        </w:tc>
        <w:tc>
          <w:tcPr>
            <w:tcW w:w="1838" w:type="dxa"/>
            <w:tcBorders>
              <w:bottom w:val="single" w:sz="6" w:space="0" w:color="FBDDE3"/>
            </w:tcBorders>
            <w:tcMar>
              <w:bottom w:w="60" w:type="dxa"/>
            </w:tcMar>
            <w:vAlign w:val="center"/>
          </w:tcPr>
          <w:p>
            <w:pPr>
              <w:pStyle w:val="TableContents"/>
              <w:bidi w:val="0"/>
              <w:spacing w:before="0" w:after="283"/>
              <w:jc w:val="right"/>
              <w:rPr/>
            </w:pPr>
            <w:r>
              <w:rPr/>
              <w:t>34,301</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309" w:type="dxa"/>
            <w:tcBorders>
              <w:bottom w:val="single" w:sz="6" w:space="0" w:color="FBDDE3"/>
            </w:tcBorders>
            <w:tcMar>
              <w:bottom w:w="60" w:type="dxa"/>
            </w:tcMar>
            <w:vAlign w:val="center"/>
          </w:tcPr>
          <w:p>
            <w:pPr>
              <w:pStyle w:val="TableContents"/>
              <w:bidi w:val="0"/>
              <w:spacing w:before="0" w:after="283"/>
              <w:jc w:val="left"/>
              <w:rPr/>
            </w:pPr>
            <w:r>
              <w:rPr/>
              <w:t> </w:t>
            </w:r>
          </w:p>
        </w:tc>
        <w:tc>
          <w:tcPr>
            <w:tcW w:w="1961" w:type="dxa"/>
            <w:tcBorders>
              <w:bottom w:val="single" w:sz="6" w:space="0" w:color="FBDDE3"/>
            </w:tcBorders>
            <w:tcMar>
              <w:bottom w:w="60" w:type="dxa"/>
            </w:tcMar>
            <w:vAlign w:val="center"/>
          </w:tcPr>
          <w:p>
            <w:pPr>
              <w:pStyle w:val="TableContents"/>
              <w:bidi w:val="0"/>
              <w:spacing w:before="0" w:after="283"/>
              <w:jc w:val="right"/>
              <w:rPr/>
            </w:pPr>
            <w:r>
              <w:rPr/>
              <w:t>672</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41" w:type="dxa"/>
            <w:tcBorders>
              <w:bottom w:val="single" w:sz="6" w:space="0" w:color="FBDDE3"/>
            </w:tcBorders>
            <w:tcMar>
              <w:bottom w:w="60" w:type="dxa"/>
            </w:tcMar>
            <w:vAlign w:val="center"/>
          </w:tcPr>
          <w:p>
            <w:pPr>
              <w:pStyle w:val="TableContents"/>
              <w:bidi w:val="0"/>
              <w:spacing w:before="0" w:after="283"/>
              <w:jc w:val="left"/>
              <w:rPr/>
            </w:pPr>
            <w:r>
              <w:rPr/>
              <w:t> </w:t>
            </w:r>
          </w:p>
        </w:tc>
        <w:tc>
          <w:tcPr>
            <w:tcW w:w="329" w:type="dxa"/>
            <w:tcBorders>
              <w:bottom w:val="single" w:sz="6" w:space="0" w:color="FBDDE3"/>
            </w:tcBorders>
            <w:tcMar>
              <w:bottom w:w="60" w:type="dxa"/>
            </w:tcMar>
            <w:vAlign w:val="center"/>
          </w:tcPr>
          <w:p>
            <w:pPr>
              <w:pStyle w:val="TableContents"/>
              <w:bidi w:val="0"/>
              <w:spacing w:before="0" w:after="283"/>
              <w:jc w:val="right"/>
              <w:rPr/>
            </w:pPr>
            <w:r>
              <w:rPr/>
              <w:t>–</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80" w:type="dxa"/>
            <w:tcBorders>
              <w:bottom w:val="single" w:sz="6" w:space="0" w:color="FBDDE3"/>
            </w:tcBorders>
            <w:tcMar>
              <w:bottom w:w="60" w:type="dxa"/>
            </w:tcMar>
            <w:vAlign w:val="center"/>
          </w:tcPr>
          <w:p>
            <w:pPr>
              <w:pStyle w:val="TableContents"/>
              <w:bidi w:val="0"/>
              <w:spacing w:before="0" w:after="283"/>
              <w:jc w:val="right"/>
              <w:rPr/>
            </w:pPr>
            <w:r>
              <w:rPr/>
              <w:t>34,973</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sz w:val="4"/>
                <w:szCs w:val="4"/>
              </w:rPr>
            </w:pPr>
            <w:r>
              <w:rPr>
                <w:sz w:val="4"/>
                <w:szCs w:val="4"/>
              </w:rPr>
            </w:r>
          </w:p>
        </w:tc>
        <w:tc>
          <w:tcPr>
            <w:tcW w:w="2120" w:type="dxa"/>
            <w:gridSpan w:val="4"/>
            <w:tcBorders/>
            <w:vAlign w:val="center"/>
          </w:tcPr>
          <w:p>
            <w:pPr>
              <w:pStyle w:val="TableContents"/>
              <w:bidi w:val="0"/>
              <w:spacing w:before="0" w:after="283"/>
              <w:jc w:val="left"/>
              <w:rPr>
                <w:sz w:val="4"/>
                <w:szCs w:val="4"/>
              </w:rPr>
            </w:pPr>
            <w:r>
              <w:rPr>
                <w:sz w:val="4"/>
                <w:szCs w:val="4"/>
              </w:rPr>
            </w:r>
          </w:p>
        </w:tc>
        <w:tc>
          <w:tcPr>
            <w:tcW w:w="23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43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Melinda McAfee</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62" w:type="dxa"/>
            <w:tcBorders>
              <w:bottom w:val="single" w:sz="6" w:space="0" w:color="FBDDE3"/>
            </w:tcBorders>
            <w:tcMar>
              <w:bottom w:w="60" w:type="dxa"/>
            </w:tcMar>
            <w:vAlign w:val="center"/>
          </w:tcPr>
          <w:p>
            <w:pPr>
              <w:pStyle w:val="TableContents"/>
              <w:bidi w:val="0"/>
              <w:spacing w:before="0" w:after="283"/>
              <w:jc w:val="left"/>
              <w:rPr/>
            </w:pPr>
            <w:r>
              <w:rPr/>
              <w:t> </w:t>
            </w:r>
          </w:p>
        </w:tc>
        <w:tc>
          <w:tcPr>
            <w:tcW w:w="1838" w:type="dxa"/>
            <w:tcBorders>
              <w:bottom w:val="single" w:sz="6" w:space="0" w:color="FBDDE3"/>
            </w:tcBorders>
            <w:tcMar>
              <w:bottom w:w="60" w:type="dxa"/>
            </w:tcMar>
            <w:vAlign w:val="center"/>
          </w:tcPr>
          <w:p>
            <w:pPr>
              <w:pStyle w:val="TableContents"/>
              <w:bidi w:val="0"/>
              <w:spacing w:before="0" w:after="283"/>
              <w:jc w:val="right"/>
              <w:rPr/>
            </w:pPr>
            <w:r>
              <w:rPr/>
              <w:t>29,086</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309" w:type="dxa"/>
            <w:tcBorders>
              <w:bottom w:val="single" w:sz="6" w:space="0" w:color="FBDDE3"/>
            </w:tcBorders>
            <w:tcMar>
              <w:bottom w:w="60" w:type="dxa"/>
            </w:tcMar>
            <w:vAlign w:val="center"/>
          </w:tcPr>
          <w:p>
            <w:pPr>
              <w:pStyle w:val="TableContents"/>
              <w:bidi w:val="0"/>
              <w:spacing w:before="0" w:after="283"/>
              <w:jc w:val="left"/>
              <w:rPr/>
            </w:pPr>
            <w:r>
              <w:rPr/>
              <w:t> </w:t>
            </w:r>
          </w:p>
        </w:tc>
        <w:tc>
          <w:tcPr>
            <w:tcW w:w="1961" w:type="dxa"/>
            <w:tcBorders>
              <w:bottom w:val="single" w:sz="6" w:space="0" w:color="FBDDE3"/>
            </w:tcBorders>
            <w:tcMar>
              <w:bottom w:w="60" w:type="dxa"/>
            </w:tcMar>
            <w:vAlign w:val="center"/>
          </w:tcPr>
          <w:p>
            <w:pPr>
              <w:pStyle w:val="TableContents"/>
              <w:bidi w:val="0"/>
              <w:spacing w:before="0" w:after="283"/>
              <w:jc w:val="right"/>
              <w:rPr/>
            </w:pPr>
            <w:r>
              <w:rPr/>
              <w:t>609</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41" w:type="dxa"/>
            <w:tcBorders>
              <w:bottom w:val="single" w:sz="6" w:space="0" w:color="FBDDE3"/>
            </w:tcBorders>
            <w:tcMar>
              <w:bottom w:w="60" w:type="dxa"/>
            </w:tcMar>
            <w:vAlign w:val="center"/>
          </w:tcPr>
          <w:p>
            <w:pPr>
              <w:pStyle w:val="TableContents"/>
              <w:bidi w:val="0"/>
              <w:spacing w:before="0" w:after="283"/>
              <w:jc w:val="left"/>
              <w:rPr/>
            </w:pPr>
            <w:r>
              <w:rPr/>
              <w:t> </w:t>
            </w:r>
          </w:p>
        </w:tc>
        <w:tc>
          <w:tcPr>
            <w:tcW w:w="329" w:type="dxa"/>
            <w:tcBorders>
              <w:bottom w:val="single" w:sz="6" w:space="0" w:color="FBDDE3"/>
            </w:tcBorders>
            <w:tcMar>
              <w:bottom w:w="60" w:type="dxa"/>
            </w:tcMar>
            <w:vAlign w:val="center"/>
          </w:tcPr>
          <w:p>
            <w:pPr>
              <w:pStyle w:val="TableContents"/>
              <w:bidi w:val="0"/>
              <w:spacing w:before="0" w:after="283"/>
              <w:jc w:val="right"/>
              <w:rPr/>
            </w:pPr>
            <w:r>
              <w:rPr/>
              <w:t>–</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80" w:type="dxa"/>
            <w:tcBorders>
              <w:bottom w:val="single" w:sz="6" w:space="0" w:color="FBDDE3"/>
            </w:tcBorders>
            <w:tcMar>
              <w:bottom w:w="60" w:type="dxa"/>
            </w:tcMar>
            <w:vAlign w:val="center"/>
          </w:tcPr>
          <w:p>
            <w:pPr>
              <w:pStyle w:val="TableContents"/>
              <w:bidi w:val="0"/>
              <w:spacing w:before="0" w:after="283"/>
              <w:jc w:val="right"/>
              <w:rPr/>
            </w:pPr>
            <w:r>
              <w:rPr/>
              <w:t>29,695</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sz w:val="4"/>
                <w:szCs w:val="4"/>
              </w:rPr>
            </w:pPr>
            <w:r>
              <w:rPr>
                <w:sz w:val="4"/>
                <w:szCs w:val="4"/>
              </w:rPr>
            </w:r>
          </w:p>
        </w:tc>
        <w:tc>
          <w:tcPr>
            <w:tcW w:w="2120" w:type="dxa"/>
            <w:gridSpan w:val="4"/>
            <w:tcBorders/>
            <w:vAlign w:val="center"/>
          </w:tcPr>
          <w:p>
            <w:pPr>
              <w:pStyle w:val="TableContents"/>
              <w:bidi w:val="0"/>
              <w:spacing w:before="0" w:after="283"/>
              <w:jc w:val="left"/>
              <w:rPr>
                <w:sz w:val="4"/>
                <w:szCs w:val="4"/>
              </w:rPr>
            </w:pPr>
            <w:r>
              <w:rPr>
                <w:sz w:val="4"/>
                <w:szCs w:val="4"/>
              </w:rPr>
            </w:r>
          </w:p>
        </w:tc>
        <w:tc>
          <w:tcPr>
            <w:tcW w:w="23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43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Christine Rupp</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62" w:type="dxa"/>
            <w:tcBorders>
              <w:bottom w:val="single" w:sz="6" w:space="0" w:color="FBDDE3"/>
            </w:tcBorders>
            <w:tcMar>
              <w:bottom w:w="60" w:type="dxa"/>
            </w:tcMar>
            <w:vAlign w:val="center"/>
          </w:tcPr>
          <w:p>
            <w:pPr>
              <w:pStyle w:val="TableContents"/>
              <w:bidi w:val="0"/>
              <w:spacing w:before="0" w:after="283"/>
              <w:jc w:val="left"/>
              <w:rPr/>
            </w:pPr>
            <w:r>
              <w:rPr/>
              <w:t> </w:t>
            </w:r>
          </w:p>
        </w:tc>
        <w:tc>
          <w:tcPr>
            <w:tcW w:w="1838" w:type="dxa"/>
            <w:tcBorders>
              <w:bottom w:val="single" w:sz="6" w:space="0" w:color="FBDDE3"/>
            </w:tcBorders>
            <w:tcMar>
              <w:bottom w:w="60" w:type="dxa"/>
            </w:tcMar>
            <w:vAlign w:val="center"/>
          </w:tcPr>
          <w:p>
            <w:pPr>
              <w:pStyle w:val="TableContents"/>
              <w:bidi w:val="0"/>
              <w:spacing w:before="0" w:after="283"/>
              <w:jc w:val="right"/>
              <w:rPr/>
            </w:pPr>
            <w:r>
              <w:rPr/>
              <w:t>17,464</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309" w:type="dxa"/>
            <w:tcBorders>
              <w:bottom w:val="single" w:sz="6" w:space="0" w:color="FBDDE3"/>
            </w:tcBorders>
            <w:tcMar>
              <w:bottom w:w="60" w:type="dxa"/>
            </w:tcMar>
            <w:vAlign w:val="center"/>
          </w:tcPr>
          <w:p>
            <w:pPr>
              <w:pStyle w:val="TableContents"/>
              <w:bidi w:val="0"/>
              <w:spacing w:before="0" w:after="283"/>
              <w:jc w:val="left"/>
              <w:rPr/>
            </w:pPr>
            <w:r>
              <w:rPr/>
              <w:t> </w:t>
            </w:r>
          </w:p>
        </w:tc>
        <w:tc>
          <w:tcPr>
            <w:tcW w:w="1961" w:type="dxa"/>
            <w:tcBorders>
              <w:bottom w:val="single" w:sz="6" w:space="0" w:color="FBDDE3"/>
            </w:tcBorders>
            <w:tcMar>
              <w:bottom w:w="60" w:type="dxa"/>
            </w:tcMar>
            <w:vAlign w:val="center"/>
          </w:tcPr>
          <w:p>
            <w:pPr>
              <w:pStyle w:val="TableContents"/>
              <w:bidi w:val="0"/>
              <w:spacing w:before="0" w:after="283"/>
              <w:jc w:val="right"/>
              <w:rPr/>
            </w:pPr>
            <w:r>
              <w:rPr/>
              <w:t>827</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41" w:type="dxa"/>
            <w:tcBorders>
              <w:bottom w:val="single" w:sz="6" w:space="0" w:color="FBDDE3"/>
            </w:tcBorders>
            <w:tcMar>
              <w:bottom w:w="60" w:type="dxa"/>
            </w:tcMar>
            <w:vAlign w:val="center"/>
          </w:tcPr>
          <w:p>
            <w:pPr>
              <w:pStyle w:val="TableContents"/>
              <w:bidi w:val="0"/>
              <w:spacing w:before="0" w:after="283"/>
              <w:jc w:val="left"/>
              <w:rPr/>
            </w:pPr>
            <w:r>
              <w:rPr/>
              <w:t> </w:t>
            </w:r>
          </w:p>
        </w:tc>
        <w:tc>
          <w:tcPr>
            <w:tcW w:w="329" w:type="dxa"/>
            <w:tcBorders>
              <w:bottom w:val="single" w:sz="6" w:space="0" w:color="FBDDE3"/>
            </w:tcBorders>
            <w:tcMar>
              <w:bottom w:w="60" w:type="dxa"/>
            </w:tcMar>
            <w:vAlign w:val="center"/>
          </w:tcPr>
          <w:p>
            <w:pPr>
              <w:pStyle w:val="TableContents"/>
              <w:bidi w:val="0"/>
              <w:spacing w:before="0" w:after="283"/>
              <w:jc w:val="right"/>
              <w:rPr/>
            </w:pPr>
            <w:r>
              <w:rPr/>
              <w:t>–</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80" w:type="dxa"/>
            <w:tcBorders>
              <w:bottom w:val="single" w:sz="6" w:space="0" w:color="FBDDE3"/>
            </w:tcBorders>
            <w:tcMar>
              <w:bottom w:w="60" w:type="dxa"/>
            </w:tcMar>
            <w:vAlign w:val="center"/>
          </w:tcPr>
          <w:p>
            <w:pPr>
              <w:pStyle w:val="TableContents"/>
              <w:bidi w:val="0"/>
              <w:spacing w:before="0" w:after="283"/>
              <w:jc w:val="right"/>
              <w:rPr/>
            </w:pPr>
            <w:r>
              <w:rPr/>
              <w:t>18,291</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sz w:val="4"/>
                <w:szCs w:val="4"/>
              </w:rPr>
            </w:pPr>
            <w:r>
              <w:rPr>
                <w:sz w:val="4"/>
                <w:szCs w:val="4"/>
              </w:rPr>
            </w:r>
          </w:p>
        </w:tc>
        <w:tc>
          <w:tcPr>
            <w:tcW w:w="2120" w:type="dxa"/>
            <w:gridSpan w:val="4"/>
            <w:tcBorders/>
            <w:vAlign w:val="center"/>
          </w:tcPr>
          <w:p>
            <w:pPr>
              <w:pStyle w:val="TableContents"/>
              <w:bidi w:val="0"/>
              <w:spacing w:before="0" w:after="283"/>
              <w:jc w:val="left"/>
              <w:rPr>
                <w:sz w:val="4"/>
                <w:szCs w:val="4"/>
              </w:rPr>
            </w:pPr>
            <w:r>
              <w:rPr>
                <w:sz w:val="4"/>
                <w:szCs w:val="4"/>
              </w:rPr>
            </w:r>
          </w:p>
        </w:tc>
        <w:tc>
          <w:tcPr>
            <w:tcW w:w="2390" w:type="dxa"/>
            <w:gridSpan w:val="4"/>
            <w:tcBorders/>
            <w:vAlign w:val="center"/>
          </w:tcPr>
          <w:p>
            <w:pPr>
              <w:pStyle w:val="TableContents"/>
              <w:bidi w:val="0"/>
              <w:spacing w:before="0" w:after="283"/>
              <w:jc w:val="left"/>
              <w:rPr>
                <w:sz w:val="4"/>
                <w:szCs w:val="4"/>
              </w:rPr>
            </w:pPr>
            <w:r>
              <w:rPr>
                <w:sz w:val="4"/>
                <w:szCs w:val="4"/>
              </w:rPr>
            </w:r>
          </w:p>
        </w:tc>
        <w:tc>
          <w:tcPr>
            <w:tcW w:w="590" w:type="dxa"/>
            <w:gridSpan w:val="4"/>
            <w:tcBorders/>
            <w:vAlign w:val="center"/>
          </w:tcPr>
          <w:p>
            <w:pPr>
              <w:pStyle w:val="TableContents"/>
              <w:bidi w:val="0"/>
              <w:spacing w:before="0" w:after="283"/>
              <w:jc w:val="left"/>
              <w:rPr>
                <w:sz w:val="4"/>
                <w:szCs w:val="4"/>
              </w:rPr>
            </w:pPr>
            <w:r>
              <w:rPr>
                <w:sz w:val="4"/>
                <w:szCs w:val="4"/>
              </w:rPr>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1430" w:type="dxa"/>
            <w:tcBorders>
              <w:bottom w:val="single" w:sz="8" w:space="0" w:color="F7ACBA"/>
            </w:tcBorders>
            <w:tcMar>
              <w:bottom w:w="80" w:type="dxa"/>
            </w:tcMar>
            <w:vAlign w:val="center"/>
          </w:tcPr>
          <w:p>
            <w:pPr>
              <w:pStyle w:val="TableContents"/>
              <w:bidi w:val="0"/>
              <w:spacing w:before="0" w:after="0"/>
              <w:jc w:val="left"/>
              <w:rPr>
                <w:rFonts w:ascii="arial" w:hAnsi="arial"/>
                <w:sz w:val="18"/>
              </w:rPr>
            </w:pPr>
            <w:r>
              <w:rPr>
                <w:rFonts w:ascii="arial" w:hAnsi="arial"/>
                <w:sz w:val="18"/>
              </w:rPr>
              <w:t>Gregory Unis</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62" w:type="dxa"/>
            <w:tcBorders>
              <w:bottom w:val="single" w:sz="8" w:space="0" w:color="F7ACBA"/>
            </w:tcBorders>
            <w:tcMar>
              <w:bottom w:w="80" w:type="dxa"/>
            </w:tcMar>
            <w:vAlign w:val="center"/>
          </w:tcPr>
          <w:p>
            <w:pPr>
              <w:pStyle w:val="TableContents"/>
              <w:bidi w:val="0"/>
              <w:spacing w:before="0" w:after="283"/>
              <w:jc w:val="left"/>
              <w:rPr/>
            </w:pPr>
            <w:r>
              <w:rPr/>
              <w:t> </w:t>
            </w:r>
          </w:p>
        </w:tc>
        <w:tc>
          <w:tcPr>
            <w:tcW w:w="1838" w:type="dxa"/>
            <w:tcBorders>
              <w:bottom w:val="single" w:sz="8" w:space="0" w:color="F7ACBA"/>
            </w:tcBorders>
            <w:tcMar>
              <w:bottom w:w="80" w:type="dxa"/>
            </w:tcMar>
            <w:vAlign w:val="center"/>
          </w:tcPr>
          <w:p>
            <w:pPr>
              <w:pStyle w:val="TableContents"/>
              <w:bidi w:val="0"/>
              <w:spacing w:before="0" w:after="283"/>
              <w:jc w:val="right"/>
              <w:rPr/>
            </w:pPr>
            <w:r>
              <w:rPr/>
              <w:t>35,600</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309" w:type="dxa"/>
            <w:tcBorders>
              <w:bottom w:val="single" w:sz="8" w:space="0" w:color="F7ACBA"/>
            </w:tcBorders>
            <w:tcMar>
              <w:bottom w:w="80" w:type="dxa"/>
            </w:tcMar>
            <w:vAlign w:val="center"/>
          </w:tcPr>
          <w:p>
            <w:pPr>
              <w:pStyle w:val="TableContents"/>
              <w:bidi w:val="0"/>
              <w:spacing w:before="0" w:after="283"/>
              <w:jc w:val="left"/>
              <w:rPr/>
            </w:pPr>
            <w:r>
              <w:rPr/>
              <w:t> </w:t>
            </w:r>
          </w:p>
        </w:tc>
        <w:tc>
          <w:tcPr>
            <w:tcW w:w="1961" w:type="dxa"/>
            <w:tcBorders>
              <w:bottom w:val="single" w:sz="8" w:space="0" w:color="F7ACBA"/>
            </w:tcBorders>
            <w:tcMar>
              <w:bottom w:w="80" w:type="dxa"/>
            </w:tcMar>
            <w:vAlign w:val="center"/>
          </w:tcPr>
          <w:p>
            <w:pPr>
              <w:pStyle w:val="TableContents"/>
              <w:bidi w:val="0"/>
              <w:spacing w:before="0" w:after="283"/>
              <w:jc w:val="right"/>
              <w:rPr/>
            </w:pPr>
            <w:r>
              <w:rPr/>
              <w:t>785</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41" w:type="dxa"/>
            <w:tcBorders>
              <w:bottom w:val="single" w:sz="8" w:space="0" w:color="F7ACBA"/>
            </w:tcBorders>
            <w:tcMar>
              <w:bottom w:w="80" w:type="dxa"/>
            </w:tcMar>
            <w:vAlign w:val="center"/>
          </w:tcPr>
          <w:p>
            <w:pPr>
              <w:pStyle w:val="TableContents"/>
              <w:bidi w:val="0"/>
              <w:spacing w:before="0" w:after="283"/>
              <w:jc w:val="left"/>
              <w:rPr/>
            </w:pPr>
            <w:r>
              <w:rPr/>
              <w:t> </w:t>
            </w:r>
          </w:p>
        </w:tc>
        <w:tc>
          <w:tcPr>
            <w:tcW w:w="329" w:type="dxa"/>
            <w:tcBorders>
              <w:bottom w:val="single" w:sz="8" w:space="0" w:color="F7ACBA"/>
            </w:tcBorders>
            <w:tcMar>
              <w:bottom w:w="80" w:type="dxa"/>
            </w:tcMar>
            <w:vAlign w:val="center"/>
          </w:tcPr>
          <w:p>
            <w:pPr>
              <w:pStyle w:val="TableContents"/>
              <w:bidi w:val="0"/>
              <w:spacing w:before="0" w:after="283"/>
              <w:jc w:val="right"/>
              <w:rPr/>
            </w:pPr>
            <w:r>
              <w:rPr/>
              <w:t>–</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80" w:type="dxa"/>
            <w:tcBorders>
              <w:bottom w:val="single" w:sz="8" w:space="0" w:color="F7ACBA"/>
            </w:tcBorders>
            <w:tcMar>
              <w:bottom w:w="80" w:type="dxa"/>
            </w:tcMar>
            <w:vAlign w:val="center"/>
          </w:tcPr>
          <w:p>
            <w:pPr>
              <w:pStyle w:val="TableContents"/>
              <w:bidi w:val="0"/>
              <w:spacing w:before="0" w:after="283"/>
              <w:jc w:val="right"/>
              <w:rPr/>
            </w:pPr>
            <w:r>
              <w:rPr/>
              <w:t>36,385</w:t>
            </w:r>
          </w:p>
        </w:tc>
        <w:tc>
          <w:tcPr>
            <w:tcW w:w="75" w:type="dxa"/>
            <w:tcBorders>
              <w:bottom w:val="single" w:sz="8" w:space="0" w:color="F7ACBA"/>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(6)</w:t>
            </w:r>
          </w:p>
        </w:tc>
        <w:tc>
          <w:tcPr>
            <w:tcW w:w="9945" w:type="dxa"/>
            <w:tcBorders/>
            <w:vAlign w:val="center"/>
          </w:tcPr>
          <w:p>
            <w:pPr>
              <w:pStyle w:val="TableContents"/>
              <w:bidi w:val="0"/>
              <w:spacing w:before="0" w:after="0"/>
              <w:jc w:val="left"/>
              <w:rPr>
                <w:rFonts w:ascii="arial" w:hAnsi="arial"/>
                <w:sz w:val="14"/>
              </w:rPr>
            </w:pPr>
            <w:r>
              <w:rPr>
                <w:rFonts w:ascii="arial" w:hAnsi="arial"/>
                <w:sz w:val="14"/>
              </w:rPr>
              <w:t xml:space="preserve">Mr. Unis took on additional responsibility as Brand President of Victoria’s Secret Lingerie and PINK, in addition to keeping his role as Head of Victoria’s Secret Beauty and New Business Development. In addition to his annual long-term incentive award grant, the amount shown includes $750,000 of RSUs and $864,000 of PSUs granted in connection with his expanded role. </w:t>
            </w:r>
          </w:p>
        </w:tc>
      </w:tr>
    </w:tbl>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16"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05" descr=""/>
                          <pic:cNvPicPr>
                            <a:picLocks noChangeAspect="1" noChangeArrowheads="1"/>
                          </pic:cNvPicPr>
                        </pic:nvPicPr>
                        <pic:blipFill>
                          <a:blip r:embed="rId106"/>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61 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COMPENSATION DISCUSSION AND ANALYSIS </w:t>
      </w:r>
    </w:p>
    <w:p>
      <w:pPr>
        <w:pStyle w:val="TextBody"/>
        <w:bidi w:val="0"/>
        <w:spacing w:before="0" w:after="0"/>
        <w:jc w:val="left"/>
        <w:rPr/>
      </w:pPr>
      <w:r>
        <w:rPr/>
        <w:t> </w:t>
      </w:r>
    </w:p>
    <w:p>
      <w:pPr>
        <w:pStyle w:val="TextBody"/>
        <w:bidi w:val="0"/>
        <w:spacing w:before="0" w:after="0"/>
        <w:jc w:val="left"/>
        <w:rPr>
          <w:rFonts w:ascii="arial" w:hAnsi="arial"/>
          <w:b/>
          <w:color w:val="F7ACBA"/>
          <w:sz w:val="24"/>
        </w:rPr>
      </w:pPr>
      <w:r>
        <w:rPr>
          <w:rFonts w:ascii="arial" w:hAnsi="arial"/>
          <w:b/>
          <w:color w:val="F7ACBA"/>
          <w:sz w:val="24"/>
        </w:rPr>
        <w:t xml:space="preserve">Grants of Plan-Based Awards for Fiscal 2023 </w:t>
      </w:r>
    </w:p>
    <w:p>
      <w:pPr>
        <w:pStyle w:val="TextBody"/>
        <w:bidi w:val="0"/>
        <w:spacing w:before="60" w:after="0"/>
        <w:jc w:val="left"/>
        <w:rPr>
          <w:rFonts w:ascii="arial" w:hAnsi="arial"/>
          <w:sz w:val="18"/>
        </w:rPr>
      </w:pPr>
      <w:r>
        <w:rPr>
          <w:rFonts w:ascii="arial" w:hAnsi="arial"/>
          <w:sz w:val="18"/>
        </w:rPr>
        <w:t xml:space="preserve">The following table provides information relating to plan-based awards and opportunities granted to the NEOs during fiscal 2023. </w:t>
      </w:r>
    </w:p>
    <w:p>
      <w:pPr>
        <w:pStyle w:val="TextBody"/>
        <w:bidi w:val="0"/>
        <w:spacing w:before="0" w:after="0"/>
        <w:jc w:val="left"/>
        <w:rPr/>
      </w:pPr>
      <w:r>
        <w:rPr/>
        <w:t> </w:t>
      </w:r>
    </w:p>
    <w:tbl>
      <w:tblPr>
        <w:tblW w:w="13020" w:type="dxa"/>
        <w:jc w:val="left"/>
        <w:tblInd w:w="0" w:type="dxa"/>
        <w:tblLayout w:type="fixed"/>
        <w:tblCellMar>
          <w:top w:w="0" w:type="dxa"/>
          <w:left w:w="0" w:type="dxa"/>
          <w:bottom w:w="0" w:type="dxa"/>
          <w:right w:w="0" w:type="dxa"/>
        </w:tblCellMar>
      </w:tblPr>
      <w:tblGrid>
        <w:gridCol w:w="1505"/>
        <w:gridCol w:w="60"/>
        <w:gridCol w:w="120"/>
        <w:gridCol w:w="515"/>
        <w:gridCol w:w="60"/>
        <w:gridCol w:w="60"/>
        <w:gridCol w:w="120"/>
        <w:gridCol w:w="875"/>
        <w:gridCol w:w="60"/>
        <w:gridCol w:w="60"/>
        <w:gridCol w:w="139"/>
        <w:gridCol w:w="931"/>
        <w:gridCol w:w="120"/>
        <w:gridCol w:w="60"/>
        <w:gridCol w:w="120"/>
        <w:gridCol w:w="980"/>
        <w:gridCol w:w="120"/>
        <w:gridCol w:w="60"/>
        <w:gridCol w:w="95"/>
        <w:gridCol w:w="980"/>
        <w:gridCol w:w="60"/>
        <w:gridCol w:w="60"/>
        <w:gridCol w:w="86"/>
        <w:gridCol w:w="984"/>
        <w:gridCol w:w="60"/>
        <w:gridCol w:w="60"/>
        <w:gridCol w:w="60"/>
        <w:gridCol w:w="800"/>
        <w:gridCol w:w="60"/>
        <w:gridCol w:w="60"/>
        <w:gridCol w:w="74"/>
        <w:gridCol w:w="996"/>
        <w:gridCol w:w="60"/>
        <w:gridCol w:w="60"/>
        <w:gridCol w:w="91"/>
        <w:gridCol w:w="1039"/>
        <w:gridCol w:w="60"/>
        <w:gridCol w:w="60"/>
        <w:gridCol w:w="67"/>
        <w:gridCol w:w="1108"/>
        <w:gridCol w:w="75"/>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05"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635" w:type="dxa"/>
            <w:gridSpan w:val="2"/>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995" w:type="dxa"/>
            <w:gridSpan w:val="2"/>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3605" w:type="dxa"/>
            <w:gridSpan w:val="10"/>
            <w:tcBorders>
              <w:bottom w:val="single" w:sz="8" w:space="0" w:color="000000"/>
            </w:tcBorders>
            <w:shd w:fill="FDEEF1" w:val="clear"/>
            <w:tcMar>
              <w:bottom w:w="28" w:type="dxa"/>
            </w:tcMar>
            <w:vAlign w:val="center"/>
          </w:tcPr>
          <w:p>
            <w:pPr>
              <w:pStyle w:val="TableContents"/>
              <w:bidi w:val="0"/>
              <w:spacing w:before="0" w:after="283"/>
              <w:jc w:val="center"/>
              <w:rPr>
                <w:b/>
              </w:rPr>
            </w:pPr>
            <w:r>
              <w:rPr>
                <w:b/>
              </w:rPr>
              <w:t>Estimated Potential Payouts</w:t>
              <w:br/>
              <w:t>Under Non-Equity Incentive Plan</w:t>
              <w:br/>
              <w:t>Awards(1)</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3240" w:type="dxa"/>
            <w:gridSpan w:val="10"/>
            <w:tcBorders>
              <w:bottom w:val="single" w:sz="8" w:space="0" w:color="000000"/>
            </w:tcBorders>
            <w:shd w:fill="FDEEF1" w:val="clear"/>
            <w:tcMar>
              <w:bottom w:w="28" w:type="dxa"/>
            </w:tcMar>
            <w:vAlign w:val="center"/>
          </w:tcPr>
          <w:p>
            <w:pPr>
              <w:pStyle w:val="TableContents"/>
              <w:bidi w:val="0"/>
              <w:spacing w:before="0" w:after="283"/>
              <w:jc w:val="center"/>
              <w:rPr>
                <w:b/>
              </w:rPr>
            </w:pPr>
            <w:r>
              <w:rPr>
                <w:b/>
              </w:rPr>
              <w:t>Estimated Future Payouts</w:t>
              <w:br/>
              <w:t>Under Equity Incentive Plan</w:t>
              <w:br/>
              <w:t>Awards(2)</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130" w:type="dxa"/>
            <w:gridSpan w:val="2"/>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175" w:type="dxa"/>
            <w:gridSpan w:val="2"/>
            <w:tcBorders/>
            <w:shd w:fill="FDEEF1" w:val="clear"/>
            <w:vAlign w:val="center"/>
          </w:tcPr>
          <w:p>
            <w:pPr>
              <w:pStyle w:val="TableContents"/>
              <w:bidi w:val="0"/>
              <w:spacing w:before="0" w:after="283"/>
              <w:jc w:val="left"/>
              <w:rPr/>
            </w:pPr>
            <w:r>
              <w:rPr/>
              <w:t> </w:t>
            </w:r>
          </w:p>
        </w:tc>
        <w:tc>
          <w:tcPr>
            <w:tcW w:w="75" w:type="dxa"/>
            <w:tcBorders/>
            <w:shd w:fill="FDEEF1" w:val="clear"/>
            <w:vAlign w:val="center"/>
          </w:tcPr>
          <w:p>
            <w:pPr>
              <w:pStyle w:val="TableContents"/>
              <w:bidi w:val="0"/>
              <w:spacing w:before="0" w:after="283"/>
              <w:jc w:val="left"/>
              <w:rPr/>
            </w:pPr>
            <w:r>
              <w:rPr/>
              <w:t> </w:t>
            </w:r>
          </w:p>
        </w:tc>
      </w:tr>
      <w:tr>
        <w:trPr/>
        <w:tc>
          <w:tcPr>
            <w:tcW w:w="1505" w:type="dxa"/>
            <w:tcBorders/>
            <w:shd w:fill="FDEEF1" w:val="clear"/>
            <w:vAlign w:val="center"/>
          </w:tcPr>
          <w:p>
            <w:pPr>
              <w:pStyle w:val="TableContents"/>
              <w:bidi w:val="0"/>
              <w:spacing w:before="0" w:after="283"/>
              <w:jc w:val="left"/>
              <w:rPr>
                <w:sz w:val="4"/>
                <w:szCs w:val="4"/>
              </w:rPr>
            </w:pPr>
            <w:r>
              <w:rPr>
                <w:sz w:val="4"/>
                <w:szCs w:val="4"/>
              </w:rPr>
            </w:r>
          </w:p>
        </w:tc>
        <w:tc>
          <w:tcPr>
            <w:tcW w:w="755" w:type="dxa"/>
            <w:gridSpan w:val="4"/>
            <w:tcBorders/>
            <w:shd w:fill="FDEEF1" w:val="clear"/>
            <w:vAlign w:val="center"/>
          </w:tcPr>
          <w:p>
            <w:pPr>
              <w:pStyle w:val="TableContents"/>
              <w:bidi w:val="0"/>
              <w:spacing w:before="0" w:after="283"/>
              <w:jc w:val="left"/>
              <w:rPr>
                <w:sz w:val="4"/>
                <w:szCs w:val="4"/>
              </w:rPr>
            </w:pPr>
            <w:r>
              <w:rPr>
                <w:sz w:val="4"/>
                <w:szCs w:val="4"/>
              </w:rPr>
            </w:r>
          </w:p>
        </w:tc>
        <w:tc>
          <w:tcPr>
            <w:tcW w:w="1115" w:type="dxa"/>
            <w:gridSpan w:val="4"/>
            <w:tcBorders/>
            <w:shd w:fill="FDEEF1" w:val="clear"/>
            <w:vAlign w:val="center"/>
          </w:tcPr>
          <w:p>
            <w:pPr>
              <w:pStyle w:val="TableContents"/>
              <w:bidi w:val="0"/>
              <w:spacing w:before="0" w:after="283"/>
              <w:jc w:val="left"/>
              <w:rPr>
                <w:sz w:val="4"/>
                <w:szCs w:val="4"/>
              </w:rPr>
            </w:pPr>
            <w:r>
              <w:rPr>
                <w:sz w:val="4"/>
                <w:szCs w:val="4"/>
              </w:rPr>
            </w:r>
          </w:p>
        </w:tc>
        <w:tc>
          <w:tcPr>
            <w:tcW w:w="1250" w:type="dxa"/>
            <w:gridSpan w:val="4"/>
            <w:tcBorders/>
            <w:shd w:fill="FDEEF1" w:val="clear"/>
            <w:vAlign w:val="center"/>
          </w:tcPr>
          <w:p>
            <w:pPr>
              <w:pStyle w:val="TableContents"/>
              <w:bidi w:val="0"/>
              <w:spacing w:before="0" w:after="283"/>
              <w:jc w:val="left"/>
              <w:rPr>
                <w:sz w:val="4"/>
                <w:szCs w:val="4"/>
              </w:rPr>
            </w:pPr>
            <w:r>
              <w:rPr>
                <w:sz w:val="4"/>
                <w:szCs w:val="4"/>
              </w:rPr>
            </w:r>
          </w:p>
        </w:tc>
        <w:tc>
          <w:tcPr>
            <w:tcW w:w="1280" w:type="dxa"/>
            <w:gridSpan w:val="4"/>
            <w:tcBorders/>
            <w:shd w:fill="FDEEF1" w:val="clear"/>
            <w:vAlign w:val="center"/>
          </w:tcPr>
          <w:p>
            <w:pPr>
              <w:pStyle w:val="TableContents"/>
              <w:bidi w:val="0"/>
              <w:spacing w:before="0" w:after="283"/>
              <w:jc w:val="left"/>
              <w:rPr>
                <w:sz w:val="4"/>
                <w:szCs w:val="4"/>
              </w:rPr>
            </w:pPr>
            <w:r>
              <w:rPr>
                <w:sz w:val="4"/>
                <w:szCs w:val="4"/>
              </w:rPr>
            </w:r>
          </w:p>
        </w:tc>
        <w:tc>
          <w:tcPr>
            <w:tcW w:w="1195" w:type="dxa"/>
            <w:gridSpan w:val="4"/>
            <w:tcBorders/>
            <w:shd w:fill="FDEEF1" w:val="clear"/>
            <w:vAlign w:val="center"/>
          </w:tcPr>
          <w:p>
            <w:pPr>
              <w:pStyle w:val="TableContents"/>
              <w:bidi w:val="0"/>
              <w:spacing w:before="0" w:after="283"/>
              <w:jc w:val="left"/>
              <w:rPr>
                <w:sz w:val="4"/>
                <w:szCs w:val="4"/>
              </w:rPr>
            </w:pPr>
            <w:r>
              <w:rPr>
                <w:sz w:val="4"/>
                <w:szCs w:val="4"/>
              </w:rPr>
            </w:r>
          </w:p>
        </w:tc>
        <w:tc>
          <w:tcPr>
            <w:tcW w:w="1190" w:type="dxa"/>
            <w:gridSpan w:val="4"/>
            <w:tcBorders/>
            <w:shd w:fill="FDEEF1" w:val="clear"/>
            <w:vAlign w:val="center"/>
          </w:tcPr>
          <w:p>
            <w:pPr>
              <w:pStyle w:val="TableContents"/>
              <w:bidi w:val="0"/>
              <w:spacing w:before="0" w:after="283"/>
              <w:jc w:val="left"/>
              <w:rPr>
                <w:sz w:val="4"/>
                <w:szCs w:val="4"/>
              </w:rPr>
            </w:pPr>
            <w:r>
              <w:rPr>
                <w:sz w:val="4"/>
                <w:szCs w:val="4"/>
              </w:rPr>
            </w:r>
          </w:p>
        </w:tc>
        <w:tc>
          <w:tcPr>
            <w:tcW w:w="980" w:type="dxa"/>
            <w:gridSpan w:val="4"/>
            <w:tcBorders/>
            <w:shd w:fill="FDEEF1" w:val="clear"/>
            <w:vAlign w:val="center"/>
          </w:tcPr>
          <w:p>
            <w:pPr>
              <w:pStyle w:val="TableContents"/>
              <w:bidi w:val="0"/>
              <w:spacing w:before="0" w:after="283"/>
              <w:jc w:val="left"/>
              <w:rPr>
                <w:sz w:val="4"/>
                <w:szCs w:val="4"/>
              </w:rPr>
            </w:pPr>
            <w:r>
              <w:rPr>
                <w:sz w:val="4"/>
                <w:szCs w:val="4"/>
              </w:rPr>
            </w:r>
          </w:p>
        </w:tc>
        <w:tc>
          <w:tcPr>
            <w:tcW w:w="1190" w:type="dxa"/>
            <w:gridSpan w:val="4"/>
            <w:tcBorders/>
            <w:shd w:fill="FDEEF1" w:val="clear"/>
            <w:vAlign w:val="center"/>
          </w:tcPr>
          <w:p>
            <w:pPr>
              <w:pStyle w:val="TableContents"/>
              <w:bidi w:val="0"/>
              <w:spacing w:before="0" w:after="283"/>
              <w:jc w:val="left"/>
              <w:rPr>
                <w:sz w:val="4"/>
                <w:szCs w:val="4"/>
              </w:rPr>
            </w:pPr>
            <w:r>
              <w:rPr>
                <w:sz w:val="4"/>
                <w:szCs w:val="4"/>
              </w:rPr>
            </w:r>
          </w:p>
        </w:tc>
        <w:tc>
          <w:tcPr>
            <w:tcW w:w="1250" w:type="dxa"/>
            <w:gridSpan w:val="4"/>
            <w:tcBorders/>
            <w:shd w:fill="FDEEF1" w:val="clear"/>
            <w:vAlign w:val="center"/>
          </w:tcPr>
          <w:p>
            <w:pPr>
              <w:pStyle w:val="TableContents"/>
              <w:bidi w:val="0"/>
              <w:spacing w:before="0" w:after="283"/>
              <w:jc w:val="left"/>
              <w:rPr>
                <w:sz w:val="4"/>
                <w:szCs w:val="4"/>
              </w:rPr>
            </w:pPr>
            <w:r>
              <w:rPr>
                <w:sz w:val="4"/>
                <w:szCs w:val="4"/>
              </w:rPr>
            </w:r>
          </w:p>
        </w:tc>
        <w:tc>
          <w:tcPr>
            <w:tcW w:w="1310" w:type="dxa"/>
            <w:gridSpan w:val="4"/>
            <w:tcBorders/>
            <w:shd w:fill="FDEEF1" w:val="clear"/>
            <w:vAlign w:val="center"/>
          </w:tcPr>
          <w:p>
            <w:pPr>
              <w:pStyle w:val="TableContents"/>
              <w:bidi w:val="0"/>
              <w:spacing w:before="0" w:after="283"/>
              <w:jc w:val="left"/>
              <w:rPr>
                <w:sz w:val="4"/>
                <w:szCs w:val="4"/>
              </w:rPr>
            </w:pPr>
            <w:r>
              <w:rPr>
                <w:sz w:val="4"/>
                <w:szCs w:val="4"/>
              </w:rPr>
            </w:r>
          </w:p>
        </w:tc>
      </w:tr>
      <w:tr>
        <w:trPr/>
        <w:tc>
          <w:tcPr>
            <w:tcW w:w="1505" w:type="dxa"/>
            <w:tcBorders/>
            <w:shd w:fill="FDEEF1" w:val="clear"/>
            <w:vAlign w:val="center"/>
          </w:tcPr>
          <w:p>
            <w:pPr>
              <w:pStyle w:val="TableContents"/>
              <w:bidi w:val="0"/>
              <w:spacing w:before="0" w:after="0"/>
              <w:jc w:val="left"/>
              <w:rPr>
                <w:rFonts w:ascii="arial" w:hAnsi="arial"/>
                <w:b/>
                <w:sz w:val="16"/>
              </w:rPr>
            </w:pPr>
            <w:r>
              <w:rPr>
                <w:rFonts w:ascii="arial" w:hAnsi="arial"/>
                <w:b/>
                <w:sz w:val="16"/>
              </w:rPr>
              <w:t>Name/Award Type</w:t>
            </w:r>
          </w:p>
        </w:tc>
        <w:tc>
          <w:tcPr>
            <w:tcW w:w="60" w:type="dxa"/>
            <w:tcBorders/>
            <w:shd w:fill="FDEEF1" w:val="clear"/>
            <w:vAlign w:val="center"/>
          </w:tcPr>
          <w:p>
            <w:pPr>
              <w:pStyle w:val="TableContents"/>
              <w:bidi w:val="0"/>
              <w:spacing w:before="0" w:after="283"/>
              <w:jc w:val="left"/>
              <w:rPr/>
            </w:pPr>
            <w:r>
              <w:rPr/>
              <w:t> </w:t>
            </w:r>
          </w:p>
        </w:tc>
        <w:tc>
          <w:tcPr>
            <w:tcW w:w="635" w:type="dxa"/>
            <w:gridSpan w:val="2"/>
            <w:tcBorders/>
            <w:shd w:fill="FDEEF1" w:val="clear"/>
            <w:vAlign w:val="center"/>
          </w:tcPr>
          <w:p>
            <w:pPr>
              <w:pStyle w:val="TableContents"/>
              <w:bidi w:val="0"/>
              <w:spacing w:before="0" w:after="283"/>
              <w:jc w:val="center"/>
              <w:rPr>
                <w:b/>
              </w:rPr>
            </w:pPr>
            <w:r>
              <w:rPr>
                <w:b/>
              </w:rPr>
              <w:t>Grant</w:t>
              <w:br/>
              <w:t>Date</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995" w:type="dxa"/>
            <w:gridSpan w:val="2"/>
            <w:tcBorders/>
            <w:shd w:fill="FDEEF1" w:val="clear"/>
            <w:vAlign w:val="center"/>
          </w:tcPr>
          <w:p>
            <w:pPr>
              <w:pStyle w:val="TableContents"/>
              <w:bidi w:val="0"/>
              <w:spacing w:before="0" w:after="283"/>
              <w:jc w:val="center"/>
              <w:rPr>
                <w:b/>
              </w:rPr>
            </w:pPr>
            <w:r>
              <w:rPr>
                <w:b/>
              </w:rPr>
              <w:t>Approval</w:t>
              <w:br/>
              <w:t>Date</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070" w:type="dxa"/>
            <w:gridSpan w:val="2"/>
            <w:tcBorders/>
            <w:shd w:fill="FDEEF1" w:val="clear"/>
            <w:vAlign w:val="center"/>
          </w:tcPr>
          <w:p>
            <w:pPr>
              <w:pStyle w:val="TableContents"/>
              <w:bidi w:val="0"/>
              <w:spacing w:before="0" w:after="283"/>
              <w:jc w:val="center"/>
              <w:rPr>
                <w:b/>
              </w:rPr>
            </w:pPr>
            <w:r>
              <w:rPr>
                <w:b/>
              </w:rPr>
              <w:t>Threshold</w:t>
              <w:br/>
              <w:t>($)</w:t>
            </w:r>
          </w:p>
        </w:tc>
        <w:tc>
          <w:tcPr>
            <w:tcW w:w="12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100" w:type="dxa"/>
            <w:gridSpan w:val="2"/>
            <w:tcBorders/>
            <w:shd w:fill="FDEEF1" w:val="clear"/>
            <w:vAlign w:val="center"/>
          </w:tcPr>
          <w:p>
            <w:pPr>
              <w:pStyle w:val="TableContents"/>
              <w:bidi w:val="0"/>
              <w:spacing w:before="0" w:after="283"/>
              <w:jc w:val="center"/>
              <w:rPr>
                <w:b/>
              </w:rPr>
            </w:pPr>
            <w:r>
              <w:rPr>
                <w:b/>
              </w:rPr>
              <w:t>Target</w:t>
              <w:br/>
              <w:t>($)</w:t>
            </w:r>
          </w:p>
        </w:tc>
        <w:tc>
          <w:tcPr>
            <w:tcW w:w="12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075" w:type="dxa"/>
            <w:gridSpan w:val="2"/>
            <w:tcBorders/>
            <w:shd w:fill="FDEEF1" w:val="clear"/>
            <w:vAlign w:val="center"/>
          </w:tcPr>
          <w:p>
            <w:pPr>
              <w:pStyle w:val="TableContents"/>
              <w:bidi w:val="0"/>
              <w:spacing w:before="0" w:after="283"/>
              <w:jc w:val="center"/>
              <w:rPr>
                <w:b/>
              </w:rPr>
            </w:pPr>
            <w:r>
              <w:rPr>
                <w:b/>
              </w:rPr>
              <w:t>Maximum</w:t>
              <w:br/>
              <w:t>($)</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070" w:type="dxa"/>
            <w:gridSpan w:val="2"/>
            <w:tcBorders/>
            <w:shd w:fill="FDEEF1" w:val="clear"/>
            <w:vAlign w:val="center"/>
          </w:tcPr>
          <w:p>
            <w:pPr>
              <w:pStyle w:val="TableContents"/>
              <w:bidi w:val="0"/>
              <w:spacing w:before="0" w:after="283"/>
              <w:jc w:val="center"/>
              <w:rPr>
                <w:b/>
              </w:rPr>
            </w:pPr>
            <w:r>
              <w:rPr>
                <w:b/>
              </w:rPr>
              <w:t>Threshold</w:t>
              <w:br/>
              <w:t>(#)</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860" w:type="dxa"/>
            <w:gridSpan w:val="2"/>
            <w:tcBorders/>
            <w:shd w:fill="FDEEF1" w:val="clear"/>
            <w:vAlign w:val="center"/>
          </w:tcPr>
          <w:p>
            <w:pPr>
              <w:pStyle w:val="TableContents"/>
              <w:bidi w:val="0"/>
              <w:spacing w:before="0" w:after="283"/>
              <w:jc w:val="center"/>
              <w:rPr>
                <w:b/>
              </w:rPr>
            </w:pPr>
            <w:r>
              <w:rPr>
                <w:b/>
              </w:rPr>
              <w:t>Target</w:t>
              <w:br/>
              <w:t>(#)</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070" w:type="dxa"/>
            <w:gridSpan w:val="2"/>
            <w:tcBorders/>
            <w:shd w:fill="FDEEF1" w:val="clear"/>
            <w:vAlign w:val="center"/>
          </w:tcPr>
          <w:p>
            <w:pPr>
              <w:pStyle w:val="TableContents"/>
              <w:bidi w:val="0"/>
              <w:spacing w:before="0" w:after="283"/>
              <w:jc w:val="center"/>
              <w:rPr>
                <w:b/>
              </w:rPr>
            </w:pPr>
            <w:r>
              <w:rPr>
                <w:b/>
              </w:rPr>
              <w:t>Maximum</w:t>
              <w:br/>
              <w:t>(#)</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130" w:type="dxa"/>
            <w:gridSpan w:val="2"/>
            <w:tcBorders/>
            <w:shd w:fill="FDEEF1" w:val="clear"/>
            <w:vAlign w:val="center"/>
          </w:tcPr>
          <w:p>
            <w:pPr>
              <w:pStyle w:val="TableContents"/>
              <w:bidi w:val="0"/>
              <w:spacing w:before="0" w:after="283"/>
              <w:jc w:val="center"/>
              <w:rPr>
                <w:b/>
              </w:rPr>
            </w:pPr>
            <w:r>
              <w:rPr>
                <w:b/>
              </w:rPr>
              <w:t>All Other</w:t>
              <w:br/>
              <w:t>Stock</w:t>
              <w:br/>
              <w:t>Awards:</w:t>
              <w:br/>
              <w:t>Number of</w:t>
              <w:br/>
              <w:t>Shares of</w:t>
              <w:br/>
              <w:t>Stock or</w:t>
              <w:br/>
              <w:t>Units</w:t>
              <w:br/>
              <w:t>(#)(3)</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175" w:type="dxa"/>
            <w:gridSpan w:val="2"/>
            <w:tcBorders/>
            <w:shd w:fill="FDEEF1" w:val="clear"/>
            <w:vAlign w:val="center"/>
          </w:tcPr>
          <w:p>
            <w:pPr>
              <w:pStyle w:val="TableContents"/>
              <w:bidi w:val="0"/>
              <w:spacing w:before="0" w:after="283"/>
              <w:jc w:val="center"/>
              <w:rPr>
                <w:b/>
              </w:rPr>
            </w:pPr>
            <w:r>
              <w:rPr>
                <w:b/>
              </w:rPr>
              <w:t>Grant Date</w:t>
              <w:br/>
              <w:t>Fair Value</w:t>
              <w:br/>
              <w:t>of Stock</w:t>
              <w:br/>
              <w:t>Awards</w:t>
              <w:br/>
              <w:t>($)(4)</w:t>
            </w:r>
          </w:p>
        </w:tc>
        <w:tc>
          <w:tcPr>
            <w:tcW w:w="75" w:type="dxa"/>
            <w:tcBorders/>
            <w:shd w:fill="FDEEF1" w:val="cle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r>
      <w:tr>
        <w:trPr/>
        <w:tc>
          <w:tcPr>
            <w:tcW w:w="1505" w:type="dxa"/>
            <w:tcBorders>
              <w:bottom w:val="single" w:sz="6" w:space="0" w:color="FBDDE3"/>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Martin Waters</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515"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875"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39" w:type="dxa"/>
            <w:tcBorders>
              <w:bottom w:val="single" w:sz="6" w:space="0" w:color="FBDDE3"/>
            </w:tcBorders>
            <w:tcMar>
              <w:bottom w:w="28" w:type="dxa"/>
            </w:tcMar>
            <w:vAlign w:val="center"/>
          </w:tcPr>
          <w:p>
            <w:pPr>
              <w:pStyle w:val="TableContents"/>
              <w:bidi w:val="0"/>
              <w:spacing w:before="0" w:after="283"/>
              <w:jc w:val="left"/>
              <w:rPr/>
            </w:pPr>
            <w:r>
              <w:rPr/>
              <w:t> </w:t>
            </w:r>
          </w:p>
        </w:tc>
        <w:tc>
          <w:tcPr>
            <w:tcW w:w="931"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98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95" w:type="dxa"/>
            <w:tcBorders>
              <w:bottom w:val="single" w:sz="6" w:space="0" w:color="FBDDE3"/>
            </w:tcBorders>
            <w:tcMar>
              <w:bottom w:w="28" w:type="dxa"/>
            </w:tcMar>
            <w:vAlign w:val="center"/>
          </w:tcPr>
          <w:p>
            <w:pPr>
              <w:pStyle w:val="TableContents"/>
              <w:bidi w:val="0"/>
              <w:spacing w:before="0" w:after="283"/>
              <w:jc w:val="left"/>
              <w:rPr/>
            </w:pPr>
            <w:r>
              <w:rPr/>
              <w:t> </w:t>
            </w:r>
          </w:p>
        </w:tc>
        <w:tc>
          <w:tcPr>
            <w:tcW w:w="98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6" w:type="dxa"/>
            <w:tcBorders>
              <w:bottom w:val="single" w:sz="6" w:space="0" w:color="FBDDE3"/>
            </w:tcBorders>
            <w:tcMar>
              <w:bottom w:w="28" w:type="dxa"/>
            </w:tcMar>
            <w:vAlign w:val="center"/>
          </w:tcPr>
          <w:p>
            <w:pPr>
              <w:pStyle w:val="TableContents"/>
              <w:bidi w:val="0"/>
              <w:spacing w:before="0" w:after="283"/>
              <w:jc w:val="left"/>
              <w:rPr/>
            </w:pPr>
            <w:r>
              <w:rPr/>
              <w:t> </w:t>
            </w:r>
          </w:p>
        </w:tc>
        <w:tc>
          <w:tcPr>
            <w:tcW w:w="984"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0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4" w:type="dxa"/>
            <w:tcBorders>
              <w:bottom w:val="single" w:sz="6" w:space="0" w:color="FBDDE3"/>
            </w:tcBorders>
            <w:tcMar>
              <w:bottom w:w="28" w:type="dxa"/>
            </w:tcMar>
            <w:vAlign w:val="center"/>
          </w:tcPr>
          <w:p>
            <w:pPr>
              <w:pStyle w:val="TableContents"/>
              <w:bidi w:val="0"/>
              <w:spacing w:before="0" w:after="283"/>
              <w:jc w:val="left"/>
              <w:rPr/>
            </w:pPr>
            <w:r>
              <w:rPr/>
              <w:t> </w:t>
            </w:r>
          </w:p>
        </w:tc>
        <w:tc>
          <w:tcPr>
            <w:tcW w:w="996"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91" w:type="dxa"/>
            <w:tcBorders>
              <w:bottom w:val="single" w:sz="6" w:space="0" w:color="FBDDE3"/>
            </w:tcBorders>
            <w:tcMar>
              <w:bottom w:w="28" w:type="dxa"/>
            </w:tcMar>
            <w:vAlign w:val="center"/>
          </w:tcPr>
          <w:p>
            <w:pPr>
              <w:pStyle w:val="TableContents"/>
              <w:bidi w:val="0"/>
              <w:spacing w:before="0" w:after="283"/>
              <w:jc w:val="left"/>
              <w:rPr/>
            </w:pPr>
            <w:r>
              <w:rPr/>
              <w:t> </w:t>
            </w:r>
          </w:p>
        </w:tc>
        <w:tc>
          <w:tcPr>
            <w:tcW w:w="1039"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7" w:type="dxa"/>
            <w:tcBorders>
              <w:bottom w:val="single" w:sz="6" w:space="0" w:color="FBDDE3"/>
            </w:tcBorders>
            <w:tcMar>
              <w:bottom w:w="28" w:type="dxa"/>
            </w:tcMar>
            <w:vAlign w:val="center"/>
          </w:tcPr>
          <w:p>
            <w:pPr>
              <w:pStyle w:val="TableContents"/>
              <w:bidi w:val="0"/>
              <w:spacing w:before="0" w:after="283"/>
              <w:jc w:val="left"/>
              <w:rPr/>
            </w:pPr>
            <w:r>
              <w:rPr/>
              <w:t> </w:t>
            </w:r>
          </w:p>
        </w:tc>
        <w:tc>
          <w:tcPr>
            <w:tcW w:w="1108" w:type="dxa"/>
            <w:tcBorders>
              <w:bottom w:val="single" w:sz="6" w:space="0" w:color="FBDDE3"/>
            </w:tcBorders>
            <w:tcMar>
              <w:bottom w:w="28" w:type="dxa"/>
            </w:tcMar>
            <w:vAlign w:val="center"/>
          </w:tcPr>
          <w:p>
            <w:pPr>
              <w:pStyle w:val="TableContents"/>
              <w:bidi w:val="0"/>
              <w:spacing w:before="0" w:after="283"/>
              <w:jc w:val="left"/>
              <w:rPr/>
            </w:pPr>
            <w:r>
              <w:rPr/>
              <w:t> </w:t>
            </w:r>
          </w:p>
        </w:tc>
        <w:tc>
          <w:tcPr>
            <w:tcW w:w="75" w:type="dxa"/>
            <w:tcBorders>
              <w:bottom w:val="single" w:sz="6" w:space="0" w:color="FBDDE3"/>
            </w:tcBorders>
            <w:tcMar>
              <w:bottom w:w="28"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r>
      <w:tr>
        <w:trPr/>
        <w:tc>
          <w:tcPr>
            <w:tcW w:w="1505" w:type="dxa"/>
            <w:tcBorders>
              <w:bottom w:val="single" w:sz="6" w:space="0" w:color="FBDDE3"/>
            </w:tcBorders>
            <w:tcMar>
              <w:bottom w:w="60" w:type="dxa"/>
            </w:tcMar>
            <w:vAlign w:val="center"/>
          </w:tcPr>
          <w:p>
            <w:pPr>
              <w:pStyle w:val="TableContents"/>
              <w:bidi w:val="0"/>
              <w:spacing w:before="0" w:after="0"/>
              <w:jc w:val="left"/>
              <w:rPr>
                <w:rFonts w:ascii="arial" w:hAnsi="arial"/>
                <w:sz w:val="16"/>
              </w:rPr>
            </w:pPr>
            <w:r>
              <w:rPr>
                <w:rFonts w:ascii="arial" w:hAnsi="arial"/>
                <w:sz w:val="16"/>
              </w:rPr>
              <w:t>Annual Incentive</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51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7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39" w:type="dxa"/>
            <w:tcBorders>
              <w:bottom w:val="single" w:sz="6" w:space="0" w:color="FBDDE3"/>
            </w:tcBorders>
            <w:tcMar>
              <w:bottom w:w="60" w:type="dxa"/>
            </w:tcMar>
            <w:vAlign w:val="center"/>
          </w:tcPr>
          <w:p>
            <w:pPr>
              <w:pStyle w:val="TableContents"/>
              <w:bidi w:val="0"/>
              <w:spacing w:before="0" w:after="283"/>
              <w:jc w:val="left"/>
              <w:rPr/>
            </w:pPr>
            <w:r>
              <w:rPr/>
              <w:t> </w:t>
            </w:r>
          </w:p>
        </w:tc>
        <w:tc>
          <w:tcPr>
            <w:tcW w:w="931" w:type="dxa"/>
            <w:tcBorders>
              <w:bottom w:val="single" w:sz="6" w:space="0" w:color="FBDDE3"/>
            </w:tcBorders>
            <w:tcMar>
              <w:bottom w:w="60" w:type="dxa"/>
            </w:tcMar>
            <w:vAlign w:val="center"/>
          </w:tcPr>
          <w:p>
            <w:pPr>
              <w:pStyle w:val="TableContents"/>
              <w:bidi w:val="0"/>
              <w:spacing w:before="0" w:after="283"/>
              <w:jc w:val="right"/>
              <w:rPr/>
            </w:pPr>
            <w:r>
              <w:rPr/>
              <w:t>450,000</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2,250,000</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95"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4,500,000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6"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84"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0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4"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96"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91"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39"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7"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08"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7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r>
      <w:tr>
        <w:trPr/>
        <w:tc>
          <w:tcPr>
            <w:tcW w:w="1505" w:type="dxa"/>
            <w:tcBorders>
              <w:bottom w:val="single" w:sz="6" w:space="0" w:color="FBDDE3"/>
            </w:tcBorders>
            <w:tcMar>
              <w:bottom w:w="60" w:type="dxa"/>
            </w:tcMar>
            <w:vAlign w:val="center"/>
          </w:tcPr>
          <w:p>
            <w:pPr>
              <w:pStyle w:val="TableContents"/>
              <w:bidi w:val="0"/>
              <w:spacing w:before="0" w:after="0"/>
              <w:jc w:val="left"/>
              <w:rPr>
                <w:rFonts w:ascii="arial" w:hAnsi="arial"/>
                <w:sz w:val="16"/>
              </w:rPr>
            </w:pPr>
            <w:r>
              <w:rPr>
                <w:rFonts w:ascii="arial" w:hAnsi="arial"/>
                <w:sz w:val="16"/>
              </w:rPr>
              <w:t>PSUs</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515" w:type="dxa"/>
            <w:tcBorders>
              <w:bottom w:val="single" w:sz="6" w:space="0" w:color="FBDDE3"/>
            </w:tcBorders>
            <w:tcMar>
              <w:bottom w:w="60" w:type="dxa"/>
            </w:tcMar>
            <w:vAlign w:val="center"/>
          </w:tcPr>
          <w:p>
            <w:pPr>
              <w:pStyle w:val="TableContents"/>
              <w:bidi w:val="0"/>
              <w:spacing w:before="0" w:after="283"/>
              <w:jc w:val="right"/>
              <w:rPr/>
            </w:pPr>
            <w:r>
              <w:rPr/>
              <w:t>3/16/2023</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875" w:type="dxa"/>
            <w:tcBorders>
              <w:bottom w:val="single" w:sz="6" w:space="0" w:color="FBDDE3"/>
            </w:tcBorders>
            <w:tcMar>
              <w:bottom w:w="60" w:type="dxa"/>
            </w:tcMar>
            <w:vAlign w:val="center"/>
          </w:tcPr>
          <w:p>
            <w:pPr>
              <w:pStyle w:val="TableContents"/>
              <w:bidi w:val="0"/>
              <w:spacing w:before="0" w:after="283"/>
              <w:jc w:val="right"/>
              <w:rPr/>
            </w:pPr>
            <w:r>
              <w:rPr/>
              <w:t>3/14/2023</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39"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31"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8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9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8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6" w:type="dxa"/>
            <w:tcBorders>
              <w:bottom w:val="single" w:sz="6" w:space="0" w:color="FBDDE3"/>
            </w:tcBorders>
            <w:tcMar>
              <w:bottom w:w="60" w:type="dxa"/>
            </w:tcMar>
            <w:vAlign w:val="center"/>
          </w:tcPr>
          <w:p>
            <w:pPr>
              <w:pStyle w:val="TableContents"/>
              <w:bidi w:val="0"/>
              <w:spacing w:before="0" w:after="283"/>
              <w:jc w:val="left"/>
              <w:rPr/>
            </w:pPr>
            <w:r>
              <w:rPr/>
              <w:t> </w:t>
            </w:r>
          </w:p>
        </w:tc>
        <w:tc>
          <w:tcPr>
            <w:tcW w:w="984" w:type="dxa"/>
            <w:tcBorders>
              <w:bottom w:val="single" w:sz="6" w:space="0" w:color="FBDDE3"/>
            </w:tcBorders>
            <w:tcMar>
              <w:bottom w:w="60" w:type="dxa"/>
            </w:tcMar>
            <w:vAlign w:val="center"/>
          </w:tcPr>
          <w:p>
            <w:pPr>
              <w:pStyle w:val="TableContents"/>
              <w:bidi w:val="0"/>
              <w:spacing w:before="0" w:after="283"/>
              <w:jc w:val="right"/>
              <w:rPr/>
            </w:pPr>
            <w:r>
              <w:rPr/>
              <w:t>90,968</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181,936</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4" w:type="dxa"/>
            <w:tcBorders>
              <w:bottom w:val="single" w:sz="6" w:space="0" w:color="FBDDE3"/>
            </w:tcBorders>
            <w:tcMar>
              <w:bottom w:w="60" w:type="dxa"/>
            </w:tcMar>
            <w:vAlign w:val="center"/>
          </w:tcPr>
          <w:p>
            <w:pPr>
              <w:pStyle w:val="TableContents"/>
              <w:bidi w:val="0"/>
              <w:spacing w:before="0" w:after="283"/>
              <w:jc w:val="left"/>
              <w:rPr/>
            </w:pPr>
            <w:r>
              <w:rPr/>
              <w:t> </w:t>
            </w:r>
          </w:p>
        </w:tc>
        <w:tc>
          <w:tcPr>
            <w:tcW w:w="996" w:type="dxa"/>
            <w:tcBorders>
              <w:bottom w:val="single" w:sz="6" w:space="0" w:color="FBDDE3"/>
            </w:tcBorders>
            <w:tcMar>
              <w:bottom w:w="60" w:type="dxa"/>
            </w:tcMar>
            <w:vAlign w:val="center"/>
          </w:tcPr>
          <w:p>
            <w:pPr>
              <w:pStyle w:val="TableContents"/>
              <w:bidi w:val="0"/>
              <w:spacing w:before="0" w:after="283"/>
              <w:jc w:val="right"/>
              <w:rPr/>
            </w:pPr>
            <w:r>
              <w:rPr/>
              <w:t>363,872</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91"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39"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7" w:type="dxa"/>
            <w:tcBorders>
              <w:bottom w:val="single" w:sz="6" w:space="0" w:color="FBDDE3"/>
            </w:tcBorders>
            <w:tcMar>
              <w:bottom w:w="60" w:type="dxa"/>
            </w:tcMar>
            <w:vAlign w:val="center"/>
          </w:tcPr>
          <w:p>
            <w:pPr>
              <w:pStyle w:val="TableContents"/>
              <w:bidi w:val="0"/>
              <w:spacing w:before="0" w:after="283"/>
              <w:jc w:val="left"/>
              <w:rPr/>
            </w:pPr>
            <w:r>
              <w:rPr/>
              <w:t> </w:t>
            </w:r>
          </w:p>
        </w:tc>
        <w:tc>
          <w:tcPr>
            <w:tcW w:w="1108" w:type="dxa"/>
            <w:tcBorders>
              <w:bottom w:val="single" w:sz="6" w:space="0" w:color="FBDDE3"/>
            </w:tcBorders>
            <w:tcMar>
              <w:bottom w:w="60" w:type="dxa"/>
            </w:tcMar>
            <w:vAlign w:val="center"/>
          </w:tcPr>
          <w:p>
            <w:pPr>
              <w:pStyle w:val="TableContents"/>
              <w:bidi w:val="0"/>
              <w:spacing w:before="0" w:after="283"/>
              <w:jc w:val="right"/>
              <w:rPr/>
            </w:pPr>
            <w:r>
              <w:rPr/>
              <w:t>6,451,189</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r>
      <w:tr>
        <w:trPr/>
        <w:tc>
          <w:tcPr>
            <w:tcW w:w="1505" w:type="dxa"/>
            <w:tcBorders>
              <w:bottom w:val="single" w:sz="8" w:space="0" w:color="F7ACBA"/>
            </w:tcBorders>
            <w:tcMar>
              <w:bottom w:w="60" w:type="dxa"/>
            </w:tcMar>
            <w:vAlign w:val="center"/>
          </w:tcPr>
          <w:p>
            <w:pPr>
              <w:pStyle w:val="TableContents"/>
              <w:bidi w:val="0"/>
              <w:spacing w:before="0" w:after="0"/>
              <w:jc w:val="left"/>
              <w:rPr>
                <w:rFonts w:ascii="arial" w:hAnsi="arial"/>
                <w:sz w:val="16"/>
              </w:rPr>
            </w:pPr>
            <w:r>
              <w:rPr>
                <w:rFonts w:ascii="arial" w:hAnsi="arial"/>
                <w:sz w:val="16"/>
              </w:rPr>
              <w:t>RSUs</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20" w:type="dxa"/>
            <w:tcBorders>
              <w:bottom w:val="single" w:sz="8" w:space="0" w:color="F7ACBA"/>
            </w:tcBorders>
            <w:tcMar>
              <w:bottom w:w="60" w:type="dxa"/>
            </w:tcMar>
            <w:vAlign w:val="center"/>
          </w:tcPr>
          <w:p>
            <w:pPr>
              <w:pStyle w:val="TableContents"/>
              <w:bidi w:val="0"/>
              <w:spacing w:before="0" w:after="283"/>
              <w:jc w:val="left"/>
              <w:rPr/>
            </w:pPr>
            <w:r>
              <w:rPr/>
              <w:t> </w:t>
            </w:r>
          </w:p>
        </w:tc>
        <w:tc>
          <w:tcPr>
            <w:tcW w:w="515" w:type="dxa"/>
            <w:tcBorders>
              <w:bottom w:val="single" w:sz="8" w:space="0" w:color="F7ACBA"/>
            </w:tcBorders>
            <w:tcMar>
              <w:bottom w:w="60" w:type="dxa"/>
            </w:tcMar>
            <w:vAlign w:val="center"/>
          </w:tcPr>
          <w:p>
            <w:pPr>
              <w:pStyle w:val="TableContents"/>
              <w:bidi w:val="0"/>
              <w:spacing w:before="0" w:after="283"/>
              <w:jc w:val="right"/>
              <w:rPr/>
            </w:pPr>
            <w:r>
              <w:rPr/>
              <w:t>3/16/2023</w:t>
            </w:r>
          </w:p>
        </w:tc>
        <w:tc>
          <w:tcPr>
            <w:tcW w:w="60" w:type="dxa"/>
            <w:tcBorders>
              <w:bottom w:val="single" w:sz="8" w:space="0" w:color="F7ACBA"/>
            </w:tcBorders>
            <w:tcMar>
              <w:bottom w:w="6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20" w:type="dxa"/>
            <w:tcBorders>
              <w:bottom w:val="single" w:sz="8" w:space="0" w:color="F7ACBA"/>
            </w:tcBorders>
            <w:tcMar>
              <w:bottom w:w="60" w:type="dxa"/>
            </w:tcMar>
            <w:vAlign w:val="center"/>
          </w:tcPr>
          <w:p>
            <w:pPr>
              <w:pStyle w:val="TableContents"/>
              <w:bidi w:val="0"/>
              <w:spacing w:before="0" w:after="283"/>
              <w:jc w:val="left"/>
              <w:rPr/>
            </w:pPr>
            <w:r>
              <w:rPr/>
              <w:t> </w:t>
            </w:r>
          </w:p>
        </w:tc>
        <w:tc>
          <w:tcPr>
            <w:tcW w:w="875" w:type="dxa"/>
            <w:tcBorders>
              <w:bottom w:val="single" w:sz="8" w:space="0" w:color="F7ACBA"/>
            </w:tcBorders>
            <w:tcMar>
              <w:bottom w:w="60" w:type="dxa"/>
            </w:tcMar>
            <w:vAlign w:val="center"/>
          </w:tcPr>
          <w:p>
            <w:pPr>
              <w:pStyle w:val="TableContents"/>
              <w:bidi w:val="0"/>
              <w:spacing w:before="0" w:after="283"/>
              <w:jc w:val="right"/>
              <w:rPr/>
            </w:pPr>
            <w:r>
              <w:rPr/>
              <w:t>3/14/2023</w:t>
            </w:r>
          </w:p>
        </w:tc>
        <w:tc>
          <w:tcPr>
            <w:tcW w:w="60" w:type="dxa"/>
            <w:tcBorders>
              <w:bottom w:val="single" w:sz="8" w:space="0" w:color="F7ACBA"/>
            </w:tcBorders>
            <w:tcMar>
              <w:bottom w:w="6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39"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31"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2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8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95"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8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86"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84"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0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74"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96"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91" w:type="dxa"/>
            <w:tcBorders>
              <w:bottom w:val="single" w:sz="8" w:space="0" w:color="F7ACBA"/>
            </w:tcBorders>
            <w:tcMar>
              <w:bottom w:w="60" w:type="dxa"/>
            </w:tcMar>
            <w:vAlign w:val="center"/>
          </w:tcPr>
          <w:p>
            <w:pPr>
              <w:pStyle w:val="TableContents"/>
              <w:bidi w:val="0"/>
              <w:spacing w:before="0" w:after="283"/>
              <w:jc w:val="left"/>
              <w:rPr/>
            </w:pPr>
            <w:r>
              <w:rPr/>
              <w:t> </w:t>
            </w:r>
          </w:p>
        </w:tc>
        <w:tc>
          <w:tcPr>
            <w:tcW w:w="1039" w:type="dxa"/>
            <w:tcBorders>
              <w:bottom w:val="single" w:sz="8" w:space="0" w:color="F7ACBA"/>
            </w:tcBorders>
            <w:tcMar>
              <w:bottom w:w="60" w:type="dxa"/>
            </w:tcMar>
            <w:vAlign w:val="center"/>
          </w:tcPr>
          <w:p>
            <w:pPr>
              <w:pStyle w:val="TableContents"/>
              <w:bidi w:val="0"/>
              <w:spacing w:before="0" w:after="283"/>
              <w:jc w:val="right"/>
              <w:rPr/>
            </w:pPr>
            <w:r>
              <w:rPr/>
              <w:t>77,973</w:t>
            </w:r>
          </w:p>
        </w:tc>
        <w:tc>
          <w:tcPr>
            <w:tcW w:w="60" w:type="dxa"/>
            <w:tcBorders>
              <w:bottom w:val="single" w:sz="8" w:space="0" w:color="F7ACBA"/>
            </w:tcBorders>
            <w:tcMar>
              <w:bottom w:w="6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7" w:type="dxa"/>
            <w:tcBorders>
              <w:bottom w:val="single" w:sz="8" w:space="0" w:color="F7ACBA"/>
            </w:tcBorders>
            <w:tcMar>
              <w:bottom w:w="60" w:type="dxa"/>
            </w:tcMar>
            <w:vAlign w:val="center"/>
          </w:tcPr>
          <w:p>
            <w:pPr>
              <w:pStyle w:val="TableContents"/>
              <w:bidi w:val="0"/>
              <w:spacing w:before="0" w:after="283"/>
              <w:jc w:val="left"/>
              <w:rPr/>
            </w:pPr>
            <w:r>
              <w:rPr/>
              <w:t> </w:t>
            </w:r>
          </w:p>
        </w:tc>
        <w:tc>
          <w:tcPr>
            <w:tcW w:w="1108" w:type="dxa"/>
            <w:tcBorders>
              <w:bottom w:val="single" w:sz="8" w:space="0" w:color="F7ACBA"/>
            </w:tcBorders>
            <w:tcMar>
              <w:bottom w:w="60" w:type="dxa"/>
            </w:tcMar>
            <w:vAlign w:val="center"/>
          </w:tcPr>
          <w:p>
            <w:pPr>
              <w:pStyle w:val="TableContents"/>
              <w:bidi w:val="0"/>
              <w:spacing w:before="0" w:after="283"/>
              <w:jc w:val="right"/>
              <w:rPr/>
            </w:pPr>
            <w:r>
              <w:rPr/>
              <w:t>2,400,009</w:t>
            </w:r>
          </w:p>
        </w:tc>
        <w:tc>
          <w:tcPr>
            <w:tcW w:w="75" w:type="dxa"/>
            <w:tcBorders>
              <w:bottom w:val="single" w:sz="8" w:space="0" w:color="F7ACBA"/>
            </w:tcBorders>
            <w:tcMar>
              <w:bottom w:w="60"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r>
      <w:tr>
        <w:trPr/>
        <w:tc>
          <w:tcPr>
            <w:tcW w:w="1505" w:type="dxa"/>
            <w:tcBorders>
              <w:bottom w:val="single" w:sz="6" w:space="0" w:color="FBDDE3"/>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Timothy Johnson</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515"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875"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39" w:type="dxa"/>
            <w:tcBorders>
              <w:bottom w:val="single" w:sz="6" w:space="0" w:color="FBDDE3"/>
            </w:tcBorders>
            <w:tcMar>
              <w:bottom w:w="28" w:type="dxa"/>
            </w:tcMar>
            <w:vAlign w:val="center"/>
          </w:tcPr>
          <w:p>
            <w:pPr>
              <w:pStyle w:val="TableContents"/>
              <w:bidi w:val="0"/>
              <w:spacing w:before="0" w:after="283"/>
              <w:jc w:val="left"/>
              <w:rPr/>
            </w:pPr>
            <w:r>
              <w:rPr/>
              <w:t> </w:t>
            </w:r>
          </w:p>
        </w:tc>
        <w:tc>
          <w:tcPr>
            <w:tcW w:w="931"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98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95" w:type="dxa"/>
            <w:tcBorders>
              <w:bottom w:val="single" w:sz="6" w:space="0" w:color="FBDDE3"/>
            </w:tcBorders>
            <w:tcMar>
              <w:bottom w:w="28" w:type="dxa"/>
            </w:tcMar>
            <w:vAlign w:val="center"/>
          </w:tcPr>
          <w:p>
            <w:pPr>
              <w:pStyle w:val="TableContents"/>
              <w:bidi w:val="0"/>
              <w:spacing w:before="0" w:after="283"/>
              <w:jc w:val="left"/>
              <w:rPr/>
            </w:pPr>
            <w:r>
              <w:rPr/>
              <w:t> </w:t>
            </w:r>
          </w:p>
        </w:tc>
        <w:tc>
          <w:tcPr>
            <w:tcW w:w="98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6" w:type="dxa"/>
            <w:tcBorders>
              <w:bottom w:val="single" w:sz="6" w:space="0" w:color="FBDDE3"/>
            </w:tcBorders>
            <w:tcMar>
              <w:bottom w:w="28" w:type="dxa"/>
            </w:tcMar>
            <w:vAlign w:val="center"/>
          </w:tcPr>
          <w:p>
            <w:pPr>
              <w:pStyle w:val="TableContents"/>
              <w:bidi w:val="0"/>
              <w:spacing w:before="0" w:after="283"/>
              <w:jc w:val="left"/>
              <w:rPr/>
            </w:pPr>
            <w:r>
              <w:rPr/>
              <w:t> </w:t>
            </w:r>
          </w:p>
        </w:tc>
        <w:tc>
          <w:tcPr>
            <w:tcW w:w="984"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0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4" w:type="dxa"/>
            <w:tcBorders>
              <w:bottom w:val="single" w:sz="6" w:space="0" w:color="FBDDE3"/>
            </w:tcBorders>
            <w:tcMar>
              <w:bottom w:w="28" w:type="dxa"/>
            </w:tcMar>
            <w:vAlign w:val="center"/>
          </w:tcPr>
          <w:p>
            <w:pPr>
              <w:pStyle w:val="TableContents"/>
              <w:bidi w:val="0"/>
              <w:spacing w:before="0" w:after="283"/>
              <w:jc w:val="left"/>
              <w:rPr/>
            </w:pPr>
            <w:r>
              <w:rPr/>
              <w:t> </w:t>
            </w:r>
          </w:p>
        </w:tc>
        <w:tc>
          <w:tcPr>
            <w:tcW w:w="996"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91" w:type="dxa"/>
            <w:tcBorders>
              <w:bottom w:val="single" w:sz="6" w:space="0" w:color="FBDDE3"/>
            </w:tcBorders>
            <w:tcMar>
              <w:bottom w:w="28" w:type="dxa"/>
            </w:tcMar>
            <w:vAlign w:val="center"/>
          </w:tcPr>
          <w:p>
            <w:pPr>
              <w:pStyle w:val="TableContents"/>
              <w:bidi w:val="0"/>
              <w:spacing w:before="0" w:after="283"/>
              <w:jc w:val="left"/>
              <w:rPr/>
            </w:pPr>
            <w:r>
              <w:rPr/>
              <w:t> </w:t>
            </w:r>
          </w:p>
        </w:tc>
        <w:tc>
          <w:tcPr>
            <w:tcW w:w="1039"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7" w:type="dxa"/>
            <w:tcBorders>
              <w:bottom w:val="single" w:sz="6" w:space="0" w:color="FBDDE3"/>
            </w:tcBorders>
            <w:tcMar>
              <w:bottom w:w="28" w:type="dxa"/>
            </w:tcMar>
            <w:vAlign w:val="center"/>
          </w:tcPr>
          <w:p>
            <w:pPr>
              <w:pStyle w:val="TableContents"/>
              <w:bidi w:val="0"/>
              <w:spacing w:before="0" w:after="283"/>
              <w:jc w:val="left"/>
              <w:rPr/>
            </w:pPr>
            <w:r>
              <w:rPr/>
              <w:t> </w:t>
            </w:r>
          </w:p>
        </w:tc>
        <w:tc>
          <w:tcPr>
            <w:tcW w:w="1108" w:type="dxa"/>
            <w:tcBorders>
              <w:bottom w:val="single" w:sz="6" w:space="0" w:color="FBDDE3"/>
            </w:tcBorders>
            <w:tcMar>
              <w:bottom w:w="28" w:type="dxa"/>
            </w:tcMar>
            <w:vAlign w:val="center"/>
          </w:tcPr>
          <w:p>
            <w:pPr>
              <w:pStyle w:val="TableContents"/>
              <w:bidi w:val="0"/>
              <w:spacing w:before="0" w:after="283"/>
              <w:jc w:val="left"/>
              <w:rPr/>
            </w:pPr>
            <w:r>
              <w:rPr/>
              <w:t> </w:t>
            </w:r>
          </w:p>
        </w:tc>
        <w:tc>
          <w:tcPr>
            <w:tcW w:w="75" w:type="dxa"/>
            <w:tcBorders>
              <w:bottom w:val="single" w:sz="6" w:space="0" w:color="FBDDE3"/>
            </w:tcBorders>
            <w:tcMar>
              <w:bottom w:w="28"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r>
      <w:tr>
        <w:trPr/>
        <w:tc>
          <w:tcPr>
            <w:tcW w:w="1505" w:type="dxa"/>
            <w:tcBorders>
              <w:bottom w:val="single" w:sz="6" w:space="0" w:color="FBDDE3"/>
            </w:tcBorders>
            <w:tcMar>
              <w:bottom w:w="60" w:type="dxa"/>
            </w:tcMar>
            <w:vAlign w:val="center"/>
          </w:tcPr>
          <w:p>
            <w:pPr>
              <w:pStyle w:val="TableContents"/>
              <w:bidi w:val="0"/>
              <w:spacing w:before="0" w:after="0"/>
              <w:jc w:val="left"/>
              <w:rPr>
                <w:rFonts w:ascii="arial" w:hAnsi="arial"/>
                <w:sz w:val="16"/>
              </w:rPr>
            </w:pPr>
            <w:r>
              <w:rPr>
                <w:rFonts w:ascii="arial" w:hAnsi="arial"/>
                <w:sz w:val="16"/>
              </w:rPr>
              <w:t>Annual Incentive</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51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7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39" w:type="dxa"/>
            <w:tcBorders>
              <w:bottom w:val="single" w:sz="6" w:space="0" w:color="FBDDE3"/>
            </w:tcBorders>
            <w:tcMar>
              <w:bottom w:w="60" w:type="dxa"/>
            </w:tcMar>
            <w:vAlign w:val="center"/>
          </w:tcPr>
          <w:p>
            <w:pPr>
              <w:pStyle w:val="TableContents"/>
              <w:bidi w:val="0"/>
              <w:spacing w:before="0" w:after="283"/>
              <w:jc w:val="left"/>
              <w:rPr/>
            </w:pPr>
            <w:r>
              <w:rPr/>
              <w:t> </w:t>
            </w:r>
          </w:p>
        </w:tc>
        <w:tc>
          <w:tcPr>
            <w:tcW w:w="931" w:type="dxa"/>
            <w:tcBorders>
              <w:bottom w:val="single" w:sz="6" w:space="0" w:color="FBDDE3"/>
            </w:tcBorders>
            <w:tcMar>
              <w:bottom w:w="60" w:type="dxa"/>
            </w:tcMar>
            <w:vAlign w:val="center"/>
          </w:tcPr>
          <w:p>
            <w:pPr>
              <w:pStyle w:val="TableContents"/>
              <w:bidi w:val="0"/>
              <w:spacing w:before="0" w:after="283"/>
              <w:jc w:val="right"/>
              <w:rPr/>
            </w:pPr>
            <w:r>
              <w:rPr/>
              <w:t>160,000</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800,000</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95"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1,600,000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6"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84"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0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4"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96"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91"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39"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7"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08"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7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r>
      <w:tr>
        <w:trPr/>
        <w:tc>
          <w:tcPr>
            <w:tcW w:w="1505" w:type="dxa"/>
            <w:tcBorders>
              <w:bottom w:val="single" w:sz="6" w:space="0" w:color="FBDDE3"/>
            </w:tcBorders>
            <w:tcMar>
              <w:bottom w:w="60" w:type="dxa"/>
            </w:tcMar>
            <w:vAlign w:val="center"/>
          </w:tcPr>
          <w:p>
            <w:pPr>
              <w:pStyle w:val="TableContents"/>
              <w:bidi w:val="0"/>
              <w:spacing w:before="0" w:after="0"/>
              <w:jc w:val="left"/>
              <w:rPr>
                <w:rFonts w:ascii="arial" w:hAnsi="arial"/>
                <w:sz w:val="16"/>
              </w:rPr>
            </w:pPr>
            <w:r>
              <w:rPr>
                <w:rFonts w:ascii="arial" w:hAnsi="arial"/>
                <w:sz w:val="16"/>
              </w:rPr>
              <w:t>PSUs</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515" w:type="dxa"/>
            <w:tcBorders>
              <w:bottom w:val="single" w:sz="6" w:space="0" w:color="FBDDE3"/>
            </w:tcBorders>
            <w:tcMar>
              <w:bottom w:w="60" w:type="dxa"/>
            </w:tcMar>
            <w:vAlign w:val="center"/>
          </w:tcPr>
          <w:p>
            <w:pPr>
              <w:pStyle w:val="TableContents"/>
              <w:bidi w:val="0"/>
              <w:spacing w:before="0" w:after="283"/>
              <w:jc w:val="right"/>
              <w:rPr/>
            </w:pPr>
            <w:r>
              <w:rPr/>
              <w:t>3/16/2023</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875" w:type="dxa"/>
            <w:tcBorders>
              <w:bottom w:val="single" w:sz="6" w:space="0" w:color="FBDDE3"/>
            </w:tcBorders>
            <w:tcMar>
              <w:bottom w:w="60" w:type="dxa"/>
            </w:tcMar>
            <w:vAlign w:val="center"/>
          </w:tcPr>
          <w:p>
            <w:pPr>
              <w:pStyle w:val="TableContents"/>
              <w:bidi w:val="0"/>
              <w:spacing w:before="0" w:after="283"/>
              <w:jc w:val="right"/>
              <w:rPr/>
            </w:pPr>
            <w:r>
              <w:rPr/>
              <w:t>3/14/2023</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39"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31"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8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9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8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6" w:type="dxa"/>
            <w:tcBorders>
              <w:bottom w:val="single" w:sz="6" w:space="0" w:color="FBDDE3"/>
            </w:tcBorders>
            <w:tcMar>
              <w:bottom w:w="60" w:type="dxa"/>
            </w:tcMar>
            <w:vAlign w:val="center"/>
          </w:tcPr>
          <w:p>
            <w:pPr>
              <w:pStyle w:val="TableContents"/>
              <w:bidi w:val="0"/>
              <w:spacing w:before="0" w:after="283"/>
              <w:jc w:val="left"/>
              <w:rPr/>
            </w:pPr>
            <w:r>
              <w:rPr/>
              <w:t> </w:t>
            </w:r>
          </w:p>
        </w:tc>
        <w:tc>
          <w:tcPr>
            <w:tcW w:w="984" w:type="dxa"/>
            <w:tcBorders>
              <w:bottom w:val="single" w:sz="6" w:space="0" w:color="FBDDE3"/>
            </w:tcBorders>
            <w:tcMar>
              <w:bottom w:w="60" w:type="dxa"/>
            </w:tcMar>
            <w:vAlign w:val="center"/>
          </w:tcPr>
          <w:p>
            <w:pPr>
              <w:pStyle w:val="TableContents"/>
              <w:bidi w:val="0"/>
              <w:spacing w:before="0" w:after="283"/>
              <w:jc w:val="right"/>
              <w:rPr/>
            </w:pPr>
            <w:r>
              <w:rPr/>
              <w:t>12,996</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25,991</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4" w:type="dxa"/>
            <w:tcBorders>
              <w:bottom w:val="single" w:sz="6" w:space="0" w:color="FBDDE3"/>
            </w:tcBorders>
            <w:tcMar>
              <w:bottom w:w="60" w:type="dxa"/>
            </w:tcMar>
            <w:vAlign w:val="center"/>
          </w:tcPr>
          <w:p>
            <w:pPr>
              <w:pStyle w:val="TableContents"/>
              <w:bidi w:val="0"/>
              <w:spacing w:before="0" w:after="283"/>
              <w:jc w:val="left"/>
              <w:rPr/>
            </w:pPr>
            <w:r>
              <w:rPr/>
              <w:t> </w:t>
            </w:r>
          </w:p>
        </w:tc>
        <w:tc>
          <w:tcPr>
            <w:tcW w:w="996" w:type="dxa"/>
            <w:tcBorders>
              <w:bottom w:val="single" w:sz="6" w:space="0" w:color="FBDDE3"/>
            </w:tcBorders>
            <w:tcMar>
              <w:bottom w:w="60" w:type="dxa"/>
            </w:tcMar>
            <w:vAlign w:val="center"/>
          </w:tcPr>
          <w:p>
            <w:pPr>
              <w:pStyle w:val="TableContents"/>
              <w:bidi w:val="0"/>
              <w:spacing w:before="0" w:after="283"/>
              <w:jc w:val="right"/>
              <w:rPr/>
            </w:pPr>
            <w:r>
              <w:rPr/>
              <w:t>51,982</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91"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39"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7" w:type="dxa"/>
            <w:tcBorders>
              <w:bottom w:val="single" w:sz="6" w:space="0" w:color="FBDDE3"/>
            </w:tcBorders>
            <w:tcMar>
              <w:bottom w:w="60" w:type="dxa"/>
            </w:tcMar>
            <w:vAlign w:val="center"/>
          </w:tcPr>
          <w:p>
            <w:pPr>
              <w:pStyle w:val="TableContents"/>
              <w:bidi w:val="0"/>
              <w:spacing w:before="0" w:after="283"/>
              <w:jc w:val="left"/>
              <w:rPr/>
            </w:pPr>
            <w:r>
              <w:rPr/>
              <w:t> </w:t>
            </w:r>
          </w:p>
        </w:tc>
        <w:tc>
          <w:tcPr>
            <w:tcW w:w="1108" w:type="dxa"/>
            <w:tcBorders>
              <w:bottom w:val="single" w:sz="6" w:space="0" w:color="FBDDE3"/>
            </w:tcBorders>
            <w:tcMar>
              <w:bottom w:w="60" w:type="dxa"/>
            </w:tcMar>
            <w:vAlign w:val="center"/>
          </w:tcPr>
          <w:p>
            <w:pPr>
              <w:pStyle w:val="TableContents"/>
              <w:bidi w:val="0"/>
              <w:spacing w:before="0" w:after="283"/>
              <w:jc w:val="right"/>
              <w:rPr/>
            </w:pPr>
            <w:r>
              <w:rPr/>
              <w:t>921,599</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r>
      <w:tr>
        <w:trPr/>
        <w:tc>
          <w:tcPr>
            <w:tcW w:w="1505" w:type="dxa"/>
            <w:tcBorders>
              <w:bottom w:val="single" w:sz="8" w:space="0" w:color="F7ACBA"/>
            </w:tcBorders>
            <w:tcMar>
              <w:bottom w:w="60" w:type="dxa"/>
            </w:tcMar>
            <w:vAlign w:val="center"/>
          </w:tcPr>
          <w:p>
            <w:pPr>
              <w:pStyle w:val="TableContents"/>
              <w:bidi w:val="0"/>
              <w:spacing w:before="0" w:after="0"/>
              <w:jc w:val="left"/>
              <w:rPr>
                <w:rFonts w:ascii="arial" w:hAnsi="arial"/>
                <w:sz w:val="16"/>
              </w:rPr>
            </w:pPr>
            <w:r>
              <w:rPr>
                <w:rFonts w:ascii="arial" w:hAnsi="arial"/>
                <w:sz w:val="16"/>
              </w:rPr>
              <w:t>RSUs</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20" w:type="dxa"/>
            <w:tcBorders>
              <w:bottom w:val="single" w:sz="8" w:space="0" w:color="F7ACBA"/>
            </w:tcBorders>
            <w:tcMar>
              <w:bottom w:w="60" w:type="dxa"/>
            </w:tcMar>
            <w:vAlign w:val="center"/>
          </w:tcPr>
          <w:p>
            <w:pPr>
              <w:pStyle w:val="TableContents"/>
              <w:bidi w:val="0"/>
              <w:spacing w:before="0" w:after="283"/>
              <w:jc w:val="left"/>
              <w:rPr/>
            </w:pPr>
            <w:r>
              <w:rPr/>
              <w:t> </w:t>
            </w:r>
          </w:p>
        </w:tc>
        <w:tc>
          <w:tcPr>
            <w:tcW w:w="515" w:type="dxa"/>
            <w:tcBorders>
              <w:bottom w:val="single" w:sz="8" w:space="0" w:color="F7ACBA"/>
            </w:tcBorders>
            <w:tcMar>
              <w:bottom w:w="60" w:type="dxa"/>
            </w:tcMar>
            <w:vAlign w:val="center"/>
          </w:tcPr>
          <w:p>
            <w:pPr>
              <w:pStyle w:val="TableContents"/>
              <w:bidi w:val="0"/>
              <w:spacing w:before="0" w:after="283"/>
              <w:jc w:val="right"/>
              <w:rPr/>
            </w:pPr>
            <w:r>
              <w:rPr/>
              <w:t>3/16/2023</w:t>
            </w:r>
          </w:p>
        </w:tc>
        <w:tc>
          <w:tcPr>
            <w:tcW w:w="60" w:type="dxa"/>
            <w:tcBorders>
              <w:bottom w:val="single" w:sz="8" w:space="0" w:color="F7ACBA"/>
            </w:tcBorders>
            <w:tcMar>
              <w:bottom w:w="6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20" w:type="dxa"/>
            <w:tcBorders>
              <w:bottom w:val="single" w:sz="8" w:space="0" w:color="F7ACBA"/>
            </w:tcBorders>
            <w:tcMar>
              <w:bottom w:w="60" w:type="dxa"/>
            </w:tcMar>
            <w:vAlign w:val="center"/>
          </w:tcPr>
          <w:p>
            <w:pPr>
              <w:pStyle w:val="TableContents"/>
              <w:bidi w:val="0"/>
              <w:spacing w:before="0" w:after="283"/>
              <w:jc w:val="left"/>
              <w:rPr/>
            </w:pPr>
            <w:r>
              <w:rPr/>
              <w:t> </w:t>
            </w:r>
          </w:p>
        </w:tc>
        <w:tc>
          <w:tcPr>
            <w:tcW w:w="875" w:type="dxa"/>
            <w:tcBorders>
              <w:bottom w:val="single" w:sz="8" w:space="0" w:color="F7ACBA"/>
            </w:tcBorders>
            <w:tcMar>
              <w:bottom w:w="60" w:type="dxa"/>
            </w:tcMar>
            <w:vAlign w:val="center"/>
          </w:tcPr>
          <w:p>
            <w:pPr>
              <w:pStyle w:val="TableContents"/>
              <w:bidi w:val="0"/>
              <w:spacing w:before="0" w:after="283"/>
              <w:jc w:val="right"/>
              <w:rPr/>
            </w:pPr>
            <w:r>
              <w:rPr/>
              <w:t>3/14/2023</w:t>
            </w:r>
          </w:p>
        </w:tc>
        <w:tc>
          <w:tcPr>
            <w:tcW w:w="60" w:type="dxa"/>
            <w:tcBorders>
              <w:bottom w:val="single" w:sz="8" w:space="0" w:color="F7ACBA"/>
            </w:tcBorders>
            <w:tcMar>
              <w:bottom w:w="6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39"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31"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2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8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95"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8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86"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84"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0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74"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96"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91" w:type="dxa"/>
            <w:tcBorders>
              <w:bottom w:val="single" w:sz="8" w:space="0" w:color="F7ACBA"/>
            </w:tcBorders>
            <w:tcMar>
              <w:bottom w:w="60" w:type="dxa"/>
            </w:tcMar>
            <w:vAlign w:val="center"/>
          </w:tcPr>
          <w:p>
            <w:pPr>
              <w:pStyle w:val="TableContents"/>
              <w:bidi w:val="0"/>
              <w:spacing w:before="0" w:after="283"/>
              <w:jc w:val="left"/>
              <w:rPr/>
            </w:pPr>
            <w:r>
              <w:rPr/>
              <w:t> </w:t>
            </w:r>
          </w:p>
        </w:tc>
        <w:tc>
          <w:tcPr>
            <w:tcW w:w="1039" w:type="dxa"/>
            <w:tcBorders>
              <w:bottom w:val="single" w:sz="8" w:space="0" w:color="F7ACBA"/>
            </w:tcBorders>
            <w:tcMar>
              <w:bottom w:w="60" w:type="dxa"/>
            </w:tcMar>
            <w:vAlign w:val="center"/>
          </w:tcPr>
          <w:p>
            <w:pPr>
              <w:pStyle w:val="TableContents"/>
              <w:bidi w:val="0"/>
              <w:spacing w:before="0" w:after="283"/>
              <w:jc w:val="right"/>
              <w:rPr/>
            </w:pPr>
            <w:r>
              <w:rPr/>
              <w:t>25,991</w:t>
            </w:r>
          </w:p>
        </w:tc>
        <w:tc>
          <w:tcPr>
            <w:tcW w:w="60" w:type="dxa"/>
            <w:tcBorders>
              <w:bottom w:val="single" w:sz="8" w:space="0" w:color="F7ACBA"/>
            </w:tcBorders>
            <w:tcMar>
              <w:bottom w:w="6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7" w:type="dxa"/>
            <w:tcBorders>
              <w:bottom w:val="single" w:sz="8" w:space="0" w:color="F7ACBA"/>
            </w:tcBorders>
            <w:tcMar>
              <w:bottom w:w="60" w:type="dxa"/>
            </w:tcMar>
            <w:vAlign w:val="center"/>
          </w:tcPr>
          <w:p>
            <w:pPr>
              <w:pStyle w:val="TableContents"/>
              <w:bidi w:val="0"/>
              <w:spacing w:before="0" w:after="283"/>
              <w:jc w:val="left"/>
              <w:rPr/>
            </w:pPr>
            <w:r>
              <w:rPr/>
              <w:t> </w:t>
            </w:r>
          </w:p>
        </w:tc>
        <w:tc>
          <w:tcPr>
            <w:tcW w:w="1108" w:type="dxa"/>
            <w:tcBorders>
              <w:bottom w:val="single" w:sz="8" w:space="0" w:color="F7ACBA"/>
            </w:tcBorders>
            <w:tcMar>
              <w:bottom w:w="60" w:type="dxa"/>
            </w:tcMar>
            <w:vAlign w:val="center"/>
          </w:tcPr>
          <w:p>
            <w:pPr>
              <w:pStyle w:val="TableContents"/>
              <w:bidi w:val="0"/>
              <w:spacing w:before="0" w:after="283"/>
              <w:jc w:val="right"/>
              <w:rPr/>
            </w:pPr>
            <w:r>
              <w:rPr/>
              <w:t>800,003</w:t>
            </w:r>
          </w:p>
        </w:tc>
        <w:tc>
          <w:tcPr>
            <w:tcW w:w="75" w:type="dxa"/>
            <w:tcBorders>
              <w:bottom w:val="single" w:sz="8" w:space="0" w:color="F7ACBA"/>
            </w:tcBorders>
            <w:tcMar>
              <w:bottom w:w="60"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r>
      <w:tr>
        <w:trPr/>
        <w:tc>
          <w:tcPr>
            <w:tcW w:w="1505" w:type="dxa"/>
            <w:tcBorders>
              <w:bottom w:val="single" w:sz="6" w:space="0" w:color="FBDDE3"/>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Melinda McAfee</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515"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875"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39" w:type="dxa"/>
            <w:tcBorders>
              <w:bottom w:val="single" w:sz="6" w:space="0" w:color="FBDDE3"/>
            </w:tcBorders>
            <w:tcMar>
              <w:bottom w:w="28" w:type="dxa"/>
            </w:tcMar>
            <w:vAlign w:val="center"/>
          </w:tcPr>
          <w:p>
            <w:pPr>
              <w:pStyle w:val="TableContents"/>
              <w:bidi w:val="0"/>
              <w:spacing w:before="0" w:after="283"/>
              <w:jc w:val="left"/>
              <w:rPr/>
            </w:pPr>
            <w:r>
              <w:rPr/>
              <w:t> </w:t>
            </w:r>
          </w:p>
        </w:tc>
        <w:tc>
          <w:tcPr>
            <w:tcW w:w="931"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98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95" w:type="dxa"/>
            <w:tcBorders>
              <w:bottom w:val="single" w:sz="6" w:space="0" w:color="FBDDE3"/>
            </w:tcBorders>
            <w:tcMar>
              <w:bottom w:w="28" w:type="dxa"/>
            </w:tcMar>
            <w:vAlign w:val="center"/>
          </w:tcPr>
          <w:p>
            <w:pPr>
              <w:pStyle w:val="TableContents"/>
              <w:bidi w:val="0"/>
              <w:spacing w:before="0" w:after="283"/>
              <w:jc w:val="left"/>
              <w:rPr/>
            </w:pPr>
            <w:r>
              <w:rPr/>
              <w:t> </w:t>
            </w:r>
          </w:p>
        </w:tc>
        <w:tc>
          <w:tcPr>
            <w:tcW w:w="98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6" w:type="dxa"/>
            <w:tcBorders>
              <w:bottom w:val="single" w:sz="6" w:space="0" w:color="FBDDE3"/>
            </w:tcBorders>
            <w:tcMar>
              <w:bottom w:w="28" w:type="dxa"/>
            </w:tcMar>
            <w:vAlign w:val="center"/>
          </w:tcPr>
          <w:p>
            <w:pPr>
              <w:pStyle w:val="TableContents"/>
              <w:bidi w:val="0"/>
              <w:spacing w:before="0" w:after="283"/>
              <w:jc w:val="left"/>
              <w:rPr/>
            </w:pPr>
            <w:r>
              <w:rPr/>
              <w:t> </w:t>
            </w:r>
          </w:p>
        </w:tc>
        <w:tc>
          <w:tcPr>
            <w:tcW w:w="984"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0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4" w:type="dxa"/>
            <w:tcBorders>
              <w:bottom w:val="single" w:sz="6" w:space="0" w:color="FBDDE3"/>
            </w:tcBorders>
            <w:tcMar>
              <w:bottom w:w="28" w:type="dxa"/>
            </w:tcMar>
            <w:vAlign w:val="center"/>
          </w:tcPr>
          <w:p>
            <w:pPr>
              <w:pStyle w:val="TableContents"/>
              <w:bidi w:val="0"/>
              <w:spacing w:before="0" w:after="283"/>
              <w:jc w:val="left"/>
              <w:rPr/>
            </w:pPr>
            <w:r>
              <w:rPr/>
              <w:t> </w:t>
            </w:r>
          </w:p>
        </w:tc>
        <w:tc>
          <w:tcPr>
            <w:tcW w:w="996"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91" w:type="dxa"/>
            <w:tcBorders>
              <w:bottom w:val="single" w:sz="6" w:space="0" w:color="FBDDE3"/>
            </w:tcBorders>
            <w:tcMar>
              <w:bottom w:w="28" w:type="dxa"/>
            </w:tcMar>
            <w:vAlign w:val="center"/>
          </w:tcPr>
          <w:p>
            <w:pPr>
              <w:pStyle w:val="TableContents"/>
              <w:bidi w:val="0"/>
              <w:spacing w:before="0" w:after="283"/>
              <w:jc w:val="left"/>
              <w:rPr/>
            </w:pPr>
            <w:r>
              <w:rPr/>
              <w:t> </w:t>
            </w:r>
          </w:p>
        </w:tc>
        <w:tc>
          <w:tcPr>
            <w:tcW w:w="1039"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7" w:type="dxa"/>
            <w:tcBorders>
              <w:bottom w:val="single" w:sz="6" w:space="0" w:color="FBDDE3"/>
            </w:tcBorders>
            <w:tcMar>
              <w:bottom w:w="28" w:type="dxa"/>
            </w:tcMar>
            <w:vAlign w:val="center"/>
          </w:tcPr>
          <w:p>
            <w:pPr>
              <w:pStyle w:val="TableContents"/>
              <w:bidi w:val="0"/>
              <w:spacing w:before="0" w:after="283"/>
              <w:jc w:val="left"/>
              <w:rPr/>
            </w:pPr>
            <w:r>
              <w:rPr/>
              <w:t> </w:t>
            </w:r>
          </w:p>
        </w:tc>
        <w:tc>
          <w:tcPr>
            <w:tcW w:w="1108" w:type="dxa"/>
            <w:tcBorders>
              <w:bottom w:val="single" w:sz="6" w:space="0" w:color="FBDDE3"/>
            </w:tcBorders>
            <w:tcMar>
              <w:bottom w:w="28" w:type="dxa"/>
            </w:tcMar>
            <w:vAlign w:val="center"/>
          </w:tcPr>
          <w:p>
            <w:pPr>
              <w:pStyle w:val="TableContents"/>
              <w:bidi w:val="0"/>
              <w:spacing w:before="0" w:after="283"/>
              <w:jc w:val="left"/>
              <w:rPr/>
            </w:pPr>
            <w:r>
              <w:rPr/>
              <w:t> </w:t>
            </w:r>
          </w:p>
        </w:tc>
        <w:tc>
          <w:tcPr>
            <w:tcW w:w="75" w:type="dxa"/>
            <w:tcBorders>
              <w:bottom w:val="single" w:sz="6" w:space="0" w:color="FBDDE3"/>
            </w:tcBorders>
            <w:tcMar>
              <w:bottom w:w="28"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r>
      <w:tr>
        <w:trPr/>
        <w:tc>
          <w:tcPr>
            <w:tcW w:w="1505" w:type="dxa"/>
            <w:tcBorders>
              <w:bottom w:val="single" w:sz="6" w:space="0" w:color="FBDDE3"/>
            </w:tcBorders>
            <w:tcMar>
              <w:bottom w:w="60" w:type="dxa"/>
            </w:tcMar>
            <w:vAlign w:val="center"/>
          </w:tcPr>
          <w:p>
            <w:pPr>
              <w:pStyle w:val="TableContents"/>
              <w:bidi w:val="0"/>
              <w:spacing w:before="0" w:after="0"/>
              <w:jc w:val="left"/>
              <w:rPr>
                <w:rFonts w:ascii="arial" w:hAnsi="arial"/>
                <w:sz w:val="16"/>
              </w:rPr>
            </w:pPr>
            <w:r>
              <w:rPr>
                <w:rFonts w:ascii="arial" w:hAnsi="arial"/>
                <w:sz w:val="16"/>
              </w:rPr>
              <w:t>Annual Incentive</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51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7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39" w:type="dxa"/>
            <w:tcBorders>
              <w:bottom w:val="single" w:sz="6" w:space="0" w:color="FBDDE3"/>
            </w:tcBorders>
            <w:tcMar>
              <w:bottom w:w="60" w:type="dxa"/>
            </w:tcMar>
            <w:vAlign w:val="center"/>
          </w:tcPr>
          <w:p>
            <w:pPr>
              <w:pStyle w:val="TableContents"/>
              <w:bidi w:val="0"/>
              <w:spacing w:before="0" w:after="283"/>
              <w:jc w:val="left"/>
              <w:rPr/>
            </w:pPr>
            <w:r>
              <w:rPr/>
              <w:t> </w:t>
            </w:r>
          </w:p>
        </w:tc>
        <w:tc>
          <w:tcPr>
            <w:tcW w:w="931" w:type="dxa"/>
            <w:tcBorders>
              <w:bottom w:val="single" w:sz="6" w:space="0" w:color="FBDDE3"/>
            </w:tcBorders>
            <w:tcMar>
              <w:bottom w:w="60" w:type="dxa"/>
            </w:tcMar>
            <w:vAlign w:val="center"/>
          </w:tcPr>
          <w:p>
            <w:pPr>
              <w:pStyle w:val="TableContents"/>
              <w:bidi w:val="0"/>
              <w:spacing w:before="0" w:after="283"/>
              <w:jc w:val="right"/>
              <w:rPr/>
            </w:pPr>
            <w:r>
              <w:rPr/>
              <w:t>145,000</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725,000</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95"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1,450,000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6"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84"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0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4"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96"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91"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39"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7"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08"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7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r>
      <w:tr>
        <w:trPr/>
        <w:tc>
          <w:tcPr>
            <w:tcW w:w="1505" w:type="dxa"/>
            <w:tcBorders>
              <w:bottom w:val="single" w:sz="6" w:space="0" w:color="FBDDE3"/>
            </w:tcBorders>
            <w:tcMar>
              <w:bottom w:w="60" w:type="dxa"/>
            </w:tcMar>
            <w:vAlign w:val="center"/>
          </w:tcPr>
          <w:p>
            <w:pPr>
              <w:pStyle w:val="TableContents"/>
              <w:bidi w:val="0"/>
              <w:spacing w:before="0" w:after="0"/>
              <w:jc w:val="left"/>
              <w:rPr>
                <w:rFonts w:ascii="arial" w:hAnsi="arial"/>
                <w:sz w:val="16"/>
              </w:rPr>
            </w:pPr>
            <w:r>
              <w:rPr>
                <w:rFonts w:ascii="arial" w:hAnsi="arial"/>
                <w:sz w:val="16"/>
              </w:rPr>
              <w:t>PSUs</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515" w:type="dxa"/>
            <w:tcBorders>
              <w:bottom w:val="single" w:sz="6" w:space="0" w:color="FBDDE3"/>
            </w:tcBorders>
            <w:tcMar>
              <w:bottom w:w="60" w:type="dxa"/>
            </w:tcMar>
            <w:vAlign w:val="center"/>
          </w:tcPr>
          <w:p>
            <w:pPr>
              <w:pStyle w:val="TableContents"/>
              <w:bidi w:val="0"/>
              <w:spacing w:before="0" w:after="283"/>
              <w:jc w:val="right"/>
              <w:rPr/>
            </w:pPr>
            <w:r>
              <w:rPr/>
              <w:t>3/16/2023</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875" w:type="dxa"/>
            <w:tcBorders>
              <w:bottom w:val="single" w:sz="6" w:space="0" w:color="FBDDE3"/>
            </w:tcBorders>
            <w:tcMar>
              <w:bottom w:w="60" w:type="dxa"/>
            </w:tcMar>
            <w:vAlign w:val="center"/>
          </w:tcPr>
          <w:p>
            <w:pPr>
              <w:pStyle w:val="TableContents"/>
              <w:bidi w:val="0"/>
              <w:spacing w:before="0" w:after="283"/>
              <w:jc w:val="right"/>
              <w:rPr/>
            </w:pPr>
            <w:r>
              <w:rPr/>
              <w:t>3/14/2023</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39"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31"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8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9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8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6" w:type="dxa"/>
            <w:tcBorders>
              <w:bottom w:val="single" w:sz="6" w:space="0" w:color="FBDDE3"/>
            </w:tcBorders>
            <w:tcMar>
              <w:bottom w:w="60" w:type="dxa"/>
            </w:tcMar>
            <w:vAlign w:val="center"/>
          </w:tcPr>
          <w:p>
            <w:pPr>
              <w:pStyle w:val="TableContents"/>
              <w:bidi w:val="0"/>
              <w:spacing w:before="0" w:after="283"/>
              <w:jc w:val="left"/>
              <w:rPr/>
            </w:pPr>
            <w:r>
              <w:rPr/>
              <w:t> </w:t>
            </w:r>
          </w:p>
        </w:tc>
        <w:tc>
          <w:tcPr>
            <w:tcW w:w="984" w:type="dxa"/>
            <w:tcBorders>
              <w:bottom w:val="single" w:sz="6" w:space="0" w:color="FBDDE3"/>
            </w:tcBorders>
            <w:tcMar>
              <w:bottom w:w="60" w:type="dxa"/>
            </w:tcMar>
            <w:vAlign w:val="center"/>
          </w:tcPr>
          <w:p>
            <w:pPr>
              <w:pStyle w:val="TableContents"/>
              <w:bidi w:val="0"/>
              <w:spacing w:before="0" w:after="283"/>
              <w:jc w:val="right"/>
              <w:rPr/>
            </w:pPr>
            <w:r>
              <w:rPr/>
              <w:t>11,777</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23,554</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4" w:type="dxa"/>
            <w:tcBorders>
              <w:bottom w:val="single" w:sz="6" w:space="0" w:color="FBDDE3"/>
            </w:tcBorders>
            <w:tcMar>
              <w:bottom w:w="60" w:type="dxa"/>
            </w:tcMar>
            <w:vAlign w:val="center"/>
          </w:tcPr>
          <w:p>
            <w:pPr>
              <w:pStyle w:val="TableContents"/>
              <w:bidi w:val="0"/>
              <w:spacing w:before="0" w:after="283"/>
              <w:jc w:val="left"/>
              <w:rPr/>
            </w:pPr>
            <w:r>
              <w:rPr/>
              <w:t> </w:t>
            </w:r>
          </w:p>
        </w:tc>
        <w:tc>
          <w:tcPr>
            <w:tcW w:w="996" w:type="dxa"/>
            <w:tcBorders>
              <w:bottom w:val="single" w:sz="6" w:space="0" w:color="FBDDE3"/>
            </w:tcBorders>
            <w:tcMar>
              <w:bottom w:w="60" w:type="dxa"/>
            </w:tcMar>
            <w:vAlign w:val="center"/>
          </w:tcPr>
          <w:p>
            <w:pPr>
              <w:pStyle w:val="TableContents"/>
              <w:bidi w:val="0"/>
              <w:spacing w:before="0" w:after="283"/>
              <w:jc w:val="right"/>
              <w:rPr/>
            </w:pPr>
            <w:r>
              <w:rPr/>
              <w:t>47,108</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91"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39"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7" w:type="dxa"/>
            <w:tcBorders>
              <w:bottom w:val="single" w:sz="6" w:space="0" w:color="FBDDE3"/>
            </w:tcBorders>
            <w:tcMar>
              <w:bottom w:w="60" w:type="dxa"/>
            </w:tcMar>
            <w:vAlign w:val="center"/>
          </w:tcPr>
          <w:p>
            <w:pPr>
              <w:pStyle w:val="TableContents"/>
              <w:bidi w:val="0"/>
              <w:spacing w:before="0" w:after="283"/>
              <w:jc w:val="left"/>
              <w:rPr/>
            </w:pPr>
            <w:r>
              <w:rPr/>
              <w:t> </w:t>
            </w:r>
          </w:p>
        </w:tc>
        <w:tc>
          <w:tcPr>
            <w:tcW w:w="1108" w:type="dxa"/>
            <w:tcBorders>
              <w:bottom w:val="single" w:sz="6" w:space="0" w:color="FBDDE3"/>
            </w:tcBorders>
            <w:tcMar>
              <w:bottom w:w="60" w:type="dxa"/>
            </w:tcMar>
            <w:vAlign w:val="center"/>
          </w:tcPr>
          <w:p>
            <w:pPr>
              <w:pStyle w:val="TableContents"/>
              <w:bidi w:val="0"/>
              <w:spacing w:before="0" w:after="283"/>
              <w:jc w:val="right"/>
              <w:rPr/>
            </w:pPr>
            <w:r>
              <w:rPr/>
              <w:t>835,191</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r>
      <w:tr>
        <w:trPr/>
        <w:tc>
          <w:tcPr>
            <w:tcW w:w="1505" w:type="dxa"/>
            <w:tcBorders>
              <w:bottom w:val="single" w:sz="8" w:space="0" w:color="F7ACBA"/>
            </w:tcBorders>
            <w:tcMar>
              <w:bottom w:w="60" w:type="dxa"/>
            </w:tcMar>
            <w:vAlign w:val="center"/>
          </w:tcPr>
          <w:p>
            <w:pPr>
              <w:pStyle w:val="TableContents"/>
              <w:bidi w:val="0"/>
              <w:spacing w:before="0" w:after="0"/>
              <w:jc w:val="left"/>
              <w:rPr>
                <w:rFonts w:ascii="arial" w:hAnsi="arial"/>
                <w:sz w:val="16"/>
              </w:rPr>
            </w:pPr>
            <w:r>
              <w:rPr>
                <w:rFonts w:ascii="arial" w:hAnsi="arial"/>
                <w:sz w:val="16"/>
              </w:rPr>
              <w:t>RSUs</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20" w:type="dxa"/>
            <w:tcBorders>
              <w:bottom w:val="single" w:sz="8" w:space="0" w:color="F7ACBA"/>
            </w:tcBorders>
            <w:tcMar>
              <w:bottom w:w="60" w:type="dxa"/>
            </w:tcMar>
            <w:vAlign w:val="center"/>
          </w:tcPr>
          <w:p>
            <w:pPr>
              <w:pStyle w:val="TableContents"/>
              <w:bidi w:val="0"/>
              <w:spacing w:before="0" w:after="283"/>
              <w:jc w:val="left"/>
              <w:rPr/>
            </w:pPr>
            <w:r>
              <w:rPr/>
              <w:t> </w:t>
            </w:r>
          </w:p>
        </w:tc>
        <w:tc>
          <w:tcPr>
            <w:tcW w:w="515" w:type="dxa"/>
            <w:tcBorders>
              <w:bottom w:val="single" w:sz="8" w:space="0" w:color="F7ACBA"/>
            </w:tcBorders>
            <w:tcMar>
              <w:bottom w:w="60" w:type="dxa"/>
            </w:tcMar>
            <w:vAlign w:val="center"/>
          </w:tcPr>
          <w:p>
            <w:pPr>
              <w:pStyle w:val="TableContents"/>
              <w:bidi w:val="0"/>
              <w:spacing w:before="0" w:after="283"/>
              <w:jc w:val="right"/>
              <w:rPr/>
            </w:pPr>
            <w:r>
              <w:rPr/>
              <w:t>3/16/2023</w:t>
            </w:r>
          </w:p>
        </w:tc>
        <w:tc>
          <w:tcPr>
            <w:tcW w:w="60" w:type="dxa"/>
            <w:tcBorders>
              <w:bottom w:val="single" w:sz="8" w:space="0" w:color="F7ACBA"/>
            </w:tcBorders>
            <w:tcMar>
              <w:bottom w:w="6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20" w:type="dxa"/>
            <w:tcBorders>
              <w:bottom w:val="single" w:sz="8" w:space="0" w:color="F7ACBA"/>
            </w:tcBorders>
            <w:tcMar>
              <w:bottom w:w="60" w:type="dxa"/>
            </w:tcMar>
            <w:vAlign w:val="center"/>
          </w:tcPr>
          <w:p>
            <w:pPr>
              <w:pStyle w:val="TableContents"/>
              <w:bidi w:val="0"/>
              <w:spacing w:before="0" w:after="283"/>
              <w:jc w:val="left"/>
              <w:rPr/>
            </w:pPr>
            <w:r>
              <w:rPr/>
              <w:t> </w:t>
            </w:r>
          </w:p>
        </w:tc>
        <w:tc>
          <w:tcPr>
            <w:tcW w:w="875" w:type="dxa"/>
            <w:tcBorders>
              <w:bottom w:val="single" w:sz="8" w:space="0" w:color="F7ACBA"/>
            </w:tcBorders>
            <w:tcMar>
              <w:bottom w:w="60" w:type="dxa"/>
            </w:tcMar>
            <w:vAlign w:val="center"/>
          </w:tcPr>
          <w:p>
            <w:pPr>
              <w:pStyle w:val="TableContents"/>
              <w:bidi w:val="0"/>
              <w:spacing w:before="0" w:after="283"/>
              <w:jc w:val="right"/>
              <w:rPr/>
            </w:pPr>
            <w:r>
              <w:rPr/>
              <w:t>3/14/2023</w:t>
            </w:r>
          </w:p>
        </w:tc>
        <w:tc>
          <w:tcPr>
            <w:tcW w:w="60" w:type="dxa"/>
            <w:tcBorders>
              <w:bottom w:val="single" w:sz="8" w:space="0" w:color="F7ACBA"/>
            </w:tcBorders>
            <w:tcMar>
              <w:bottom w:w="6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39"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31"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2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8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95"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8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86"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84"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0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74"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96"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91" w:type="dxa"/>
            <w:tcBorders>
              <w:bottom w:val="single" w:sz="8" w:space="0" w:color="F7ACBA"/>
            </w:tcBorders>
            <w:tcMar>
              <w:bottom w:w="60" w:type="dxa"/>
            </w:tcMar>
            <w:vAlign w:val="center"/>
          </w:tcPr>
          <w:p>
            <w:pPr>
              <w:pStyle w:val="TableContents"/>
              <w:bidi w:val="0"/>
              <w:spacing w:before="0" w:after="283"/>
              <w:jc w:val="left"/>
              <w:rPr/>
            </w:pPr>
            <w:r>
              <w:rPr/>
              <w:t> </w:t>
            </w:r>
          </w:p>
        </w:tc>
        <w:tc>
          <w:tcPr>
            <w:tcW w:w="1039" w:type="dxa"/>
            <w:tcBorders>
              <w:bottom w:val="single" w:sz="8" w:space="0" w:color="F7ACBA"/>
            </w:tcBorders>
            <w:tcMar>
              <w:bottom w:w="60" w:type="dxa"/>
            </w:tcMar>
            <w:vAlign w:val="center"/>
          </w:tcPr>
          <w:p>
            <w:pPr>
              <w:pStyle w:val="TableContents"/>
              <w:bidi w:val="0"/>
              <w:spacing w:before="0" w:after="283"/>
              <w:jc w:val="right"/>
              <w:rPr/>
            </w:pPr>
            <w:r>
              <w:rPr/>
              <w:t>23,554</w:t>
            </w:r>
          </w:p>
        </w:tc>
        <w:tc>
          <w:tcPr>
            <w:tcW w:w="60" w:type="dxa"/>
            <w:tcBorders>
              <w:bottom w:val="single" w:sz="8" w:space="0" w:color="F7ACBA"/>
            </w:tcBorders>
            <w:tcMar>
              <w:bottom w:w="6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7" w:type="dxa"/>
            <w:tcBorders>
              <w:bottom w:val="single" w:sz="8" w:space="0" w:color="F7ACBA"/>
            </w:tcBorders>
            <w:tcMar>
              <w:bottom w:w="60" w:type="dxa"/>
            </w:tcMar>
            <w:vAlign w:val="center"/>
          </w:tcPr>
          <w:p>
            <w:pPr>
              <w:pStyle w:val="TableContents"/>
              <w:bidi w:val="0"/>
              <w:spacing w:before="0" w:after="283"/>
              <w:jc w:val="left"/>
              <w:rPr/>
            </w:pPr>
            <w:r>
              <w:rPr/>
              <w:t> </w:t>
            </w:r>
          </w:p>
        </w:tc>
        <w:tc>
          <w:tcPr>
            <w:tcW w:w="1108" w:type="dxa"/>
            <w:tcBorders>
              <w:bottom w:val="single" w:sz="8" w:space="0" w:color="F7ACBA"/>
            </w:tcBorders>
            <w:tcMar>
              <w:bottom w:w="60" w:type="dxa"/>
            </w:tcMar>
            <w:vAlign w:val="center"/>
          </w:tcPr>
          <w:p>
            <w:pPr>
              <w:pStyle w:val="TableContents"/>
              <w:bidi w:val="0"/>
              <w:spacing w:before="0" w:after="283"/>
              <w:jc w:val="right"/>
              <w:rPr/>
            </w:pPr>
            <w:r>
              <w:rPr/>
              <w:t>724,992</w:t>
            </w:r>
          </w:p>
        </w:tc>
        <w:tc>
          <w:tcPr>
            <w:tcW w:w="75" w:type="dxa"/>
            <w:tcBorders>
              <w:bottom w:val="single" w:sz="8" w:space="0" w:color="F7ACBA"/>
            </w:tcBorders>
            <w:tcMar>
              <w:bottom w:w="60"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r>
      <w:tr>
        <w:trPr/>
        <w:tc>
          <w:tcPr>
            <w:tcW w:w="1505" w:type="dxa"/>
            <w:tcBorders>
              <w:bottom w:val="single" w:sz="6" w:space="0" w:color="FBDDE3"/>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Christine Rupp</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515"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875"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39" w:type="dxa"/>
            <w:tcBorders>
              <w:bottom w:val="single" w:sz="6" w:space="0" w:color="FBDDE3"/>
            </w:tcBorders>
            <w:tcMar>
              <w:bottom w:w="28" w:type="dxa"/>
            </w:tcMar>
            <w:vAlign w:val="center"/>
          </w:tcPr>
          <w:p>
            <w:pPr>
              <w:pStyle w:val="TableContents"/>
              <w:bidi w:val="0"/>
              <w:spacing w:before="0" w:after="283"/>
              <w:jc w:val="left"/>
              <w:rPr/>
            </w:pPr>
            <w:r>
              <w:rPr/>
              <w:t> </w:t>
            </w:r>
          </w:p>
        </w:tc>
        <w:tc>
          <w:tcPr>
            <w:tcW w:w="931"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98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95" w:type="dxa"/>
            <w:tcBorders>
              <w:bottom w:val="single" w:sz="6" w:space="0" w:color="FBDDE3"/>
            </w:tcBorders>
            <w:tcMar>
              <w:bottom w:w="28" w:type="dxa"/>
            </w:tcMar>
            <w:vAlign w:val="center"/>
          </w:tcPr>
          <w:p>
            <w:pPr>
              <w:pStyle w:val="TableContents"/>
              <w:bidi w:val="0"/>
              <w:spacing w:before="0" w:after="283"/>
              <w:jc w:val="left"/>
              <w:rPr/>
            </w:pPr>
            <w:r>
              <w:rPr/>
              <w:t> </w:t>
            </w:r>
          </w:p>
        </w:tc>
        <w:tc>
          <w:tcPr>
            <w:tcW w:w="98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6" w:type="dxa"/>
            <w:tcBorders>
              <w:bottom w:val="single" w:sz="6" w:space="0" w:color="FBDDE3"/>
            </w:tcBorders>
            <w:tcMar>
              <w:bottom w:w="28" w:type="dxa"/>
            </w:tcMar>
            <w:vAlign w:val="center"/>
          </w:tcPr>
          <w:p>
            <w:pPr>
              <w:pStyle w:val="TableContents"/>
              <w:bidi w:val="0"/>
              <w:spacing w:before="0" w:after="283"/>
              <w:jc w:val="left"/>
              <w:rPr/>
            </w:pPr>
            <w:r>
              <w:rPr/>
              <w:t> </w:t>
            </w:r>
          </w:p>
        </w:tc>
        <w:tc>
          <w:tcPr>
            <w:tcW w:w="984"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0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4" w:type="dxa"/>
            <w:tcBorders>
              <w:bottom w:val="single" w:sz="6" w:space="0" w:color="FBDDE3"/>
            </w:tcBorders>
            <w:tcMar>
              <w:bottom w:w="28" w:type="dxa"/>
            </w:tcMar>
            <w:vAlign w:val="center"/>
          </w:tcPr>
          <w:p>
            <w:pPr>
              <w:pStyle w:val="TableContents"/>
              <w:bidi w:val="0"/>
              <w:spacing w:before="0" w:after="283"/>
              <w:jc w:val="left"/>
              <w:rPr/>
            </w:pPr>
            <w:r>
              <w:rPr/>
              <w:t> </w:t>
            </w:r>
          </w:p>
        </w:tc>
        <w:tc>
          <w:tcPr>
            <w:tcW w:w="996"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91" w:type="dxa"/>
            <w:tcBorders>
              <w:bottom w:val="single" w:sz="6" w:space="0" w:color="FBDDE3"/>
            </w:tcBorders>
            <w:tcMar>
              <w:bottom w:w="28" w:type="dxa"/>
            </w:tcMar>
            <w:vAlign w:val="center"/>
          </w:tcPr>
          <w:p>
            <w:pPr>
              <w:pStyle w:val="TableContents"/>
              <w:bidi w:val="0"/>
              <w:spacing w:before="0" w:after="283"/>
              <w:jc w:val="left"/>
              <w:rPr/>
            </w:pPr>
            <w:r>
              <w:rPr/>
              <w:t> </w:t>
            </w:r>
          </w:p>
        </w:tc>
        <w:tc>
          <w:tcPr>
            <w:tcW w:w="1039"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7" w:type="dxa"/>
            <w:tcBorders>
              <w:bottom w:val="single" w:sz="6" w:space="0" w:color="FBDDE3"/>
            </w:tcBorders>
            <w:tcMar>
              <w:bottom w:w="28" w:type="dxa"/>
            </w:tcMar>
            <w:vAlign w:val="center"/>
          </w:tcPr>
          <w:p>
            <w:pPr>
              <w:pStyle w:val="TableContents"/>
              <w:bidi w:val="0"/>
              <w:spacing w:before="0" w:after="283"/>
              <w:jc w:val="left"/>
              <w:rPr/>
            </w:pPr>
            <w:r>
              <w:rPr/>
              <w:t> </w:t>
            </w:r>
          </w:p>
        </w:tc>
        <w:tc>
          <w:tcPr>
            <w:tcW w:w="1108" w:type="dxa"/>
            <w:tcBorders>
              <w:bottom w:val="single" w:sz="6" w:space="0" w:color="FBDDE3"/>
            </w:tcBorders>
            <w:tcMar>
              <w:bottom w:w="28" w:type="dxa"/>
            </w:tcMar>
            <w:vAlign w:val="center"/>
          </w:tcPr>
          <w:p>
            <w:pPr>
              <w:pStyle w:val="TableContents"/>
              <w:bidi w:val="0"/>
              <w:spacing w:before="0" w:after="283"/>
              <w:jc w:val="left"/>
              <w:rPr/>
            </w:pPr>
            <w:r>
              <w:rPr/>
              <w:t> </w:t>
            </w:r>
          </w:p>
        </w:tc>
        <w:tc>
          <w:tcPr>
            <w:tcW w:w="75" w:type="dxa"/>
            <w:tcBorders>
              <w:bottom w:val="single" w:sz="6" w:space="0" w:color="FBDDE3"/>
            </w:tcBorders>
            <w:tcMar>
              <w:bottom w:w="28"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r>
      <w:tr>
        <w:trPr/>
        <w:tc>
          <w:tcPr>
            <w:tcW w:w="1505" w:type="dxa"/>
            <w:tcBorders>
              <w:bottom w:val="single" w:sz="6" w:space="0" w:color="FBDDE3"/>
            </w:tcBorders>
            <w:tcMar>
              <w:bottom w:w="60" w:type="dxa"/>
            </w:tcMar>
            <w:vAlign w:val="center"/>
          </w:tcPr>
          <w:p>
            <w:pPr>
              <w:pStyle w:val="TableContents"/>
              <w:bidi w:val="0"/>
              <w:spacing w:before="0" w:after="0"/>
              <w:jc w:val="left"/>
              <w:rPr>
                <w:rFonts w:ascii="arial" w:hAnsi="arial"/>
                <w:sz w:val="16"/>
              </w:rPr>
            </w:pPr>
            <w:r>
              <w:rPr>
                <w:rFonts w:ascii="arial" w:hAnsi="arial"/>
                <w:sz w:val="16"/>
              </w:rPr>
              <w:t>Annual Incentive</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51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7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39" w:type="dxa"/>
            <w:tcBorders>
              <w:bottom w:val="single" w:sz="6" w:space="0" w:color="FBDDE3"/>
            </w:tcBorders>
            <w:tcMar>
              <w:bottom w:w="60" w:type="dxa"/>
            </w:tcMar>
            <w:vAlign w:val="center"/>
          </w:tcPr>
          <w:p>
            <w:pPr>
              <w:pStyle w:val="TableContents"/>
              <w:bidi w:val="0"/>
              <w:spacing w:before="0" w:after="283"/>
              <w:jc w:val="left"/>
              <w:rPr/>
            </w:pPr>
            <w:r>
              <w:rPr/>
              <w:t> </w:t>
            </w:r>
          </w:p>
        </w:tc>
        <w:tc>
          <w:tcPr>
            <w:tcW w:w="931" w:type="dxa"/>
            <w:tcBorders>
              <w:bottom w:val="single" w:sz="6" w:space="0" w:color="FBDDE3"/>
            </w:tcBorders>
            <w:tcMar>
              <w:bottom w:w="60" w:type="dxa"/>
            </w:tcMar>
            <w:vAlign w:val="center"/>
          </w:tcPr>
          <w:p>
            <w:pPr>
              <w:pStyle w:val="TableContents"/>
              <w:bidi w:val="0"/>
              <w:spacing w:before="0" w:after="283"/>
              <w:jc w:val="right"/>
              <w:rPr/>
            </w:pPr>
            <w:r>
              <w:rPr/>
              <w:t>334,900</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1,674,500</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95"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3,349,000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6"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84"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0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4"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96"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91"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39"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7"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08"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7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r>
      <w:tr>
        <w:trPr/>
        <w:tc>
          <w:tcPr>
            <w:tcW w:w="1505" w:type="dxa"/>
            <w:tcBorders>
              <w:bottom w:val="single" w:sz="6" w:space="0" w:color="FBDDE3"/>
            </w:tcBorders>
            <w:tcMar>
              <w:bottom w:w="60" w:type="dxa"/>
            </w:tcMar>
            <w:vAlign w:val="center"/>
          </w:tcPr>
          <w:p>
            <w:pPr>
              <w:pStyle w:val="TableContents"/>
              <w:bidi w:val="0"/>
              <w:spacing w:before="0" w:after="0"/>
              <w:jc w:val="left"/>
              <w:rPr>
                <w:rFonts w:ascii="arial" w:hAnsi="arial"/>
                <w:sz w:val="16"/>
              </w:rPr>
            </w:pPr>
            <w:r>
              <w:rPr>
                <w:rFonts w:ascii="arial" w:hAnsi="arial"/>
                <w:sz w:val="16"/>
              </w:rPr>
              <w:t>PSUs</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515" w:type="dxa"/>
            <w:tcBorders>
              <w:bottom w:val="single" w:sz="6" w:space="0" w:color="FBDDE3"/>
            </w:tcBorders>
            <w:tcMar>
              <w:bottom w:w="60" w:type="dxa"/>
            </w:tcMar>
            <w:vAlign w:val="center"/>
          </w:tcPr>
          <w:p>
            <w:pPr>
              <w:pStyle w:val="TableContents"/>
              <w:bidi w:val="0"/>
              <w:spacing w:before="0" w:after="283"/>
              <w:jc w:val="right"/>
              <w:rPr/>
            </w:pPr>
            <w:r>
              <w:rPr/>
              <w:t>3/16/2023</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875" w:type="dxa"/>
            <w:tcBorders>
              <w:bottom w:val="single" w:sz="6" w:space="0" w:color="FBDDE3"/>
            </w:tcBorders>
            <w:tcMar>
              <w:bottom w:w="60" w:type="dxa"/>
            </w:tcMar>
            <w:vAlign w:val="center"/>
          </w:tcPr>
          <w:p>
            <w:pPr>
              <w:pStyle w:val="TableContents"/>
              <w:bidi w:val="0"/>
              <w:spacing w:before="0" w:after="283"/>
              <w:jc w:val="right"/>
              <w:rPr/>
            </w:pPr>
            <w:r>
              <w:rPr/>
              <w:t>3/14/2023</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39"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31"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8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9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8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6" w:type="dxa"/>
            <w:tcBorders>
              <w:bottom w:val="single" w:sz="6" w:space="0" w:color="FBDDE3"/>
            </w:tcBorders>
            <w:tcMar>
              <w:bottom w:w="60" w:type="dxa"/>
            </w:tcMar>
            <w:vAlign w:val="center"/>
          </w:tcPr>
          <w:p>
            <w:pPr>
              <w:pStyle w:val="TableContents"/>
              <w:bidi w:val="0"/>
              <w:spacing w:before="0" w:after="283"/>
              <w:jc w:val="left"/>
              <w:rPr/>
            </w:pPr>
            <w:r>
              <w:rPr/>
              <w:t> </w:t>
            </w:r>
          </w:p>
        </w:tc>
        <w:tc>
          <w:tcPr>
            <w:tcW w:w="984" w:type="dxa"/>
            <w:tcBorders>
              <w:bottom w:val="single" w:sz="6" w:space="0" w:color="FBDDE3"/>
            </w:tcBorders>
            <w:tcMar>
              <w:bottom w:w="60" w:type="dxa"/>
            </w:tcMar>
            <w:vAlign w:val="center"/>
          </w:tcPr>
          <w:p>
            <w:pPr>
              <w:pStyle w:val="TableContents"/>
              <w:bidi w:val="0"/>
              <w:spacing w:before="0" w:after="283"/>
              <w:jc w:val="right"/>
              <w:rPr/>
            </w:pPr>
            <w:r>
              <w:rPr/>
              <w:t>16,001</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32,001</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4" w:type="dxa"/>
            <w:tcBorders>
              <w:bottom w:val="single" w:sz="6" w:space="0" w:color="FBDDE3"/>
            </w:tcBorders>
            <w:tcMar>
              <w:bottom w:w="60" w:type="dxa"/>
            </w:tcMar>
            <w:vAlign w:val="center"/>
          </w:tcPr>
          <w:p>
            <w:pPr>
              <w:pStyle w:val="TableContents"/>
              <w:bidi w:val="0"/>
              <w:spacing w:before="0" w:after="283"/>
              <w:jc w:val="left"/>
              <w:rPr/>
            </w:pPr>
            <w:r>
              <w:rPr/>
              <w:t> </w:t>
            </w:r>
          </w:p>
        </w:tc>
        <w:tc>
          <w:tcPr>
            <w:tcW w:w="996" w:type="dxa"/>
            <w:tcBorders>
              <w:bottom w:val="single" w:sz="6" w:space="0" w:color="FBDDE3"/>
            </w:tcBorders>
            <w:tcMar>
              <w:bottom w:w="60" w:type="dxa"/>
            </w:tcMar>
            <w:vAlign w:val="center"/>
          </w:tcPr>
          <w:p>
            <w:pPr>
              <w:pStyle w:val="TableContents"/>
              <w:bidi w:val="0"/>
              <w:spacing w:before="0" w:after="283"/>
              <w:jc w:val="right"/>
              <w:rPr/>
            </w:pPr>
            <w:r>
              <w:rPr/>
              <w:t>64,002</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91"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39"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7" w:type="dxa"/>
            <w:tcBorders>
              <w:bottom w:val="single" w:sz="6" w:space="0" w:color="FBDDE3"/>
            </w:tcBorders>
            <w:tcMar>
              <w:bottom w:w="60" w:type="dxa"/>
            </w:tcMar>
            <w:vAlign w:val="center"/>
          </w:tcPr>
          <w:p>
            <w:pPr>
              <w:pStyle w:val="TableContents"/>
              <w:bidi w:val="0"/>
              <w:spacing w:before="0" w:after="283"/>
              <w:jc w:val="left"/>
              <w:rPr/>
            </w:pPr>
            <w:r>
              <w:rPr/>
              <w:t> </w:t>
            </w:r>
          </w:p>
        </w:tc>
        <w:tc>
          <w:tcPr>
            <w:tcW w:w="1108" w:type="dxa"/>
            <w:tcBorders>
              <w:bottom w:val="single" w:sz="6" w:space="0" w:color="FBDDE3"/>
            </w:tcBorders>
            <w:tcMar>
              <w:bottom w:w="60" w:type="dxa"/>
            </w:tcMar>
            <w:vAlign w:val="center"/>
          </w:tcPr>
          <w:p>
            <w:pPr>
              <w:pStyle w:val="TableContents"/>
              <w:bidi w:val="0"/>
              <w:spacing w:before="0" w:after="283"/>
              <w:jc w:val="right"/>
              <w:rPr/>
            </w:pPr>
            <w:r>
              <w:rPr/>
              <w:t>1,134,705</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r>
      <w:tr>
        <w:trPr/>
        <w:tc>
          <w:tcPr>
            <w:tcW w:w="1505" w:type="dxa"/>
            <w:tcBorders>
              <w:bottom w:val="single" w:sz="8" w:space="0" w:color="F7ACBA"/>
            </w:tcBorders>
            <w:tcMar>
              <w:bottom w:w="60" w:type="dxa"/>
            </w:tcMar>
            <w:vAlign w:val="center"/>
          </w:tcPr>
          <w:p>
            <w:pPr>
              <w:pStyle w:val="TableContents"/>
              <w:bidi w:val="0"/>
              <w:spacing w:before="0" w:after="0"/>
              <w:jc w:val="left"/>
              <w:rPr>
                <w:rFonts w:ascii="arial" w:hAnsi="arial"/>
                <w:sz w:val="16"/>
              </w:rPr>
            </w:pPr>
            <w:r>
              <w:rPr>
                <w:rFonts w:ascii="arial" w:hAnsi="arial"/>
                <w:sz w:val="16"/>
              </w:rPr>
              <w:t>RSUs</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20" w:type="dxa"/>
            <w:tcBorders>
              <w:bottom w:val="single" w:sz="8" w:space="0" w:color="F7ACBA"/>
            </w:tcBorders>
            <w:tcMar>
              <w:bottom w:w="60" w:type="dxa"/>
            </w:tcMar>
            <w:vAlign w:val="center"/>
          </w:tcPr>
          <w:p>
            <w:pPr>
              <w:pStyle w:val="TableContents"/>
              <w:bidi w:val="0"/>
              <w:spacing w:before="0" w:after="283"/>
              <w:jc w:val="left"/>
              <w:rPr/>
            </w:pPr>
            <w:r>
              <w:rPr/>
              <w:t> </w:t>
            </w:r>
          </w:p>
        </w:tc>
        <w:tc>
          <w:tcPr>
            <w:tcW w:w="515" w:type="dxa"/>
            <w:tcBorders>
              <w:bottom w:val="single" w:sz="8" w:space="0" w:color="F7ACBA"/>
            </w:tcBorders>
            <w:tcMar>
              <w:bottom w:w="60" w:type="dxa"/>
            </w:tcMar>
            <w:vAlign w:val="center"/>
          </w:tcPr>
          <w:p>
            <w:pPr>
              <w:pStyle w:val="TableContents"/>
              <w:bidi w:val="0"/>
              <w:spacing w:before="0" w:after="283"/>
              <w:jc w:val="right"/>
              <w:rPr/>
            </w:pPr>
            <w:r>
              <w:rPr/>
              <w:t>3/16/2023</w:t>
            </w:r>
          </w:p>
        </w:tc>
        <w:tc>
          <w:tcPr>
            <w:tcW w:w="60" w:type="dxa"/>
            <w:tcBorders>
              <w:bottom w:val="single" w:sz="8" w:space="0" w:color="F7ACBA"/>
            </w:tcBorders>
            <w:tcMar>
              <w:bottom w:w="6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20" w:type="dxa"/>
            <w:tcBorders>
              <w:bottom w:val="single" w:sz="8" w:space="0" w:color="F7ACBA"/>
            </w:tcBorders>
            <w:tcMar>
              <w:bottom w:w="60" w:type="dxa"/>
            </w:tcMar>
            <w:vAlign w:val="center"/>
          </w:tcPr>
          <w:p>
            <w:pPr>
              <w:pStyle w:val="TableContents"/>
              <w:bidi w:val="0"/>
              <w:spacing w:before="0" w:after="283"/>
              <w:jc w:val="left"/>
              <w:rPr/>
            </w:pPr>
            <w:r>
              <w:rPr/>
              <w:t> </w:t>
            </w:r>
          </w:p>
        </w:tc>
        <w:tc>
          <w:tcPr>
            <w:tcW w:w="875" w:type="dxa"/>
            <w:tcBorders>
              <w:bottom w:val="single" w:sz="8" w:space="0" w:color="F7ACBA"/>
            </w:tcBorders>
            <w:tcMar>
              <w:bottom w:w="60" w:type="dxa"/>
            </w:tcMar>
            <w:vAlign w:val="center"/>
          </w:tcPr>
          <w:p>
            <w:pPr>
              <w:pStyle w:val="TableContents"/>
              <w:bidi w:val="0"/>
              <w:spacing w:before="0" w:after="283"/>
              <w:jc w:val="right"/>
              <w:rPr/>
            </w:pPr>
            <w:r>
              <w:rPr/>
              <w:t>3/14/2023</w:t>
            </w:r>
          </w:p>
        </w:tc>
        <w:tc>
          <w:tcPr>
            <w:tcW w:w="60" w:type="dxa"/>
            <w:tcBorders>
              <w:bottom w:val="single" w:sz="8" w:space="0" w:color="F7ACBA"/>
            </w:tcBorders>
            <w:tcMar>
              <w:bottom w:w="6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39"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31"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2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8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95"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8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86"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84"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0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74"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96"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91" w:type="dxa"/>
            <w:tcBorders>
              <w:bottom w:val="single" w:sz="8" w:space="0" w:color="F7ACBA"/>
            </w:tcBorders>
            <w:tcMar>
              <w:bottom w:w="60" w:type="dxa"/>
            </w:tcMar>
            <w:vAlign w:val="center"/>
          </w:tcPr>
          <w:p>
            <w:pPr>
              <w:pStyle w:val="TableContents"/>
              <w:bidi w:val="0"/>
              <w:spacing w:before="0" w:after="283"/>
              <w:jc w:val="left"/>
              <w:rPr/>
            </w:pPr>
            <w:r>
              <w:rPr/>
              <w:t> </w:t>
            </w:r>
          </w:p>
        </w:tc>
        <w:tc>
          <w:tcPr>
            <w:tcW w:w="1039" w:type="dxa"/>
            <w:tcBorders>
              <w:bottom w:val="single" w:sz="8" w:space="0" w:color="F7ACBA"/>
            </w:tcBorders>
            <w:tcMar>
              <w:bottom w:w="60" w:type="dxa"/>
            </w:tcMar>
            <w:vAlign w:val="center"/>
          </w:tcPr>
          <w:p>
            <w:pPr>
              <w:pStyle w:val="TableContents"/>
              <w:bidi w:val="0"/>
              <w:spacing w:before="0" w:after="283"/>
              <w:jc w:val="right"/>
              <w:rPr/>
            </w:pPr>
            <w:r>
              <w:rPr/>
              <w:t>32,001</w:t>
            </w:r>
          </w:p>
        </w:tc>
        <w:tc>
          <w:tcPr>
            <w:tcW w:w="60" w:type="dxa"/>
            <w:tcBorders>
              <w:bottom w:val="single" w:sz="8" w:space="0" w:color="F7ACBA"/>
            </w:tcBorders>
            <w:tcMar>
              <w:bottom w:w="6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7" w:type="dxa"/>
            <w:tcBorders>
              <w:bottom w:val="single" w:sz="8" w:space="0" w:color="F7ACBA"/>
            </w:tcBorders>
            <w:tcMar>
              <w:bottom w:w="60" w:type="dxa"/>
            </w:tcMar>
            <w:vAlign w:val="center"/>
          </w:tcPr>
          <w:p>
            <w:pPr>
              <w:pStyle w:val="TableContents"/>
              <w:bidi w:val="0"/>
              <w:spacing w:before="0" w:after="283"/>
              <w:jc w:val="left"/>
              <w:rPr/>
            </w:pPr>
            <w:r>
              <w:rPr/>
              <w:t> </w:t>
            </w:r>
          </w:p>
        </w:tc>
        <w:tc>
          <w:tcPr>
            <w:tcW w:w="1108" w:type="dxa"/>
            <w:tcBorders>
              <w:bottom w:val="single" w:sz="8" w:space="0" w:color="F7ACBA"/>
            </w:tcBorders>
            <w:tcMar>
              <w:bottom w:w="60" w:type="dxa"/>
            </w:tcMar>
            <w:vAlign w:val="center"/>
          </w:tcPr>
          <w:p>
            <w:pPr>
              <w:pStyle w:val="TableContents"/>
              <w:bidi w:val="0"/>
              <w:spacing w:before="0" w:after="283"/>
              <w:jc w:val="right"/>
              <w:rPr/>
            </w:pPr>
            <w:r>
              <w:rPr/>
              <w:t>984,991</w:t>
            </w:r>
          </w:p>
        </w:tc>
        <w:tc>
          <w:tcPr>
            <w:tcW w:w="75" w:type="dxa"/>
            <w:tcBorders>
              <w:bottom w:val="single" w:sz="8" w:space="0" w:color="F7ACBA"/>
            </w:tcBorders>
            <w:tcMar>
              <w:bottom w:w="60"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r>
      <w:tr>
        <w:trPr/>
        <w:tc>
          <w:tcPr>
            <w:tcW w:w="1505" w:type="dxa"/>
            <w:tcBorders>
              <w:bottom w:val="single" w:sz="6" w:space="0" w:color="FBDDE3"/>
            </w:tcBorders>
            <w:tcMar>
              <w:bottom w:w="28" w:type="dxa"/>
            </w:tcMar>
            <w:vAlign w:val="center"/>
          </w:tcPr>
          <w:p>
            <w:pPr>
              <w:pStyle w:val="TableContents"/>
              <w:bidi w:val="0"/>
              <w:spacing w:before="0" w:after="0"/>
              <w:jc w:val="left"/>
              <w:rPr>
                <w:rFonts w:ascii="arial" w:hAnsi="arial"/>
                <w:b/>
                <w:sz w:val="18"/>
              </w:rPr>
            </w:pPr>
            <w:r>
              <w:rPr>
                <w:rFonts w:ascii="arial" w:hAnsi="arial"/>
                <w:b/>
                <w:sz w:val="18"/>
              </w:rPr>
              <w:t>Gregory Unis</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515"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875"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39" w:type="dxa"/>
            <w:tcBorders>
              <w:bottom w:val="single" w:sz="6" w:space="0" w:color="FBDDE3"/>
            </w:tcBorders>
            <w:tcMar>
              <w:bottom w:w="28" w:type="dxa"/>
            </w:tcMar>
            <w:vAlign w:val="center"/>
          </w:tcPr>
          <w:p>
            <w:pPr>
              <w:pStyle w:val="TableContents"/>
              <w:bidi w:val="0"/>
              <w:spacing w:before="0" w:after="283"/>
              <w:jc w:val="left"/>
              <w:rPr/>
            </w:pPr>
            <w:r>
              <w:rPr/>
              <w:t> </w:t>
            </w:r>
          </w:p>
        </w:tc>
        <w:tc>
          <w:tcPr>
            <w:tcW w:w="931"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98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95" w:type="dxa"/>
            <w:tcBorders>
              <w:bottom w:val="single" w:sz="6" w:space="0" w:color="FBDDE3"/>
            </w:tcBorders>
            <w:tcMar>
              <w:bottom w:w="28" w:type="dxa"/>
            </w:tcMar>
            <w:vAlign w:val="center"/>
          </w:tcPr>
          <w:p>
            <w:pPr>
              <w:pStyle w:val="TableContents"/>
              <w:bidi w:val="0"/>
              <w:spacing w:before="0" w:after="283"/>
              <w:jc w:val="left"/>
              <w:rPr/>
            </w:pPr>
            <w:r>
              <w:rPr/>
              <w:t> </w:t>
            </w:r>
          </w:p>
        </w:tc>
        <w:tc>
          <w:tcPr>
            <w:tcW w:w="98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6" w:type="dxa"/>
            <w:tcBorders>
              <w:bottom w:val="single" w:sz="6" w:space="0" w:color="FBDDE3"/>
            </w:tcBorders>
            <w:tcMar>
              <w:bottom w:w="28" w:type="dxa"/>
            </w:tcMar>
            <w:vAlign w:val="center"/>
          </w:tcPr>
          <w:p>
            <w:pPr>
              <w:pStyle w:val="TableContents"/>
              <w:bidi w:val="0"/>
              <w:spacing w:before="0" w:after="283"/>
              <w:jc w:val="left"/>
              <w:rPr/>
            </w:pPr>
            <w:r>
              <w:rPr/>
              <w:t> </w:t>
            </w:r>
          </w:p>
        </w:tc>
        <w:tc>
          <w:tcPr>
            <w:tcW w:w="984"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0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4" w:type="dxa"/>
            <w:tcBorders>
              <w:bottom w:val="single" w:sz="6" w:space="0" w:color="FBDDE3"/>
            </w:tcBorders>
            <w:tcMar>
              <w:bottom w:w="28" w:type="dxa"/>
            </w:tcMar>
            <w:vAlign w:val="center"/>
          </w:tcPr>
          <w:p>
            <w:pPr>
              <w:pStyle w:val="TableContents"/>
              <w:bidi w:val="0"/>
              <w:spacing w:before="0" w:after="283"/>
              <w:jc w:val="left"/>
              <w:rPr/>
            </w:pPr>
            <w:r>
              <w:rPr/>
              <w:t> </w:t>
            </w:r>
          </w:p>
        </w:tc>
        <w:tc>
          <w:tcPr>
            <w:tcW w:w="996"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91" w:type="dxa"/>
            <w:tcBorders>
              <w:bottom w:val="single" w:sz="6" w:space="0" w:color="FBDDE3"/>
            </w:tcBorders>
            <w:tcMar>
              <w:bottom w:w="28" w:type="dxa"/>
            </w:tcMar>
            <w:vAlign w:val="center"/>
          </w:tcPr>
          <w:p>
            <w:pPr>
              <w:pStyle w:val="TableContents"/>
              <w:bidi w:val="0"/>
              <w:spacing w:before="0" w:after="283"/>
              <w:jc w:val="left"/>
              <w:rPr/>
            </w:pPr>
            <w:r>
              <w:rPr/>
              <w:t> </w:t>
            </w:r>
          </w:p>
        </w:tc>
        <w:tc>
          <w:tcPr>
            <w:tcW w:w="1039"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7" w:type="dxa"/>
            <w:tcBorders>
              <w:bottom w:val="single" w:sz="6" w:space="0" w:color="FBDDE3"/>
            </w:tcBorders>
            <w:tcMar>
              <w:bottom w:w="28" w:type="dxa"/>
            </w:tcMar>
            <w:vAlign w:val="center"/>
          </w:tcPr>
          <w:p>
            <w:pPr>
              <w:pStyle w:val="TableContents"/>
              <w:bidi w:val="0"/>
              <w:spacing w:before="0" w:after="283"/>
              <w:jc w:val="left"/>
              <w:rPr/>
            </w:pPr>
            <w:r>
              <w:rPr/>
              <w:t> </w:t>
            </w:r>
          </w:p>
        </w:tc>
        <w:tc>
          <w:tcPr>
            <w:tcW w:w="1108" w:type="dxa"/>
            <w:tcBorders>
              <w:bottom w:val="single" w:sz="6" w:space="0" w:color="FBDDE3"/>
            </w:tcBorders>
            <w:tcMar>
              <w:bottom w:w="28" w:type="dxa"/>
            </w:tcMar>
            <w:vAlign w:val="center"/>
          </w:tcPr>
          <w:p>
            <w:pPr>
              <w:pStyle w:val="TableContents"/>
              <w:bidi w:val="0"/>
              <w:spacing w:before="0" w:after="283"/>
              <w:jc w:val="left"/>
              <w:rPr/>
            </w:pPr>
            <w:r>
              <w:rPr/>
              <w:t> </w:t>
            </w:r>
          </w:p>
        </w:tc>
        <w:tc>
          <w:tcPr>
            <w:tcW w:w="75" w:type="dxa"/>
            <w:tcBorders>
              <w:bottom w:val="single" w:sz="6" w:space="0" w:color="FBDDE3"/>
            </w:tcBorders>
            <w:tcMar>
              <w:bottom w:w="28"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r>
      <w:tr>
        <w:trPr/>
        <w:tc>
          <w:tcPr>
            <w:tcW w:w="1505" w:type="dxa"/>
            <w:tcBorders>
              <w:bottom w:val="single" w:sz="6" w:space="0" w:color="FBDDE3"/>
            </w:tcBorders>
            <w:tcMar>
              <w:bottom w:w="60" w:type="dxa"/>
            </w:tcMar>
            <w:vAlign w:val="center"/>
          </w:tcPr>
          <w:p>
            <w:pPr>
              <w:pStyle w:val="TableContents"/>
              <w:bidi w:val="0"/>
              <w:spacing w:before="0" w:after="0"/>
              <w:jc w:val="left"/>
              <w:rPr>
                <w:rFonts w:ascii="arial" w:hAnsi="arial"/>
                <w:sz w:val="16"/>
              </w:rPr>
            </w:pPr>
            <w:r>
              <w:rPr>
                <w:rFonts w:ascii="arial" w:hAnsi="arial"/>
                <w:sz w:val="16"/>
              </w:rPr>
              <w:t>Annual Incentive</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51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7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39" w:type="dxa"/>
            <w:tcBorders>
              <w:bottom w:val="single" w:sz="6" w:space="0" w:color="FBDDE3"/>
            </w:tcBorders>
            <w:tcMar>
              <w:bottom w:w="60" w:type="dxa"/>
            </w:tcMar>
            <w:vAlign w:val="center"/>
          </w:tcPr>
          <w:p>
            <w:pPr>
              <w:pStyle w:val="TableContents"/>
              <w:bidi w:val="0"/>
              <w:spacing w:before="0" w:after="283"/>
              <w:jc w:val="left"/>
              <w:rPr/>
            </w:pPr>
            <w:r>
              <w:rPr/>
              <w:t> </w:t>
            </w:r>
          </w:p>
        </w:tc>
        <w:tc>
          <w:tcPr>
            <w:tcW w:w="931" w:type="dxa"/>
            <w:tcBorders>
              <w:bottom w:val="single" w:sz="6" w:space="0" w:color="FBDDE3"/>
            </w:tcBorders>
            <w:tcMar>
              <w:bottom w:w="60" w:type="dxa"/>
            </w:tcMar>
            <w:vAlign w:val="center"/>
          </w:tcPr>
          <w:p>
            <w:pPr>
              <w:pStyle w:val="TableContents"/>
              <w:bidi w:val="0"/>
              <w:spacing w:before="0" w:after="283"/>
              <w:jc w:val="right"/>
              <w:rPr/>
            </w:pPr>
            <w:r>
              <w:rPr/>
              <w:t>343,404</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1,717,018</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95"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3,434,036</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6"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84"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0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4"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96"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91"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39"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7"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08"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7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r>
      <w:tr>
        <w:trPr/>
        <w:tc>
          <w:tcPr>
            <w:tcW w:w="1505" w:type="dxa"/>
            <w:tcBorders>
              <w:bottom w:val="single" w:sz="6" w:space="0" w:color="FBDDE3"/>
            </w:tcBorders>
            <w:tcMar>
              <w:bottom w:w="60" w:type="dxa"/>
            </w:tcMar>
            <w:vAlign w:val="center"/>
          </w:tcPr>
          <w:p>
            <w:pPr>
              <w:pStyle w:val="TableContents"/>
              <w:bidi w:val="0"/>
              <w:spacing w:before="0" w:after="0"/>
              <w:jc w:val="left"/>
              <w:rPr>
                <w:rFonts w:ascii="arial" w:hAnsi="arial"/>
                <w:sz w:val="16"/>
              </w:rPr>
            </w:pPr>
            <w:r>
              <w:rPr>
                <w:rFonts w:ascii="arial" w:hAnsi="arial"/>
                <w:sz w:val="16"/>
              </w:rPr>
              <w:t>PSUs</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515" w:type="dxa"/>
            <w:tcBorders>
              <w:bottom w:val="single" w:sz="6" w:space="0" w:color="FBDDE3"/>
            </w:tcBorders>
            <w:tcMar>
              <w:bottom w:w="60" w:type="dxa"/>
            </w:tcMar>
            <w:vAlign w:val="center"/>
          </w:tcPr>
          <w:p>
            <w:pPr>
              <w:pStyle w:val="TableContents"/>
              <w:bidi w:val="0"/>
              <w:spacing w:before="0" w:after="283"/>
              <w:jc w:val="right"/>
              <w:rPr/>
            </w:pPr>
            <w:r>
              <w:rPr/>
              <w:t>3/16/2023</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875" w:type="dxa"/>
            <w:tcBorders>
              <w:bottom w:val="single" w:sz="6" w:space="0" w:color="FBDDE3"/>
            </w:tcBorders>
            <w:tcMar>
              <w:bottom w:w="60" w:type="dxa"/>
            </w:tcMar>
            <w:vAlign w:val="center"/>
          </w:tcPr>
          <w:p>
            <w:pPr>
              <w:pStyle w:val="TableContents"/>
              <w:bidi w:val="0"/>
              <w:spacing w:before="0" w:after="283"/>
              <w:jc w:val="right"/>
              <w:rPr/>
            </w:pPr>
            <w:r>
              <w:rPr/>
              <w:t>3/14/2023</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39"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31"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8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9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8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6" w:type="dxa"/>
            <w:tcBorders>
              <w:bottom w:val="single" w:sz="6" w:space="0" w:color="FBDDE3"/>
            </w:tcBorders>
            <w:tcMar>
              <w:bottom w:w="60" w:type="dxa"/>
            </w:tcMar>
            <w:vAlign w:val="center"/>
          </w:tcPr>
          <w:p>
            <w:pPr>
              <w:pStyle w:val="TableContents"/>
              <w:bidi w:val="0"/>
              <w:spacing w:before="0" w:after="283"/>
              <w:jc w:val="left"/>
              <w:rPr/>
            </w:pPr>
            <w:r>
              <w:rPr/>
              <w:t> </w:t>
            </w:r>
          </w:p>
        </w:tc>
        <w:tc>
          <w:tcPr>
            <w:tcW w:w="984" w:type="dxa"/>
            <w:tcBorders>
              <w:bottom w:val="single" w:sz="6" w:space="0" w:color="FBDDE3"/>
            </w:tcBorders>
            <w:tcMar>
              <w:bottom w:w="60" w:type="dxa"/>
            </w:tcMar>
            <w:vAlign w:val="center"/>
          </w:tcPr>
          <w:p>
            <w:pPr>
              <w:pStyle w:val="TableContents"/>
              <w:bidi w:val="0"/>
              <w:spacing w:before="0" w:after="283"/>
              <w:jc w:val="right"/>
              <w:rPr/>
            </w:pPr>
            <w:r>
              <w:rPr/>
              <w:t>14,701</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29,402</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4" w:type="dxa"/>
            <w:tcBorders>
              <w:bottom w:val="single" w:sz="6" w:space="0" w:color="FBDDE3"/>
            </w:tcBorders>
            <w:tcMar>
              <w:bottom w:w="60" w:type="dxa"/>
            </w:tcMar>
            <w:vAlign w:val="center"/>
          </w:tcPr>
          <w:p>
            <w:pPr>
              <w:pStyle w:val="TableContents"/>
              <w:bidi w:val="0"/>
              <w:spacing w:before="0" w:after="283"/>
              <w:jc w:val="left"/>
              <w:rPr/>
            </w:pPr>
            <w:r>
              <w:rPr/>
              <w:t> </w:t>
            </w:r>
          </w:p>
        </w:tc>
        <w:tc>
          <w:tcPr>
            <w:tcW w:w="996" w:type="dxa"/>
            <w:tcBorders>
              <w:bottom w:val="single" w:sz="6" w:space="0" w:color="FBDDE3"/>
            </w:tcBorders>
            <w:tcMar>
              <w:bottom w:w="60" w:type="dxa"/>
            </w:tcMar>
            <w:vAlign w:val="center"/>
          </w:tcPr>
          <w:p>
            <w:pPr>
              <w:pStyle w:val="TableContents"/>
              <w:bidi w:val="0"/>
              <w:spacing w:before="0" w:after="283"/>
              <w:jc w:val="right"/>
              <w:rPr/>
            </w:pPr>
            <w:r>
              <w:rPr/>
              <w:t>58,504</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91"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39"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7" w:type="dxa"/>
            <w:tcBorders>
              <w:bottom w:val="single" w:sz="6" w:space="0" w:color="FBDDE3"/>
            </w:tcBorders>
            <w:tcMar>
              <w:bottom w:w="60" w:type="dxa"/>
            </w:tcMar>
            <w:vAlign w:val="center"/>
          </w:tcPr>
          <w:p>
            <w:pPr>
              <w:pStyle w:val="TableContents"/>
              <w:bidi w:val="0"/>
              <w:spacing w:before="0" w:after="283"/>
              <w:jc w:val="left"/>
              <w:rPr/>
            </w:pPr>
            <w:r>
              <w:rPr/>
              <w:t> </w:t>
            </w:r>
          </w:p>
        </w:tc>
        <w:tc>
          <w:tcPr>
            <w:tcW w:w="1108" w:type="dxa"/>
            <w:tcBorders>
              <w:bottom w:val="single" w:sz="6" w:space="0" w:color="FBDDE3"/>
            </w:tcBorders>
            <w:tcMar>
              <w:bottom w:w="60" w:type="dxa"/>
            </w:tcMar>
            <w:vAlign w:val="center"/>
          </w:tcPr>
          <w:p>
            <w:pPr>
              <w:pStyle w:val="TableContents"/>
              <w:bidi w:val="0"/>
              <w:spacing w:before="0" w:after="283"/>
              <w:jc w:val="right"/>
              <w:rPr/>
            </w:pPr>
            <w:r>
              <w:rPr/>
              <w:t>1,042,553</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r>
      <w:tr>
        <w:trPr/>
        <w:tc>
          <w:tcPr>
            <w:tcW w:w="1505" w:type="dxa"/>
            <w:tcBorders>
              <w:bottom w:val="single" w:sz="6" w:space="0" w:color="FBDDE3"/>
            </w:tcBorders>
            <w:tcMar>
              <w:bottom w:w="60" w:type="dxa"/>
            </w:tcMar>
            <w:vAlign w:val="center"/>
          </w:tcPr>
          <w:p>
            <w:pPr>
              <w:pStyle w:val="TableContents"/>
              <w:bidi w:val="0"/>
              <w:spacing w:before="0" w:after="0"/>
              <w:jc w:val="left"/>
              <w:rPr>
                <w:rFonts w:ascii="arial" w:hAnsi="arial"/>
                <w:sz w:val="16"/>
              </w:rPr>
            </w:pPr>
            <w:r>
              <w:rPr>
                <w:rFonts w:ascii="arial" w:hAnsi="arial"/>
                <w:sz w:val="16"/>
              </w:rPr>
              <w:t>RSUs</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515" w:type="dxa"/>
            <w:tcBorders>
              <w:bottom w:val="single" w:sz="6" w:space="0" w:color="FBDDE3"/>
            </w:tcBorders>
            <w:tcMar>
              <w:bottom w:w="60" w:type="dxa"/>
            </w:tcMar>
            <w:vAlign w:val="center"/>
          </w:tcPr>
          <w:p>
            <w:pPr>
              <w:pStyle w:val="TableContents"/>
              <w:bidi w:val="0"/>
              <w:spacing w:before="0" w:after="283"/>
              <w:jc w:val="right"/>
              <w:rPr/>
            </w:pPr>
            <w:r>
              <w:rPr/>
              <w:t>3/16/2023</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875" w:type="dxa"/>
            <w:tcBorders>
              <w:bottom w:val="single" w:sz="6" w:space="0" w:color="FBDDE3"/>
            </w:tcBorders>
            <w:tcMar>
              <w:bottom w:w="60" w:type="dxa"/>
            </w:tcMar>
            <w:vAlign w:val="center"/>
          </w:tcPr>
          <w:p>
            <w:pPr>
              <w:pStyle w:val="TableContents"/>
              <w:bidi w:val="0"/>
              <w:spacing w:before="0" w:after="283"/>
              <w:jc w:val="right"/>
              <w:rPr/>
            </w:pPr>
            <w:r>
              <w:rPr/>
              <w:t>3/14/2023</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39"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31"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8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9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8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6"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84"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0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4"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96"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91" w:type="dxa"/>
            <w:tcBorders>
              <w:bottom w:val="single" w:sz="6" w:space="0" w:color="FBDDE3"/>
            </w:tcBorders>
            <w:tcMar>
              <w:bottom w:w="60" w:type="dxa"/>
            </w:tcMar>
            <w:vAlign w:val="center"/>
          </w:tcPr>
          <w:p>
            <w:pPr>
              <w:pStyle w:val="TableContents"/>
              <w:bidi w:val="0"/>
              <w:spacing w:before="0" w:after="283"/>
              <w:jc w:val="left"/>
              <w:rPr/>
            </w:pPr>
            <w:r>
              <w:rPr/>
              <w:t> </w:t>
            </w:r>
          </w:p>
        </w:tc>
        <w:tc>
          <w:tcPr>
            <w:tcW w:w="1039" w:type="dxa"/>
            <w:tcBorders>
              <w:bottom w:val="single" w:sz="6" w:space="0" w:color="FBDDE3"/>
            </w:tcBorders>
            <w:tcMar>
              <w:bottom w:w="60" w:type="dxa"/>
            </w:tcMar>
            <w:vAlign w:val="center"/>
          </w:tcPr>
          <w:p>
            <w:pPr>
              <w:pStyle w:val="TableContents"/>
              <w:bidi w:val="0"/>
              <w:spacing w:before="0" w:after="283"/>
              <w:jc w:val="right"/>
              <w:rPr/>
            </w:pPr>
            <w:r>
              <w:rPr/>
              <w:t>29,402</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7" w:type="dxa"/>
            <w:tcBorders>
              <w:bottom w:val="single" w:sz="6" w:space="0" w:color="FBDDE3"/>
            </w:tcBorders>
            <w:tcMar>
              <w:bottom w:w="60" w:type="dxa"/>
            </w:tcMar>
            <w:vAlign w:val="center"/>
          </w:tcPr>
          <w:p>
            <w:pPr>
              <w:pStyle w:val="TableContents"/>
              <w:bidi w:val="0"/>
              <w:spacing w:before="0" w:after="283"/>
              <w:jc w:val="left"/>
              <w:rPr/>
            </w:pPr>
            <w:r>
              <w:rPr/>
              <w:t> </w:t>
            </w:r>
          </w:p>
        </w:tc>
        <w:tc>
          <w:tcPr>
            <w:tcW w:w="1108" w:type="dxa"/>
            <w:tcBorders>
              <w:bottom w:val="single" w:sz="6" w:space="0" w:color="FBDDE3"/>
            </w:tcBorders>
            <w:tcMar>
              <w:bottom w:w="60" w:type="dxa"/>
            </w:tcMar>
            <w:vAlign w:val="center"/>
          </w:tcPr>
          <w:p>
            <w:pPr>
              <w:pStyle w:val="TableContents"/>
              <w:bidi w:val="0"/>
              <w:spacing w:before="0" w:after="283"/>
              <w:jc w:val="right"/>
              <w:rPr/>
            </w:pPr>
            <w:r>
              <w:rPr/>
              <w:t>904,994</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r>
      <w:tr>
        <w:trPr/>
        <w:tc>
          <w:tcPr>
            <w:tcW w:w="1505" w:type="dxa"/>
            <w:tcBorders>
              <w:bottom w:val="single" w:sz="6" w:space="0" w:color="FBDDE3"/>
            </w:tcBorders>
            <w:tcMar>
              <w:bottom w:w="60" w:type="dxa"/>
            </w:tcMar>
            <w:vAlign w:val="center"/>
          </w:tcPr>
          <w:p>
            <w:pPr>
              <w:pStyle w:val="TableContents"/>
              <w:bidi w:val="0"/>
              <w:spacing w:before="0" w:after="0"/>
              <w:jc w:val="left"/>
              <w:rPr>
                <w:rFonts w:ascii="arial" w:hAnsi="arial"/>
                <w:sz w:val="16"/>
              </w:rPr>
            </w:pPr>
            <w:r>
              <w:rPr>
                <w:rFonts w:ascii="arial" w:hAnsi="arial"/>
                <w:sz w:val="16"/>
              </w:rPr>
              <w:t>PSUs(5)</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515" w:type="dxa"/>
            <w:tcBorders>
              <w:bottom w:val="single" w:sz="6" w:space="0" w:color="FBDDE3"/>
            </w:tcBorders>
            <w:tcMar>
              <w:bottom w:w="60" w:type="dxa"/>
            </w:tcMar>
            <w:vAlign w:val="center"/>
          </w:tcPr>
          <w:p>
            <w:pPr>
              <w:pStyle w:val="TableContents"/>
              <w:bidi w:val="0"/>
              <w:spacing w:before="0" w:after="283"/>
              <w:jc w:val="right"/>
              <w:rPr/>
            </w:pPr>
            <w:r>
              <w:rPr/>
              <w:t>7/3/2023</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875" w:type="dxa"/>
            <w:tcBorders>
              <w:bottom w:val="single" w:sz="6" w:space="0" w:color="FBDDE3"/>
            </w:tcBorders>
            <w:tcMar>
              <w:bottom w:w="60" w:type="dxa"/>
            </w:tcMar>
            <w:vAlign w:val="center"/>
          </w:tcPr>
          <w:p>
            <w:pPr>
              <w:pStyle w:val="TableContents"/>
              <w:bidi w:val="0"/>
              <w:spacing w:before="0" w:after="283"/>
              <w:jc w:val="right"/>
              <w:rPr/>
            </w:pPr>
            <w:r>
              <w:rPr/>
              <w:t>6/15/2023</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39"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31"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8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9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8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6" w:type="dxa"/>
            <w:tcBorders>
              <w:bottom w:val="single" w:sz="6" w:space="0" w:color="FBDDE3"/>
            </w:tcBorders>
            <w:tcMar>
              <w:bottom w:w="60" w:type="dxa"/>
            </w:tcMar>
            <w:vAlign w:val="center"/>
          </w:tcPr>
          <w:p>
            <w:pPr>
              <w:pStyle w:val="TableContents"/>
              <w:bidi w:val="0"/>
              <w:spacing w:before="0" w:after="283"/>
              <w:jc w:val="left"/>
              <w:rPr/>
            </w:pPr>
            <w:r>
              <w:rPr/>
              <w:t> </w:t>
            </w:r>
          </w:p>
        </w:tc>
        <w:tc>
          <w:tcPr>
            <w:tcW w:w="984" w:type="dxa"/>
            <w:tcBorders>
              <w:bottom w:val="single" w:sz="6" w:space="0" w:color="FBDDE3"/>
            </w:tcBorders>
            <w:tcMar>
              <w:bottom w:w="60" w:type="dxa"/>
            </w:tcMar>
            <w:vAlign w:val="center"/>
          </w:tcPr>
          <w:p>
            <w:pPr>
              <w:pStyle w:val="TableContents"/>
              <w:bidi w:val="0"/>
              <w:spacing w:before="0" w:after="283"/>
              <w:jc w:val="right"/>
              <w:rPr/>
            </w:pPr>
            <w:r>
              <w:rPr/>
              <w:t>20,903</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41,806</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4" w:type="dxa"/>
            <w:tcBorders>
              <w:bottom w:val="single" w:sz="6" w:space="0" w:color="FBDDE3"/>
            </w:tcBorders>
            <w:tcMar>
              <w:bottom w:w="60" w:type="dxa"/>
            </w:tcMar>
            <w:vAlign w:val="center"/>
          </w:tcPr>
          <w:p>
            <w:pPr>
              <w:pStyle w:val="TableContents"/>
              <w:bidi w:val="0"/>
              <w:spacing w:before="0" w:after="283"/>
              <w:jc w:val="left"/>
              <w:rPr/>
            </w:pPr>
            <w:r>
              <w:rPr/>
              <w:t> </w:t>
            </w:r>
          </w:p>
        </w:tc>
        <w:tc>
          <w:tcPr>
            <w:tcW w:w="996" w:type="dxa"/>
            <w:tcBorders>
              <w:bottom w:val="single" w:sz="6" w:space="0" w:color="FBDDE3"/>
            </w:tcBorders>
            <w:tcMar>
              <w:bottom w:w="60" w:type="dxa"/>
            </w:tcMar>
            <w:vAlign w:val="center"/>
          </w:tcPr>
          <w:p>
            <w:pPr>
              <w:pStyle w:val="TableContents"/>
              <w:bidi w:val="0"/>
              <w:spacing w:before="0" w:after="283"/>
              <w:jc w:val="right"/>
              <w:rPr/>
            </w:pPr>
            <w:r>
              <w:rPr/>
              <w:t>83,612</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91"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39"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7" w:type="dxa"/>
            <w:tcBorders>
              <w:bottom w:val="single" w:sz="6" w:space="0" w:color="FBDDE3"/>
            </w:tcBorders>
            <w:tcMar>
              <w:bottom w:w="60" w:type="dxa"/>
            </w:tcMar>
            <w:vAlign w:val="center"/>
          </w:tcPr>
          <w:p>
            <w:pPr>
              <w:pStyle w:val="TableContents"/>
              <w:bidi w:val="0"/>
              <w:spacing w:before="0" w:after="283"/>
              <w:jc w:val="left"/>
              <w:rPr/>
            </w:pPr>
            <w:r>
              <w:rPr/>
              <w:t> </w:t>
            </w:r>
          </w:p>
        </w:tc>
        <w:tc>
          <w:tcPr>
            <w:tcW w:w="1108" w:type="dxa"/>
            <w:tcBorders>
              <w:bottom w:val="single" w:sz="6" w:space="0" w:color="FBDDE3"/>
            </w:tcBorders>
            <w:tcMar>
              <w:bottom w:w="60" w:type="dxa"/>
            </w:tcMar>
            <w:vAlign w:val="center"/>
          </w:tcPr>
          <w:p>
            <w:pPr>
              <w:pStyle w:val="TableContents"/>
              <w:bidi w:val="0"/>
              <w:spacing w:before="0" w:after="283"/>
              <w:jc w:val="right"/>
              <w:rPr/>
            </w:pPr>
            <w:r>
              <w:rPr/>
              <w:t>864,000</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755" w:type="dxa"/>
            <w:gridSpan w:val="4"/>
            <w:tcBorders/>
            <w:vAlign w:val="center"/>
          </w:tcPr>
          <w:p>
            <w:pPr>
              <w:pStyle w:val="TableContents"/>
              <w:bidi w:val="0"/>
              <w:spacing w:before="0" w:after="283"/>
              <w:jc w:val="left"/>
              <w:rPr>
                <w:sz w:val="4"/>
                <w:szCs w:val="4"/>
              </w:rPr>
            </w:pPr>
            <w:r>
              <w:rPr>
                <w:sz w:val="4"/>
                <w:szCs w:val="4"/>
              </w:rPr>
            </w:r>
          </w:p>
        </w:tc>
        <w:tc>
          <w:tcPr>
            <w:tcW w:w="1115"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190" w:type="dxa"/>
            <w:gridSpan w:val="4"/>
            <w:tcBorders/>
            <w:vAlign w:val="center"/>
          </w:tcPr>
          <w:p>
            <w:pPr>
              <w:pStyle w:val="TableContents"/>
              <w:bidi w:val="0"/>
              <w:spacing w:before="0" w:after="283"/>
              <w:jc w:val="left"/>
              <w:rPr>
                <w:sz w:val="4"/>
                <w:szCs w:val="4"/>
              </w:rPr>
            </w:pPr>
            <w:r>
              <w:rPr>
                <w:sz w:val="4"/>
                <w:szCs w:val="4"/>
              </w:rPr>
            </w:r>
          </w:p>
        </w:tc>
        <w:tc>
          <w:tcPr>
            <w:tcW w:w="1250"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r>
      <w:tr>
        <w:trPr/>
        <w:tc>
          <w:tcPr>
            <w:tcW w:w="1505" w:type="dxa"/>
            <w:tcBorders>
              <w:bottom w:val="single" w:sz="8" w:space="0" w:color="F7ACBA"/>
            </w:tcBorders>
            <w:tcMar>
              <w:bottom w:w="80" w:type="dxa"/>
            </w:tcMar>
            <w:vAlign w:val="center"/>
          </w:tcPr>
          <w:p>
            <w:pPr>
              <w:pStyle w:val="TableContents"/>
              <w:bidi w:val="0"/>
              <w:spacing w:before="0" w:after="0"/>
              <w:jc w:val="left"/>
              <w:rPr>
                <w:rFonts w:ascii="arial" w:hAnsi="arial"/>
                <w:sz w:val="16"/>
              </w:rPr>
            </w:pPr>
            <w:r>
              <w:rPr>
                <w:rFonts w:ascii="arial" w:hAnsi="arial"/>
                <w:sz w:val="16"/>
              </w:rPr>
              <w:t>RSUs(5)</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20" w:type="dxa"/>
            <w:tcBorders>
              <w:bottom w:val="single" w:sz="8" w:space="0" w:color="F7ACBA"/>
            </w:tcBorders>
            <w:tcMar>
              <w:bottom w:w="80" w:type="dxa"/>
            </w:tcMar>
            <w:vAlign w:val="center"/>
          </w:tcPr>
          <w:p>
            <w:pPr>
              <w:pStyle w:val="TableContents"/>
              <w:bidi w:val="0"/>
              <w:spacing w:before="0" w:after="283"/>
              <w:jc w:val="left"/>
              <w:rPr/>
            </w:pPr>
            <w:r>
              <w:rPr/>
              <w:t> </w:t>
            </w:r>
          </w:p>
        </w:tc>
        <w:tc>
          <w:tcPr>
            <w:tcW w:w="515" w:type="dxa"/>
            <w:tcBorders>
              <w:bottom w:val="single" w:sz="8" w:space="0" w:color="F7ACBA"/>
            </w:tcBorders>
            <w:tcMar>
              <w:bottom w:w="80" w:type="dxa"/>
            </w:tcMar>
            <w:vAlign w:val="center"/>
          </w:tcPr>
          <w:p>
            <w:pPr>
              <w:pStyle w:val="TableContents"/>
              <w:bidi w:val="0"/>
              <w:spacing w:before="0" w:after="283"/>
              <w:jc w:val="right"/>
              <w:rPr/>
            </w:pPr>
            <w:r>
              <w:rPr/>
              <w:t>7/3/2023</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20" w:type="dxa"/>
            <w:tcBorders>
              <w:bottom w:val="single" w:sz="8" w:space="0" w:color="F7ACBA"/>
            </w:tcBorders>
            <w:tcMar>
              <w:bottom w:w="80" w:type="dxa"/>
            </w:tcMar>
            <w:vAlign w:val="center"/>
          </w:tcPr>
          <w:p>
            <w:pPr>
              <w:pStyle w:val="TableContents"/>
              <w:bidi w:val="0"/>
              <w:spacing w:before="0" w:after="283"/>
              <w:jc w:val="left"/>
              <w:rPr/>
            </w:pPr>
            <w:r>
              <w:rPr/>
              <w:t> </w:t>
            </w:r>
          </w:p>
        </w:tc>
        <w:tc>
          <w:tcPr>
            <w:tcW w:w="875" w:type="dxa"/>
            <w:tcBorders>
              <w:bottom w:val="single" w:sz="8" w:space="0" w:color="F7ACBA"/>
            </w:tcBorders>
            <w:tcMar>
              <w:bottom w:w="80" w:type="dxa"/>
            </w:tcMar>
            <w:vAlign w:val="center"/>
          </w:tcPr>
          <w:p>
            <w:pPr>
              <w:pStyle w:val="TableContents"/>
              <w:bidi w:val="0"/>
              <w:spacing w:before="0" w:after="283"/>
              <w:jc w:val="right"/>
              <w:rPr/>
            </w:pPr>
            <w:r>
              <w:rPr/>
              <w:t>6/15/2023</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39"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31"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2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8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95"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8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86"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84"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0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74"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96"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91" w:type="dxa"/>
            <w:tcBorders>
              <w:bottom w:val="single" w:sz="8" w:space="0" w:color="F7ACBA"/>
            </w:tcBorders>
            <w:tcMar>
              <w:bottom w:w="80" w:type="dxa"/>
            </w:tcMar>
            <w:vAlign w:val="center"/>
          </w:tcPr>
          <w:p>
            <w:pPr>
              <w:pStyle w:val="TableContents"/>
              <w:bidi w:val="0"/>
              <w:spacing w:before="0" w:after="283"/>
              <w:jc w:val="left"/>
              <w:rPr/>
            </w:pPr>
            <w:r>
              <w:rPr/>
              <w:t> </w:t>
            </w:r>
          </w:p>
        </w:tc>
        <w:tc>
          <w:tcPr>
            <w:tcW w:w="1039" w:type="dxa"/>
            <w:tcBorders>
              <w:bottom w:val="single" w:sz="8" w:space="0" w:color="F7ACBA"/>
            </w:tcBorders>
            <w:tcMar>
              <w:bottom w:w="80" w:type="dxa"/>
            </w:tcMar>
            <w:vAlign w:val="center"/>
          </w:tcPr>
          <w:p>
            <w:pPr>
              <w:pStyle w:val="TableContents"/>
              <w:bidi w:val="0"/>
              <w:spacing w:before="0" w:after="283"/>
              <w:jc w:val="right"/>
              <w:rPr/>
            </w:pPr>
            <w:r>
              <w:rPr/>
              <w:t>41,806</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7" w:type="dxa"/>
            <w:tcBorders>
              <w:bottom w:val="single" w:sz="8" w:space="0" w:color="F7ACBA"/>
            </w:tcBorders>
            <w:tcMar>
              <w:bottom w:w="80" w:type="dxa"/>
            </w:tcMar>
            <w:vAlign w:val="center"/>
          </w:tcPr>
          <w:p>
            <w:pPr>
              <w:pStyle w:val="TableContents"/>
              <w:bidi w:val="0"/>
              <w:spacing w:before="0" w:after="283"/>
              <w:jc w:val="left"/>
              <w:rPr/>
            </w:pPr>
            <w:r>
              <w:rPr/>
              <w:t> </w:t>
            </w:r>
          </w:p>
        </w:tc>
        <w:tc>
          <w:tcPr>
            <w:tcW w:w="1108" w:type="dxa"/>
            <w:tcBorders>
              <w:bottom w:val="single" w:sz="8" w:space="0" w:color="F7ACBA"/>
            </w:tcBorders>
            <w:tcMar>
              <w:bottom w:w="80" w:type="dxa"/>
            </w:tcMar>
            <w:vAlign w:val="center"/>
          </w:tcPr>
          <w:p>
            <w:pPr>
              <w:pStyle w:val="TableContents"/>
              <w:bidi w:val="0"/>
              <w:spacing w:before="0" w:after="283"/>
              <w:jc w:val="right"/>
              <w:rPr/>
            </w:pPr>
            <w:r>
              <w:rPr/>
              <w:t>750,000</w:t>
            </w:r>
          </w:p>
        </w:tc>
        <w:tc>
          <w:tcPr>
            <w:tcW w:w="75" w:type="dxa"/>
            <w:tcBorders>
              <w:bottom w:val="single" w:sz="8" w:space="0" w:color="F7ACBA"/>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(1)</w:t>
            </w:r>
          </w:p>
        </w:tc>
        <w:tc>
          <w:tcPr>
            <w:tcW w:w="9943" w:type="dxa"/>
            <w:tcBorders/>
            <w:vAlign w:val="center"/>
          </w:tcPr>
          <w:p>
            <w:pPr>
              <w:pStyle w:val="TableContents"/>
              <w:bidi w:val="0"/>
              <w:spacing w:before="0" w:after="0"/>
              <w:jc w:val="left"/>
              <w:rPr/>
            </w:pPr>
            <w:r>
              <w:rPr/>
              <w:t>“</w:t>
            </w:r>
            <w:r>
              <w:rPr>
                <w:rFonts w:ascii="arial" w:hAnsi="arial"/>
                <w:sz w:val="14"/>
              </w:rPr>
              <w:t xml:space="preserve">Non-Equity Incentive Plan Awards” represent the threshold, target and maximum opportunities for the fiscal 2023 Spring and Fall seasons and the annual performance period based on the full fiscal year. The actual amount earned under this plan is disclosed in the “Non-Equity Incentive Plan Compensation” column of the Summary Compensation Table.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(2)</w:t>
            </w:r>
          </w:p>
        </w:tc>
        <w:tc>
          <w:tcPr>
            <w:tcW w:w="9948" w:type="dxa"/>
            <w:tcBorders/>
            <w:vAlign w:val="center"/>
          </w:tcPr>
          <w:p>
            <w:pPr>
              <w:pStyle w:val="TableContents"/>
              <w:bidi w:val="0"/>
              <w:spacing w:before="0" w:after="0"/>
              <w:jc w:val="left"/>
              <w:rPr/>
            </w:pPr>
            <w:r>
              <w:rPr/>
              <w:t>“</w:t>
            </w:r>
            <w:r>
              <w:rPr>
                <w:rFonts w:ascii="arial" w:hAnsi="arial"/>
                <w:sz w:val="14"/>
              </w:rPr>
              <w:t xml:space="preserve">Equity Incentive Plan Awards” are PSUs granted during the fiscal year pursuant to the VS 2021 Stock Plan. PSUs are eligible to vest at the end of the three-year performance period, with the number of shares to be awarded determined based on the achievement of (i) 3-year cumulative operating income goals and (ii) 3-year cumulative total shareholder return relative to the S&amp;P 1500 Specialty Retail Index. </w:t>
            </w:r>
          </w:p>
        </w:tc>
      </w:tr>
    </w:tbl>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17"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06" descr=""/>
                          <pic:cNvPicPr>
                            <a:picLocks noChangeAspect="1" noChangeArrowheads="1"/>
                          </pic:cNvPicPr>
                        </pic:nvPicPr>
                        <pic:blipFill>
                          <a:blip r:embed="rId107"/>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62 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COMPENSATION DISCUSSION AND ANALYSIS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(3)</w:t>
            </w:r>
          </w:p>
        </w:tc>
        <w:tc>
          <w:tcPr>
            <w:tcW w:w="9924" w:type="dxa"/>
            <w:tcBorders/>
            <w:vAlign w:val="center"/>
          </w:tcPr>
          <w:p>
            <w:pPr>
              <w:pStyle w:val="TableContents"/>
              <w:bidi w:val="0"/>
              <w:spacing w:before="0" w:after="0"/>
              <w:jc w:val="left"/>
              <w:rPr/>
            </w:pPr>
            <w:r>
              <w:rPr/>
              <w:t>“</w:t>
            </w:r>
            <w:r>
              <w:rPr>
                <w:rFonts w:ascii="arial" w:hAnsi="arial"/>
                <w:sz w:val="14"/>
              </w:rPr>
              <w:t xml:space="preserve">All Other Stock Awards” are RSUs granted during the fiscal year pursuant to the VS 2021 Stock Plan. Awards vest 30% on the first and second anniversary of the grant date and 40% on the third anniversary of the grant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(4)</w:t>
            </w:r>
          </w:p>
        </w:tc>
        <w:tc>
          <w:tcPr>
            <w:tcW w:w="9966" w:type="dxa"/>
            <w:tcBorders/>
            <w:vAlign w:val="center"/>
          </w:tcPr>
          <w:p>
            <w:pPr>
              <w:pStyle w:val="TableContents"/>
              <w:bidi w:val="0"/>
              <w:spacing w:before="0" w:after="0"/>
              <w:jc w:val="left"/>
              <w:rPr>
                <w:rFonts w:ascii="arial" w:hAnsi="arial"/>
                <w:sz w:val="14"/>
              </w:rPr>
            </w:pPr>
            <w:r>
              <w:rPr>
                <w:rFonts w:ascii="arial" w:hAnsi="arial"/>
                <w:sz w:val="14"/>
              </w:rPr>
              <w:t xml:space="preserve">We valued the RSUs, and the portion of the PSUs based on 3-year cumulative operating income results, by multiplying the closing price of our common shares on the NYSE on the grant date by the number of units awarded. We valued the portion of the PSUs based on 3-year cumulative total shareholder return relative to the S&amp;P 1500 Specialty Retail Index results using a Monte Carlo simulation valuation model which applies a risk-free interest rate and volatility assumptions. The risk-free interest rate is based on treasury constant maturity yields as reported in the H.15 Federal Reserve Statistical Release on the grant date with a term corresponding to the length of the remaining performance period. Due to our limited trading history, the volatility assumption was set equal to the average volatility for the companies in the S&amp;P 1500 Specialty Retail Index and VS&amp;Co was excluded from the correlation calculation. The assumed per-share value is 130.4% of the closing stock price on the date of the grant, using a risk-free interest rate of 4.01% and volatility of 47.1%. The accounting values differ from the compensation values of the PSU awards disclosed in the CD&amp;A. </w:t>
            </w:r>
          </w:p>
        </w:tc>
      </w:tr>
    </w:tbl>
    <w:p>
      <w:pPr>
        <w:pStyle w:val="TextBody"/>
        <w:bidi w:val="0"/>
        <w:spacing w:before="0" w:after="0"/>
        <w:jc w:val="left"/>
        <w:rPr/>
      </w:pPr>
      <w:r>
        <w:rPr/>
        <w:t> </w:t>
      </w:r>
    </w:p>
    <w:tbl>
      <w:tblPr>
        <w:tblW w:w="7870" w:type="dxa"/>
        <w:jc w:val="left"/>
        <w:tblInd w:w="0" w:type="dxa"/>
        <w:tblLayout w:type="fixed"/>
        <w:tblCellMar>
          <w:top w:w="0" w:type="dxa"/>
          <w:left w:w="0" w:type="dxa"/>
          <w:bottom w:w="0" w:type="dxa"/>
          <w:right w:w="0" w:type="dxa"/>
        </w:tblCellMar>
      </w:tblPr>
      <w:tblGrid>
        <w:gridCol w:w="305"/>
        <w:gridCol w:w="7565"/>
      </w:tblGrid>
      <w:tr>
        <w:trPr/>
        <w:tc>
          <w:tcPr>
            <w:tcW w:w="305" w:type="dxa"/>
            <w:tcBorders/>
            <w:vAlign w:val="center"/>
          </w:tcPr>
          <w:p>
            <w:pPr>
              <w:pStyle w:val="TableContents"/>
              <w:bidi w:val="0"/>
              <w:spacing w:before="0" w:after="283"/>
              <w:jc w:val="left"/>
              <w:rPr/>
            </w:pPr>
            <w:r>
              <w:rPr/>
              <w:t>(5)</w:t>
            </w:r>
          </w:p>
        </w:tc>
        <w:tc>
          <w:tcPr>
            <w:tcW w:w="7565" w:type="dxa"/>
            <w:tcBorders/>
            <w:vAlign w:val="center"/>
          </w:tcPr>
          <w:p>
            <w:pPr>
              <w:pStyle w:val="TableContents"/>
              <w:bidi w:val="0"/>
              <w:spacing w:before="0" w:after="0"/>
              <w:jc w:val="left"/>
              <w:rPr>
                <w:rFonts w:ascii="arial" w:hAnsi="arial"/>
                <w:sz w:val="14"/>
              </w:rPr>
            </w:pPr>
            <w:r>
              <w:rPr>
                <w:rFonts w:ascii="arial" w:hAnsi="arial"/>
                <w:sz w:val="14"/>
              </w:rPr>
              <w:t xml:space="preserve">PSUs and RSUs granted in connection with a reorganization in July 2023 in which Mr. Unis took on greater responsibility. </w:t>
            </w:r>
          </w:p>
        </w:tc>
      </w:tr>
    </w:tbl>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18"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07" descr=""/>
                          <pic:cNvPicPr>
                            <a:picLocks noChangeAspect="1" noChangeArrowheads="1"/>
                          </pic:cNvPicPr>
                        </pic:nvPicPr>
                        <pic:blipFill>
                          <a:blip r:embed="rId108"/>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63 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COMPENSATION DISCUSSION AND ANALYSIS </w:t>
      </w:r>
    </w:p>
    <w:p>
      <w:pPr>
        <w:pStyle w:val="TextBody"/>
        <w:bidi w:val="0"/>
        <w:spacing w:before="0" w:after="0"/>
        <w:jc w:val="left"/>
        <w:rPr/>
      </w:pPr>
      <w:r>
        <w:rPr/>
        <w:t> </w:t>
      </w:r>
    </w:p>
    <w:p>
      <w:pPr>
        <w:pStyle w:val="TextBody"/>
        <w:bidi w:val="0"/>
        <w:spacing w:before="0" w:after="0"/>
        <w:jc w:val="left"/>
        <w:rPr>
          <w:rFonts w:ascii="arial" w:hAnsi="arial"/>
          <w:b/>
          <w:color w:val="F7ACBA"/>
          <w:sz w:val="24"/>
        </w:rPr>
      </w:pPr>
      <w:r>
        <w:rPr>
          <w:rFonts w:ascii="arial" w:hAnsi="arial"/>
          <w:b/>
          <w:color w:val="F7ACBA"/>
          <w:sz w:val="24"/>
        </w:rPr>
        <w:t xml:space="preserve">Outstanding Equity Awards at Fiscal Year-End for Fiscal 2023 </w:t>
      </w:r>
    </w:p>
    <w:p>
      <w:pPr>
        <w:pStyle w:val="TextBody"/>
        <w:bidi w:val="0"/>
        <w:spacing w:before="60" w:after="0"/>
        <w:jc w:val="left"/>
        <w:rPr>
          <w:rFonts w:ascii="arial" w:hAnsi="arial"/>
          <w:sz w:val="18"/>
        </w:rPr>
      </w:pPr>
      <w:r>
        <w:rPr>
          <w:rFonts w:ascii="arial" w:hAnsi="arial"/>
          <w:sz w:val="18"/>
        </w:rPr>
        <w:t xml:space="preserve">The table below shows the number of shares underlying exercisable and unexercisable stock options and unvested PSUs and RSUs held by our NEOs on February 3, 2024. For awards granted prior to our spin-off from L Brands, the number of options, PSUs and RSUs represent the adjusted number of outstanding awards. The awards and grant price were adjusted in a manner intended to preserve the overall intrinsic value of the converted equity awards by taking into account the relative value of L Brands common stock before the spin-off and the value of VS&amp;Co common stock after the spin-off. </w:t>
      </w:r>
    </w:p>
    <w:p>
      <w:pPr>
        <w:pStyle w:val="TextBody"/>
        <w:bidi w:val="0"/>
        <w:spacing w:before="0" w:after="0"/>
        <w:jc w:val="left"/>
        <w:rPr/>
      </w:pPr>
      <w:r>
        <w:rPr/>
        <w:t> </w:t>
      </w:r>
    </w:p>
    <w:tbl>
      <w:tblPr>
        <w:tblW w:w="14825" w:type="dxa"/>
        <w:jc w:val="left"/>
        <w:tblInd w:w="0" w:type="dxa"/>
        <w:tblLayout w:type="fixed"/>
        <w:tblCellMar>
          <w:top w:w="0" w:type="dxa"/>
          <w:left w:w="0" w:type="dxa"/>
          <w:bottom w:w="0" w:type="dxa"/>
          <w:right w:w="0" w:type="dxa"/>
        </w:tblCellMar>
      </w:tblPr>
      <w:tblGrid>
        <w:gridCol w:w="1505"/>
        <w:gridCol w:w="60"/>
        <w:gridCol w:w="125"/>
        <w:gridCol w:w="1050"/>
        <w:gridCol w:w="60"/>
        <w:gridCol w:w="60"/>
        <w:gridCol w:w="102"/>
        <w:gridCol w:w="1163"/>
        <w:gridCol w:w="60"/>
        <w:gridCol w:w="60"/>
        <w:gridCol w:w="139"/>
        <w:gridCol w:w="1306"/>
        <w:gridCol w:w="335"/>
        <w:gridCol w:w="60"/>
        <w:gridCol w:w="84"/>
        <w:gridCol w:w="791"/>
        <w:gridCol w:w="60"/>
        <w:gridCol w:w="60"/>
        <w:gridCol w:w="119"/>
        <w:gridCol w:w="996"/>
        <w:gridCol w:w="60"/>
        <w:gridCol w:w="60"/>
        <w:gridCol w:w="78"/>
        <w:gridCol w:w="1052"/>
        <w:gridCol w:w="335"/>
        <w:gridCol w:w="60"/>
        <w:gridCol w:w="66"/>
        <w:gridCol w:w="1079"/>
        <w:gridCol w:w="60"/>
        <w:gridCol w:w="60"/>
        <w:gridCol w:w="113"/>
        <w:gridCol w:w="1512"/>
        <w:gridCol w:w="335"/>
        <w:gridCol w:w="60"/>
        <w:gridCol w:w="93"/>
        <w:gridCol w:w="1532"/>
        <w:gridCol w:w="75"/>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05"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6630" w:type="dxa"/>
            <w:gridSpan w:val="18"/>
            <w:tcBorders>
              <w:bottom w:val="single" w:sz="8" w:space="0" w:color="000000"/>
            </w:tcBorders>
            <w:shd w:fill="FDEEF1" w:val="clear"/>
            <w:tcMar>
              <w:bottom w:w="28" w:type="dxa"/>
            </w:tcMar>
            <w:vAlign w:val="center"/>
          </w:tcPr>
          <w:p>
            <w:pPr>
              <w:pStyle w:val="TableContents"/>
              <w:bidi w:val="0"/>
              <w:spacing w:before="0" w:after="283"/>
              <w:jc w:val="center"/>
              <w:rPr>
                <w:b/>
              </w:rPr>
            </w:pPr>
            <w:r>
              <w:rPr>
                <w:b/>
              </w:rPr>
              <w:t>Option Awards</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6435" w:type="dxa"/>
            <w:gridSpan w:val="14"/>
            <w:tcBorders>
              <w:bottom w:val="single" w:sz="8" w:space="0" w:color="000000"/>
            </w:tcBorders>
            <w:shd w:fill="FDEEF1" w:val="clear"/>
            <w:tcMar>
              <w:bottom w:w="28" w:type="dxa"/>
            </w:tcMar>
            <w:vAlign w:val="center"/>
          </w:tcPr>
          <w:p>
            <w:pPr>
              <w:pStyle w:val="TableContents"/>
              <w:bidi w:val="0"/>
              <w:spacing w:before="0" w:after="283"/>
              <w:jc w:val="center"/>
              <w:rPr>
                <w:b/>
              </w:rPr>
            </w:pPr>
            <w:r>
              <w:rPr>
                <w:b/>
              </w:rPr>
              <w:t>Stock Awards</w:t>
            </w:r>
          </w:p>
        </w:tc>
        <w:tc>
          <w:tcPr>
            <w:tcW w:w="75" w:type="dxa"/>
            <w:tcBorders/>
            <w:shd w:fill="FDEEF1" w:val="clear"/>
            <w:vAlign w:val="center"/>
          </w:tcPr>
          <w:p>
            <w:pPr>
              <w:pStyle w:val="TableContents"/>
              <w:bidi w:val="0"/>
              <w:spacing w:before="0" w:after="283"/>
              <w:jc w:val="left"/>
              <w:rPr/>
            </w:pPr>
            <w:r>
              <w:rPr/>
              <w:t> </w:t>
            </w:r>
          </w:p>
        </w:tc>
      </w:tr>
      <w:tr>
        <w:trPr/>
        <w:tc>
          <w:tcPr>
            <w:tcW w:w="1505" w:type="dxa"/>
            <w:tcBorders/>
            <w:shd w:fill="FDEEF1" w:val="clear"/>
            <w:vAlign w:val="center"/>
          </w:tcPr>
          <w:p>
            <w:pPr>
              <w:pStyle w:val="TableContents"/>
              <w:bidi w:val="0"/>
              <w:spacing w:before="0" w:after="283"/>
              <w:jc w:val="left"/>
              <w:rPr>
                <w:sz w:val="4"/>
                <w:szCs w:val="4"/>
              </w:rPr>
            </w:pPr>
            <w:r>
              <w:rPr>
                <w:sz w:val="4"/>
                <w:szCs w:val="4"/>
              </w:rPr>
            </w:r>
          </w:p>
        </w:tc>
        <w:tc>
          <w:tcPr>
            <w:tcW w:w="1295" w:type="dxa"/>
            <w:gridSpan w:val="4"/>
            <w:tcBorders/>
            <w:shd w:fill="FDEEF1" w:val="clear"/>
            <w:vAlign w:val="center"/>
          </w:tcPr>
          <w:p>
            <w:pPr>
              <w:pStyle w:val="TableContents"/>
              <w:bidi w:val="0"/>
              <w:spacing w:before="0" w:after="283"/>
              <w:jc w:val="left"/>
              <w:rPr>
                <w:sz w:val="4"/>
                <w:szCs w:val="4"/>
              </w:rPr>
            </w:pPr>
            <w:r>
              <w:rPr>
                <w:sz w:val="4"/>
                <w:szCs w:val="4"/>
              </w:rPr>
            </w:r>
          </w:p>
        </w:tc>
        <w:tc>
          <w:tcPr>
            <w:tcW w:w="1385" w:type="dxa"/>
            <w:gridSpan w:val="4"/>
            <w:tcBorders/>
            <w:shd w:fill="FDEEF1" w:val="clear"/>
            <w:vAlign w:val="center"/>
          </w:tcPr>
          <w:p>
            <w:pPr>
              <w:pStyle w:val="TableContents"/>
              <w:bidi w:val="0"/>
              <w:spacing w:before="0" w:after="283"/>
              <w:jc w:val="left"/>
              <w:rPr>
                <w:sz w:val="4"/>
                <w:szCs w:val="4"/>
              </w:rPr>
            </w:pPr>
            <w:r>
              <w:rPr>
                <w:sz w:val="4"/>
                <w:szCs w:val="4"/>
              </w:rPr>
            </w:r>
          </w:p>
        </w:tc>
        <w:tc>
          <w:tcPr>
            <w:tcW w:w="1840" w:type="dxa"/>
            <w:gridSpan w:val="4"/>
            <w:tcBorders/>
            <w:shd w:fill="FDEEF1" w:val="clear"/>
            <w:vAlign w:val="center"/>
          </w:tcPr>
          <w:p>
            <w:pPr>
              <w:pStyle w:val="TableContents"/>
              <w:bidi w:val="0"/>
              <w:spacing w:before="0" w:after="283"/>
              <w:jc w:val="left"/>
              <w:rPr>
                <w:sz w:val="4"/>
                <w:szCs w:val="4"/>
              </w:rPr>
            </w:pPr>
            <w:r>
              <w:rPr>
                <w:sz w:val="4"/>
                <w:szCs w:val="4"/>
              </w:rPr>
            </w:r>
          </w:p>
        </w:tc>
        <w:tc>
          <w:tcPr>
            <w:tcW w:w="995" w:type="dxa"/>
            <w:gridSpan w:val="4"/>
            <w:tcBorders/>
            <w:shd w:fill="FDEEF1" w:val="clear"/>
            <w:vAlign w:val="center"/>
          </w:tcPr>
          <w:p>
            <w:pPr>
              <w:pStyle w:val="TableContents"/>
              <w:bidi w:val="0"/>
              <w:spacing w:before="0" w:after="283"/>
              <w:jc w:val="left"/>
              <w:rPr>
                <w:sz w:val="4"/>
                <w:szCs w:val="4"/>
              </w:rPr>
            </w:pPr>
            <w:r>
              <w:rPr>
                <w:sz w:val="4"/>
                <w:szCs w:val="4"/>
              </w:rPr>
            </w:r>
          </w:p>
        </w:tc>
        <w:tc>
          <w:tcPr>
            <w:tcW w:w="1235" w:type="dxa"/>
            <w:gridSpan w:val="4"/>
            <w:tcBorders/>
            <w:shd w:fill="FDEEF1" w:val="clear"/>
            <w:vAlign w:val="center"/>
          </w:tcPr>
          <w:p>
            <w:pPr>
              <w:pStyle w:val="TableContents"/>
              <w:bidi w:val="0"/>
              <w:spacing w:before="0" w:after="283"/>
              <w:jc w:val="left"/>
              <w:rPr>
                <w:sz w:val="4"/>
                <w:szCs w:val="4"/>
              </w:rPr>
            </w:pPr>
            <w:r>
              <w:rPr>
                <w:sz w:val="4"/>
                <w:szCs w:val="4"/>
              </w:rPr>
            </w:r>
          </w:p>
        </w:tc>
        <w:tc>
          <w:tcPr>
            <w:tcW w:w="1525" w:type="dxa"/>
            <w:gridSpan w:val="4"/>
            <w:tcBorders/>
            <w:shd w:fill="FDEEF1" w:val="clear"/>
            <w:vAlign w:val="center"/>
          </w:tcPr>
          <w:p>
            <w:pPr>
              <w:pStyle w:val="TableContents"/>
              <w:bidi w:val="0"/>
              <w:spacing w:before="0" w:after="283"/>
              <w:jc w:val="left"/>
              <w:rPr>
                <w:sz w:val="4"/>
                <w:szCs w:val="4"/>
              </w:rPr>
            </w:pPr>
            <w:r>
              <w:rPr>
                <w:sz w:val="4"/>
                <w:szCs w:val="4"/>
              </w:rPr>
            </w:r>
          </w:p>
        </w:tc>
        <w:tc>
          <w:tcPr>
            <w:tcW w:w="1265" w:type="dxa"/>
            <w:gridSpan w:val="4"/>
            <w:tcBorders/>
            <w:shd w:fill="FDEEF1" w:val="clear"/>
            <w:vAlign w:val="center"/>
          </w:tcPr>
          <w:p>
            <w:pPr>
              <w:pStyle w:val="TableContents"/>
              <w:bidi w:val="0"/>
              <w:spacing w:before="0" w:after="283"/>
              <w:jc w:val="left"/>
              <w:rPr>
                <w:sz w:val="4"/>
                <w:szCs w:val="4"/>
              </w:rPr>
            </w:pPr>
            <w:r>
              <w:rPr>
                <w:sz w:val="4"/>
                <w:szCs w:val="4"/>
              </w:rPr>
            </w:r>
          </w:p>
        </w:tc>
        <w:tc>
          <w:tcPr>
            <w:tcW w:w="2020" w:type="dxa"/>
            <w:gridSpan w:val="4"/>
            <w:tcBorders/>
            <w:shd w:fill="FDEEF1" w:val="clear"/>
            <w:vAlign w:val="center"/>
          </w:tcPr>
          <w:p>
            <w:pPr>
              <w:pStyle w:val="TableContents"/>
              <w:bidi w:val="0"/>
              <w:spacing w:before="0" w:after="283"/>
              <w:jc w:val="left"/>
              <w:rPr>
                <w:sz w:val="4"/>
                <w:szCs w:val="4"/>
              </w:rPr>
            </w:pPr>
            <w:r>
              <w:rPr>
                <w:sz w:val="4"/>
                <w:szCs w:val="4"/>
              </w:rPr>
            </w:r>
          </w:p>
        </w:tc>
        <w:tc>
          <w:tcPr>
            <w:tcW w:w="1760" w:type="dxa"/>
            <w:gridSpan w:val="4"/>
            <w:tcBorders/>
            <w:shd w:fill="FDEEF1" w:val="clear"/>
            <w:vAlign w:val="center"/>
          </w:tcPr>
          <w:p>
            <w:pPr>
              <w:pStyle w:val="TableContents"/>
              <w:bidi w:val="0"/>
              <w:spacing w:before="0" w:after="283"/>
              <w:jc w:val="left"/>
              <w:rPr>
                <w:sz w:val="4"/>
                <w:szCs w:val="4"/>
              </w:rPr>
            </w:pPr>
            <w:r>
              <w:rPr>
                <w:sz w:val="4"/>
                <w:szCs w:val="4"/>
              </w:rPr>
            </w:r>
          </w:p>
        </w:tc>
      </w:tr>
      <w:tr>
        <w:trPr/>
        <w:tc>
          <w:tcPr>
            <w:tcW w:w="1505" w:type="dxa"/>
            <w:tcBorders/>
            <w:shd w:fill="FDEEF1" w:val="clear"/>
            <w:vAlign w:val="center"/>
          </w:tcPr>
          <w:p>
            <w:pPr>
              <w:pStyle w:val="TableContents"/>
              <w:bidi w:val="0"/>
              <w:spacing w:before="0" w:after="0"/>
              <w:jc w:val="left"/>
              <w:rPr>
                <w:rFonts w:ascii="arial" w:hAnsi="arial"/>
                <w:b/>
                <w:sz w:val="14"/>
              </w:rPr>
            </w:pPr>
            <w:r>
              <w:rPr>
                <w:rFonts w:ascii="arial" w:hAnsi="arial"/>
                <w:b/>
                <w:sz w:val="14"/>
              </w:rPr>
              <w:t>Name</w:t>
            </w:r>
          </w:p>
        </w:tc>
        <w:tc>
          <w:tcPr>
            <w:tcW w:w="60" w:type="dxa"/>
            <w:tcBorders/>
            <w:shd w:fill="FDEEF1" w:val="clear"/>
            <w:vAlign w:val="center"/>
          </w:tcPr>
          <w:p>
            <w:pPr>
              <w:pStyle w:val="TableContents"/>
              <w:bidi w:val="0"/>
              <w:spacing w:before="0" w:after="283"/>
              <w:jc w:val="left"/>
              <w:rPr/>
            </w:pPr>
            <w:r>
              <w:rPr/>
              <w:t> </w:t>
            </w:r>
          </w:p>
        </w:tc>
        <w:tc>
          <w:tcPr>
            <w:tcW w:w="1175" w:type="dxa"/>
            <w:gridSpan w:val="2"/>
            <w:tcBorders/>
            <w:shd w:fill="FDEEF1" w:val="clear"/>
            <w:vAlign w:val="center"/>
          </w:tcPr>
          <w:p>
            <w:pPr>
              <w:pStyle w:val="TableContents"/>
              <w:bidi w:val="0"/>
              <w:spacing w:before="0" w:after="283"/>
              <w:jc w:val="center"/>
              <w:rPr>
                <w:b/>
              </w:rPr>
            </w:pPr>
            <w:r>
              <w:rPr>
                <w:b/>
              </w:rPr>
              <w:t>Option</w:t>
              <w:br/>
              <w:t>Grant Date</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265" w:type="dxa"/>
            <w:gridSpan w:val="2"/>
            <w:tcBorders/>
            <w:shd w:fill="FDEEF1" w:val="clear"/>
            <w:vAlign w:val="center"/>
          </w:tcPr>
          <w:p>
            <w:pPr>
              <w:pStyle w:val="TableContents"/>
              <w:bidi w:val="0"/>
              <w:spacing w:before="0" w:after="283"/>
              <w:jc w:val="center"/>
              <w:rPr>
                <w:b/>
              </w:rPr>
            </w:pPr>
            <w:r>
              <w:rPr>
                <w:b/>
              </w:rPr>
              <w:t>Number of</w:t>
              <w:br/>
              <w:t>Securities</w:t>
              <w:br/>
              <w:t>Underlying</w:t>
              <w:br/>
              <w:t>Unexercised</w:t>
              <w:br/>
              <w:t>Options (#)</w:t>
              <w:br/>
              <w:t>Exercisable</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445" w:type="dxa"/>
            <w:gridSpan w:val="2"/>
            <w:tcBorders/>
            <w:shd w:fill="FDEEF1" w:val="clear"/>
            <w:vAlign w:val="center"/>
          </w:tcPr>
          <w:p>
            <w:pPr>
              <w:pStyle w:val="TableContents"/>
              <w:bidi w:val="0"/>
              <w:spacing w:before="0" w:after="283"/>
              <w:jc w:val="center"/>
              <w:rPr>
                <w:b/>
              </w:rPr>
            </w:pPr>
            <w:r>
              <w:rPr>
                <w:b/>
              </w:rPr>
              <w:t>Number of</w:t>
              <w:br/>
              <w:t>Securities</w:t>
              <w:br/>
              <w:t>Underlying</w:t>
              <w:br/>
              <w:t>Unexercised</w:t>
              <w:br/>
              <w:t>Options (#)</w:t>
              <w:br/>
              <w:t>Unexercisable</w:t>
            </w:r>
          </w:p>
        </w:tc>
        <w:tc>
          <w:tcPr>
            <w:tcW w:w="335"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875" w:type="dxa"/>
            <w:gridSpan w:val="2"/>
            <w:tcBorders/>
            <w:shd w:fill="FDEEF1" w:val="clear"/>
            <w:vAlign w:val="center"/>
          </w:tcPr>
          <w:p>
            <w:pPr>
              <w:pStyle w:val="TableContents"/>
              <w:bidi w:val="0"/>
              <w:spacing w:before="0" w:after="283"/>
              <w:jc w:val="center"/>
              <w:rPr>
                <w:b/>
              </w:rPr>
            </w:pPr>
            <w:r>
              <w:rPr>
                <w:b/>
              </w:rPr>
              <w:t>Option</w:t>
              <w:br/>
              <w:t>Exercise</w:t>
              <w:br/>
              <w:t>Price</w:t>
              <w:br/>
              <w:t>($/Sh)</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115" w:type="dxa"/>
            <w:gridSpan w:val="2"/>
            <w:tcBorders/>
            <w:shd w:fill="FDEEF1" w:val="clear"/>
            <w:vAlign w:val="center"/>
          </w:tcPr>
          <w:p>
            <w:pPr>
              <w:pStyle w:val="TableContents"/>
              <w:bidi w:val="0"/>
              <w:spacing w:before="0" w:after="283"/>
              <w:jc w:val="center"/>
              <w:rPr>
                <w:b/>
              </w:rPr>
            </w:pPr>
            <w:r>
              <w:rPr>
                <w:b/>
              </w:rPr>
              <w:t>Option</w:t>
              <w:br/>
              <w:t>Expiration</w:t>
              <w:br/>
              <w:t>Date</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130" w:type="dxa"/>
            <w:gridSpan w:val="2"/>
            <w:tcBorders/>
            <w:shd w:fill="FDEEF1" w:val="clear"/>
            <w:vAlign w:val="center"/>
          </w:tcPr>
          <w:p>
            <w:pPr>
              <w:pStyle w:val="TableContents"/>
              <w:bidi w:val="0"/>
              <w:spacing w:before="0" w:after="283"/>
              <w:jc w:val="center"/>
              <w:rPr>
                <w:b/>
              </w:rPr>
            </w:pPr>
            <w:r>
              <w:rPr>
                <w:b/>
              </w:rPr>
              <w:t>Number of</w:t>
              <w:br/>
              <w:t>Shares or</w:t>
              <w:br/>
              <w:t>Units of</w:t>
              <w:br/>
              <w:t>Stock</w:t>
              <w:br/>
              <w:t>That Have</w:t>
              <w:br/>
              <w:t>Not</w:t>
              <w:br/>
              <w:t>Vested</w:t>
              <w:br/>
              <w:t>(#)</w:t>
            </w:r>
          </w:p>
        </w:tc>
        <w:tc>
          <w:tcPr>
            <w:tcW w:w="335"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145" w:type="dxa"/>
            <w:gridSpan w:val="2"/>
            <w:tcBorders/>
            <w:shd w:fill="FDEEF1" w:val="clear"/>
            <w:vAlign w:val="center"/>
          </w:tcPr>
          <w:p>
            <w:pPr>
              <w:pStyle w:val="TableContents"/>
              <w:bidi w:val="0"/>
              <w:spacing w:before="0" w:after="283"/>
              <w:jc w:val="center"/>
              <w:rPr>
                <w:b/>
              </w:rPr>
            </w:pPr>
            <w:r>
              <w:rPr>
                <w:b/>
              </w:rPr>
              <w:t>Market</w:t>
              <w:br/>
              <w:t>Value of</w:t>
              <w:br/>
              <w:t>Shares or</w:t>
              <w:br/>
              <w:t>Units of</w:t>
              <w:br/>
              <w:t>Stock That</w:t>
              <w:br/>
              <w:t>Have Not</w:t>
              <w:br/>
              <w:t>Vested</w:t>
              <w:br/>
              <w:t>($)(1)</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625" w:type="dxa"/>
            <w:gridSpan w:val="2"/>
            <w:tcBorders/>
            <w:shd w:fill="FDEEF1" w:val="clear"/>
            <w:vAlign w:val="center"/>
          </w:tcPr>
          <w:p>
            <w:pPr>
              <w:pStyle w:val="TableContents"/>
              <w:bidi w:val="0"/>
              <w:spacing w:before="0" w:after="283"/>
              <w:jc w:val="center"/>
              <w:rPr>
                <w:b/>
              </w:rPr>
            </w:pPr>
            <w:r>
              <w:rPr>
                <w:b/>
              </w:rPr>
              <w:t>Equity</w:t>
              <w:br/>
              <w:t>Incentive Plan</w:t>
              <w:br/>
              <w:t>Awards:</w:t>
              <w:br/>
              <w:t>Number of</w:t>
              <w:br/>
              <w:t>Unearned</w:t>
              <w:br/>
              <w:t>Shares, Units</w:t>
              <w:br/>
              <w:t>or Other Rights</w:t>
              <w:br/>
              <w:t>That Have Not</w:t>
              <w:br/>
              <w:t>Vested (#)(2)</w:t>
            </w:r>
          </w:p>
        </w:tc>
        <w:tc>
          <w:tcPr>
            <w:tcW w:w="335"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625" w:type="dxa"/>
            <w:gridSpan w:val="2"/>
            <w:tcBorders/>
            <w:shd w:fill="FDEEF1" w:val="clear"/>
            <w:vAlign w:val="center"/>
          </w:tcPr>
          <w:p>
            <w:pPr>
              <w:pStyle w:val="TableContents"/>
              <w:bidi w:val="0"/>
              <w:spacing w:before="0" w:after="283"/>
              <w:jc w:val="center"/>
              <w:rPr>
                <w:b/>
              </w:rPr>
            </w:pPr>
            <w:r>
              <w:rPr>
                <w:b/>
              </w:rPr>
              <w:t>Equity</w:t>
              <w:br/>
              <w:t>Incentive Plan</w:t>
              <w:br/>
              <w:t>Awards:</w:t>
              <w:br/>
              <w:t>Market or</w:t>
              <w:br/>
              <w:t>Payout Value</w:t>
              <w:br/>
              <w:t>of Unearned</w:t>
              <w:br/>
              <w:t>Shares, Units</w:t>
              <w:br/>
              <w:t>or Other Rights</w:t>
              <w:br/>
              <w:t>That Have Not</w:t>
              <w:br/>
              <w:t>Vested ($)(1)(2)</w:t>
            </w:r>
          </w:p>
        </w:tc>
        <w:tc>
          <w:tcPr>
            <w:tcW w:w="75" w:type="dxa"/>
            <w:tcBorders/>
            <w:shd w:fill="FDEEF1" w:val="cle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84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2020" w:type="dxa"/>
            <w:gridSpan w:val="4"/>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rFonts w:ascii="arial" w:hAnsi="arial"/>
                <w:b/>
                <w:sz w:val="18"/>
              </w:rPr>
            </w:pPr>
            <w:r>
              <w:rPr>
                <w:rFonts w:ascii="arial" w:hAnsi="arial"/>
                <w:b/>
                <w:sz w:val="18"/>
              </w:rPr>
              <w:t>Martin Waters</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5" w:type="dxa"/>
            <w:tcBorders>
              <w:bottom w:val="single" w:sz="6" w:space="0" w:color="FBDDE3"/>
            </w:tcBorders>
            <w:tcMar>
              <w:bottom w:w="60" w:type="dxa"/>
            </w:tcMar>
            <w:vAlign w:val="center"/>
          </w:tcPr>
          <w:p>
            <w:pPr>
              <w:pStyle w:val="TableContents"/>
              <w:bidi w:val="0"/>
              <w:spacing w:before="0" w:after="283"/>
              <w:jc w:val="left"/>
              <w:rPr/>
            </w:pPr>
            <w:r>
              <w:rPr/>
              <w:t> </w:t>
            </w:r>
          </w:p>
        </w:tc>
        <w:tc>
          <w:tcPr>
            <w:tcW w:w="1050" w:type="dxa"/>
            <w:tcBorders>
              <w:bottom w:val="single" w:sz="6" w:space="0" w:color="FBDDE3"/>
            </w:tcBorders>
            <w:tcMar>
              <w:bottom w:w="60" w:type="dxa"/>
            </w:tcMar>
            <w:vAlign w:val="center"/>
          </w:tcPr>
          <w:p>
            <w:pPr>
              <w:pStyle w:val="TableContents"/>
              <w:bidi w:val="0"/>
              <w:spacing w:before="0" w:after="283"/>
              <w:jc w:val="right"/>
              <w:rPr/>
            </w:pPr>
            <w:r>
              <w:rPr/>
              <w:t>3/31/2014</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02" w:type="dxa"/>
            <w:tcBorders>
              <w:bottom w:val="single" w:sz="6" w:space="0" w:color="FBDDE3"/>
            </w:tcBorders>
            <w:tcMar>
              <w:bottom w:w="60" w:type="dxa"/>
            </w:tcMar>
            <w:vAlign w:val="center"/>
          </w:tcPr>
          <w:p>
            <w:pPr>
              <w:pStyle w:val="TableContents"/>
              <w:bidi w:val="0"/>
              <w:spacing w:before="0" w:after="283"/>
              <w:jc w:val="left"/>
              <w:rPr/>
            </w:pPr>
            <w:r>
              <w:rPr/>
              <w:t> </w:t>
            </w:r>
          </w:p>
        </w:tc>
        <w:tc>
          <w:tcPr>
            <w:tcW w:w="1163" w:type="dxa"/>
            <w:tcBorders>
              <w:bottom w:val="single" w:sz="6" w:space="0" w:color="FBDDE3"/>
            </w:tcBorders>
            <w:tcMar>
              <w:bottom w:w="60" w:type="dxa"/>
            </w:tcMar>
            <w:vAlign w:val="center"/>
          </w:tcPr>
          <w:p>
            <w:pPr>
              <w:pStyle w:val="TableContents"/>
              <w:bidi w:val="0"/>
              <w:spacing w:before="0" w:after="283"/>
              <w:jc w:val="right"/>
              <w:rPr/>
            </w:pPr>
            <w:r>
              <w:rPr/>
              <w:t>35,697</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39" w:type="dxa"/>
            <w:tcBorders>
              <w:bottom w:val="single" w:sz="6" w:space="0" w:color="FBDDE3"/>
            </w:tcBorders>
            <w:tcMar>
              <w:bottom w:w="60" w:type="dxa"/>
            </w:tcMar>
            <w:vAlign w:val="center"/>
          </w:tcPr>
          <w:p>
            <w:pPr>
              <w:pStyle w:val="TableContents"/>
              <w:bidi w:val="0"/>
              <w:spacing w:before="0" w:after="283"/>
              <w:jc w:val="left"/>
              <w:rPr/>
            </w:pPr>
            <w:r>
              <w:rPr/>
              <w:t> </w:t>
            </w:r>
          </w:p>
        </w:tc>
        <w:tc>
          <w:tcPr>
            <w:tcW w:w="1306" w:type="dxa"/>
            <w:tcBorders>
              <w:bottom w:val="single" w:sz="6" w:space="0" w:color="FBDDE3"/>
            </w:tcBorders>
            <w:tcMar>
              <w:bottom w:w="60" w:type="dxa"/>
            </w:tcMar>
            <w:vAlign w:val="center"/>
          </w:tcPr>
          <w:p>
            <w:pPr>
              <w:pStyle w:val="TableContents"/>
              <w:bidi w:val="0"/>
              <w:spacing w:before="0" w:after="283"/>
              <w:jc w:val="right"/>
              <w:rPr/>
            </w:pPr>
            <w:r>
              <w:rPr/>
              <w:t>–</w:t>
            </w:r>
          </w:p>
        </w:tc>
        <w:tc>
          <w:tcPr>
            <w:tcW w:w="335"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4" w:type="dxa"/>
            <w:tcBorders>
              <w:bottom w:val="single" w:sz="6" w:space="0" w:color="FBDDE3"/>
            </w:tcBorders>
            <w:tcMar>
              <w:bottom w:w="60" w:type="dxa"/>
            </w:tcMar>
            <w:vAlign w:val="center"/>
          </w:tcPr>
          <w:p>
            <w:pPr>
              <w:pStyle w:val="TableContents"/>
              <w:bidi w:val="0"/>
              <w:spacing w:before="0" w:after="283"/>
              <w:jc w:val="left"/>
              <w:rPr/>
            </w:pPr>
            <w:r>
              <w:rPr/>
              <w:t> </w:t>
            </w:r>
          </w:p>
        </w:tc>
        <w:tc>
          <w:tcPr>
            <w:tcW w:w="791" w:type="dxa"/>
            <w:tcBorders>
              <w:bottom w:val="single" w:sz="6" w:space="0" w:color="FBDDE3"/>
            </w:tcBorders>
            <w:tcMar>
              <w:bottom w:w="60" w:type="dxa"/>
            </w:tcMar>
            <w:vAlign w:val="center"/>
          </w:tcPr>
          <w:p>
            <w:pPr>
              <w:pStyle w:val="TableContents"/>
              <w:bidi w:val="0"/>
              <w:spacing w:before="0" w:after="283"/>
              <w:jc w:val="right"/>
              <w:rPr/>
            </w:pPr>
            <w:r>
              <w:rPr/>
              <w:t>32.56</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19" w:type="dxa"/>
            <w:tcBorders>
              <w:bottom w:val="single" w:sz="6" w:space="0" w:color="FBDDE3"/>
            </w:tcBorders>
            <w:tcMar>
              <w:bottom w:w="60" w:type="dxa"/>
            </w:tcMar>
            <w:vAlign w:val="center"/>
          </w:tcPr>
          <w:p>
            <w:pPr>
              <w:pStyle w:val="TableContents"/>
              <w:bidi w:val="0"/>
              <w:spacing w:before="0" w:after="283"/>
              <w:jc w:val="left"/>
              <w:rPr/>
            </w:pPr>
            <w:r>
              <w:rPr/>
              <w:t> </w:t>
            </w:r>
          </w:p>
        </w:tc>
        <w:tc>
          <w:tcPr>
            <w:tcW w:w="996" w:type="dxa"/>
            <w:tcBorders>
              <w:bottom w:val="single" w:sz="6" w:space="0" w:color="FBDDE3"/>
            </w:tcBorders>
            <w:tcMar>
              <w:bottom w:w="60" w:type="dxa"/>
            </w:tcMar>
            <w:vAlign w:val="center"/>
          </w:tcPr>
          <w:p>
            <w:pPr>
              <w:pStyle w:val="TableContents"/>
              <w:bidi w:val="0"/>
              <w:spacing w:before="0" w:after="283"/>
              <w:jc w:val="right"/>
              <w:rPr/>
            </w:pPr>
            <w:r>
              <w:rPr/>
              <w:t>3/31/2024</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8"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52"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33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6"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79"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13"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512"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33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93"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532"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7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84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2020" w:type="dxa"/>
            <w:gridSpan w:val="4"/>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5" w:type="dxa"/>
            <w:tcBorders>
              <w:bottom w:val="single" w:sz="6" w:space="0" w:color="FBDDE3"/>
            </w:tcBorders>
            <w:tcMar>
              <w:bottom w:w="60" w:type="dxa"/>
            </w:tcMar>
            <w:vAlign w:val="center"/>
          </w:tcPr>
          <w:p>
            <w:pPr>
              <w:pStyle w:val="TableContents"/>
              <w:bidi w:val="0"/>
              <w:spacing w:before="0" w:after="283"/>
              <w:jc w:val="left"/>
              <w:rPr/>
            </w:pPr>
            <w:r>
              <w:rPr/>
              <w:t> </w:t>
            </w:r>
          </w:p>
        </w:tc>
        <w:tc>
          <w:tcPr>
            <w:tcW w:w="1050" w:type="dxa"/>
            <w:tcBorders>
              <w:bottom w:val="single" w:sz="6" w:space="0" w:color="FBDDE3"/>
            </w:tcBorders>
            <w:tcMar>
              <w:bottom w:w="60" w:type="dxa"/>
            </w:tcMar>
            <w:vAlign w:val="center"/>
          </w:tcPr>
          <w:p>
            <w:pPr>
              <w:pStyle w:val="TableContents"/>
              <w:bidi w:val="0"/>
              <w:spacing w:before="0" w:after="283"/>
              <w:jc w:val="right"/>
              <w:rPr/>
            </w:pPr>
            <w:r>
              <w:rPr/>
              <w:t>4/2/2015</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02" w:type="dxa"/>
            <w:tcBorders>
              <w:bottom w:val="single" w:sz="6" w:space="0" w:color="FBDDE3"/>
            </w:tcBorders>
            <w:tcMar>
              <w:bottom w:w="60" w:type="dxa"/>
            </w:tcMar>
            <w:vAlign w:val="center"/>
          </w:tcPr>
          <w:p>
            <w:pPr>
              <w:pStyle w:val="TableContents"/>
              <w:bidi w:val="0"/>
              <w:spacing w:before="0" w:after="283"/>
              <w:jc w:val="left"/>
              <w:rPr/>
            </w:pPr>
            <w:r>
              <w:rPr/>
              <w:t> </w:t>
            </w:r>
          </w:p>
        </w:tc>
        <w:tc>
          <w:tcPr>
            <w:tcW w:w="1163" w:type="dxa"/>
            <w:tcBorders>
              <w:bottom w:val="single" w:sz="6" w:space="0" w:color="FBDDE3"/>
            </w:tcBorders>
            <w:tcMar>
              <w:bottom w:w="60" w:type="dxa"/>
            </w:tcMar>
            <w:vAlign w:val="center"/>
          </w:tcPr>
          <w:p>
            <w:pPr>
              <w:pStyle w:val="TableContents"/>
              <w:bidi w:val="0"/>
              <w:spacing w:before="0" w:after="283"/>
              <w:jc w:val="right"/>
              <w:rPr/>
            </w:pPr>
            <w:r>
              <w:rPr/>
              <w:t>23,285</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39" w:type="dxa"/>
            <w:tcBorders>
              <w:bottom w:val="single" w:sz="6" w:space="0" w:color="FBDDE3"/>
            </w:tcBorders>
            <w:tcMar>
              <w:bottom w:w="60" w:type="dxa"/>
            </w:tcMar>
            <w:vAlign w:val="center"/>
          </w:tcPr>
          <w:p>
            <w:pPr>
              <w:pStyle w:val="TableContents"/>
              <w:bidi w:val="0"/>
              <w:spacing w:before="0" w:after="283"/>
              <w:jc w:val="left"/>
              <w:rPr/>
            </w:pPr>
            <w:r>
              <w:rPr/>
              <w:t> </w:t>
            </w:r>
          </w:p>
        </w:tc>
        <w:tc>
          <w:tcPr>
            <w:tcW w:w="1306" w:type="dxa"/>
            <w:tcBorders>
              <w:bottom w:val="single" w:sz="6" w:space="0" w:color="FBDDE3"/>
            </w:tcBorders>
            <w:tcMar>
              <w:bottom w:w="60" w:type="dxa"/>
            </w:tcMar>
            <w:vAlign w:val="center"/>
          </w:tcPr>
          <w:p>
            <w:pPr>
              <w:pStyle w:val="TableContents"/>
              <w:bidi w:val="0"/>
              <w:spacing w:before="0" w:after="283"/>
              <w:jc w:val="right"/>
              <w:rPr/>
            </w:pPr>
            <w:r>
              <w:rPr/>
              <w:t>–</w:t>
            </w:r>
          </w:p>
        </w:tc>
        <w:tc>
          <w:tcPr>
            <w:tcW w:w="335"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4" w:type="dxa"/>
            <w:tcBorders>
              <w:bottom w:val="single" w:sz="6" w:space="0" w:color="FBDDE3"/>
            </w:tcBorders>
            <w:tcMar>
              <w:bottom w:w="60" w:type="dxa"/>
            </w:tcMar>
            <w:vAlign w:val="center"/>
          </w:tcPr>
          <w:p>
            <w:pPr>
              <w:pStyle w:val="TableContents"/>
              <w:bidi w:val="0"/>
              <w:spacing w:before="0" w:after="283"/>
              <w:jc w:val="left"/>
              <w:rPr/>
            </w:pPr>
            <w:r>
              <w:rPr/>
              <w:t> </w:t>
            </w:r>
          </w:p>
        </w:tc>
        <w:tc>
          <w:tcPr>
            <w:tcW w:w="791" w:type="dxa"/>
            <w:tcBorders>
              <w:bottom w:val="single" w:sz="6" w:space="0" w:color="FBDDE3"/>
            </w:tcBorders>
            <w:tcMar>
              <w:bottom w:w="60" w:type="dxa"/>
            </w:tcMar>
            <w:vAlign w:val="center"/>
          </w:tcPr>
          <w:p>
            <w:pPr>
              <w:pStyle w:val="TableContents"/>
              <w:bidi w:val="0"/>
              <w:spacing w:before="0" w:after="283"/>
              <w:jc w:val="right"/>
              <w:rPr/>
            </w:pPr>
            <w:r>
              <w:rPr/>
              <w:t>54.76</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19" w:type="dxa"/>
            <w:tcBorders>
              <w:bottom w:val="single" w:sz="6" w:space="0" w:color="FBDDE3"/>
            </w:tcBorders>
            <w:tcMar>
              <w:bottom w:w="60" w:type="dxa"/>
            </w:tcMar>
            <w:vAlign w:val="center"/>
          </w:tcPr>
          <w:p>
            <w:pPr>
              <w:pStyle w:val="TableContents"/>
              <w:bidi w:val="0"/>
              <w:spacing w:before="0" w:after="283"/>
              <w:jc w:val="left"/>
              <w:rPr/>
            </w:pPr>
            <w:r>
              <w:rPr/>
              <w:t> </w:t>
            </w:r>
          </w:p>
        </w:tc>
        <w:tc>
          <w:tcPr>
            <w:tcW w:w="996" w:type="dxa"/>
            <w:tcBorders>
              <w:bottom w:val="single" w:sz="6" w:space="0" w:color="FBDDE3"/>
            </w:tcBorders>
            <w:tcMar>
              <w:bottom w:w="60" w:type="dxa"/>
            </w:tcMar>
            <w:vAlign w:val="center"/>
          </w:tcPr>
          <w:p>
            <w:pPr>
              <w:pStyle w:val="TableContents"/>
              <w:bidi w:val="0"/>
              <w:spacing w:before="0" w:after="283"/>
              <w:jc w:val="right"/>
              <w:rPr/>
            </w:pPr>
            <w:r>
              <w:rPr/>
              <w:t>4/2/2025</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8"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52"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33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6"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79"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13"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512"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33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93"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532"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7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84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2020" w:type="dxa"/>
            <w:gridSpan w:val="4"/>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5" w:type="dxa"/>
            <w:tcBorders>
              <w:bottom w:val="single" w:sz="6" w:space="0" w:color="FBDDE3"/>
            </w:tcBorders>
            <w:tcMar>
              <w:bottom w:w="60" w:type="dxa"/>
            </w:tcMar>
            <w:vAlign w:val="center"/>
          </w:tcPr>
          <w:p>
            <w:pPr>
              <w:pStyle w:val="TableContents"/>
              <w:bidi w:val="0"/>
              <w:spacing w:before="0" w:after="283"/>
              <w:jc w:val="left"/>
              <w:rPr/>
            </w:pPr>
            <w:r>
              <w:rPr/>
              <w:t> </w:t>
            </w:r>
          </w:p>
        </w:tc>
        <w:tc>
          <w:tcPr>
            <w:tcW w:w="1050" w:type="dxa"/>
            <w:tcBorders>
              <w:bottom w:val="single" w:sz="6" w:space="0" w:color="FBDDE3"/>
            </w:tcBorders>
            <w:tcMar>
              <w:bottom w:w="60" w:type="dxa"/>
            </w:tcMar>
            <w:vAlign w:val="center"/>
          </w:tcPr>
          <w:p>
            <w:pPr>
              <w:pStyle w:val="TableContents"/>
              <w:bidi w:val="0"/>
              <w:spacing w:before="0" w:after="283"/>
              <w:jc w:val="right"/>
              <w:rPr/>
            </w:pPr>
            <w:r>
              <w:rPr/>
              <w:t>3/31/2016</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02" w:type="dxa"/>
            <w:tcBorders>
              <w:bottom w:val="single" w:sz="6" w:space="0" w:color="FBDDE3"/>
            </w:tcBorders>
            <w:tcMar>
              <w:bottom w:w="60" w:type="dxa"/>
            </w:tcMar>
            <w:vAlign w:val="center"/>
          </w:tcPr>
          <w:p>
            <w:pPr>
              <w:pStyle w:val="TableContents"/>
              <w:bidi w:val="0"/>
              <w:spacing w:before="0" w:after="283"/>
              <w:jc w:val="left"/>
              <w:rPr/>
            </w:pPr>
            <w:r>
              <w:rPr/>
              <w:t> </w:t>
            </w:r>
          </w:p>
        </w:tc>
        <w:tc>
          <w:tcPr>
            <w:tcW w:w="1163" w:type="dxa"/>
            <w:tcBorders>
              <w:bottom w:val="single" w:sz="6" w:space="0" w:color="FBDDE3"/>
            </w:tcBorders>
            <w:tcMar>
              <w:bottom w:w="60" w:type="dxa"/>
            </w:tcMar>
            <w:vAlign w:val="center"/>
          </w:tcPr>
          <w:p>
            <w:pPr>
              <w:pStyle w:val="TableContents"/>
              <w:bidi w:val="0"/>
              <w:spacing w:before="0" w:after="283"/>
              <w:jc w:val="right"/>
              <w:rPr/>
            </w:pPr>
            <w:r>
              <w:rPr/>
              <w:t>14,221</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39" w:type="dxa"/>
            <w:tcBorders>
              <w:bottom w:val="single" w:sz="6" w:space="0" w:color="FBDDE3"/>
            </w:tcBorders>
            <w:tcMar>
              <w:bottom w:w="60" w:type="dxa"/>
            </w:tcMar>
            <w:vAlign w:val="center"/>
          </w:tcPr>
          <w:p>
            <w:pPr>
              <w:pStyle w:val="TableContents"/>
              <w:bidi w:val="0"/>
              <w:spacing w:before="0" w:after="283"/>
              <w:jc w:val="left"/>
              <w:rPr/>
            </w:pPr>
            <w:r>
              <w:rPr/>
              <w:t> </w:t>
            </w:r>
          </w:p>
        </w:tc>
        <w:tc>
          <w:tcPr>
            <w:tcW w:w="1306" w:type="dxa"/>
            <w:tcBorders>
              <w:bottom w:val="single" w:sz="6" w:space="0" w:color="FBDDE3"/>
            </w:tcBorders>
            <w:tcMar>
              <w:bottom w:w="60" w:type="dxa"/>
            </w:tcMar>
            <w:vAlign w:val="center"/>
          </w:tcPr>
          <w:p>
            <w:pPr>
              <w:pStyle w:val="TableContents"/>
              <w:bidi w:val="0"/>
              <w:spacing w:before="0" w:after="283"/>
              <w:jc w:val="right"/>
              <w:rPr/>
            </w:pPr>
            <w:r>
              <w:rPr/>
              <w:t>–</w:t>
            </w:r>
          </w:p>
        </w:tc>
        <w:tc>
          <w:tcPr>
            <w:tcW w:w="335"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4" w:type="dxa"/>
            <w:tcBorders>
              <w:bottom w:val="single" w:sz="6" w:space="0" w:color="FBDDE3"/>
            </w:tcBorders>
            <w:tcMar>
              <w:bottom w:w="60" w:type="dxa"/>
            </w:tcMar>
            <w:vAlign w:val="center"/>
          </w:tcPr>
          <w:p>
            <w:pPr>
              <w:pStyle w:val="TableContents"/>
              <w:bidi w:val="0"/>
              <w:spacing w:before="0" w:after="283"/>
              <w:jc w:val="left"/>
              <w:rPr/>
            </w:pPr>
            <w:r>
              <w:rPr/>
              <w:t> </w:t>
            </w:r>
          </w:p>
        </w:tc>
        <w:tc>
          <w:tcPr>
            <w:tcW w:w="791" w:type="dxa"/>
            <w:tcBorders>
              <w:bottom w:val="single" w:sz="6" w:space="0" w:color="FBDDE3"/>
            </w:tcBorders>
            <w:tcMar>
              <w:bottom w:w="60" w:type="dxa"/>
            </w:tcMar>
            <w:vAlign w:val="center"/>
          </w:tcPr>
          <w:p>
            <w:pPr>
              <w:pStyle w:val="TableContents"/>
              <w:bidi w:val="0"/>
              <w:spacing w:before="0" w:after="283"/>
              <w:jc w:val="right"/>
              <w:rPr/>
            </w:pPr>
            <w:r>
              <w:rPr/>
              <w:t>52.74</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19" w:type="dxa"/>
            <w:tcBorders>
              <w:bottom w:val="single" w:sz="6" w:space="0" w:color="FBDDE3"/>
            </w:tcBorders>
            <w:tcMar>
              <w:bottom w:w="60" w:type="dxa"/>
            </w:tcMar>
            <w:vAlign w:val="center"/>
          </w:tcPr>
          <w:p>
            <w:pPr>
              <w:pStyle w:val="TableContents"/>
              <w:bidi w:val="0"/>
              <w:spacing w:before="0" w:after="283"/>
              <w:jc w:val="left"/>
              <w:rPr/>
            </w:pPr>
            <w:r>
              <w:rPr/>
              <w:t> </w:t>
            </w:r>
          </w:p>
        </w:tc>
        <w:tc>
          <w:tcPr>
            <w:tcW w:w="996" w:type="dxa"/>
            <w:tcBorders>
              <w:bottom w:val="single" w:sz="6" w:space="0" w:color="FBDDE3"/>
            </w:tcBorders>
            <w:tcMar>
              <w:bottom w:w="60" w:type="dxa"/>
            </w:tcMar>
            <w:vAlign w:val="center"/>
          </w:tcPr>
          <w:p>
            <w:pPr>
              <w:pStyle w:val="TableContents"/>
              <w:bidi w:val="0"/>
              <w:spacing w:before="0" w:after="283"/>
              <w:jc w:val="right"/>
              <w:rPr/>
            </w:pPr>
            <w:r>
              <w:rPr/>
              <w:t>3/31/2026</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8"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52"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33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6"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79"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13"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512"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33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93"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532"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7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84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2020" w:type="dxa"/>
            <w:gridSpan w:val="4"/>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5" w:type="dxa"/>
            <w:tcBorders>
              <w:bottom w:val="single" w:sz="6" w:space="0" w:color="FBDDE3"/>
            </w:tcBorders>
            <w:tcMar>
              <w:bottom w:w="60" w:type="dxa"/>
            </w:tcMar>
            <w:vAlign w:val="center"/>
          </w:tcPr>
          <w:p>
            <w:pPr>
              <w:pStyle w:val="TableContents"/>
              <w:bidi w:val="0"/>
              <w:spacing w:before="0" w:after="283"/>
              <w:jc w:val="left"/>
              <w:rPr/>
            </w:pPr>
            <w:r>
              <w:rPr/>
              <w:t> </w:t>
            </w:r>
          </w:p>
        </w:tc>
        <w:tc>
          <w:tcPr>
            <w:tcW w:w="1050" w:type="dxa"/>
            <w:tcBorders>
              <w:bottom w:val="single" w:sz="6" w:space="0" w:color="FBDDE3"/>
            </w:tcBorders>
            <w:tcMar>
              <w:bottom w:w="60" w:type="dxa"/>
            </w:tcMar>
            <w:vAlign w:val="center"/>
          </w:tcPr>
          <w:p>
            <w:pPr>
              <w:pStyle w:val="TableContents"/>
              <w:bidi w:val="0"/>
              <w:spacing w:before="0" w:after="283"/>
              <w:jc w:val="right"/>
              <w:rPr/>
            </w:pPr>
            <w:r>
              <w:rPr/>
              <w:t>3/31/2017</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02" w:type="dxa"/>
            <w:tcBorders>
              <w:bottom w:val="single" w:sz="6" w:space="0" w:color="FBDDE3"/>
            </w:tcBorders>
            <w:tcMar>
              <w:bottom w:w="60" w:type="dxa"/>
            </w:tcMar>
            <w:vAlign w:val="center"/>
          </w:tcPr>
          <w:p>
            <w:pPr>
              <w:pStyle w:val="TableContents"/>
              <w:bidi w:val="0"/>
              <w:spacing w:before="0" w:after="283"/>
              <w:jc w:val="left"/>
              <w:rPr/>
            </w:pPr>
            <w:r>
              <w:rPr/>
              <w:t> </w:t>
            </w:r>
          </w:p>
        </w:tc>
        <w:tc>
          <w:tcPr>
            <w:tcW w:w="1163" w:type="dxa"/>
            <w:tcBorders>
              <w:bottom w:val="single" w:sz="6" w:space="0" w:color="FBDDE3"/>
            </w:tcBorders>
            <w:tcMar>
              <w:bottom w:w="60" w:type="dxa"/>
            </w:tcMar>
            <w:vAlign w:val="center"/>
          </w:tcPr>
          <w:p>
            <w:pPr>
              <w:pStyle w:val="TableContents"/>
              <w:bidi w:val="0"/>
              <w:spacing w:before="0" w:after="283"/>
              <w:jc w:val="right"/>
              <w:rPr/>
            </w:pPr>
            <w:r>
              <w:rPr/>
              <w:t>23,861</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39" w:type="dxa"/>
            <w:tcBorders>
              <w:bottom w:val="single" w:sz="6" w:space="0" w:color="FBDDE3"/>
            </w:tcBorders>
            <w:tcMar>
              <w:bottom w:w="60" w:type="dxa"/>
            </w:tcMar>
            <w:vAlign w:val="center"/>
          </w:tcPr>
          <w:p>
            <w:pPr>
              <w:pStyle w:val="TableContents"/>
              <w:bidi w:val="0"/>
              <w:spacing w:before="0" w:after="283"/>
              <w:jc w:val="left"/>
              <w:rPr/>
            </w:pPr>
            <w:r>
              <w:rPr/>
              <w:t> </w:t>
            </w:r>
          </w:p>
        </w:tc>
        <w:tc>
          <w:tcPr>
            <w:tcW w:w="1306" w:type="dxa"/>
            <w:tcBorders>
              <w:bottom w:val="single" w:sz="6" w:space="0" w:color="FBDDE3"/>
            </w:tcBorders>
            <w:tcMar>
              <w:bottom w:w="60" w:type="dxa"/>
            </w:tcMar>
            <w:vAlign w:val="center"/>
          </w:tcPr>
          <w:p>
            <w:pPr>
              <w:pStyle w:val="TableContents"/>
              <w:bidi w:val="0"/>
              <w:spacing w:before="0" w:after="283"/>
              <w:jc w:val="right"/>
              <w:rPr/>
            </w:pPr>
            <w:r>
              <w:rPr/>
              <w:t>–</w:t>
            </w:r>
          </w:p>
        </w:tc>
        <w:tc>
          <w:tcPr>
            <w:tcW w:w="335"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4" w:type="dxa"/>
            <w:tcBorders>
              <w:bottom w:val="single" w:sz="6" w:space="0" w:color="FBDDE3"/>
            </w:tcBorders>
            <w:tcMar>
              <w:bottom w:w="60" w:type="dxa"/>
            </w:tcMar>
            <w:vAlign w:val="center"/>
          </w:tcPr>
          <w:p>
            <w:pPr>
              <w:pStyle w:val="TableContents"/>
              <w:bidi w:val="0"/>
              <w:spacing w:before="0" w:after="283"/>
              <w:jc w:val="left"/>
              <w:rPr/>
            </w:pPr>
            <w:r>
              <w:rPr/>
              <w:t> </w:t>
            </w:r>
          </w:p>
        </w:tc>
        <w:tc>
          <w:tcPr>
            <w:tcW w:w="791" w:type="dxa"/>
            <w:tcBorders>
              <w:bottom w:val="single" w:sz="6" w:space="0" w:color="FBDDE3"/>
            </w:tcBorders>
            <w:tcMar>
              <w:bottom w:w="60" w:type="dxa"/>
            </w:tcMar>
            <w:vAlign w:val="center"/>
          </w:tcPr>
          <w:p>
            <w:pPr>
              <w:pStyle w:val="TableContents"/>
              <w:bidi w:val="0"/>
              <w:spacing w:before="0" w:after="283"/>
              <w:jc w:val="right"/>
              <w:rPr/>
            </w:pPr>
            <w:r>
              <w:rPr/>
              <w:t>28.29</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19" w:type="dxa"/>
            <w:tcBorders>
              <w:bottom w:val="single" w:sz="6" w:space="0" w:color="FBDDE3"/>
            </w:tcBorders>
            <w:tcMar>
              <w:bottom w:w="60" w:type="dxa"/>
            </w:tcMar>
            <w:vAlign w:val="center"/>
          </w:tcPr>
          <w:p>
            <w:pPr>
              <w:pStyle w:val="TableContents"/>
              <w:bidi w:val="0"/>
              <w:spacing w:before="0" w:after="283"/>
              <w:jc w:val="left"/>
              <w:rPr/>
            </w:pPr>
            <w:r>
              <w:rPr/>
              <w:t> </w:t>
            </w:r>
          </w:p>
        </w:tc>
        <w:tc>
          <w:tcPr>
            <w:tcW w:w="996" w:type="dxa"/>
            <w:tcBorders>
              <w:bottom w:val="single" w:sz="6" w:space="0" w:color="FBDDE3"/>
            </w:tcBorders>
            <w:tcMar>
              <w:bottom w:w="60" w:type="dxa"/>
            </w:tcMar>
            <w:vAlign w:val="center"/>
          </w:tcPr>
          <w:p>
            <w:pPr>
              <w:pStyle w:val="TableContents"/>
              <w:bidi w:val="0"/>
              <w:spacing w:before="0" w:after="283"/>
              <w:jc w:val="right"/>
              <w:rPr/>
            </w:pPr>
            <w:r>
              <w:rPr/>
              <w:t>3/31/2027</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8"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52"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33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6"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79"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13"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512"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33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93"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532"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7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84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2020" w:type="dxa"/>
            <w:gridSpan w:val="4"/>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5" w:type="dxa"/>
            <w:tcBorders>
              <w:bottom w:val="single" w:sz="6" w:space="0" w:color="FBDDE3"/>
            </w:tcBorders>
            <w:tcMar>
              <w:bottom w:w="60" w:type="dxa"/>
            </w:tcMar>
            <w:vAlign w:val="center"/>
          </w:tcPr>
          <w:p>
            <w:pPr>
              <w:pStyle w:val="TableContents"/>
              <w:bidi w:val="0"/>
              <w:spacing w:before="0" w:after="283"/>
              <w:jc w:val="left"/>
              <w:rPr/>
            </w:pPr>
            <w:r>
              <w:rPr/>
              <w:t> </w:t>
            </w:r>
          </w:p>
        </w:tc>
        <w:tc>
          <w:tcPr>
            <w:tcW w:w="1050" w:type="dxa"/>
            <w:tcBorders>
              <w:bottom w:val="single" w:sz="6" w:space="0" w:color="FBDDE3"/>
            </w:tcBorders>
            <w:tcMar>
              <w:bottom w:w="60" w:type="dxa"/>
            </w:tcMar>
            <w:vAlign w:val="center"/>
          </w:tcPr>
          <w:p>
            <w:pPr>
              <w:pStyle w:val="TableContents"/>
              <w:bidi w:val="0"/>
              <w:spacing w:before="0" w:after="283"/>
              <w:jc w:val="right"/>
              <w:rPr/>
            </w:pPr>
            <w:r>
              <w:rPr/>
              <w:t>3/21/2018</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02" w:type="dxa"/>
            <w:tcBorders>
              <w:bottom w:val="single" w:sz="6" w:space="0" w:color="FBDDE3"/>
            </w:tcBorders>
            <w:tcMar>
              <w:bottom w:w="60" w:type="dxa"/>
            </w:tcMar>
            <w:vAlign w:val="center"/>
          </w:tcPr>
          <w:p>
            <w:pPr>
              <w:pStyle w:val="TableContents"/>
              <w:bidi w:val="0"/>
              <w:spacing w:before="0" w:after="283"/>
              <w:jc w:val="left"/>
              <w:rPr/>
            </w:pPr>
            <w:r>
              <w:rPr/>
              <w:t> </w:t>
            </w:r>
          </w:p>
        </w:tc>
        <w:tc>
          <w:tcPr>
            <w:tcW w:w="1163" w:type="dxa"/>
            <w:tcBorders>
              <w:bottom w:val="single" w:sz="6" w:space="0" w:color="FBDDE3"/>
            </w:tcBorders>
            <w:tcMar>
              <w:bottom w:w="60" w:type="dxa"/>
            </w:tcMar>
            <w:vAlign w:val="center"/>
          </w:tcPr>
          <w:p>
            <w:pPr>
              <w:pStyle w:val="TableContents"/>
              <w:bidi w:val="0"/>
              <w:spacing w:before="0" w:after="283"/>
              <w:jc w:val="right"/>
              <w:rPr/>
            </w:pPr>
            <w:r>
              <w:rPr/>
              <w:t>29,302</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39" w:type="dxa"/>
            <w:tcBorders>
              <w:bottom w:val="single" w:sz="6" w:space="0" w:color="FBDDE3"/>
            </w:tcBorders>
            <w:tcMar>
              <w:bottom w:w="60" w:type="dxa"/>
            </w:tcMar>
            <w:vAlign w:val="center"/>
          </w:tcPr>
          <w:p>
            <w:pPr>
              <w:pStyle w:val="TableContents"/>
              <w:bidi w:val="0"/>
              <w:spacing w:before="0" w:after="283"/>
              <w:jc w:val="left"/>
              <w:rPr/>
            </w:pPr>
            <w:r>
              <w:rPr/>
              <w:t> </w:t>
            </w:r>
          </w:p>
        </w:tc>
        <w:tc>
          <w:tcPr>
            <w:tcW w:w="1306" w:type="dxa"/>
            <w:tcBorders>
              <w:bottom w:val="single" w:sz="6" w:space="0" w:color="FBDDE3"/>
            </w:tcBorders>
            <w:tcMar>
              <w:bottom w:w="60" w:type="dxa"/>
            </w:tcMar>
            <w:vAlign w:val="center"/>
          </w:tcPr>
          <w:p>
            <w:pPr>
              <w:pStyle w:val="TableContents"/>
              <w:bidi w:val="0"/>
              <w:spacing w:before="0" w:after="283"/>
              <w:jc w:val="right"/>
              <w:rPr/>
            </w:pPr>
            <w:r>
              <w:rPr/>
              <w:t>–</w:t>
            </w:r>
          </w:p>
        </w:tc>
        <w:tc>
          <w:tcPr>
            <w:tcW w:w="335"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4" w:type="dxa"/>
            <w:tcBorders>
              <w:bottom w:val="single" w:sz="6" w:space="0" w:color="FBDDE3"/>
            </w:tcBorders>
            <w:tcMar>
              <w:bottom w:w="60" w:type="dxa"/>
            </w:tcMar>
            <w:vAlign w:val="center"/>
          </w:tcPr>
          <w:p>
            <w:pPr>
              <w:pStyle w:val="TableContents"/>
              <w:bidi w:val="0"/>
              <w:spacing w:before="0" w:after="283"/>
              <w:jc w:val="left"/>
              <w:rPr/>
            </w:pPr>
            <w:r>
              <w:rPr/>
              <w:t> </w:t>
            </w:r>
          </w:p>
        </w:tc>
        <w:tc>
          <w:tcPr>
            <w:tcW w:w="791" w:type="dxa"/>
            <w:tcBorders>
              <w:bottom w:val="single" w:sz="6" w:space="0" w:color="FBDDE3"/>
            </w:tcBorders>
            <w:tcMar>
              <w:bottom w:w="60" w:type="dxa"/>
            </w:tcMar>
            <w:vAlign w:val="center"/>
          </w:tcPr>
          <w:p>
            <w:pPr>
              <w:pStyle w:val="TableContents"/>
              <w:bidi w:val="0"/>
              <w:spacing w:before="0" w:after="283"/>
              <w:jc w:val="right"/>
              <w:rPr/>
            </w:pPr>
            <w:r>
              <w:rPr/>
              <w:t>23.68</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19" w:type="dxa"/>
            <w:tcBorders>
              <w:bottom w:val="single" w:sz="6" w:space="0" w:color="FBDDE3"/>
            </w:tcBorders>
            <w:tcMar>
              <w:bottom w:w="60" w:type="dxa"/>
            </w:tcMar>
            <w:vAlign w:val="center"/>
          </w:tcPr>
          <w:p>
            <w:pPr>
              <w:pStyle w:val="TableContents"/>
              <w:bidi w:val="0"/>
              <w:spacing w:before="0" w:after="283"/>
              <w:jc w:val="left"/>
              <w:rPr/>
            </w:pPr>
            <w:r>
              <w:rPr/>
              <w:t> </w:t>
            </w:r>
          </w:p>
        </w:tc>
        <w:tc>
          <w:tcPr>
            <w:tcW w:w="996" w:type="dxa"/>
            <w:tcBorders>
              <w:bottom w:val="single" w:sz="6" w:space="0" w:color="FBDDE3"/>
            </w:tcBorders>
            <w:tcMar>
              <w:bottom w:w="60" w:type="dxa"/>
            </w:tcMar>
            <w:vAlign w:val="center"/>
          </w:tcPr>
          <w:p>
            <w:pPr>
              <w:pStyle w:val="TableContents"/>
              <w:bidi w:val="0"/>
              <w:spacing w:before="0" w:after="283"/>
              <w:jc w:val="right"/>
              <w:rPr/>
            </w:pPr>
            <w:r>
              <w:rPr/>
              <w:t>3/21/2028</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8"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52"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33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6"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79"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13"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512"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33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93"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532"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7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84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2020" w:type="dxa"/>
            <w:gridSpan w:val="4"/>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5" w:type="dxa"/>
            <w:tcBorders>
              <w:bottom w:val="single" w:sz="6" w:space="0" w:color="FBDDE3"/>
            </w:tcBorders>
            <w:tcMar>
              <w:bottom w:w="60" w:type="dxa"/>
            </w:tcMar>
            <w:vAlign w:val="center"/>
          </w:tcPr>
          <w:p>
            <w:pPr>
              <w:pStyle w:val="TableContents"/>
              <w:bidi w:val="0"/>
              <w:spacing w:before="0" w:after="283"/>
              <w:jc w:val="left"/>
              <w:rPr/>
            </w:pPr>
            <w:r>
              <w:rPr/>
              <w:t> </w:t>
            </w:r>
          </w:p>
        </w:tc>
        <w:tc>
          <w:tcPr>
            <w:tcW w:w="1050" w:type="dxa"/>
            <w:tcBorders>
              <w:bottom w:val="single" w:sz="6" w:space="0" w:color="FBDDE3"/>
            </w:tcBorders>
            <w:tcMar>
              <w:bottom w:w="60" w:type="dxa"/>
            </w:tcMar>
            <w:vAlign w:val="center"/>
          </w:tcPr>
          <w:p>
            <w:pPr>
              <w:pStyle w:val="TableContents"/>
              <w:bidi w:val="0"/>
              <w:spacing w:before="0" w:after="283"/>
              <w:jc w:val="right"/>
              <w:rPr/>
            </w:pPr>
            <w:r>
              <w:rPr/>
              <w:t>3/28/2019</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02" w:type="dxa"/>
            <w:tcBorders>
              <w:bottom w:val="single" w:sz="6" w:space="0" w:color="FBDDE3"/>
            </w:tcBorders>
            <w:tcMar>
              <w:bottom w:w="60" w:type="dxa"/>
            </w:tcMar>
            <w:vAlign w:val="center"/>
          </w:tcPr>
          <w:p>
            <w:pPr>
              <w:pStyle w:val="TableContents"/>
              <w:bidi w:val="0"/>
              <w:spacing w:before="0" w:after="283"/>
              <w:jc w:val="left"/>
              <w:rPr/>
            </w:pPr>
            <w:r>
              <w:rPr/>
              <w:t> </w:t>
            </w:r>
          </w:p>
        </w:tc>
        <w:tc>
          <w:tcPr>
            <w:tcW w:w="1163" w:type="dxa"/>
            <w:tcBorders>
              <w:bottom w:val="single" w:sz="6" w:space="0" w:color="FBDDE3"/>
            </w:tcBorders>
            <w:tcMar>
              <w:bottom w:w="60" w:type="dxa"/>
            </w:tcMar>
            <w:vAlign w:val="center"/>
          </w:tcPr>
          <w:p>
            <w:pPr>
              <w:pStyle w:val="TableContents"/>
              <w:bidi w:val="0"/>
              <w:spacing w:before="0" w:after="283"/>
              <w:jc w:val="right"/>
              <w:rPr/>
            </w:pPr>
            <w:r>
              <w:rPr/>
              <w:t>42,459</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39" w:type="dxa"/>
            <w:tcBorders>
              <w:bottom w:val="single" w:sz="6" w:space="0" w:color="FBDDE3"/>
            </w:tcBorders>
            <w:tcMar>
              <w:bottom w:w="60" w:type="dxa"/>
            </w:tcMar>
            <w:vAlign w:val="center"/>
          </w:tcPr>
          <w:p>
            <w:pPr>
              <w:pStyle w:val="TableContents"/>
              <w:bidi w:val="0"/>
              <w:spacing w:before="0" w:after="283"/>
              <w:jc w:val="left"/>
              <w:rPr/>
            </w:pPr>
            <w:r>
              <w:rPr/>
              <w:t> </w:t>
            </w:r>
          </w:p>
        </w:tc>
        <w:tc>
          <w:tcPr>
            <w:tcW w:w="1306" w:type="dxa"/>
            <w:tcBorders>
              <w:bottom w:val="single" w:sz="6" w:space="0" w:color="FBDDE3"/>
            </w:tcBorders>
            <w:tcMar>
              <w:bottom w:w="60" w:type="dxa"/>
            </w:tcMar>
            <w:vAlign w:val="center"/>
          </w:tcPr>
          <w:p>
            <w:pPr>
              <w:pStyle w:val="TableContents"/>
              <w:bidi w:val="0"/>
              <w:spacing w:before="0" w:after="283"/>
              <w:jc w:val="right"/>
              <w:rPr/>
            </w:pPr>
            <w:r>
              <w:rPr/>
              <w:t>–</w:t>
            </w:r>
          </w:p>
        </w:tc>
        <w:tc>
          <w:tcPr>
            <w:tcW w:w="335"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4" w:type="dxa"/>
            <w:tcBorders>
              <w:bottom w:val="single" w:sz="6" w:space="0" w:color="FBDDE3"/>
            </w:tcBorders>
            <w:tcMar>
              <w:bottom w:w="60" w:type="dxa"/>
            </w:tcMar>
            <w:vAlign w:val="center"/>
          </w:tcPr>
          <w:p>
            <w:pPr>
              <w:pStyle w:val="TableContents"/>
              <w:bidi w:val="0"/>
              <w:spacing w:before="0" w:after="283"/>
              <w:jc w:val="left"/>
              <w:rPr/>
            </w:pPr>
            <w:r>
              <w:rPr/>
              <w:t> </w:t>
            </w:r>
          </w:p>
        </w:tc>
        <w:tc>
          <w:tcPr>
            <w:tcW w:w="791" w:type="dxa"/>
            <w:tcBorders>
              <w:bottom w:val="single" w:sz="6" w:space="0" w:color="FBDDE3"/>
            </w:tcBorders>
            <w:tcMar>
              <w:bottom w:w="60" w:type="dxa"/>
            </w:tcMar>
            <w:vAlign w:val="center"/>
          </w:tcPr>
          <w:p>
            <w:pPr>
              <w:pStyle w:val="TableContents"/>
              <w:bidi w:val="0"/>
              <w:spacing w:before="0" w:after="283"/>
              <w:jc w:val="right"/>
              <w:rPr/>
            </w:pPr>
            <w:r>
              <w:rPr/>
              <w:t>16.78</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19" w:type="dxa"/>
            <w:tcBorders>
              <w:bottom w:val="single" w:sz="6" w:space="0" w:color="FBDDE3"/>
            </w:tcBorders>
            <w:tcMar>
              <w:bottom w:w="60" w:type="dxa"/>
            </w:tcMar>
            <w:vAlign w:val="center"/>
          </w:tcPr>
          <w:p>
            <w:pPr>
              <w:pStyle w:val="TableContents"/>
              <w:bidi w:val="0"/>
              <w:spacing w:before="0" w:after="283"/>
              <w:jc w:val="left"/>
              <w:rPr/>
            </w:pPr>
            <w:r>
              <w:rPr/>
              <w:t> </w:t>
            </w:r>
          </w:p>
        </w:tc>
        <w:tc>
          <w:tcPr>
            <w:tcW w:w="996" w:type="dxa"/>
            <w:tcBorders>
              <w:bottom w:val="single" w:sz="6" w:space="0" w:color="FBDDE3"/>
            </w:tcBorders>
            <w:tcMar>
              <w:bottom w:w="60" w:type="dxa"/>
            </w:tcMar>
            <w:vAlign w:val="center"/>
          </w:tcPr>
          <w:p>
            <w:pPr>
              <w:pStyle w:val="TableContents"/>
              <w:bidi w:val="0"/>
              <w:spacing w:before="0" w:after="283"/>
              <w:jc w:val="right"/>
              <w:rPr/>
            </w:pPr>
            <w:r>
              <w:rPr/>
              <w:t>3/28/2029</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8"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52"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33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6"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79"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13"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512"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33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93"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532"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7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84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2020" w:type="dxa"/>
            <w:gridSpan w:val="4"/>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r>
      <w:tr>
        <w:trPr/>
        <w:tc>
          <w:tcPr>
            <w:tcW w:w="1505"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25"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5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02"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63"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39"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06"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335"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84"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791"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19"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96"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78" w:type="dxa"/>
            <w:tcBorders>
              <w:bottom w:val="single" w:sz="8" w:space="0" w:color="F7ACBA"/>
            </w:tcBorders>
            <w:tcMar>
              <w:bottom w:w="60" w:type="dxa"/>
            </w:tcMar>
            <w:vAlign w:val="center"/>
          </w:tcPr>
          <w:p>
            <w:pPr>
              <w:pStyle w:val="TableContents"/>
              <w:bidi w:val="0"/>
              <w:spacing w:before="0" w:after="283"/>
              <w:jc w:val="left"/>
              <w:rPr/>
            </w:pPr>
            <w:r>
              <w:rPr/>
              <w:t> </w:t>
            </w:r>
          </w:p>
        </w:tc>
        <w:tc>
          <w:tcPr>
            <w:tcW w:w="1052" w:type="dxa"/>
            <w:tcBorders>
              <w:bottom w:val="single" w:sz="8" w:space="0" w:color="F7ACBA"/>
            </w:tcBorders>
            <w:tcMar>
              <w:bottom w:w="60" w:type="dxa"/>
            </w:tcMar>
            <w:vAlign w:val="center"/>
          </w:tcPr>
          <w:p>
            <w:pPr>
              <w:pStyle w:val="TableContents"/>
              <w:bidi w:val="0"/>
              <w:spacing w:before="0" w:after="283"/>
              <w:jc w:val="right"/>
              <w:rPr/>
            </w:pPr>
            <w:r>
              <w:rPr/>
              <w:t>110,601</w:t>
            </w:r>
          </w:p>
        </w:tc>
        <w:tc>
          <w:tcPr>
            <w:tcW w:w="335" w:type="dxa"/>
            <w:tcBorders>
              <w:bottom w:val="single" w:sz="8" w:space="0" w:color="F7ACBA"/>
            </w:tcBorders>
            <w:tcMar>
              <w:bottom w:w="60" w:type="dxa"/>
            </w:tcMar>
            <w:vAlign w:val="center"/>
          </w:tcPr>
          <w:p>
            <w:pPr>
              <w:pStyle w:val="TableContents"/>
              <w:bidi w:val="0"/>
              <w:spacing w:before="0" w:after="283"/>
              <w:jc w:val="left"/>
              <w:rPr/>
            </w:pPr>
            <w:r>
              <w:rPr/>
              <w:t>(3)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6" w:type="dxa"/>
            <w:tcBorders>
              <w:bottom w:val="single" w:sz="8" w:space="0" w:color="F7ACBA"/>
            </w:tcBorders>
            <w:tcMar>
              <w:bottom w:w="60" w:type="dxa"/>
            </w:tcMar>
            <w:vAlign w:val="center"/>
          </w:tcPr>
          <w:p>
            <w:pPr>
              <w:pStyle w:val="TableContents"/>
              <w:bidi w:val="0"/>
              <w:spacing w:before="0" w:after="283"/>
              <w:jc w:val="left"/>
              <w:rPr/>
            </w:pPr>
            <w:r>
              <w:rPr/>
              <w:t> </w:t>
            </w:r>
          </w:p>
        </w:tc>
        <w:tc>
          <w:tcPr>
            <w:tcW w:w="1079" w:type="dxa"/>
            <w:tcBorders>
              <w:bottom w:val="single" w:sz="8" w:space="0" w:color="F7ACBA"/>
            </w:tcBorders>
            <w:tcMar>
              <w:bottom w:w="60" w:type="dxa"/>
            </w:tcMar>
            <w:vAlign w:val="center"/>
          </w:tcPr>
          <w:p>
            <w:pPr>
              <w:pStyle w:val="TableContents"/>
              <w:bidi w:val="0"/>
              <w:spacing w:before="0" w:after="283"/>
              <w:jc w:val="right"/>
              <w:rPr/>
            </w:pPr>
            <w:r>
              <w:rPr/>
              <w:t>2,988,439</w:t>
            </w:r>
          </w:p>
        </w:tc>
        <w:tc>
          <w:tcPr>
            <w:tcW w:w="60" w:type="dxa"/>
            <w:tcBorders>
              <w:bottom w:val="single" w:sz="8" w:space="0" w:color="F7ACBA"/>
            </w:tcBorders>
            <w:tcMar>
              <w:bottom w:w="6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13" w:type="dxa"/>
            <w:tcBorders>
              <w:bottom w:val="single" w:sz="8" w:space="0" w:color="F7ACBA"/>
            </w:tcBorders>
            <w:tcMar>
              <w:bottom w:w="60" w:type="dxa"/>
            </w:tcMar>
            <w:vAlign w:val="center"/>
          </w:tcPr>
          <w:p>
            <w:pPr>
              <w:pStyle w:val="TableContents"/>
              <w:bidi w:val="0"/>
              <w:spacing w:before="0" w:after="283"/>
              <w:jc w:val="left"/>
              <w:rPr/>
            </w:pPr>
            <w:r>
              <w:rPr/>
              <w:t> </w:t>
            </w:r>
          </w:p>
        </w:tc>
        <w:tc>
          <w:tcPr>
            <w:tcW w:w="1512" w:type="dxa"/>
            <w:tcBorders>
              <w:bottom w:val="single" w:sz="8" w:space="0" w:color="F7ACBA"/>
            </w:tcBorders>
            <w:tcMar>
              <w:bottom w:w="60" w:type="dxa"/>
            </w:tcMar>
            <w:vAlign w:val="center"/>
          </w:tcPr>
          <w:p>
            <w:pPr>
              <w:pStyle w:val="TableContents"/>
              <w:bidi w:val="0"/>
              <w:spacing w:before="0" w:after="283"/>
              <w:jc w:val="right"/>
              <w:rPr/>
            </w:pPr>
            <w:r>
              <w:rPr/>
              <w:t>345,878</w:t>
            </w:r>
          </w:p>
        </w:tc>
        <w:tc>
          <w:tcPr>
            <w:tcW w:w="335" w:type="dxa"/>
            <w:tcBorders>
              <w:bottom w:val="single" w:sz="8" w:space="0" w:color="F7ACBA"/>
            </w:tcBorders>
            <w:tcMar>
              <w:bottom w:w="60" w:type="dxa"/>
            </w:tcMar>
            <w:vAlign w:val="center"/>
          </w:tcPr>
          <w:p>
            <w:pPr>
              <w:pStyle w:val="TableContents"/>
              <w:bidi w:val="0"/>
              <w:spacing w:before="0" w:after="283"/>
              <w:jc w:val="left"/>
              <w:rPr/>
            </w:pPr>
            <w:r>
              <w:rPr/>
              <w:t>(4)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93" w:type="dxa"/>
            <w:tcBorders>
              <w:bottom w:val="single" w:sz="8" w:space="0" w:color="F7ACBA"/>
            </w:tcBorders>
            <w:tcMar>
              <w:bottom w:w="60" w:type="dxa"/>
            </w:tcMar>
            <w:vAlign w:val="center"/>
          </w:tcPr>
          <w:p>
            <w:pPr>
              <w:pStyle w:val="TableContents"/>
              <w:bidi w:val="0"/>
              <w:spacing w:before="0" w:after="283"/>
              <w:jc w:val="left"/>
              <w:rPr/>
            </w:pPr>
            <w:r>
              <w:rPr/>
              <w:t> </w:t>
            </w:r>
          </w:p>
        </w:tc>
        <w:tc>
          <w:tcPr>
            <w:tcW w:w="1532" w:type="dxa"/>
            <w:tcBorders>
              <w:bottom w:val="single" w:sz="8" w:space="0" w:color="F7ACBA"/>
            </w:tcBorders>
            <w:tcMar>
              <w:bottom w:w="60" w:type="dxa"/>
            </w:tcMar>
            <w:vAlign w:val="center"/>
          </w:tcPr>
          <w:p>
            <w:pPr>
              <w:pStyle w:val="TableContents"/>
              <w:bidi w:val="0"/>
              <w:spacing w:before="0" w:after="283"/>
              <w:jc w:val="right"/>
              <w:rPr/>
            </w:pPr>
            <w:r>
              <w:rPr/>
              <w:t>9,345,624</w:t>
            </w:r>
          </w:p>
        </w:tc>
        <w:tc>
          <w:tcPr>
            <w:tcW w:w="75" w:type="dxa"/>
            <w:tcBorders>
              <w:bottom w:val="single" w:sz="8" w:space="0" w:color="F7ACBA"/>
            </w:tcBorders>
            <w:tcMar>
              <w:bottom w:w="60"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84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2020" w:type="dxa"/>
            <w:gridSpan w:val="4"/>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r>
      <w:tr>
        <w:trPr/>
        <w:tc>
          <w:tcPr>
            <w:tcW w:w="1505" w:type="dxa"/>
            <w:tcBorders>
              <w:bottom w:val="single" w:sz="8" w:space="0" w:color="F7ACBA"/>
            </w:tcBorders>
            <w:tcMar>
              <w:bottom w:w="60" w:type="dxa"/>
            </w:tcMar>
            <w:vAlign w:val="center"/>
          </w:tcPr>
          <w:p>
            <w:pPr>
              <w:pStyle w:val="TableContents"/>
              <w:bidi w:val="0"/>
              <w:spacing w:before="0" w:after="0"/>
              <w:jc w:val="left"/>
              <w:rPr>
                <w:rFonts w:ascii="arial" w:hAnsi="arial"/>
                <w:b/>
                <w:sz w:val="18"/>
              </w:rPr>
            </w:pPr>
            <w:r>
              <w:rPr>
                <w:rFonts w:ascii="arial" w:hAnsi="arial"/>
                <w:b/>
                <w:sz w:val="18"/>
              </w:rPr>
              <w:t>Timothy Johnson</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25"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5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02"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63"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39"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06"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335"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84"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791"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19"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96"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78" w:type="dxa"/>
            <w:tcBorders>
              <w:bottom w:val="single" w:sz="8" w:space="0" w:color="F7ACBA"/>
            </w:tcBorders>
            <w:tcMar>
              <w:bottom w:w="60" w:type="dxa"/>
            </w:tcMar>
            <w:vAlign w:val="center"/>
          </w:tcPr>
          <w:p>
            <w:pPr>
              <w:pStyle w:val="TableContents"/>
              <w:bidi w:val="0"/>
              <w:spacing w:before="0" w:after="283"/>
              <w:jc w:val="left"/>
              <w:rPr/>
            </w:pPr>
            <w:r>
              <w:rPr/>
              <w:t> </w:t>
            </w:r>
          </w:p>
        </w:tc>
        <w:tc>
          <w:tcPr>
            <w:tcW w:w="1052" w:type="dxa"/>
            <w:tcBorders>
              <w:bottom w:val="single" w:sz="8" w:space="0" w:color="F7ACBA"/>
            </w:tcBorders>
            <w:tcMar>
              <w:bottom w:w="60" w:type="dxa"/>
            </w:tcMar>
            <w:vAlign w:val="center"/>
          </w:tcPr>
          <w:p>
            <w:pPr>
              <w:pStyle w:val="TableContents"/>
              <w:bidi w:val="0"/>
              <w:spacing w:before="0" w:after="283"/>
              <w:jc w:val="right"/>
              <w:rPr/>
            </w:pPr>
            <w:r>
              <w:rPr/>
              <w:t>55,962</w:t>
            </w:r>
          </w:p>
        </w:tc>
        <w:tc>
          <w:tcPr>
            <w:tcW w:w="335" w:type="dxa"/>
            <w:tcBorders>
              <w:bottom w:val="single" w:sz="8" w:space="0" w:color="F7ACBA"/>
            </w:tcBorders>
            <w:tcMar>
              <w:bottom w:w="60" w:type="dxa"/>
            </w:tcMar>
            <w:vAlign w:val="center"/>
          </w:tcPr>
          <w:p>
            <w:pPr>
              <w:pStyle w:val="TableContents"/>
              <w:bidi w:val="0"/>
              <w:spacing w:before="0" w:after="283"/>
              <w:jc w:val="left"/>
              <w:rPr/>
            </w:pPr>
            <w:r>
              <w:rPr/>
              <w:t>(5)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6" w:type="dxa"/>
            <w:tcBorders>
              <w:bottom w:val="single" w:sz="8" w:space="0" w:color="F7ACBA"/>
            </w:tcBorders>
            <w:tcMar>
              <w:bottom w:w="60" w:type="dxa"/>
            </w:tcMar>
            <w:vAlign w:val="center"/>
          </w:tcPr>
          <w:p>
            <w:pPr>
              <w:pStyle w:val="TableContents"/>
              <w:bidi w:val="0"/>
              <w:spacing w:before="0" w:after="283"/>
              <w:jc w:val="left"/>
              <w:rPr/>
            </w:pPr>
            <w:r>
              <w:rPr/>
              <w:t> </w:t>
            </w:r>
          </w:p>
        </w:tc>
        <w:tc>
          <w:tcPr>
            <w:tcW w:w="1079" w:type="dxa"/>
            <w:tcBorders>
              <w:bottom w:val="single" w:sz="8" w:space="0" w:color="F7ACBA"/>
            </w:tcBorders>
            <w:tcMar>
              <w:bottom w:w="60" w:type="dxa"/>
            </w:tcMar>
            <w:vAlign w:val="center"/>
          </w:tcPr>
          <w:p>
            <w:pPr>
              <w:pStyle w:val="TableContents"/>
              <w:bidi w:val="0"/>
              <w:spacing w:before="0" w:after="283"/>
              <w:jc w:val="right"/>
              <w:rPr/>
            </w:pPr>
            <w:r>
              <w:rPr/>
              <w:t>1,512,093</w:t>
            </w:r>
          </w:p>
        </w:tc>
        <w:tc>
          <w:tcPr>
            <w:tcW w:w="60" w:type="dxa"/>
            <w:tcBorders>
              <w:bottom w:val="single" w:sz="8" w:space="0" w:color="F7ACBA"/>
            </w:tcBorders>
            <w:tcMar>
              <w:bottom w:w="6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13" w:type="dxa"/>
            <w:tcBorders>
              <w:bottom w:val="single" w:sz="8" w:space="0" w:color="F7ACBA"/>
            </w:tcBorders>
            <w:tcMar>
              <w:bottom w:w="60" w:type="dxa"/>
            </w:tcMar>
            <w:vAlign w:val="center"/>
          </w:tcPr>
          <w:p>
            <w:pPr>
              <w:pStyle w:val="TableContents"/>
              <w:bidi w:val="0"/>
              <w:spacing w:before="0" w:after="283"/>
              <w:jc w:val="left"/>
              <w:rPr/>
            </w:pPr>
            <w:r>
              <w:rPr/>
              <w:t> </w:t>
            </w:r>
          </w:p>
        </w:tc>
        <w:tc>
          <w:tcPr>
            <w:tcW w:w="1512" w:type="dxa"/>
            <w:tcBorders>
              <w:bottom w:val="single" w:sz="8" w:space="0" w:color="F7ACBA"/>
            </w:tcBorders>
            <w:tcMar>
              <w:bottom w:w="60" w:type="dxa"/>
            </w:tcMar>
            <w:vAlign w:val="center"/>
          </w:tcPr>
          <w:p>
            <w:pPr>
              <w:pStyle w:val="TableContents"/>
              <w:bidi w:val="0"/>
              <w:spacing w:before="0" w:after="283"/>
              <w:jc w:val="right"/>
              <w:rPr/>
            </w:pPr>
            <w:r>
              <w:rPr/>
              <w:t>36,932</w:t>
            </w:r>
          </w:p>
        </w:tc>
        <w:tc>
          <w:tcPr>
            <w:tcW w:w="335" w:type="dxa"/>
            <w:tcBorders>
              <w:bottom w:val="single" w:sz="8" w:space="0" w:color="F7ACBA"/>
            </w:tcBorders>
            <w:tcMar>
              <w:bottom w:w="60" w:type="dxa"/>
            </w:tcMar>
            <w:vAlign w:val="center"/>
          </w:tcPr>
          <w:p>
            <w:pPr>
              <w:pStyle w:val="TableContents"/>
              <w:bidi w:val="0"/>
              <w:spacing w:before="0" w:after="283"/>
              <w:jc w:val="left"/>
              <w:rPr/>
            </w:pPr>
            <w:r>
              <w:rPr/>
              <w:t>(6)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93" w:type="dxa"/>
            <w:tcBorders>
              <w:bottom w:val="single" w:sz="8" w:space="0" w:color="F7ACBA"/>
            </w:tcBorders>
            <w:tcMar>
              <w:bottom w:w="60" w:type="dxa"/>
            </w:tcMar>
            <w:vAlign w:val="center"/>
          </w:tcPr>
          <w:p>
            <w:pPr>
              <w:pStyle w:val="TableContents"/>
              <w:bidi w:val="0"/>
              <w:spacing w:before="0" w:after="283"/>
              <w:jc w:val="left"/>
              <w:rPr/>
            </w:pPr>
            <w:r>
              <w:rPr/>
              <w:t> </w:t>
            </w:r>
          </w:p>
        </w:tc>
        <w:tc>
          <w:tcPr>
            <w:tcW w:w="1532" w:type="dxa"/>
            <w:tcBorders>
              <w:bottom w:val="single" w:sz="8" w:space="0" w:color="F7ACBA"/>
            </w:tcBorders>
            <w:tcMar>
              <w:bottom w:w="60" w:type="dxa"/>
            </w:tcMar>
            <w:vAlign w:val="center"/>
          </w:tcPr>
          <w:p>
            <w:pPr>
              <w:pStyle w:val="TableContents"/>
              <w:bidi w:val="0"/>
              <w:spacing w:before="0" w:after="283"/>
              <w:jc w:val="right"/>
              <w:rPr/>
            </w:pPr>
            <w:r>
              <w:rPr/>
              <w:t>997,903</w:t>
            </w:r>
          </w:p>
        </w:tc>
        <w:tc>
          <w:tcPr>
            <w:tcW w:w="75" w:type="dxa"/>
            <w:tcBorders>
              <w:bottom w:val="single" w:sz="8" w:space="0" w:color="F7ACBA"/>
            </w:tcBorders>
            <w:tcMar>
              <w:bottom w:w="60"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84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2020" w:type="dxa"/>
            <w:gridSpan w:val="4"/>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r>
      <w:tr>
        <w:trPr/>
        <w:tc>
          <w:tcPr>
            <w:tcW w:w="1505" w:type="dxa"/>
            <w:tcBorders>
              <w:bottom w:val="single" w:sz="8" w:space="0" w:color="F7ACBA"/>
            </w:tcBorders>
            <w:tcMar>
              <w:bottom w:w="60" w:type="dxa"/>
            </w:tcMar>
            <w:vAlign w:val="center"/>
          </w:tcPr>
          <w:p>
            <w:pPr>
              <w:pStyle w:val="TableContents"/>
              <w:bidi w:val="0"/>
              <w:spacing w:before="0" w:after="0"/>
              <w:jc w:val="left"/>
              <w:rPr>
                <w:rFonts w:ascii="arial" w:hAnsi="arial"/>
                <w:b/>
                <w:sz w:val="18"/>
              </w:rPr>
            </w:pPr>
            <w:r>
              <w:rPr>
                <w:rFonts w:ascii="arial" w:hAnsi="arial"/>
                <w:b/>
                <w:sz w:val="18"/>
              </w:rPr>
              <w:t>Melinda McAfee</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25"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5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02"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63"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39"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06"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335"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84"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791"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19"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96"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78" w:type="dxa"/>
            <w:tcBorders>
              <w:bottom w:val="single" w:sz="8" w:space="0" w:color="F7ACBA"/>
            </w:tcBorders>
            <w:tcMar>
              <w:bottom w:w="60" w:type="dxa"/>
            </w:tcMar>
            <w:vAlign w:val="center"/>
          </w:tcPr>
          <w:p>
            <w:pPr>
              <w:pStyle w:val="TableContents"/>
              <w:bidi w:val="0"/>
              <w:spacing w:before="0" w:after="283"/>
              <w:jc w:val="left"/>
              <w:rPr/>
            </w:pPr>
            <w:r>
              <w:rPr/>
              <w:t> </w:t>
            </w:r>
          </w:p>
        </w:tc>
        <w:tc>
          <w:tcPr>
            <w:tcW w:w="1052" w:type="dxa"/>
            <w:tcBorders>
              <w:bottom w:val="single" w:sz="8" w:space="0" w:color="F7ACBA"/>
            </w:tcBorders>
            <w:tcMar>
              <w:bottom w:w="60" w:type="dxa"/>
            </w:tcMar>
            <w:vAlign w:val="center"/>
          </w:tcPr>
          <w:p>
            <w:pPr>
              <w:pStyle w:val="TableContents"/>
              <w:bidi w:val="0"/>
              <w:spacing w:before="0" w:after="283"/>
              <w:jc w:val="right"/>
              <w:rPr/>
            </w:pPr>
            <w:r>
              <w:rPr/>
              <w:t>46,372</w:t>
            </w:r>
          </w:p>
        </w:tc>
        <w:tc>
          <w:tcPr>
            <w:tcW w:w="335" w:type="dxa"/>
            <w:tcBorders>
              <w:bottom w:val="single" w:sz="8" w:space="0" w:color="F7ACBA"/>
            </w:tcBorders>
            <w:tcMar>
              <w:bottom w:w="60" w:type="dxa"/>
            </w:tcMar>
            <w:vAlign w:val="center"/>
          </w:tcPr>
          <w:p>
            <w:pPr>
              <w:pStyle w:val="TableContents"/>
              <w:bidi w:val="0"/>
              <w:spacing w:before="0" w:after="283"/>
              <w:jc w:val="left"/>
              <w:rPr/>
            </w:pPr>
            <w:r>
              <w:rPr/>
              <w:t>(7)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6" w:type="dxa"/>
            <w:tcBorders>
              <w:bottom w:val="single" w:sz="8" w:space="0" w:color="F7ACBA"/>
            </w:tcBorders>
            <w:tcMar>
              <w:bottom w:w="60" w:type="dxa"/>
            </w:tcMar>
            <w:vAlign w:val="center"/>
          </w:tcPr>
          <w:p>
            <w:pPr>
              <w:pStyle w:val="TableContents"/>
              <w:bidi w:val="0"/>
              <w:spacing w:before="0" w:after="283"/>
              <w:jc w:val="left"/>
              <w:rPr/>
            </w:pPr>
            <w:r>
              <w:rPr/>
              <w:t> </w:t>
            </w:r>
          </w:p>
        </w:tc>
        <w:tc>
          <w:tcPr>
            <w:tcW w:w="1079" w:type="dxa"/>
            <w:tcBorders>
              <w:bottom w:val="single" w:sz="8" w:space="0" w:color="F7ACBA"/>
            </w:tcBorders>
            <w:tcMar>
              <w:bottom w:w="60" w:type="dxa"/>
            </w:tcMar>
            <w:vAlign w:val="center"/>
          </w:tcPr>
          <w:p>
            <w:pPr>
              <w:pStyle w:val="TableContents"/>
              <w:bidi w:val="0"/>
              <w:spacing w:before="0" w:after="283"/>
              <w:jc w:val="right"/>
              <w:rPr/>
            </w:pPr>
            <w:r>
              <w:rPr/>
              <w:t>1,252,971</w:t>
            </w:r>
          </w:p>
        </w:tc>
        <w:tc>
          <w:tcPr>
            <w:tcW w:w="60" w:type="dxa"/>
            <w:tcBorders>
              <w:bottom w:val="single" w:sz="8" w:space="0" w:color="F7ACBA"/>
            </w:tcBorders>
            <w:tcMar>
              <w:bottom w:w="6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13" w:type="dxa"/>
            <w:tcBorders>
              <w:bottom w:val="single" w:sz="8" w:space="0" w:color="F7ACBA"/>
            </w:tcBorders>
            <w:tcMar>
              <w:bottom w:w="60" w:type="dxa"/>
            </w:tcMar>
            <w:vAlign w:val="center"/>
          </w:tcPr>
          <w:p>
            <w:pPr>
              <w:pStyle w:val="TableContents"/>
              <w:bidi w:val="0"/>
              <w:spacing w:before="0" w:after="283"/>
              <w:jc w:val="left"/>
              <w:rPr/>
            </w:pPr>
            <w:r>
              <w:rPr/>
              <w:t> </w:t>
            </w:r>
          </w:p>
        </w:tc>
        <w:tc>
          <w:tcPr>
            <w:tcW w:w="1512" w:type="dxa"/>
            <w:tcBorders>
              <w:bottom w:val="single" w:sz="8" w:space="0" w:color="F7ACBA"/>
            </w:tcBorders>
            <w:tcMar>
              <w:bottom w:w="60" w:type="dxa"/>
            </w:tcMar>
            <w:vAlign w:val="center"/>
          </w:tcPr>
          <w:p>
            <w:pPr>
              <w:pStyle w:val="TableContents"/>
              <w:bidi w:val="0"/>
              <w:spacing w:before="0" w:after="283"/>
              <w:jc w:val="right"/>
              <w:rPr/>
            </w:pPr>
            <w:r>
              <w:rPr/>
              <w:t>35,544</w:t>
            </w:r>
          </w:p>
        </w:tc>
        <w:tc>
          <w:tcPr>
            <w:tcW w:w="335" w:type="dxa"/>
            <w:tcBorders>
              <w:bottom w:val="single" w:sz="8" w:space="0" w:color="F7ACBA"/>
            </w:tcBorders>
            <w:tcMar>
              <w:bottom w:w="60" w:type="dxa"/>
            </w:tcMar>
            <w:vAlign w:val="center"/>
          </w:tcPr>
          <w:p>
            <w:pPr>
              <w:pStyle w:val="TableContents"/>
              <w:bidi w:val="0"/>
              <w:spacing w:before="0" w:after="283"/>
              <w:jc w:val="left"/>
              <w:rPr/>
            </w:pPr>
            <w:r>
              <w:rPr/>
              <w:t>(8)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93" w:type="dxa"/>
            <w:tcBorders>
              <w:bottom w:val="single" w:sz="8" w:space="0" w:color="F7ACBA"/>
            </w:tcBorders>
            <w:tcMar>
              <w:bottom w:w="60" w:type="dxa"/>
            </w:tcMar>
            <w:vAlign w:val="center"/>
          </w:tcPr>
          <w:p>
            <w:pPr>
              <w:pStyle w:val="TableContents"/>
              <w:bidi w:val="0"/>
              <w:spacing w:before="0" w:after="283"/>
              <w:jc w:val="left"/>
              <w:rPr/>
            </w:pPr>
            <w:r>
              <w:rPr/>
              <w:t> </w:t>
            </w:r>
          </w:p>
        </w:tc>
        <w:tc>
          <w:tcPr>
            <w:tcW w:w="1532" w:type="dxa"/>
            <w:tcBorders>
              <w:bottom w:val="single" w:sz="8" w:space="0" w:color="F7ACBA"/>
            </w:tcBorders>
            <w:tcMar>
              <w:bottom w:w="60" w:type="dxa"/>
            </w:tcMar>
            <w:vAlign w:val="center"/>
          </w:tcPr>
          <w:p>
            <w:pPr>
              <w:pStyle w:val="TableContents"/>
              <w:bidi w:val="0"/>
              <w:spacing w:before="0" w:after="283"/>
              <w:jc w:val="right"/>
              <w:rPr/>
            </w:pPr>
            <w:r>
              <w:rPr/>
              <w:t>960,399</w:t>
            </w:r>
          </w:p>
        </w:tc>
        <w:tc>
          <w:tcPr>
            <w:tcW w:w="75" w:type="dxa"/>
            <w:tcBorders>
              <w:bottom w:val="single" w:sz="8" w:space="0" w:color="F7ACBA"/>
            </w:tcBorders>
            <w:tcMar>
              <w:bottom w:w="60"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84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2020" w:type="dxa"/>
            <w:gridSpan w:val="4"/>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r>
      <w:tr>
        <w:trPr/>
        <w:tc>
          <w:tcPr>
            <w:tcW w:w="1505" w:type="dxa"/>
            <w:tcBorders>
              <w:bottom w:val="single" w:sz="8" w:space="0" w:color="F7ACBA"/>
            </w:tcBorders>
            <w:tcMar>
              <w:bottom w:w="60" w:type="dxa"/>
            </w:tcMar>
            <w:vAlign w:val="center"/>
          </w:tcPr>
          <w:p>
            <w:pPr>
              <w:pStyle w:val="TableContents"/>
              <w:bidi w:val="0"/>
              <w:spacing w:before="0" w:after="0"/>
              <w:jc w:val="left"/>
              <w:rPr>
                <w:rFonts w:ascii="arial" w:hAnsi="arial"/>
                <w:b/>
                <w:sz w:val="18"/>
              </w:rPr>
            </w:pPr>
            <w:r>
              <w:rPr>
                <w:rFonts w:ascii="arial" w:hAnsi="arial"/>
                <w:b/>
                <w:sz w:val="18"/>
              </w:rPr>
              <w:t>Christine Rupp</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25"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5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02"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63"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39"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06"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335"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84"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791"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19"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96"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78" w:type="dxa"/>
            <w:tcBorders>
              <w:bottom w:val="single" w:sz="8" w:space="0" w:color="F7ACBA"/>
            </w:tcBorders>
            <w:tcMar>
              <w:bottom w:w="60" w:type="dxa"/>
            </w:tcMar>
            <w:vAlign w:val="center"/>
          </w:tcPr>
          <w:p>
            <w:pPr>
              <w:pStyle w:val="TableContents"/>
              <w:bidi w:val="0"/>
              <w:spacing w:before="0" w:after="283"/>
              <w:jc w:val="left"/>
              <w:rPr/>
            </w:pPr>
            <w:r>
              <w:rPr/>
              <w:t> </w:t>
            </w:r>
          </w:p>
        </w:tc>
        <w:tc>
          <w:tcPr>
            <w:tcW w:w="1052" w:type="dxa"/>
            <w:tcBorders>
              <w:bottom w:val="single" w:sz="8" w:space="0" w:color="F7ACBA"/>
            </w:tcBorders>
            <w:tcMar>
              <w:bottom w:w="60" w:type="dxa"/>
            </w:tcMar>
            <w:vAlign w:val="center"/>
          </w:tcPr>
          <w:p>
            <w:pPr>
              <w:pStyle w:val="TableContents"/>
              <w:bidi w:val="0"/>
              <w:spacing w:before="0" w:after="283"/>
              <w:jc w:val="right"/>
              <w:rPr/>
            </w:pPr>
            <w:r>
              <w:rPr/>
              <w:t>102,209</w:t>
            </w:r>
          </w:p>
        </w:tc>
        <w:tc>
          <w:tcPr>
            <w:tcW w:w="335" w:type="dxa"/>
            <w:tcBorders>
              <w:bottom w:val="single" w:sz="8" w:space="0" w:color="F7ACBA"/>
            </w:tcBorders>
            <w:tcMar>
              <w:bottom w:w="60" w:type="dxa"/>
            </w:tcMar>
            <w:vAlign w:val="center"/>
          </w:tcPr>
          <w:p>
            <w:pPr>
              <w:pStyle w:val="TableContents"/>
              <w:bidi w:val="0"/>
              <w:spacing w:before="0" w:after="283"/>
              <w:jc w:val="left"/>
              <w:rPr/>
            </w:pPr>
            <w:r>
              <w:rPr/>
              <w:t>(9)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6" w:type="dxa"/>
            <w:tcBorders>
              <w:bottom w:val="single" w:sz="8" w:space="0" w:color="F7ACBA"/>
            </w:tcBorders>
            <w:tcMar>
              <w:bottom w:w="60" w:type="dxa"/>
            </w:tcMar>
            <w:vAlign w:val="center"/>
          </w:tcPr>
          <w:p>
            <w:pPr>
              <w:pStyle w:val="TableContents"/>
              <w:bidi w:val="0"/>
              <w:spacing w:before="0" w:after="283"/>
              <w:jc w:val="left"/>
              <w:rPr/>
            </w:pPr>
            <w:r>
              <w:rPr/>
              <w:t> </w:t>
            </w:r>
          </w:p>
        </w:tc>
        <w:tc>
          <w:tcPr>
            <w:tcW w:w="1079" w:type="dxa"/>
            <w:tcBorders>
              <w:bottom w:val="single" w:sz="8" w:space="0" w:color="F7ACBA"/>
            </w:tcBorders>
            <w:tcMar>
              <w:bottom w:w="60" w:type="dxa"/>
            </w:tcMar>
            <w:vAlign w:val="center"/>
          </w:tcPr>
          <w:p>
            <w:pPr>
              <w:pStyle w:val="TableContents"/>
              <w:bidi w:val="0"/>
              <w:spacing w:before="0" w:after="283"/>
              <w:jc w:val="right"/>
              <w:rPr/>
            </w:pPr>
            <w:r>
              <w:rPr/>
              <w:t>2,761,687</w:t>
            </w:r>
          </w:p>
        </w:tc>
        <w:tc>
          <w:tcPr>
            <w:tcW w:w="60" w:type="dxa"/>
            <w:tcBorders>
              <w:bottom w:val="single" w:sz="8" w:space="0" w:color="F7ACBA"/>
            </w:tcBorders>
            <w:tcMar>
              <w:bottom w:w="6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13" w:type="dxa"/>
            <w:tcBorders>
              <w:bottom w:val="single" w:sz="8" w:space="0" w:color="F7ACBA"/>
            </w:tcBorders>
            <w:tcMar>
              <w:bottom w:w="60" w:type="dxa"/>
            </w:tcMar>
            <w:vAlign w:val="center"/>
          </w:tcPr>
          <w:p>
            <w:pPr>
              <w:pStyle w:val="TableContents"/>
              <w:bidi w:val="0"/>
              <w:spacing w:before="0" w:after="283"/>
              <w:jc w:val="left"/>
              <w:rPr/>
            </w:pPr>
            <w:r>
              <w:rPr/>
              <w:t> </w:t>
            </w:r>
          </w:p>
        </w:tc>
        <w:tc>
          <w:tcPr>
            <w:tcW w:w="1512" w:type="dxa"/>
            <w:tcBorders>
              <w:bottom w:val="single" w:sz="8" w:space="0" w:color="F7ACBA"/>
            </w:tcBorders>
            <w:tcMar>
              <w:bottom w:w="60" w:type="dxa"/>
            </w:tcMar>
            <w:vAlign w:val="center"/>
          </w:tcPr>
          <w:p>
            <w:pPr>
              <w:pStyle w:val="TableContents"/>
              <w:bidi w:val="0"/>
              <w:spacing w:before="0" w:after="283"/>
              <w:jc w:val="right"/>
              <w:rPr/>
            </w:pPr>
            <w:r>
              <w:rPr/>
              <w:t>47,838</w:t>
            </w:r>
          </w:p>
        </w:tc>
        <w:tc>
          <w:tcPr>
            <w:tcW w:w="335" w:type="dxa"/>
            <w:tcBorders>
              <w:bottom w:val="single" w:sz="8" w:space="0" w:color="F7ACBA"/>
            </w:tcBorders>
            <w:tcMar>
              <w:bottom w:w="60" w:type="dxa"/>
            </w:tcMar>
            <w:vAlign w:val="center"/>
          </w:tcPr>
          <w:p>
            <w:pPr>
              <w:pStyle w:val="TableContents"/>
              <w:bidi w:val="0"/>
              <w:spacing w:before="0" w:after="283"/>
              <w:jc w:val="left"/>
              <w:rPr/>
            </w:pPr>
            <w:r>
              <w:rPr/>
              <w:t>(10)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93" w:type="dxa"/>
            <w:tcBorders>
              <w:bottom w:val="single" w:sz="8" w:space="0" w:color="F7ACBA"/>
            </w:tcBorders>
            <w:tcMar>
              <w:bottom w:w="60" w:type="dxa"/>
            </w:tcMar>
            <w:vAlign w:val="center"/>
          </w:tcPr>
          <w:p>
            <w:pPr>
              <w:pStyle w:val="TableContents"/>
              <w:bidi w:val="0"/>
              <w:spacing w:before="0" w:after="283"/>
              <w:jc w:val="left"/>
              <w:rPr/>
            </w:pPr>
            <w:r>
              <w:rPr/>
              <w:t> </w:t>
            </w:r>
          </w:p>
        </w:tc>
        <w:tc>
          <w:tcPr>
            <w:tcW w:w="1532" w:type="dxa"/>
            <w:tcBorders>
              <w:bottom w:val="single" w:sz="8" w:space="0" w:color="F7ACBA"/>
            </w:tcBorders>
            <w:tcMar>
              <w:bottom w:w="60" w:type="dxa"/>
            </w:tcMar>
            <w:vAlign w:val="center"/>
          </w:tcPr>
          <w:p>
            <w:pPr>
              <w:pStyle w:val="TableContents"/>
              <w:bidi w:val="0"/>
              <w:spacing w:before="0" w:after="283"/>
              <w:jc w:val="right"/>
              <w:rPr/>
            </w:pPr>
            <w:r>
              <w:rPr/>
              <w:t>1,292,583</w:t>
            </w:r>
          </w:p>
        </w:tc>
        <w:tc>
          <w:tcPr>
            <w:tcW w:w="75" w:type="dxa"/>
            <w:tcBorders>
              <w:bottom w:val="single" w:sz="8" w:space="0" w:color="F7ACBA"/>
            </w:tcBorders>
            <w:tcMar>
              <w:bottom w:w="60"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84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2020" w:type="dxa"/>
            <w:gridSpan w:val="4"/>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rFonts w:ascii="arial" w:hAnsi="arial"/>
                <w:b/>
                <w:sz w:val="18"/>
              </w:rPr>
            </w:pPr>
            <w:r>
              <w:rPr>
                <w:rFonts w:ascii="arial" w:hAnsi="arial"/>
                <w:b/>
                <w:sz w:val="18"/>
              </w:rPr>
              <w:t>Gregory Unis</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5" w:type="dxa"/>
            <w:tcBorders>
              <w:bottom w:val="single" w:sz="6" w:space="0" w:color="FBDDE3"/>
            </w:tcBorders>
            <w:tcMar>
              <w:bottom w:w="60" w:type="dxa"/>
            </w:tcMar>
            <w:vAlign w:val="center"/>
          </w:tcPr>
          <w:p>
            <w:pPr>
              <w:pStyle w:val="TableContents"/>
              <w:bidi w:val="0"/>
              <w:spacing w:before="0" w:after="283"/>
              <w:jc w:val="left"/>
              <w:rPr/>
            </w:pPr>
            <w:r>
              <w:rPr/>
              <w:t> </w:t>
            </w:r>
          </w:p>
        </w:tc>
        <w:tc>
          <w:tcPr>
            <w:tcW w:w="1050" w:type="dxa"/>
            <w:tcBorders>
              <w:bottom w:val="single" w:sz="6" w:space="0" w:color="FBDDE3"/>
            </w:tcBorders>
            <w:tcMar>
              <w:bottom w:w="60" w:type="dxa"/>
            </w:tcMar>
            <w:vAlign w:val="center"/>
          </w:tcPr>
          <w:p>
            <w:pPr>
              <w:pStyle w:val="TableContents"/>
              <w:bidi w:val="0"/>
              <w:spacing w:before="0" w:after="283"/>
              <w:jc w:val="right"/>
              <w:rPr/>
            </w:pPr>
            <w:r>
              <w:rPr/>
              <w:t>3/31/2017</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02" w:type="dxa"/>
            <w:tcBorders>
              <w:bottom w:val="single" w:sz="6" w:space="0" w:color="FBDDE3"/>
            </w:tcBorders>
            <w:tcMar>
              <w:bottom w:w="60" w:type="dxa"/>
            </w:tcMar>
            <w:vAlign w:val="center"/>
          </w:tcPr>
          <w:p>
            <w:pPr>
              <w:pStyle w:val="TableContents"/>
              <w:bidi w:val="0"/>
              <w:spacing w:before="0" w:after="283"/>
              <w:jc w:val="left"/>
              <w:rPr/>
            </w:pPr>
            <w:r>
              <w:rPr/>
              <w:t> </w:t>
            </w:r>
          </w:p>
        </w:tc>
        <w:tc>
          <w:tcPr>
            <w:tcW w:w="1163" w:type="dxa"/>
            <w:tcBorders>
              <w:bottom w:val="single" w:sz="6" w:space="0" w:color="FBDDE3"/>
            </w:tcBorders>
            <w:tcMar>
              <w:bottom w:w="60" w:type="dxa"/>
            </w:tcMar>
            <w:vAlign w:val="center"/>
          </w:tcPr>
          <w:p>
            <w:pPr>
              <w:pStyle w:val="TableContents"/>
              <w:bidi w:val="0"/>
              <w:spacing w:before="0" w:after="283"/>
              <w:jc w:val="right"/>
              <w:rPr/>
            </w:pPr>
            <w:r>
              <w:rPr/>
              <w:t>17,895</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39" w:type="dxa"/>
            <w:tcBorders>
              <w:bottom w:val="single" w:sz="6" w:space="0" w:color="FBDDE3"/>
            </w:tcBorders>
            <w:tcMar>
              <w:bottom w:w="60" w:type="dxa"/>
            </w:tcMar>
            <w:vAlign w:val="center"/>
          </w:tcPr>
          <w:p>
            <w:pPr>
              <w:pStyle w:val="TableContents"/>
              <w:bidi w:val="0"/>
              <w:spacing w:before="0" w:after="283"/>
              <w:jc w:val="left"/>
              <w:rPr/>
            </w:pPr>
            <w:r>
              <w:rPr/>
              <w:t> </w:t>
            </w:r>
          </w:p>
        </w:tc>
        <w:tc>
          <w:tcPr>
            <w:tcW w:w="1306" w:type="dxa"/>
            <w:tcBorders>
              <w:bottom w:val="single" w:sz="6" w:space="0" w:color="FBDDE3"/>
            </w:tcBorders>
            <w:tcMar>
              <w:bottom w:w="60" w:type="dxa"/>
            </w:tcMar>
            <w:vAlign w:val="center"/>
          </w:tcPr>
          <w:p>
            <w:pPr>
              <w:pStyle w:val="TableContents"/>
              <w:bidi w:val="0"/>
              <w:spacing w:before="0" w:after="283"/>
              <w:jc w:val="right"/>
              <w:rPr/>
            </w:pPr>
            <w:r>
              <w:rPr/>
              <w:t>–</w:t>
            </w:r>
          </w:p>
        </w:tc>
        <w:tc>
          <w:tcPr>
            <w:tcW w:w="335"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4" w:type="dxa"/>
            <w:tcBorders>
              <w:bottom w:val="single" w:sz="6" w:space="0" w:color="FBDDE3"/>
            </w:tcBorders>
            <w:tcMar>
              <w:bottom w:w="60" w:type="dxa"/>
            </w:tcMar>
            <w:vAlign w:val="center"/>
          </w:tcPr>
          <w:p>
            <w:pPr>
              <w:pStyle w:val="TableContents"/>
              <w:bidi w:val="0"/>
              <w:spacing w:before="0" w:after="283"/>
              <w:jc w:val="left"/>
              <w:rPr/>
            </w:pPr>
            <w:r>
              <w:rPr/>
              <w:t> </w:t>
            </w:r>
          </w:p>
        </w:tc>
        <w:tc>
          <w:tcPr>
            <w:tcW w:w="791" w:type="dxa"/>
            <w:tcBorders>
              <w:bottom w:val="single" w:sz="6" w:space="0" w:color="FBDDE3"/>
            </w:tcBorders>
            <w:tcMar>
              <w:bottom w:w="60" w:type="dxa"/>
            </w:tcMar>
            <w:vAlign w:val="center"/>
          </w:tcPr>
          <w:p>
            <w:pPr>
              <w:pStyle w:val="TableContents"/>
              <w:bidi w:val="0"/>
              <w:spacing w:before="0" w:after="283"/>
              <w:jc w:val="right"/>
              <w:rPr/>
            </w:pPr>
            <w:r>
              <w:rPr/>
              <w:t>28.29</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19" w:type="dxa"/>
            <w:tcBorders>
              <w:bottom w:val="single" w:sz="6" w:space="0" w:color="FBDDE3"/>
            </w:tcBorders>
            <w:tcMar>
              <w:bottom w:w="60" w:type="dxa"/>
            </w:tcMar>
            <w:vAlign w:val="center"/>
          </w:tcPr>
          <w:p>
            <w:pPr>
              <w:pStyle w:val="TableContents"/>
              <w:bidi w:val="0"/>
              <w:spacing w:before="0" w:after="283"/>
              <w:jc w:val="left"/>
              <w:rPr/>
            </w:pPr>
            <w:r>
              <w:rPr/>
              <w:t> </w:t>
            </w:r>
          </w:p>
        </w:tc>
        <w:tc>
          <w:tcPr>
            <w:tcW w:w="996" w:type="dxa"/>
            <w:tcBorders>
              <w:bottom w:val="single" w:sz="6" w:space="0" w:color="FBDDE3"/>
            </w:tcBorders>
            <w:tcMar>
              <w:bottom w:w="60" w:type="dxa"/>
            </w:tcMar>
            <w:vAlign w:val="center"/>
          </w:tcPr>
          <w:p>
            <w:pPr>
              <w:pStyle w:val="TableContents"/>
              <w:bidi w:val="0"/>
              <w:spacing w:before="0" w:after="283"/>
              <w:jc w:val="right"/>
              <w:rPr/>
            </w:pPr>
            <w:r>
              <w:rPr/>
              <w:t>3/31/2027</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8"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52"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33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6"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79"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13"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512"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33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93"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532"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7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84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2020" w:type="dxa"/>
            <w:gridSpan w:val="4"/>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5" w:type="dxa"/>
            <w:tcBorders>
              <w:bottom w:val="single" w:sz="6" w:space="0" w:color="FBDDE3"/>
            </w:tcBorders>
            <w:tcMar>
              <w:bottom w:w="60" w:type="dxa"/>
            </w:tcMar>
            <w:vAlign w:val="center"/>
          </w:tcPr>
          <w:p>
            <w:pPr>
              <w:pStyle w:val="TableContents"/>
              <w:bidi w:val="0"/>
              <w:spacing w:before="0" w:after="283"/>
              <w:jc w:val="left"/>
              <w:rPr/>
            </w:pPr>
            <w:r>
              <w:rPr/>
              <w:t> </w:t>
            </w:r>
          </w:p>
        </w:tc>
        <w:tc>
          <w:tcPr>
            <w:tcW w:w="1050" w:type="dxa"/>
            <w:tcBorders>
              <w:bottom w:val="single" w:sz="6" w:space="0" w:color="FBDDE3"/>
            </w:tcBorders>
            <w:tcMar>
              <w:bottom w:w="60" w:type="dxa"/>
            </w:tcMar>
            <w:vAlign w:val="center"/>
          </w:tcPr>
          <w:p>
            <w:pPr>
              <w:pStyle w:val="TableContents"/>
              <w:bidi w:val="0"/>
              <w:spacing w:before="0" w:after="283"/>
              <w:jc w:val="right"/>
              <w:rPr/>
            </w:pPr>
            <w:r>
              <w:rPr/>
              <w:t>3/21/2018</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02" w:type="dxa"/>
            <w:tcBorders>
              <w:bottom w:val="single" w:sz="6" w:space="0" w:color="FBDDE3"/>
            </w:tcBorders>
            <w:tcMar>
              <w:bottom w:w="60" w:type="dxa"/>
            </w:tcMar>
            <w:vAlign w:val="center"/>
          </w:tcPr>
          <w:p>
            <w:pPr>
              <w:pStyle w:val="TableContents"/>
              <w:bidi w:val="0"/>
              <w:spacing w:before="0" w:after="283"/>
              <w:jc w:val="left"/>
              <w:rPr/>
            </w:pPr>
            <w:r>
              <w:rPr/>
              <w:t> </w:t>
            </w:r>
          </w:p>
        </w:tc>
        <w:tc>
          <w:tcPr>
            <w:tcW w:w="1163" w:type="dxa"/>
            <w:tcBorders>
              <w:bottom w:val="single" w:sz="6" w:space="0" w:color="FBDDE3"/>
            </w:tcBorders>
            <w:tcMar>
              <w:bottom w:w="60" w:type="dxa"/>
            </w:tcMar>
            <w:vAlign w:val="center"/>
          </w:tcPr>
          <w:p>
            <w:pPr>
              <w:pStyle w:val="TableContents"/>
              <w:bidi w:val="0"/>
              <w:spacing w:before="0" w:after="283"/>
              <w:jc w:val="right"/>
              <w:rPr/>
            </w:pPr>
            <w:r>
              <w:rPr/>
              <w:t>23,757</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39" w:type="dxa"/>
            <w:tcBorders>
              <w:bottom w:val="single" w:sz="6" w:space="0" w:color="FBDDE3"/>
            </w:tcBorders>
            <w:tcMar>
              <w:bottom w:w="60" w:type="dxa"/>
            </w:tcMar>
            <w:vAlign w:val="center"/>
          </w:tcPr>
          <w:p>
            <w:pPr>
              <w:pStyle w:val="TableContents"/>
              <w:bidi w:val="0"/>
              <w:spacing w:before="0" w:after="283"/>
              <w:jc w:val="left"/>
              <w:rPr/>
            </w:pPr>
            <w:r>
              <w:rPr/>
              <w:t> </w:t>
            </w:r>
          </w:p>
        </w:tc>
        <w:tc>
          <w:tcPr>
            <w:tcW w:w="1306" w:type="dxa"/>
            <w:tcBorders>
              <w:bottom w:val="single" w:sz="6" w:space="0" w:color="FBDDE3"/>
            </w:tcBorders>
            <w:tcMar>
              <w:bottom w:w="60" w:type="dxa"/>
            </w:tcMar>
            <w:vAlign w:val="center"/>
          </w:tcPr>
          <w:p>
            <w:pPr>
              <w:pStyle w:val="TableContents"/>
              <w:bidi w:val="0"/>
              <w:spacing w:before="0" w:after="283"/>
              <w:jc w:val="right"/>
              <w:rPr/>
            </w:pPr>
            <w:r>
              <w:rPr/>
              <w:t>–</w:t>
            </w:r>
          </w:p>
        </w:tc>
        <w:tc>
          <w:tcPr>
            <w:tcW w:w="335"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4" w:type="dxa"/>
            <w:tcBorders>
              <w:bottom w:val="single" w:sz="6" w:space="0" w:color="FBDDE3"/>
            </w:tcBorders>
            <w:tcMar>
              <w:bottom w:w="60" w:type="dxa"/>
            </w:tcMar>
            <w:vAlign w:val="center"/>
          </w:tcPr>
          <w:p>
            <w:pPr>
              <w:pStyle w:val="TableContents"/>
              <w:bidi w:val="0"/>
              <w:spacing w:before="0" w:after="283"/>
              <w:jc w:val="left"/>
              <w:rPr/>
            </w:pPr>
            <w:r>
              <w:rPr/>
              <w:t> </w:t>
            </w:r>
          </w:p>
        </w:tc>
        <w:tc>
          <w:tcPr>
            <w:tcW w:w="791" w:type="dxa"/>
            <w:tcBorders>
              <w:bottom w:val="single" w:sz="6" w:space="0" w:color="FBDDE3"/>
            </w:tcBorders>
            <w:tcMar>
              <w:bottom w:w="60" w:type="dxa"/>
            </w:tcMar>
            <w:vAlign w:val="center"/>
          </w:tcPr>
          <w:p>
            <w:pPr>
              <w:pStyle w:val="TableContents"/>
              <w:bidi w:val="0"/>
              <w:spacing w:before="0" w:after="283"/>
              <w:jc w:val="right"/>
              <w:rPr/>
            </w:pPr>
            <w:r>
              <w:rPr/>
              <w:t>23.68</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19" w:type="dxa"/>
            <w:tcBorders>
              <w:bottom w:val="single" w:sz="6" w:space="0" w:color="FBDDE3"/>
            </w:tcBorders>
            <w:tcMar>
              <w:bottom w:w="60" w:type="dxa"/>
            </w:tcMar>
            <w:vAlign w:val="center"/>
          </w:tcPr>
          <w:p>
            <w:pPr>
              <w:pStyle w:val="TableContents"/>
              <w:bidi w:val="0"/>
              <w:spacing w:before="0" w:after="283"/>
              <w:jc w:val="left"/>
              <w:rPr/>
            </w:pPr>
            <w:r>
              <w:rPr/>
              <w:t> </w:t>
            </w:r>
          </w:p>
        </w:tc>
        <w:tc>
          <w:tcPr>
            <w:tcW w:w="996" w:type="dxa"/>
            <w:tcBorders>
              <w:bottom w:val="single" w:sz="6" w:space="0" w:color="FBDDE3"/>
            </w:tcBorders>
            <w:tcMar>
              <w:bottom w:w="60" w:type="dxa"/>
            </w:tcMar>
            <w:vAlign w:val="center"/>
          </w:tcPr>
          <w:p>
            <w:pPr>
              <w:pStyle w:val="TableContents"/>
              <w:bidi w:val="0"/>
              <w:spacing w:before="0" w:after="283"/>
              <w:jc w:val="right"/>
              <w:rPr/>
            </w:pPr>
            <w:r>
              <w:rPr/>
              <w:t>3/21/2028</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8"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52"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33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6"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79"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13"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512"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33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93"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532"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7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84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2020" w:type="dxa"/>
            <w:gridSpan w:val="4"/>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5" w:type="dxa"/>
            <w:tcBorders>
              <w:bottom w:val="single" w:sz="6" w:space="0" w:color="FBDDE3"/>
            </w:tcBorders>
            <w:tcMar>
              <w:bottom w:w="60" w:type="dxa"/>
            </w:tcMar>
            <w:vAlign w:val="center"/>
          </w:tcPr>
          <w:p>
            <w:pPr>
              <w:pStyle w:val="TableContents"/>
              <w:bidi w:val="0"/>
              <w:spacing w:before="0" w:after="283"/>
              <w:jc w:val="left"/>
              <w:rPr/>
            </w:pPr>
            <w:r>
              <w:rPr/>
              <w:t> </w:t>
            </w:r>
          </w:p>
        </w:tc>
        <w:tc>
          <w:tcPr>
            <w:tcW w:w="1050" w:type="dxa"/>
            <w:tcBorders>
              <w:bottom w:val="single" w:sz="6" w:space="0" w:color="FBDDE3"/>
            </w:tcBorders>
            <w:tcMar>
              <w:bottom w:w="60" w:type="dxa"/>
            </w:tcMar>
            <w:vAlign w:val="center"/>
          </w:tcPr>
          <w:p>
            <w:pPr>
              <w:pStyle w:val="TableContents"/>
              <w:bidi w:val="0"/>
              <w:spacing w:before="0" w:after="283"/>
              <w:jc w:val="right"/>
              <w:rPr/>
            </w:pPr>
            <w:r>
              <w:rPr/>
              <w:t>3/28/2019</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02" w:type="dxa"/>
            <w:tcBorders>
              <w:bottom w:val="single" w:sz="6" w:space="0" w:color="FBDDE3"/>
            </w:tcBorders>
            <w:tcMar>
              <w:bottom w:w="60" w:type="dxa"/>
            </w:tcMar>
            <w:vAlign w:val="center"/>
          </w:tcPr>
          <w:p>
            <w:pPr>
              <w:pStyle w:val="TableContents"/>
              <w:bidi w:val="0"/>
              <w:spacing w:before="0" w:after="283"/>
              <w:jc w:val="left"/>
              <w:rPr/>
            </w:pPr>
            <w:r>
              <w:rPr/>
              <w:t> </w:t>
            </w:r>
          </w:p>
        </w:tc>
        <w:tc>
          <w:tcPr>
            <w:tcW w:w="1163" w:type="dxa"/>
            <w:tcBorders>
              <w:bottom w:val="single" w:sz="6" w:space="0" w:color="FBDDE3"/>
            </w:tcBorders>
            <w:tcMar>
              <w:bottom w:w="60" w:type="dxa"/>
            </w:tcMar>
            <w:vAlign w:val="center"/>
          </w:tcPr>
          <w:p>
            <w:pPr>
              <w:pStyle w:val="TableContents"/>
              <w:bidi w:val="0"/>
              <w:spacing w:before="0" w:after="283"/>
              <w:jc w:val="right"/>
              <w:rPr/>
            </w:pPr>
            <w:r>
              <w:rPr/>
              <w:t>37,990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39" w:type="dxa"/>
            <w:tcBorders>
              <w:bottom w:val="single" w:sz="6" w:space="0" w:color="FBDDE3"/>
            </w:tcBorders>
            <w:tcMar>
              <w:bottom w:w="60" w:type="dxa"/>
            </w:tcMar>
            <w:vAlign w:val="center"/>
          </w:tcPr>
          <w:p>
            <w:pPr>
              <w:pStyle w:val="TableContents"/>
              <w:bidi w:val="0"/>
              <w:spacing w:before="0" w:after="283"/>
              <w:jc w:val="left"/>
              <w:rPr/>
            </w:pPr>
            <w:r>
              <w:rPr/>
              <w:t> </w:t>
            </w:r>
          </w:p>
        </w:tc>
        <w:tc>
          <w:tcPr>
            <w:tcW w:w="1306" w:type="dxa"/>
            <w:tcBorders>
              <w:bottom w:val="single" w:sz="6" w:space="0" w:color="FBDDE3"/>
            </w:tcBorders>
            <w:tcMar>
              <w:bottom w:w="60" w:type="dxa"/>
            </w:tcMar>
            <w:vAlign w:val="center"/>
          </w:tcPr>
          <w:p>
            <w:pPr>
              <w:pStyle w:val="TableContents"/>
              <w:bidi w:val="0"/>
              <w:spacing w:before="0" w:after="283"/>
              <w:jc w:val="right"/>
              <w:rPr/>
            </w:pPr>
            <w:r>
              <w:rPr/>
              <w:t>–</w:t>
            </w:r>
          </w:p>
        </w:tc>
        <w:tc>
          <w:tcPr>
            <w:tcW w:w="335"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4" w:type="dxa"/>
            <w:tcBorders>
              <w:bottom w:val="single" w:sz="6" w:space="0" w:color="FBDDE3"/>
            </w:tcBorders>
            <w:tcMar>
              <w:bottom w:w="60" w:type="dxa"/>
            </w:tcMar>
            <w:vAlign w:val="center"/>
          </w:tcPr>
          <w:p>
            <w:pPr>
              <w:pStyle w:val="TableContents"/>
              <w:bidi w:val="0"/>
              <w:spacing w:before="0" w:after="283"/>
              <w:jc w:val="left"/>
              <w:rPr/>
            </w:pPr>
            <w:r>
              <w:rPr/>
              <w:t> </w:t>
            </w:r>
          </w:p>
        </w:tc>
        <w:tc>
          <w:tcPr>
            <w:tcW w:w="791" w:type="dxa"/>
            <w:tcBorders>
              <w:bottom w:val="single" w:sz="6" w:space="0" w:color="FBDDE3"/>
            </w:tcBorders>
            <w:tcMar>
              <w:bottom w:w="60" w:type="dxa"/>
            </w:tcMar>
            <w:vAlign w:val="center"/>
          </w:tcPr>
          <w:p>
            <w:pPr>
              <w:pStyle w:val="TableContents"/>
              <w:bidi w:val="0"/>
              <w:spacing w:before="0" w:after="283"/>
              <w:jc w:val="right"/>
              <w:rPr/>
            </w:pPr>
            <w:r>
              <w:rPr/>
              <w:t>16.78</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19" w:type="dxa"/>
            <w:tcBorders>
              <w:bottom w:val="single" w:sz="6" w:space="0" w:color="FBDDE3"/>
            </w:tcBorders>
            <w:tcMar>
              <w:bottom w:w="60" w:type="dxa"/>
            </w:tcMar>
            <w:vAlign w:val="center"/>
          </w:tcPr>
          <w:p>
            <w:pPr>
              <w:pStyle w:val="TableContents"/>
              <w:bidi w:val="0"/>
              <w:spacing w:before="0" w:after="283"/>
              <w:jc w:val="left"/>
              <w:rPr/>
            </w:pPr>
            <w:r>
              <w:rPr/>
              <w:t> </w:t>
            </w:r>
          </w:p>
        </w:tc>
        <w:tc>
          <w:tcPr>
            <w:tcW w:w="996" w:type="dxa"/>
            <w:tcBorders>
              <w:bottom w:val="single" w:sz="6" w:space="0" w:color="FBDDE3"/>
            </w:tcBorders>
            <w:tcMar>
              <w:bottom w:w="60" w:type="dxa"/>
            </w:tcMar>
            <w:vAlign w:val="center"/>
          </w:tcPr>
          <w:p>
            <w:pPr>
              <w:pStyle w:val="TableContents"/>
              <w:bidi w:val="0"/>
              <w:spacing w:before="0" w:after="283"/>
              <w:jc w:val="right"/>
              <w:rPr/>
            </w:pPr>
            <w:r>
              <w:rPr/>
              <w:t>3/28/2029</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8"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52"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33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6"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79"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13"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512"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33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93"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532"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7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84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2020" w:type="dxa"/>
            <w:gridSpan w:val="4"/>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r>
      <w:tr>
        <w:trPr/>
        <w:tc>
          <w:tcPr>
            <w:tcW w:w="1505" w:type="dxa"/>
            <w:tcBorders/>
            <w:vAlign w:val="center"/>
          </w:tcPr>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5" w:type="dxa"/>
            <w:tcBorders>
              <w:bottom w:val="single" w:sz="6" w:space="0" w:color="FBDDE3"/>
            </w:tcBorders>
            <w:tcMar>
              <w:bottom w:w="60" w:type="dxa"/>
            </w:tcMar>
            <w:vAlign w:val="center"/>
          </w:tcPr>
          <w:p>
            <w:pPr>
              <w:pStyle w:val="TableContents"/>
              <w:bidi w:val="0"/>
              <w:spacing w:before="0" w:after="283"/>
              <w:jc w:val="left"/>
              <w:rPr/>
            </w:pPr>
            <w:r>
              <w:rPr/>
              <w:t> </w:t>
            </w:r>
          </w:p>
        </w:tc>
        <w:tc>
          <w:tcPr>
            <w:tcW w:w="1050" w:type="dxa"/>
            <w:tcBorders>
              <w:bottom w:val="single" w:sz="6" w:space="0" w:color="FBDDE3"/>
            </w:tcBorders>
            <w:tcMar>
              <w:bottom w:w="60" w:type="dxa"/>
            </w:tcMar>
            <w:vAlign w:val="center"/>
          </w:tcPr>
          <w:p>
            <w:pPr>
              <w:pStyle w:val="TableContents"/>
              <w:bidi w:val="0"/>
              <w:spacing w:before="0" w:after="283"/>
              <w:jc w:val="right"/>
              <w:rPr/>
            </w:pPr>
            <w:r>
              <w:rPr/>
              <w:t>3/16/2021</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02" w:type="dxa"/>
            <w:tcBorders>
              <w:bottom w:val="single" w:sz="6" w:space="0" w:color="FBDDE3"/>
            </w:tcBorders>
            <w:tcMar>
              <w:bottom w:w="60" w:type="dxa"/>
            </w:tcMar>
            <w:vAlign w:val="center"/>
          </w:tcPr>
          <w:p>
            <w:pPr>
              <w:pStyle w:val="TableContents"/>
              <w:bidi w:val="0"/>
              <w:spacing w:before="0" w:after="283"/>
              <w:jc w:val="left"/>
              <w:rPr/>
            </w:pPr>
            <w:r>
              <w:rPr/>
              <w:t> </w:t>
            </w:r>
          </w:p>
        </w:tc>
        <w:tc>
          <w:tcPr>
            <w:tcW w:w="1163" w:type="dxa"/>
            <w:tcBorders>
              <w:bottom w:val="single" w:sz="6" w:space="0" w:color="FBDDE3"/>
            </w:tcBorders>
            <w:tcMar>
              <w:bottom w:w="60" w:type="dxa"/>
            </w:tcMar>
            <w:vAlign w:val="center"/>
          </w:tcPr>
          <w:p>
            <w:pPr>
              <w:pStyle w:val="TableContents"/>
              <w:bidi w:val="0"/>
              <w:spacing w:before="0" w:after="283"/>
              <w:jc w:val="right"/>
              <w:rPr/>
            </w:pPr>
            <w:r>
              <w:rPr/>
              <w:t>9,118</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39" w:type="dxa"/>
            <w:tcBorders>
              <w:bottom w:val="single" w:sz="6" w:space="0" w:color="FBDDE3"/>
            </w:tcBorders>
            <w:tcMar>
              <w:bottom w:w="60" w:type="dxa"/>
            </w:tcMar>
            <w:vAlign w:val="center"/>
          </w:tcPr>
          <w:p>
            <w:pPr>
              <w:pStyle w:val="TableContents"/>
              <w:bidi w:val="0"/>
              <w:spacing w:before="0" w:after="283"/>
              <w:jc w:val="left"/>
              <w:rPr/>
            </w:pPr>
            <w:r>
              <w:rPr/>
              <w:t> </w:t>
            </w:r>
          </w:p>
        </w:tc>
        <w:tc>
          <w:tcPr>
            <w:tcW w:w="1306" w:type="dxa"/>
            <w:tcBorders>
              <w:bottom w:val="single" w:sz="6" w:space="0" w:color="FBDDE3"/>
            </w:tcBorders>
            <w:tcMar>
              <w:bottom w:w="60" w:type="dxa"/>
            </w:tcMar>
            <w:vAlign w:val="center"/>
          </w:tcPr>
          <w:p>
            <w:pPr>
              <w:pStyle w:val="TableContents"/>
              <w:bidi w:val="0"/>
              <w:spacing w:before="0" w:after="283"/>
              <w:jc w:val="right"/>
              <w:rPr/>
            </w:pPr>
            <w:r>
              <w:rPr/>
              <w:t>9,115</w:t>
            </w:r>
          </w:p>
        </w:tc>
        <w:tc>
          <w:tcPr>
            <w:tcW w:w="335" w:type="dxa"/>
            <w:tcBorders>
              <w:bottom w:val="single" w:sz="6" w:space="0" w:color="FBDDE3"/>
            </w:tcBorders>
            <w:tcMar>
              <w:bottom w:w="60" w:type="dxa"/>
            </w:tcMar>
            <w:vAlign w:val="center"/>
          </w:tcPr>
          <w:p>
            <w:pPr>
              <w:pStyle w:val="TableContents"/>
              <w:bidi w:val="0"/>
              <w:spacing w:before="0" w:after="283"/>
              <w:jc w:val="left"/>
              <w:rPr/>
            </w:pPr>
            <w:r>
              <w:rPr/>
              <w:t>(11)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4" w:type="dxa"/>
            <w:tcBorders>
              <w:bottom w:val="single" w:sz="6" w:space="0" w:color="FBDDE3"/>
            </w:tcBorders>
            <w:tcMar>
              <w:bottom w:w="60" w:type="dxa"/>
            </w:tcMar>
            <w:vAlign w:val="center"/>
          </w:tcPr>
          <w:p>
            <w:pPr>
              <w:pStyle w:val="TableContents"/>
              <w:bidi w:val="0"/>
              <w:spacing w:before="0" w:after="283"/>
              <w:jc w:val="left"/>
              <w:rPr/>
            </w:pPr>
            <w:r>
              <w:rPr/>
              <w:t> </w:t>
            </w:r>
          </w:p>
        </w:tc>
        <w:tc>
          <w:tcPr>
            <w:tcW w:w="791" w:type="dxa"/>
            <w:tcBorders>
              <w:bottom w:val="single" w:sz="6" w:space="0" w:color="FBDDE3"/>
            </w:tcBorders>
            <w:tcMar>
              <w:bottom w:w="60" w:type="dxa"/>
            </w:tcMar>
            <w:vAlign w:val="center"/>
          </w:tcPr>
          <w:p>
            <w:pPr>
              <w:pStyle w:val="TableContents"/>
              <w:bidi w:val="0"/>
              <w:spacing w:before="0" w:after="283"/>
              <w:jc w:val="right"/>
              <w:rPr/>
            </w:pPr>
            <w:r>
              <w:rPr/>
              <w:t>36.20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19" w:type="dxa"/>
            <w:tcBorders>
              <w:bottom w:val="single" w:sz="6" w:space="0" w:color="FBDDE3"/>
            </w:tcBorders>
            <w:tcMar>
              <w:bottom w:w="60" w:type="dxa"/>
            </w:tcMar>
            <w:vAlign w:val="center"/>
          </w:tcPr>
          <w:p>
            <w:pPr>
              <w:pStyle w:val="TableContents"/>
              <w:bidi w:val="0"/>
              <w:spacing w:before="0" w:after="283"/>
              <w:jc w:val="left"/>
              <w:rPr/>
            </w:pPr>
            <w:r>
              <w:rPr/>
              <w:t> </w:t>
            </w:r>
          </w:p>
        </w:tc>
        <w:tc>
          <w:tcPr>
            <w:tcW w:w="996" w:type="dxa"/>
            <w:tcBorders>
              <w:bottom w:val="single" w:sz="6" w:space="0" w:color="FBDDE3"/>
            </w:tcBorders>
            <w:tcMar>
              <w:bottom w:w="60" w:type="dxa"/>
            </w:tcMar>
            <w:vAlign w:val="center"/>
          </w:tcPr>
          <w:p>
            <w:pPr>
              <w:pStyle w:val="TableContents"/>
              <w:bidi w:val="0"/>
              <w:spacing w:before="0" w:after="283"/>
              <w:jc w:val="right"/>
              <w:rPr/>
            </w:pPr>
            <w:r>
              <w:rPr/>
              <w:t>3/16/2031</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8"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52"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33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6"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79"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13"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512"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33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93"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532"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7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1295" w:type="dxa"/>
            <w:gridSpan w:val="4"/>
            <w:tcBorders/>
            <w:vAlign w:val="center"/>
          </w:tcPr>
          <w:p>
            <w:pPr>
              <w:pStyle w:val="TableContents"/>
              <w:bidi w:val="0"/>
              <w:spacing w:before="0" w:after="283"/>
              <w:jc w:val="left"/>
              <w:rPr>
                <w:sz w:val="4"/>
                <w:szCs w:val="4"/>
              </w:rPr>
            </w:pPr>
            <w:r>
              <w:rPr>
                <w:sz w:val="4"/>
                <w:szCs w:val="4"/>
              </w:rPr>
            </w:r>
          </w:p>
        </w:tc>
        <w:tc>
          <w:tcPr>
            <w:tcW w:w="1385" w:type="dxa"/>
            <w:gridSpan w:val="4"/>
            <w:tcBorders/>
            <w:vAlign w:val="center"/>
          </w:tcPr>
          <w:p>
            <w:pPr>
              <w:pStyle w:val="TableContents"/>
              <w:bidi w:val="0"/>
              <w:spacing w:before="0" w:after="283"/>
              <w:jc w:val="left"/>
              <w:rPr>
                <w:sz w:val="4"/>
                <w:szCs w:val="4"/>
              </w:rPr>
            </w:pPr>
            <w:r>
              <w:rPr>
                <w:sz w:val="4"/>
                <w:szCs w:val="4"/>
              </w:rPr>
            </w:r>
          </w:p>
        </w:tc>
        <w:tc>
          <w:tcPr>
            <w:tcW w:w="184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2020" w:type="dxa"/>
            <w:gridSpan w:val="4"/>
            <w:tcBorders/>
            <w:vAlign w:val="center"/>
          </w:tcPr>
          <w:p>
            <w:pPr>
              <w:pStyle w:val="TableContents"/>
              <w:bidi w:val="0"/>
              <w:spacing w:before="0" w:after="283"/>
              <w:jc w:val="left"/>
              <w:rPr>
                <w:sz w:val="4"/>
                <w:szCs w:val="4"/>
              </w:rPr>
            </w:pPr>
            <w:r>
              <w:rPr>
                <w:sz w:val="4"/>
                <w:szCs w:val="4"/>
              </w:rPr>
            </w:r>
          </w:p>
        </w:tc>
        <w:tc>
          <w:tcPr>
            <w:tcW w:w="1760" w:type="dxa"/>
            <w:gridSpan w:val="4"/>
            <w:tcBorders/>
            <w:vAlign w:val="center"/>
          </w:tcPr>
          <w:p>
            <w:pPr>
              <w:pStyle w:val="TableContents"/>
              <w:bidi w:val="0"/>
              <w:spacing w:before="0" w:after="283"/>
              <w:jc w:val="left"/>
              <w:rPr>
                <w:sz w:val="4"/>
                <w:szCs w:val="4"/>
              </w:rPr>
            </w:pPr>
            <w:r>
              <w:rPr>
                <w:sz w:val="4"/>
                <w:szCs w:val="4"/>
              </w:rPr>
            </w:r>
          </w:p>
        </w:tc>
      </w:tr>
      <w:tr>
        <w:trPr/>
        <w:tc>
          <w:tcPr>
            <w:tcW w:w="1505"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25"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05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02"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63"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39"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306"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335"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84"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791"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19"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996"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78" w:type="dxa"/>
            <w:tcBorders>
              <w:bottom w:val="single" w:sz="8" w:space="0" w:color="F7ACBA"/>
            </w:tcBorders>
            <w:tcMar>
              <w:bottom w:w="80" w:type="dxa"/>
            </w:tcMar>
            <w:vAlign w:val="center"/>
          </w:tcPr>
          <w:p>
            <w:pPr>
              <w:pStyle w:val="TableContents"/>
              <w:bidi w:val="0"/>
              <w:spacing w:before="0" w:after="283"/>
              <w:jc w:val="left"/>
              <w:rPr/>
            </w:pPr>
            <w:r>
              <w:rPr/>
              <w:t> </w:t>
            </w:r>
          </w:p>
        </w:tc>
        <w:tc>
          <w:tcPr>
            <w:tcW w:w="1052" w:type="dxa"/>
            <w:tcBorders>
              <w:bottom w:val="single" w:sz="8" w:space="0" w:color="F7ACBA"/>
            </w:tcBorders>
            <w:tcMar>
              <w:bottom w:w="80" w:type="dxa"/>
            </w:tcMar>
            <w:vAlign w:val="center"/>
          </w:tcPr>
          <w:p>
            <w:pPr>
              <w:pStyle w:val="TableContents"/>
              <w:bidi w:val="0"/>
              <w:spacing w:before="0" w:after="283"/>
              <w:jc w:val="right"/>
              <w:rPr/>
            </w:pPr>
            <w:r>
              <w:rPr/>
              <w:t>92,287</w:t>
            </w:r>
          </w:p>
        </w:tc>
        <w:tc>
          <w:tcPr>
            <w:tcW w:w="335" w:type="dxa"/>
            <w:tcBorders>
              <w:bottom w:val="single" w:sz="8" w:space="0" w:color="F7ACBA"/>
            </w:tcBorders>
            <w:tcMar>
              <w:bottom w:w="80" w:type="dxa"/>
            </w:tcMar>
            <w:vAlign w:val="center"/>
          </w:tcPr>
          <w:p>
            <w:pPr>
              <w:pStyle w:val="TableContents"/>
              <w:bidi w:val="0"/>
              <w:spacing w:before="0" w:after="283"/>
              <w:jc w:val="left"/>
              <w:rPr/>
            </w:pPr>
            <w:r>
              <w:rPr/>
              <w:t>(12)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6" w:type="dxa"/>
            <w:tcBorders>
              <w:bottom w:val="single" w:sz="8" w:space="0" w:color="F7ACBA"/>
            </w:tcBorders>
            <w:tcMar>
              <w:bottom w:w="80" w:type="dxa"/>
            </w:tcMar>
            <w:vAlign w:val="center"/>
          </w:tcPr>
          <w:p>
            <w:pPr>
              <w:pStyle w:val="TableContents"/>
              <w:bidi w:val="0"/>
              <w:spacing w:before="0" w:after="283"/>
              <w:jc w:val="left"/>
              <w:rPr/>
            </w:pPr>
            <w:r>
              <w:rPr/>
              <w:t> </w:t>
            </w:r>
          </w:p>
        </w:tc>
        <w:tc>
          <w:tcPr>
            <w:tcW w:w="1079" w:type="dxa"/>
            <w:tcBorders>
              <w:bottom w:val="single" w:sz="8" w:space="0" w:color="F7ACBA"/>
            </w:tcBorders>
            <w:tcMar>
              <w:bottom w:w="80" w:type="dxa"/>
            </w:tcMar>
            <w:vAlign w:val="center"/>
          </w:tcPr>
          <w:p>
            <w:pPr>
              <w:pStyle w:val="TableContents"/>
              <w:bidi w:val="0"/>
              <w:spacing w:before="0" w:after="283"/>
              <w:jc w:val="right"/>
              <w:rPr/>
            </w:pPr>
            <w:r>
              <w:rPr/>
              <w:t>2,493,595</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13" w:type="dxa"/>
            <w:tcBorders>
              <w:bottom w:val="single" w:sz="8" w:space="0" w:color="F7ACBA"/>
            </w:tcBorders>
            <w:tcMar>
              <w:bottom w:w="80" w:type="dxa"/>
            </w:tcMar>
            <w:vAlign w:val="center"/>
          </w:tcPr>
          <w:p>
            <w:pPr>
              <w:pStyle w:val="TableContents"/>
              <w:bidi w:val="0"/>
              <w:spacing w:before="0" w:after="283"/>
              <w:jc w:val="left"/>
              <w:rPr/>
            </w:pPr>
            <w:r>
              <w:rPr/>
              <w:t> </w:t>
            </w:r>
          </w:p>
        </w:tc>
        <w:tc>
          <w:tcPr>
            <w:tcW w:w="1512" w:type="dxa"/>
            <w:tcBorders>
              <w:bottom w:val="single" w:sz="8" w:space="0" w:color="F7ACBA"/>
            </w:tcBorders>
            <w:tcMar>
              <w:bottom w:w="80" w:type="dxa"/>
            </w:tcMar>
            <w:vAlign w:val="center"/>
          </w:tcPr>
          <w:p>
            <w:pPr>
              <w:pStyle w:val="TableContents"/>
              <w:bidi w:val="0"/>
              <w:spacing w:before="0" w:after="283"/>
              <w:jc w:val="right"/>
              <w:rPr/>
            </w:pPr>
            <w:r>
              <w:rPr/>
              <w:t>86,583</w:t>
            </w:r>
          </w:p>
        </w:tc>
        <w:tc>
          <w:tcPr>
            <w:tcW w:w="335" w:type="dxa"/>
            <w:tcBorders>
              <w:bottom w:val="single" w:sz="8" w:space="0" w:color="F7ACBA"/>
            </w:tcBorders>
            <w:tcMar>
              <w:bottom w:w="80" w:type="dxa"/>
            </w:tcMar>
            <w:vAlign w:val="center"/>
          </w:tcPr>
          <w:p>
            <w:pPr>
              <w:pStyle w:val="TableContents"/>
              <w:bidi w:val="0"/>
              <w:spacing w:before="0" w:after="283"/>
              <w:jc w:val="left"/>
              <w:rPr/>
            </w:pPr>
            <w:r>
              <w:rPr/>
              <w:t>(13)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93" w:type="dxa"/>
            <w:tcBorders>
              <w:bottom w:val="single" w:sz="8" w:space="0" w:color="F7ACBA"/>
            </w:tcBorders>
            <w:tcMar>
              <w:bottom w:w="80" w:type="dxa"/>
            </w:tcMar>
            <w:vAlign w:val="center"/>
          </w:tcPr>
          <w:p>
            <w:pPr>
              <w:pStyle w:val="TableContents"/>
              <w:bidi w:val="0"/>
              <w:spacing w:before="0" w:after="283"/>
              <w:jc w:val="left"/>
              <w:rPr/>
            </w:pPr>
            <w:r>
              <w:rPr/>
              <w:t> </w:t>
            </w:r>
          </w:p>
        </w:tc>
        <w:tc>
          <w:tcPr>
            <w:tcW w:w="1532" w:type="dxa"/>
            <w:tcBorders>
              <w:bottom w:val="single" w:sz="8" w:space="0" w:color="F7ACBA"/>
            </w:tcBorders>
            <w:tcMar>
              <w:bottom w:w="80" w:type="dxa"/>
            </w:tcMar>
            <w:vAlign w:val="center"/>
          </w:tcPr>
          <w:p>
            <w:pPr>
              <w:pStyle w:val="TableContents"/>
              <w:bidi w:val="0"/>
              <w:spacing w:before="0" w:after="283"/>
              <w:jc w:val="right"/>
              <w:rPr/>
            </w:pPr>
            <w:r>
              <w:rPr/>
              <w:t>2,339,473</w:t>
            </w:r>
          </w:p>
        </w:tc>
        <w:tc>
          <w:tcPr>
            <w:tcW w:w="75" w:type="dxa"/>
            <w:tcBorders>
              <w:bottom w:val="single" w:sz="8" w:space="0" w:color="F7ACBA"/>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r>
              <w:rPr/>
              <w:t>(1)</w:t>
            </w:r>
          </w:p>
        </w:tc>
        <w:tc>
          <w:tcPr>
            <w:tcW w:w="9910" w:type="dxa"/>
            <w:tcBorders/>
            <w:vAlign w:val="center"/>
          </w:tcPr>
          <w:p>
            <w:pPr>
              <w:pStyle w:val="TableContents"/>
              <w:bidi w:val="0"/>
              <w:spacing w:before="0" w:after="0"/>
              <w:jc w:val="left"/>
              <w:rPr>
                <w:rFonts w:ascii="arial" w:hAnsi="arial"/>
                <w:sz w:val="14"/>
              </w:rPr>
            </w:pPr>
            <w:r>
              <w:rPr>
                <w:rFonts w:ascii="arial" w:hAnsi="arial"/>
                <w:sz w:val="14"/>
              </w:rPr>
              <w:t xml:space="preserve">The market value is the product of $27.02, the closing price of our common shares on the NYSE on February 2, 2024, and the number of shares subject to unvested stock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left"/>
              <w:rPr/>
            </w:pPr>
            <w:r>
              <w:rPr/>
              <w:t>(2)</w:t>
            </w:r>
          </w:p>
        </w:tc>
        <w:tc>
          <w:tcPr>
            <w:tcW w:w="9918" w:type="dxa"/>
            <w:tcBorders/>
            <w:vAlign w:val="center"/>
          </w:tcPr>
          <w:p>
            <w:pPr>
              <w:pStyle w:val="TableContents"/>
              <w:bidi w:val="0"/>
              <w:spacing w:before="0" w:after="0"/>
              <w:jc w:val="left"/>
              <w:rPr>
                <w:rFonts w:ascii="arial" w:hAnsi="arial"/>
                <w:sz w:val="14"/>
              </w:rPr>
            </w:pPr>
            <w:r>
              <w:rPr>
                <w:rFonts w:ascii="arial" w:hAnsi="arial"/>
                <w:sz w:val="14"/>
              </w:rPr>
              <w:t xml:space="preserve">Based on current performance in accordance with the SEC rules, PSUs granted in fiscal 2021 and fiscal 2022 assume threshold payout level and PSUs granted in fiscal 2023 assume target payout level. </w:t>
            </w:r>
          </w:p>
        </w:tc>
      </w:tr>
    </w:tbl>
    <w:p>
      <w:pPr>
        <w:pStyle w:val="TextBody"/>
        <w:bidi w:val="0"/>
        <w:spacing w:before="0" w:after="0"/>
        <w:jc w:val="left"/>
        <w:rPr/>
      </w:pPr>
      <w:r>
        <w:rPr/>
        <w:t> </w:t>
      </w:r>
    </w:p>
    <w:tbl>
      <w:tblPr>
        <w:tblW w:w="9385" w:type="dxa"/>
        <w:jc w:val="left"/>
        <w:tblInd w:w="0" w:type="dxa"/>
        <w:tblLayout w:type="fixed"/>
        <w:tblCellMar>
          <w:top w:w="0" w:type="dxa"/>
          <w:left w:w="0" w:type="dxa"/>
          <w:bottom w:w="0" w:type="dxa"/>
          <w:right w:w="0" w:type="dxa"/>
        </w:tblCellMar>
      </w:tblPr>
      <w:tblGrid>
        <w:gridCol w:w="305"/>
        <w:gridCol w:w="9080"/>
      </w:tblGrid>
      <w:tr>
        <w:trPr/>
        <w:tc>
          <w:tcPr>
            <w:tcW w:w="305" w:type="dxa"/>
            <w:tcBorders/>
            <w:vAlign w:val="center"/>
          </w:tcPr>
          <w:p>
            <w:pPr>
              <w:pStyle w:val="TableContents"/>
              <w:bidi w:val="0"/>
              <w:spacing w:before="0" w:after="283"/>
              <w:jc w:val="left"/>
              <w:rPr/>
            </w:pPr>
            <w:r>
              <w:rPr/>
              <w:t>(3)</w:t>
            </w:r>
          </w:p>
        </w:tc>
        <w:tc>
          <w:tcPr>
            <w:tcW w:w="9080" w:type="dxa"/>
            <w:tcBorders/>
            <w:vAlign w:val="center"/>
          </w:tcPr>
          <w:p>
            <w:pPr>
              <w:pStyle w:val="TableContents"/>
              <w:bidi w:val="0"/>
              <w:spacing w:before="0" w:after="0"/>
              <w:jc w:val="left"/>
              <w:rPr>
                <w:rFonts w:ascii="arial" w:hAnsi="arial"/>
                <w:sz w:val="14"/>
              </w:rPr>
            </w:pPr>
            <w:r>
              <w:rPr>
                <w:rFonts w:ascii="arial" w:hAnsi="arial"/>
                <w:sz w:val="14"/>
              </w:rPr>
              <w:t xml:space="preserve">Reflects RSUs that vest as follows: 37,376 shares on March 16, 2024; 42,036 shares on March 16, 2025; and 31,189 shares on March 16,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5"/>
        <w:gridCol w:w="9910"/>
      </w:tblGrid>
      <w:tr>
        <w:trPr/>
        <w:tc>
          <w:tcPr>
            <w:tcW w:w="295" w:type="dxa"/>
            <w:tcBorders/>
            <w:vAlign w:val="center"/>
          </w:tcPr>
          <w:p>
            <w:pPr>
              <w:pStyle w:val="TableContents"/>
              <w:bidi w:val="0"/>
              <w:spacing w:before="0" w:after="283"/>
              <w:jc w:val="left"/>
              <w:rPr/>
            </w:pPr>
            <w:r>
              <w:rPr/>
              <w:t>(4)</w:t>
            </w:r>
          </w:p>
        </w:tc>
        <w:tc>
          <w:tcPr>
            <w:tcW w:w="9910" w:type="dxa"/>
            <w:tcBorders/>
            <w:vAlign w:val="center"/>
          </w:tcPr>
          <w:p>
            <w:pPr>
              <w:pStyle w:val="TableContents"/>
              <w:bidi w:val="0"/>
              <w:spacing w:before="0" w:after="0"/>
              <w:jc w:val="left"/>
              <w:rPr>
                <w:rFonts w:ascii="arial" w:hAnsi="arial"/>
                <w:sz w:val="14"/>
              </w:rPr>
            </w:pPr>
            <w:r>
              <w:rPr>
                <w:rFonts w:ascii="arial" w:hAnsi="arial"/>
                <w:sz w:val="14"/>
              </w:rPr>
              <w:t xml:space="preserve">Subject to achievement of performance conditions; 109,562 shares vest on February 5, 2024, 54,380 shares vest on March 16, 2025 and 181,936 shares vest on March 16,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pPr>
            <w:r>
              <w:rPr/>
              <w:t>(5)</w:t>
            </w:r>
          </w:p>
        </w:tc>
        <w:tc>
          <w:tcPr>
            <w:tcW w:w="9928" w:type="dxa"/>
            <w:tcBorders/>
            <w:vAlign w:val="center"/>
          </w:tcPr>
          <w:p>
            <w:pPr>
              <w:pStyle w:val="TableContents"/>
              <w:bidi w:val="0"/>
              <w:spacing w:before="0" w:after="0"/>
              <w:jc w:val="left"/>
              <w:rPr>
                <w:rFonts w:ascii="arial" w:hAnsi="arial"/>
                <w:sz w:val="14"/>
              </w:rPr>
            </w:pPr>
            <w:r>
              <w:rPr>
                <w:rFonts w:ascii="arial" w:hAnsi="arial"/>
                <w:sz w:val="14"/>
              </w:rPr>
              <w:t xml:space="preserve">Reflects RSUs that vest as follows: 12,313 shares on March 16, 2024; 14,655 shares on June 2, 2024; 2,048 shares on August 1, 2024; 13,818 shares on March 16, 2025; 2,732 shares on August 1, 2025; and 10,396 shares on March 16, 2026. </w:t>
            </w:r>
          </w:p>
        </w:tc>
      </w:tr>
    </w:tbl>
    <w:p>
      <w:pPr>
        <w:pStyle w:val="TextBody"/>
        <w:bidi w:val="0"/>
        <w:spacing w:before="0" w:after="0"/>
        <w:jc w:val="left"/>
        <w:rPr/>
      </w:pPr>
      <w:r>
        <w:rPr/>
        <w:t> </w:t>
      </w:r>
    </w:p>
    <w:tbl>
      <w:tblPr>
        <w:tblW w:w="8740" w:type="dxa"/>
        <w:jc w:val="left"/>
        <w:tblInd w:w="0" w:type="dxa"/>
        <w:tblLayout w:type="fixed"/>
        <w:tblCellMar>
          <w:top w:w="0" w:type="dxa"/>
          <w:left w:w="0" w:type="dxa"/>
          <w:bottom w:w="0" w:type="dxa"/>
          <w:right w:w="0" w:type="dxa"/>
        </w:tblCellMar>
      </w:tblPr>
      <w:tblGrid>
        <w:gridCol w:w="305"/>
        <w:gridCol w:w="8435"/>
      </w:tblGrid>
      <w:tr>
        <w:trPr/>
        <w:tc>
          <w:tcPr>
            <w:tcW w:w="305" w:type="dxa"/>
            <w:tcBorders/>
            <w:vAlign w:val="center"/>
          </w:tcPr>
          <w:p>
            <w:pPr>
              <w:pStyle w:val="TableContents"/>
              <w:bidi w:val="0"/>
              <w:spacing w:before="0" w:after="283"/>
              <w:jc w:val="left"/>
              <w:rPr/>
            </w:pPr>
            <w:r>
              <w:rPr/>
              <w:t>(6)</w:t>
            </w:r>
          </w:p>
        </w:tc>
        <w:tc>
          <w:tcPr>
            <w:tcW w:w="8435" w:type="dxa"/>
            <w:tcBorders/>
            <w:vAlign w:val="center"/>
          </w:tcPr>
          <w:p>
            <w:pPr>
              <w:pStyle w:val="TableContents"/>
              <w:bidi w:val="0"/>
              <w:spacing w:before="0" w:after="0"/>
              <w:jc w:val="left"/>
              <w:rPr>
                <w:rFonts w:ascii="arial" w:hAnsi="arial"/>
                <w:sz w:val="14"/>
              </w:rPr>
            </w:pPr>
            <w:r>
              <w:rPr>
                <w:rFonts w:ascii="arial" w:hAnsi="arial"/>
                <w:sz w:val="14"/>
              </w:rPr>
              <w:t xml:space="preserve">Subject to achievement of performance conditions; 10,941 shares vest on March 16, 2025 and 25,991 shares vest on March 16,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(7)</w:t>
            </w:r>
          </w:p>
        </w:tc>
        <w:tc>
          <w:tcPr>
            <w:tcW w:w="9934" w:type="dxa"/>
            <w:tcBorders/>
            <w:vAlign w:val="center"/>
          </w:tcPr>
          <w:p>
            <w:pPr>
              <w:pStyle w:val="TableContents"/>
              <w:bidi w:val="0"/>
              <w:spacing w:before="0" w:after="0"/>
              <w:jc w:val="left"/>
              <w:rPr>
                <w:rFonts w:ascii="arial" w:hAnsi="arial"/>
                <w:sz w:val="14"/>
              </w:rPr>
            </w:pPr>
            <w:r>
              <w:rPr>
                <w:rFonts w:ascii="arial" w:hAnsi="arial"/>
                <w:sz w:val="14"/>
              </w:rPr>
              <w:t xml:space="preserve">Reflects RSUs that vest as follows: 10,270 shares on March 16, 2024; 5,195 shares on May 19, 2024; 837 shares on August 18, 2024; 3,990 shares on October 31, 2024; 11,339 shares on March 16, 2025; 5,319 shares on October 31, 2025; and 9,422 shares on March 16, 2026. </w:t>
            </w:r>
          </w:p>
        </w:tc>
      </w:tr>
    </w:tbl>
    <w:p>
      <w:pPr>
        <w:pStyle w:val="TextBody"/>
        <w:bidi w:val="0"/>
        <w:spacing w:before="0" w:after="0"/>
        <w:jc w:val="left"/>
        <w:rPr/>
      </w:pPr>
      <w:r>
        <w:rPr/>
        <w:t> </w:t>
      </w:r>
    </w:p>
    <w:tbl>
      <w:tblPr>
        <w:tblW w:w="8740" w:type="dxa"/>
        <w:jc w:val="left"/>
        <w:tblInd w:w="0" w:type="dxa"/>
        <w:tblLayout w:type="fixed"/>
        <w:tblCellMar>
          <w:top w:w="0" w:type="dxa"/>
          <w:left w:w="0" w:type="dxa"/>
          <w:bottom w:w="0" w:type="dxa"/>
          <w:right w:w="0" w:type="dxa"/>
        </w:tblCellMar>
      </w:tblPr>
      <w:tblGrid>
        <w:gridCol w:w="305"/>
        <w:gridCol w:w="8435"/>
      </w:tblGrid>
      <w:tr>
        <w:trPr/>
        <w:tc>
          <w:tcPr>
            <w:tcW w:w="305" w:type="dxa"/>
            <w:tcBorders/>
            <w:vAlign w:val="center"/>
          </w:tcPr>
          <w:p>
            <w:pPr>
              <w:pStyle w:val="TableContents"/>
              <w:bidi w:val="0"/>
              <w:spacing w:before="0" w:after="283"/>
              <w:jc w:val="left"/>
              <w:rPr/>
            </w:pPr>
            <w:r>
              <w:rPr/>
              <w:t>(8)</w:t>
            </w:r>
          </w:p>
        </w:tc>
        <w:tc>
          <w:tcPr>
            <w:tcW w:w="8435" w:type="dxa"/>
            <w:tcBorders/>
            <w:vAlign w:val="center"/>
          </w:tcPr>
          <w:p>
            <w:pPr>
              <w:pStyle w:val="TableContents"/>
              <w:bidi w:val="0"/>
              <w:spacing w:before="0" w:after="0"/>
              <w:jc w:val="left"/>
              <w:rPr>
                <w:rFonts w:ascii="arial" w:hAnsi="arial"/>
                <w:sz w:val="14"/>
              </w:rPr>
            </w:pPr>
            <w:r>
              <w:rPr>
                <w:rFonts w:ascii="arial" w:hAnsi="arial"/>
                <w:sz w:val="14"/>
              </w:rPr>
              <w:t xml:space="preserve">Subject to achievement of performance conditions; 11,990 shares vest on March 16, 2025 and 23,554 shares vest on March 16,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(9)</w:t>
            </w:r>
          </w:p>
        </w:tc>
        <w:tc>
          <w:tcPr>
            <w:tcW w:w="9921" w:type="dxa"/>
            <w:tcBorders/>
            <w:vAlign w:val="center"/>
          </w:tcPr>
          <w:p>
            <w:pPr>
              <w:pStyle w:val="TableContents"/>
              <w:bidi w:val="0"/>
              <w:spacing w:before="0" w:after="0"/>
              <w:jc w:val="left"/>
              <w:rPr>
                <w:rFonts w:ascii="arial" w:hAnsi="arial"/>
                <w:sz w:val="14"/>
              </w:rPr>
            </w:pPr>
            <w:r>
              <w:rPr>
                <w:rFonts w:ascii="arial" w:hAnsi="arial"/>
                <w:sz w:val="14"/>
              </w:rPr>
              <w:t xml:space="preserve">Reflects RSUs that vest as follows: 9,600 shares on March 16, 2024; 30,089 shares on October 3, 2024; 9,601 shares on March 16, 2025; 40,119 shares on October 3, 2025; and 12,800 shares on March 16, 2026. </w:t>
            </w:r>
          </w:p>
        </w:tc>
      </w:tr>
    </w:tbl>
    <w:p>
      <w:pPr>
        <w:pStyle w:val="TextBody"/>
        <w:bidi w:val="0"/>
        <w:spacing w:before="0" w:after="0"/>
        <w:jc w:val="left"/>
        <w:rPr/>
      </w:pPr>
      <w:r>
        <w:rPr/>
        <w:t> </w:t>
      </w:r>
    </w:p>
    <w:tbl>
      <w:tblPr>
        <w:tblW w:w="8860" w:type="dxa"/>
        <w:jc w:val="left"/>
        <w:tblInd w:w="0" w:type="dxa"/>
        <w:tblLayout w:type="fixed"/>
        <w:tblCellMar>
          <w:top w:w="0" w:type="dxa"/>
          <w:left w:w="0" w:type="dxa"/>
          <w:bottom w:w="0" w:type="dxa"/>
          <w:right w:w="0" w:type="dxa"/>
        </w:tblCellMar>
      </w:tblPr>
      <w:tblGrid>
        <w:gridCol w:w="425"/>
        <w:gridCol w:w="8435"/>
      </w:tblGrid>
      <w:tr>
        <w:trPr/>
        <w:tc>
          <w:tcPr>
            <w:tcW w:w="425" w:type="dxa"/>
            <w:tcBorders/>
            <w:vAlign w:val="center"/>
          </w:tcPr>
          <w:p>
            <w:pPr>
              <w:pStyle w:val="TableContents"/>
              <w:bidi w:val="0"/>
              <w:spacing w:before="0" w:after="283"/>
              <w:jc w:val="left"/>
              <w:rPr/>
            </w:pPr>
            <w:r>
              <w:rPr/>
              <w:t>(10)</w:t>
            </w:r>
          </w:p>
        </w:tc>
        <w:tc>
          <w:tcPr>
            <w:tcW w:w="8435" w:type="dxa"/>
            <w:tcBorders/>
            <w:vAlign w:val="center"/>
          </w:tcPr>
          <w:p>
            <w:pPr>
              <w:pStyle w:val="TableContents"/>
              <w:bidi w:val="0"/>
              <w:spacing w:before="0" w:after="0"/>
              <w:jc w:val="left"/>
              <w:rPr>
                <w:rFonts w:ascii="arial" w:hAnsi="arial"/>
                <w:sz w:val="14"/>
              </w:rPr>
            </w:pPr>
            <w:r>
              <w:rPr>
                <w:rFonts w:ascii="arial" w:hAnsi="arial"/>
                <w:sz w:val="14"/>
              </w:rPr>
              <w:t xml:space="preserve">Subject to achievement of performance conditions; 15,837 shares vest on March 16, 2025 and 32,001 shares vest on March 16, 2026. </w:t>
            </w:r>
          </w:p>
        </w:tc>
      </w:tr>
    </w:tbl>
    <w:p>
      <w:pPr>
        <w:pStyle w:val="TextBody"/>
        <w:bidi w:val="0"/>
        <w:spacing w:before="0" w:after="0"/>
        <w:jc w:val="left"/>
        <w:rPr/>
      </w:pPr>
      <w:r>
        <w:rPr/>
        <w:t> </w:t>
      </w:r>
    </w:p>
    <w:tbl>
      <w:tblPr>
        <w:tblW w:w="2545" w:type="dxa"/>
        <w:jc w:val="left"/>
        <w:tblInd w:w="0" w:type="dxa"/>
        <w:tblLayout w:type="fixed"/>
        <w:tblCellMar>
          <w:top w:w="0" w:type="dxa"/>
          <w:left w:w="0" w:type="dxa"/>
          <w:bottom w:w="0" w:type="dxa"/>
          <w:right w:w="0" w:type="dxa"/>
        </w:tblCellMar>
      </w:tblPr>
      <w:tblGrid>
        <w:gridCol w:w="425"/>
        <w:gridCol w:w="2120"/>
      </w:tblGrid>
      <w:tr>
        <w:trPr/>
        <w:tc>
          <w:tcPr>
            <w:tcW w:w="425" w:type="dxa"/>
            <w:tcBorders/>
            <w:vAlign w:val="center"/>
          </w:tcPr>
          <w:p>
            <w:pPr>
              <w:pStyle w:val="TableContents"/>
              <w:bidi w:val="0"/>
              <w:spacing w:before="0" w:after="283"/>
              <w:jc w:val="left"/>
              <w:rPr/>
            </w:pPr>
            <w:r>
              <w:rPr/>
              <w:t>(11)</w:t>
            </w:r>
          </w:p>
        </w:tc>
        <w:tc>
          <w:tcPr>
            <w:tcW w:w="2120" w:type="dxa"/>
            <w:tcBorders/>
            <w:vAlign w:val="center"/>
          </w:tcPr>
          <w:p>
            <w:pPr>
              <w:pStyle w:val="TableContents"/>
              <w:bidi w:val="0"/>
              <w:spacing w:before="0" w:after="0"/>
              <w:jc w:val="left"/>
              <w:rPr>
                <w:rFonts w:ascii="arial" w:hAnsi="arial"/>
                <w:sz w:val="14"/>
              </w:rPr>
            </w:pPr>
            <w:r>
              <w:rPr>
                <w:rFonts w:ascii="arial" w:hAnsi="arial"/>
                <w:sz w:val="14"/>
              </w:rPr>
              <w:t xml:space="preserve">Options vest on March 16, 2024. </w:t>
            </w:r>
          </w:p>
        </w:tc>
      </w:tr>
    </w:tbl>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19"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08" descr=""/>
                          <pic:cNvPicPr>
                            <a:picLocks noChangeAspect="1" noChangeArrowheads="1"/>
                          </pic:cNvPicPr>
                        </pic:nvPicPr>
                        <pic:blipFill>
                          <a:blip r:embed="rId109"/>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64 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COMPENSATION DISCUSSION AND ANALYSIS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97"/>
        <w:gridCol w:w="9808"/>
      </w:tblGrid>
      <w:tr>
        <w:trPr/>
        <w:tc>
          <w:tcPr>
            <w:tcW w:w="397" w:type="dxa"/>
            <w:tcBorders/>
            <w:vAlign w:val="center"/>
          </w:tcPr>
          <w:p>
            <w:pPr>
              <w:pStyle w:val="TableContents"/>
              <w:bidi w:val="0"/>
              <w:spacing w:before="0" w:after="283"/>
              <w:jc w:val="left"/>
              <w:rPr/>
            </w:pPr>
            <w:r>
              <w:rPr/>
              <w:t>(12)</w:t>
            </w:r>
          </w:p>
        </w:tc>
        <w:tc>
          <w:tcPr>
            <w:tcW w:w="9808" w:type="dxa"/>
            <w:tcBorders/>
            <w:vAlign w:val="center"/>
          </w:tcPr>
          <w:p>
            <w:pPr>
              <w:pStyle w:val="TableContents"/>
              <w:bidi w:val="0"/>
              <w:spacing w:before="0" w:after="0"/>
              <w:jc w:val="left"/>
              <w:rPr>
                <w:rFonts w:ascii="arial" w:hAnsi="arial"/>
                <w:sz w:val="14"/>
              </w:rPr>
            </w:pPr>
            <w:r>
              <w:rPr>
                <w:rFonts w:ascii="arial" w:hAnsi="arial"/>
                <w:sz w:val="14"/>
              </w:rPr>
              <w:t xml:space="preserve">Reflects RSUs that vest as follows: 23,064 shares on March 16, 2024; 12,542 shares on July 3, 2024; 15,656 shares on March 16, 2025; 12,542 shares on July 3, 2025; 11,761 shares on March 16, 2026; and 16,722 shares on July 3, 2026. </w:t>
            </w:r>
          </w:p>
        </w:tc>
      </w:tr>
    </w:tbl>
    <w:p>
      <w:pPr>
        <w:pStyle w:val="TextBody"/>
        <w:bidi w:val="0"/>
        <w:spacing w:before="0" w:after="0"/>
        <w:jc w:val="left"/>
        <w:rPr/>
      </w:pPr>
      <w:r>
        <w:rPr/>
        <w:t> </w:t>
      </w:r>
    </w:p>
    <w:tbl>
      <w:tblPr>
        <w:tblW w:w="8080" w:type="dxa"/>
        <w:jc w:val="left"/>
        <w:tblInd w:w="0" w:type="dxa"/>
        <w:tblLayout w:type="fixed"/>
        <w:tblCellMar>
          <w:top w:w="0" w:type="dxa"/>
          <w:left w:w="0" w:type="dxa"/>
          <w:bottom w:w="0" w:type="dxa"/>
          <w:right w:w="0" w:type="dxa"/>
        </w:tblCellMar>
      </w:tblPr>
      <w:tblGrid>
        <w:gridCol w:w="425"/>
        <w:gridCol w:w="7655"/>
      </w:tblGrid>
      <w:tr>
        <w:trPr/>
        <w:tc>
          <w:tcPr>
            <w:tcW w:w="425" w:type="dxa"/>
            <w:tcBorders/>
            <w:vAlign w:val="center"/>
          </w:tcPr>
          <w:p>
            <w:pPr>
              <w:pStyle w:val="TableContents"/>
              <w:bidi w:val="0"/>
              <w:spacing w:before="0" w:after="283"/>
              <w:jc w:val="left"/>
              <w:rPr/>
            </w:pPr>
            <w:r>
              <w:rPr/>
              <w:t>(13)</w:t>
            </w:r>
          </w:p>
        </w:tc>
        <w:tc>
          <w:tcPr>
            <w:tcW w:w="7655" w:type="dxa"/>
            <w:tcBorders/>
            <w:vAlign w:val="center"/>
          </w:tcPr>
          <w:p>
            <w:pPr>
              <w:pStyle w:val="TableContents"/>
              <w:bidi w:val="0"/>
              <w:spacing w:before="0" w:after="0"/>
              <w:jc w:val="left"/>
              <w:rPr>
                <w:rFonts w:ascii="arial" w:hAnsi="arial"/>
                <w:sz w:val="14"/>
              </w:rPr>
            </w:pPr>
            <w:r>
              <w:rPr>
                <w:rFonts w:ascii="arial" w:hAnsi="arial"/>
                <w:sz w:val="14"/>
              </w:rPr>
              <w:t xml:space="preserve">Subject to achievement of performance conditions; 15,375 shares vest on March 16, 2025 and 71,208 on March 16, 2026. </w:t>
            </w:r>
          </w:p>
        </w:tc>
      </w:tr>
    </w:tbl>
    <w:p>
      <w:pPr>
        <w:pStyle w:val="TextBody"/>
        <w:bidi w:val="0"/>
        <w:spacing w:before="240" w:after="0"/>
        <w:jc w:val="left"/>
        <w:rPr>
          <w:rFonts w:ascii="arial" w:hAnsi="arial"/>
          <w:b/>
          <w:color w:val="F7ACBA"/>
          <w:sz w:val="24"/>
        </w:rPr>
      </w:pPr>
      <w:r>
        <w:rPr>
          <w:rFonts w:ascii="arial" w:hAnsi="arial"/>
          <w:b/>
          <w:color w:val="F7ACBA"/>
          <w:sz w:val="24"/>
        </w:rPr>
        <w:t xml:space="preserve">Option Exercises and Stock Vested for Fiscal 2023 </w:t>
      </w:r>
    </w:p>
    <w:p>
      <w:pPr>
        <w:pStyle w:val="TextBody"/>
        <w:bidi w:val="0"/>
        <w:spacing w:before="60" w:after="0"/>
        <w:jc w:val="left"/>
        <w:rPr>
          <w:rFonts w:ascii="arial" w:hAnsi="arial"/>
          <w:sz w:val="18"/>
        </w:rPr>
      </w:pPr>
      <w:r>
        <w:rPr>
          <w:rFonts w:ascii="arial" w:hAnsi="arial"/>
          <w:sz w:val="18"/>
        </w:rPr>
        <w:t xml:space="preserve">The table below shows stock options that were exercised and RSUs that vested during fiscal 2023 for each of our NEOs. </w:t>
      </w:r>
    </w:p>
    <w:p>
      <w:pPr>
        <w:pStyle w:val="TextBody"/>
        <w:bidi w:val="0"/>
        <w:spacing w:before="0" w:after="0"/>
        <w:jc w:val="left"/>
        <w:rPr/>
      </w:pPr>
      <w:r>
        <w:rPr/>
        <w:t> </w:t>
      </w:r>
    </w:p>
    <w:tbl>
      <w:tblPr>
        <w:tblW w:w="10060" w:type="dxa"/>
        <w:jc w:val="left"/>
        <w:tblInd w:w="0" w:type="dxa"/>
        <w:tblLayout w:type="fixed"/>
        <w:tblCellMar>
          <w:top w:w="0" w:type="dxa"/>
          <w:left w:w="0" w:type="dxa"/>
          <w:bottom w:w="0" w:type="dxa"/>
          <w:right w:w="0" w:type="dxa"/>
        </w:tblCellMar>
      </w:tblPr>
      <w:tblGrid>
        <w:gridCol w:w="1505"/>
        <w:gridCol w:w="60"/>
        <w:gridCol w:w="632"/>
        <w:gridCol w:w="1487"/>
        <w:gridCol w:w="182"/>
        <w:gridCol w:w="182"/>
        <w:gridCol w:w="527"/>
        <w:gridCol w:w="1262"/>
        <w:gridCol w:w="60"/>
        <w:gridCol w:w="60"/>
        <w:gridCol w:w="171"/>
        <w:gridCol w:w="1948"/>
        <w:gridCol w:w="60"/>
        <w:gridCol w:w="60"/>
        <w:gridCol w:w="102"/>
        <w:gridCol w:w="1687"/>
        <w:gridCol w:w="75"/>
      </w:tblGrid>
      <w:tr>
        <w:trPr/>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05"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4272" w:type="dxa"/>
            <w:gridSpan w:val="6"/>
            <w:tcBorders>
              <w:bottom w:val="single" w:sz="8" w:space="0" w:color="000000"/>
            </w:tcBorders>
            <w:shd w:fill="FDEEF1" w:val="clear"/>
            <w:tcMar>
              <w:bottom w:w="28" w:type="dxa"/>
            </w:tcMar>
            <w:vAlign w:val="center"/>
          </w:tcPr>
          <w:p>
            <w:pPr>
              <w:pStyle w:val="TableContents"/>
              <w:bidi w:val="0"/>
              <w:spacing w:before="0" w:after="283"/>
              <w:jc w:val="center"/>
              <w:rPr>
                <w:b/>
              </w:rPr>
            </w:pPr>
            <w:r>
              <w:rPr>
                <w:b/>
              </w:rPr>
              <w:t>Option Awards</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4028" w:type="dxa"/>
            <w:gridSpan w:val="6"/>
            <w:tcBorders>
              <w:bottom w:val="single" w:sz="8" w:space="0" w:color="000000"/>
            </w:tcBorders>
            <w:shd w:fill="FDEEF1" w:val="clear"/>
            <w:tcMar>
              <w:bottom w:w="28" w:type="dxa"/>
            </w:tcMar>
            <w:vAlign w:val="center"/>
          </w:tcPr>
          <w:p>
            <w:pPr>
              <w:pStyle w:val="TableContents"/>
              <w:bidi w:val="0"/>
              <w:spacing w:before="0" w:after="283"/>
              <w:jc w:val="center"/>
              <w:rPr>
                <w:b/>
              </w:rPr>
            </w:pPr>
            <w:r>
              <w:rPr>
                <w:b/>
              </w:rPr>
              <w:t>Stock Awards</w:t>
            </w:r>
          </w:p>
        </w:tc>
        <w:tc>
          <w:tcPr>
            <w:tcW w:w="75" w:type="dxa"/>
            <w:tcBorders/>
            <w:shd w:fill="FDEEF1" w:val="clear"/>
            <w:vAlign w:val="center"/>
          </w:tcPr>
          <w:p>
            <w:pPr>
              <w:pStyle w:val="TableContents"/>
              <w:bidi w:val="0"/>
              <w:spacing w:before="0" w:after="283"/>
              <w:jc w:val="left"/>
              <w:rPr/>
            </w:pPr>
            <w:r>
              <w:rPr/>
              <w:t> </w:t>
            </w:r>
          </w:p>
        </w:tc>
      </w:tr>
      <w:tr>
        <w:trPr/>
        <w:tc>
          <w:tcPr>
            <w:tcW w:w="1505" w:type="dxa"/>
            <w:tcBorders/>
            <w:shd w:fill="FDEEF1" w:val="clear"/>
            <w:vAlign w:val="center"/>
          </w:tcPr>
          <w:p>
            <w:pPr>
              <w:pStyle w:val="TableContents"/>
              <w:bidi w:val="0"/>
              <w:spacing w:before="0" w:after="283"/>
              <w:jc w:val="left"/>
              <w:rPr>
                <w:sz w:val="4"/>
                <w:szCs w:val="4"/>
              </w:rPr>
            </w:pPr>
            <w:r>
              <w:rPr>
                <w:sz w:val="4"/>
                <w:szCs w:val="4"/>
              </w:rPr>
            </w:r>
          </w:p>
        </w:tc>
        <w:tc>
          <w:tcPr>
            <w:tcW w:w="2361" w:type="dxa"/>
            <w:gridSpan w:val="4"/>
            <w:tcBorders/>
            <w:shd w:fill="FDEEF1" w:val="clear"/>
            <w:vAlign w:val="center"/>
          </w:tcPr>
          <w:p>
            <w:pPr>
              <w:pStyle w:val="TableContents"/>
              <w:bidi w:val="0"/>
              <w:spacing w:before="0" w:after="283"/>
              <w:jc w:val="left"/>
              <w:rPr>
                <w:sz w:val="4"/>
                <w:szCs w:val="4"/>
              </w:rPr>
            </w:pPr>
            <w:r>
              <w:rPr>
                <w:sz w:val="4"/>
                <w:szCs w:val="4"/>
              </w:rPr>
            </w:r>
          </w:p>
        </w:tc>
        <w:tc>
          <w:tcPr>
            <w:tcW w:w="2031" w:type="dxa"/>
            <w:gridSpan w:val="4"/>
            <w:tcBorders/>
            <w:shd w:fill="FDEEF1" w:val="clear"/>
            <w:vAlign w:val="center"/>
          </w:tcPr>
          <w:p>
            <w:pPr>
              <w:pStyle w:val="TableContents"/>
              <w:bidi w:val="0"/>
              <w:spacing w:before="0" w:after="283"/>
              <w:jc w:val="left"/>
              <w:rPr>
                <w:sz w:val="4"/>
                <w:szCs w:val="4"/>
              </w:rPr>
            </w:pPr>
            <w:r>
              <w:rPr>
                <w:sz w:val="4"/>
                <w:szCs w:val="4"/>
              </w:rPr>
            </w:r>
          </w:p>
        </w:tc>
        <w:tc>
          <w:tcPr>
            <w:tcW w:w="2239" w:type="dxa"/>
            <w:gridSpan w:val="4"/>
            <w:tcBorders/>
            <w:shd w:fill="FDEEF1" w:val="clear"/>
            <w:vAlign w:val="center"/>
          </w:tcPr>
          <w:p>
            <w:pPr>
              <w:pStyle w:val="TableContents"/>
              <w:bidi w:val="0"/>
              <w:spacing w:before="0" w:after="283"/>
              <w:jc w:val="left"/>
              <w:rPr>
                <w:sz w:val="4"/>
                <w:szCs w:val="4"/>
              </w:rPr>
            </w:pPr>
            <w:r>
              <w:rPr>
                <w:sz w:val="4"/>
                <w:szCs w:val="4"/>
              </w:rPr>
            </w:r>
          </w:p>
        </w:tc>
        <w:tc>
          <w:tcPr>
            <w:tcW w:w="1924" w:type="dxa"/>
            <w:gridSpan w:val="4"/>
            <w:tcBorders/>
            <w:shd w:fill="FDEEF1" w:val="clear"/>
            <w:vAlign w:val="center"/>
          </w:tcPr>
          <w:p>
            <w:pPr>
              <w:pStyle w:val="TableContents"/>
              <w:bidi w:val="0"/>
              <w:spacing w:before="0" w:after="283"/>
              <w:jc w:val="left"/>
              <w:rPr>
                <w:sz w:val="4"/>
                <w:szCs w:val="4"/>
              </w:rPr>
            </w:pPr>
            <w:r>
              <w:rPr>
                <w:sz w:val="4"/>
                <w:szCs w:val="4"/>
              </w:rPr>
            </w:r>
          </w:p>
        </w:tc>
      </w:tr>
      <w:tr>
        <w:trPr/>
        <w:tc>
          <w:tcPr>
            <w:tcW w:w="1505" w:type="dxa"/>
            <w:tcBorders/>
            <w:shd w:fill="FDEEF1" w:val="clear"/>
            <w:vAlign w:val="center"/>
          </w:tcPr>
          <w:p>
            <w:pPr>
              <w:pStyle w:val="TableContents"/>
              <w:bidi w:val="0"/>
              <w:spacing w:before="0" w:after="0"/>
              <w:jc w:val="left"/>
              <w:rPr>
                <w:rFonts w:ascii="arial" w:hAnsi="arial"/>
                <w:b/>
                <w:sz w:val="16"/>
              </w:rPr>
            </w:pPr>
            <w:r>
              <w:rPr>
                <w:rFonts w:ascii="arial" w:hAnsi="arial"/>
                <w:b/>
                <w:sz w:val="16"/>
              </w:rPr>
              <w:t>Name</w:t>
            </w:r>
          </w:p>
        </w:tc>
        <w:tc>
          <w:tcPr>
            <w:tcW w:w="60" w:type="dxa"/>
            <w:tcBorders/>
            <w:shd w:fill="FDEEF1" w:val="clear"/>
            <w:vAlign w:val="center"/>
          </w:tcPr>
          <w:p>
            <w:pPr>
              <w:pStyle w:val="TableContents"/>
              <w:bidi w:val="0"/>
              <w:spacing w:before="0" w:after="283"/>
              <w:jc w:val="left"/>
              <w:rPr/>
            </w:pPr>
            <w:r>
              <w:rPr/>
              <w:t> </w:t>
            </w:r>
          </w:p>
        </w:tc>
        <w:tc>
          <w:tcPr>
            <w:tcW w:w="2119" w:type="dxa"/>
            <w:gridSpan w:val="2"/>
            <w:tcBorders/>
            <w:shd w:fill="FDEEF1" w:val="clear"/>
            <w:vAlign w:val="center"/>
          </w:tcPr>
          <w:p>
            <w:pPr>
              <w:pStyle w:val="TableContents"/>
              <w:bidi w:val="0"/>
              <w:spacing w:before="0" w:after="283"/>
              <w:jc w:val="center"/>
              <w:rPr/>
            </w:pPr>
            <w:r>
              <w:rPr/>
              <w:t> </w:t>
            </w:r>
            <w:r>
              <w:rPr>
                <w:b/>
              </w:rPr>
              <w:t>Number of Shares </w:t>
              <w:br/>
              <w:t>Acquired</w:t>
              <w:br/>
              <w:t>on Exercise (#)</w:t>
            </w:r>
          </w:p>
        </w:tc>
        <w:tc>
          <w:tcPr>
            <w:tcW w:w="182" w:type="dxa"/>
            <w:tcBorders/>
            <w:shd w:fill="FDEEF1" w:val="clear"/>
            <w:vAlign w:val="center"/>
          </w:tcPr>
          <w:p>
            <w:pPr>
              <w:pStyle w:val="TableContents"/>
              <w:bidi w:val="0"/>
              <w:spacing w:before="0" w:after="283"/>
              <w:jc w:val="left"/>
              <w:rPr/>
            </w:pPr>
            <w:r>
              <w:rPr/>
              <w:t> </w:t>
            </w:r>
          </w:p>
        </w:tc>
        <w:tc>
          <w:tcPr>
            <w:tcW w:w="182" w:type="dxa"/>
            <w:tcBorders/>
            <w:shd w:fill="FDEEF1" w:val="clear"/>
            <w:vAlign w:val="center"/>
          </w:tcPr>
          <w:p>
            <w:pPr>
              <w:pStyle w:val="TableContents"/>
              <w:bidi w:val="0"/>
              <w:spacing w:before="0" w:after="283"/>
              <w:jc w:val="left"/>
              <w:rPr/>
            </w:pPr>
            <w:r>
              <w:rPr/>
              <w:t> </w:t>
            </w:r>
          </w:p>
        </w:tc>
        <w:tc>
          <w:tcPr>
            <w:tcW w:w="1789" w:type="dxa"/>
            <w:gridSpan w:val="2"/>
            <w:tcBorders/>
            <w:shd w:fill="FDEEF1" w:val="clear"/>
            <w:vAlign w:val="center"/>
          </w:tcPr>
          <w:p>
            <w:pPr>
              <w:pStyle w:val="TableContents"/>
              <w:bidi w:val="0"/>
              <w:spacing w:before="0" w:after="283"/>
              <w:jc w:val="center"/>
              <w:rPr/>
            </w:pPr>
            <w:r>
              <w:rPr/>
              <w:t> </w:t>
            </w:r>
            <w:r>
              <w:rPr>
                <w:b/>
              </w:rPr>
              <w:t>Value Realized </w:t>
              <w:br/>
              <w:t>on Exercise ($)</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2119" w:type="dxa"/>
            <w:gridSpan w:val="2"/>
            <w:tcBorders/>
            <w:shd w:fill="FDEEF1" w:val="clear"/>
            <w:vAlign w:val="center"/>
          </w:tcPr>
          <w:p>
            <w:pPr>
              <w:pStyle w:val="TableContents"/>
              <w:bidi w:val="0"/>
              <w:spacing w:before="0" w:after="283"/>
              <w:jc w:val="center"/>
              <w:rPr/>
            </w:pPr>
            <w:r>
              <w:rPr/>
              <w:t> </w:t>
            </w:r>
            <w:r>
              <w:rPr>
                <w:b/>
              </w:rPr>
              <w:t>Number of Shares </w:t>
              <w:br/>
              <w:t>Acquired on</w:t>
              <w:br/>
              <w:t>Vesting (#)(1)</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789" w:type="dxa"/>
            <w:gridSpan w:val="2"/>
            <w:tcBorders/>
            <w:shd w:fill="FDEEF1" w:val="clear"/>
            <w:vAlign w:val="center"/>
          </w:tcPr>
          <w:p>
            <w:pPr>
              <w:pStyle w:val="TableContents"/>
              <w:bidi w:val="0"/>
              <w:spacing w:before="0" w:after="283"/>
              <w:jc w:val="center"/>
              <w:rPr/>
            </w:pPr>
            <w:r>
              <w:rPr/>
              <w:t> </w:t>
            </w:r>
            <w:r>
              <w:rPr>
                <w:b/>
              </w:rPr>
              <w:t>Value Realized </w:t>
              <w:br/>
              <w:t>on Vesting ($)</w:t>
            </w:r>
          </w:p>
        </w:tc>
        <w:tc>
          <w:tcPr>
            <w:tcW w:w="75" w:type="dxa"/>
            <w:tcBorders/>
            <w:shd w:fill="FDEEF1" w:val="cle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2361" w:type="dxa"/>
            <w:gridSpan w:val="4"/>
            <w:tcBorders/>
            <w:vAlign w:val="center"/>
          </w:tcPr>
          <w:p>
            <w:pPr>
              <w:pStyle w:val="TableContents"/>
              <w:bidi w:val="0"/>
              <w:spacing w:before="0" w:after="283"/>
              <w:jc w:val="left"/>
              <w:rPr>
                <w:sz w:val="4"/>
                <w:szCs w:val="4"/>
              </w:rPr>
            </w:pPr>
            <w:r>
              <w:rPr>
                <w:sz w:val="4"/>
                <w:szCs w:val="4"/>
              </w:rPr>
            </w:r>
          </w:p>
        </w:tc>
        <w:tc>
          <w:tcPr>
            <w:tcW w:w="2031" w:type="dxa"/>
            <w:gridSpan w:val="4"/>
            <w:tcBorders/>
            <w:vAlign w:val="center"/>
          </w:tcPr>
          <w:p>
            <w:pPr>
              <w:pStyle w:val="TableContents"/>
              <w:bidi w:val="0"/>
              <w:spacing w:before="0" w:after="283"/>
              <w:jc w:val="left"/>
              <w:rPr>
                <w:sz w:val="4"/>
                <w:szCs w:val="4"/>
              </w:rPr>
            </w:pPr>
            <w:r>
              <w:rPr>
                <w:sz w:val="4"/>
                <w:szCs w:val="4"/>
              </w:rPr>
            </w:r>
          </w:p>
        </w:tc>
        <w:tc>
          <w:tcPr>
            <w:tcW w:w="2239" w:type="dxa"/>
            <w:gridSpan w:val="4"/>
            <w:tcBorders/>
            <w:vAlign w:val="center"/>
          </w:tcPr>
          <w:p>
            <w:pPr>
              <w:pStyle w:val="TableContents"/>
              <w:bidi w:val="0"/>
              <w:spacing w:before="0" w:after="283"/>
              <w:jc w:val="left"/>
              <w:rPr>
                <w:sz w:val="4"/>
                <w:szCs w:val="4"/>
              </w:rPr>
            </w:pPr>
            <w:r>
              <w:rPr>
                <w:sz w:val="4"/>
                <w:szCs w:val="4"/>
              </w:rPr>
            </w:r>
          </w:p>
        </w:tc>
        <w:tc>
          <w:tcPr>
            <w:tcW w:w="1924" w:type="dxa"/>
            <w:gridSpan w:val="4"/>
            <w:tcBorders/>
            <w:vAlign w:val="center"/>
          </w:tcPr>
          <w:p>
            <w:pPr>
              <w:pStyle w:val="TableContents"/>
              <w:bidi w:val="0"/>
              <w:spacing w:before="0" w:after="283"/>
              <w:jc w:val="left"/>
              <w:rPr>
                <w:sz w:val="4"/>
                <w:szCs w:val="4"/>
              </w:rPr>
            </w:pPr>
            <w:r>
              <w:rPr>
                <w:sz w:val="4"/>
                <w:szCs w:val="4"/>
              </w:rPr>
            </w:r>
          </w:p>
        </w:tc>
      </w:tr>
      <w:tr>
        <w:trPr/>
        <w:tc>
          <w:tcPr>
            <w:tcW w:w="1505" w:type="dxa"/>
            <w:tcBorders>
              <w:bottom w:val="single" w:sz="6" w:space="0" w:color="FBDDE3"/>
            </w:tcBorders>
            <w:tcMar>
              <w:bottom w:w="60" w:type="dxa"/>
            </w:tcMar>
            <w:vAlign w:val="center"/>
          </w:tcPr>
          <w:p>
            <w:pPr>
              <w:pStyle w:val="TableContents"/>
              <w:bidi w:val="0"/>
              <w:spacing w:before="0" w:after="0"/>
              <w:jc w:val="left"/>
              <w:rPr>
                <w:rFonts w:ascii="arial" w:hAnsi="arial"/>
                <w:b/>
                <w:sz w:val="18"/>
              </w:rPr>
            </w:pPr>
            <w:r>
              <w:rPr>
                <w:rFonts w:ascii="arial" w:hAnsi="arial"/>
                <w:b/>
                <w:sz w:val="18"/>
              </w:rPr>
              <w:t>Martin Waters</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32" w:type="dxa"/>
            <w:tcBorders>
              <w:bottom w:val="single" w:sz="6" w:space="0" w:color="FBDDE3"/>
            </w:tcBorders>
            <w:tcMar>
              <w:bottom w:w="60" w:type="dxa"/>
            </w:tcMar>
            <w:vAlign w:val="center"/>
          </w:tcPr>
          <w:p>
            <w:pPr>
              <w:pStyle w:val="TableContents"/>
              <w:bidi w:val="0"/>
              <w:spacing w:before="0" w:after="283"/>
              <w:jc w:val="left"/>
              <w:rPr/>
            </w:pPr>
            <w:r>
              <w:rPr/>
              <w:t> </w:t>
            </w:r>
          </w:p>
        </w:tc>
        <w:tc>
          <w:tcPr>
            <w:tcW w:w="1487" w:type="dxa"/>
            <w:tcBorders>
              <w:bottom w:val="single" w:sz="6" w:space="0" w:color="FBDDE3"/>
            </w:tcBorders>
            <w:tcMar>
              <w:bottom w:w="60" w:type="dxa"/>
            </w:tcMar>
            <w:vAlign w:val="center"/>
          </w:tcPr>
          <w:p>
            <w:pPr>
              <w:pStyle w:val="TableContents"/>
              <w:bidi w:val="0"/>
              <w:spacing w:before="0" w:after="283"/>
              <w:jc w:val="right"/>
              <w:rPr/>
            </w:pPr>
            <w:r>
              <w:rPr/>
              <w:t>–</w:t>
            </w:r>
          </w:p>
        </w:tc>
        <w:tc>
          <w:tcPr>
            <w:tcW w:w="182" w:type="dxa"/>
            <w:tcBorders>
              <w:bottom w:val="single" w:sz="6" w:space="0" w:color="FBDDE3"/>
            </w:tcBorders>
            <w:tcMar>
              <w:bottom w:w="60" w:type="dxa"/>
            </w:tcMar>
            <w:vAlign w:val="center"/>
          </w:tcPr>
          <w:p>
            <w:pPr>
              <w:pStyle w:val="TableContents"/>
              <w:bidi w:val="0"/>
              <w:spacing w:before="0" w:after="283"/>
              <w:jc w:val="left"/>
              <w:rPr/>
            </w:pPr>
            <w:r>
              <w:rPr/>
              <w:t> </w:t>
            </w:r>
          </w:p>
        </w:tc>
        <w:tc>
          <w:tcPr>
            <w:tcW w:w="182" w:type="dxa"/>
            <w:tcBorders>
              <w:bottom w:val="single" w:sz="6" w:space="0" w:color="FBDDE3"/>
            </w:tcBorders>
            <w:tcMar>
              <w:bottom w:w="28" w:type="dxa"/>
            </w:tcMar>
            <w:vAlign w:val="center"/>
          </w:tcPr>
          <w:p>
            <w:pPr>
              <w:pStyle w:val="TableContents"/>
              <w:bidi w:val="0"/>
              <w:spacing w:before="0" w:after="283"/>
              <w:jc w:val="left"/>
              <w:rPr/>
            </w:pPr>
            <w:r>
              <w:rPr/>
              <w:t> </w:t>
            </w:r>
          </w:p>
        </w:tc>
        <w:tc>
          <w:tcPr>
            <w:tcW w:w="527" w:type="dxa"/>
            <w:tcBorders>
              <w:bottom w:val="single" w:sz="6" w:space="0" w:color="FBDDE3"/>
            </w:tcBorders>
            <w:tcMar>
              <w:bottom w:w="60" w:type="dxa"/>
            </w:tcMar>
            <w:vAlign w:val="center"/>
          </w:tcPr>
          <w:p>
            <w:pPr>
              <w:pStyle w:val="TableContents"/>
              <w:bidi w:val="0"/>
              <w:spacing w:before="0" w:after="283"/>
              <w:jc w:val="left"/>
              <w:rPr/>
            </w:pPr>
            <w:r>
              <w:rPr/>
              <w:t> </w:t>
            </w:r>
          </w:p>
        </w:tc>
        <w:tc>
          <w:tcPr>
            <w:tcW w:w="1262" w:type="dxa"/>
            <w:tcBorders>
              <w:bottom w:val="single" w:sz="6" w:space="0" w:color="FBDDE3"/>
            </w:tcBorders>
            <w:tcMar>
              <w:bottom w:w="60" w:type="dxa"/>
            </w:tcMar>
            <w:vAlign w:val="center"/>
          </w:tcPr>
          <w:p>
            <w:pPr>
              <w:pStyle w:val="TableContents"/>
              <w:bidi w:val="0"/>
              <w:spacing w:before="0" w:after="283"/>
              <w:jc w:val="right"/>
              <w:rPr/>
            </w:pPr>
            <w:r>
              <w:rPr/>
              <w:t>–</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71" w:type="dxa"/>
            <w:tcBorders>
              <w:bottom w:val="single" w:sz="6" w:space="0" w:color="FBDDE3"/>
            </w:tcBorders>
            <w:tcMar>
              <w:bottom w:w="60" w:type="dxa"/>
            </w:tcMar>
            <w:vAlign w:val="center"/>
          </w:tcPr>
          <w:p>
            <w:pPr>
              <w:pStyle w:val="TableContents"/>
              <w:bidi w:val="0"/>
              <w:spacing w:before="0" w:after="283"/>
              <w:jc w:val="left"/>
              <w:rPr/>
            </w:pPr>
            <w:r>
              <w:rPr/>
              <w:t> </w:t>
            </w:r>
          </w:p>
        </w:tc>
        <w:tc>
          <w:tcPr>
            <w:tcW w:w="1948" w:type="dxa"/>
            <w:tcBorders>
              <w:bottom w:val="single" w:sz="6" w:space="0" w:color="FBDDE3"/>
            </w:tcBorders>
            <w:tcMar>
              <w:bottom w:w="60" w:type="dxa"/>
            </w:tcMar>
            <w:vAlign w:val="center"/>
          </w:tcPr>
          <w:p>
            <w:pPr>
              <w:pStyle w:val="TableContents"/>
              <w:bidi w:val="0"/>
              <w:spacing w:before="0" w:after="283"/>
              <w:jc w:val="right"/>
              <w:rPr/>
            </w:pPr>
            <w:r>
              <w:rPr/>
              <w:t>77,914</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02" w:type="dxa"/>
            <w:tcBorders>
              <w:bottom w:val="single" w:sz="6" w:space="0" w:color="FBDDE3"/>
            </w:tcBorders>
            <w:tcMar>
              <w:bottom w:w="60" w:type="dxa"/>
            </w:tcMar>
            <w:vAlign w:val="center"/>
          </w:tcPr>
          <w:p>
            <w:pPr>
              <w:pStyle w:val="TableContents"/>
              <w:bidi w:val="0"/>
              <w:spacing w:before="0" w:after="283"/>
              <w:jc w:val="left"/>
              <w:rPr/>
            </w:pPr>
            <w:r>
              <w:rPr/>
              <w:t> </w:t>
            </w:r>
          </w:p>
        </w:tc>
        <w:tc>
          <w:tcPr>
            <w:tcW w:w="1687" w:type="dxa"/>
            <w:tcBorders>
              <w:bottom w:val="single" w:sz="6" w:space="0" w:color="FBDDE3"/>
            </w:tcBorders>
            <w:tcMar>
              <w:bottom w:w="60" w:type="dxa"/>
            </w:tcMar>
            <w:vAlign w:val="center"/>
          </w:tcPr>
          <w:p>
            <w:pPr>
              <w:pStyle w:val="TableContents"/>
              <w:bidi w:val="0"/>
              <w:spacing w:before="0" w:after="283"/>
              <w:jc w:val="right"/>
              <w:rPr/>
            </w:pPr>
            <w:r>
              <w:rPr/>
              <w:t>2,224,590</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2361" w:type="dxa"/>
            <w:gridSpan w:val="4"/>
            <w:tcBorders/>
            <w:vAlign w:val="center"/>
          </w:tcPr>
          <w:p>
            <w:pPr>
              <w:pStyle w:val="TableContents"/>
              <w:bidi w:val="0"/>
              <w:spacing w:before="0" w:after="283"/>
              <w:jc w:val="left"/>
              <w:rPr>
                <w:sz w:val="4"/>
                <w:szCs w:val="4"/>
              </w:rPr>
            </w:pPr>
            <w:r>
              <w:rPr>
                <w:sz w:val="4"/>
                <w:szCs w:val="4"/>
              </w:rPr>
            </w:r>
          </w:p>
        </w:tc>
        <w:tc>
          <w:tcPr>
            <w:tcW w:w="2031" w:type="dxa"/>
            <w:gridSpan w:val="4"/>
            <w:tcBorders/>
            <w:vAlign w:val="center"/>
          </w:tcPr>
          <w:p>
            <w:pPr>
              <w:pStyle w:val="TableContents"/>
              <w:bidi w:val="0"/>
              <w:spacing w:before="0" w:after="283"/>
              <w:jc w:val="left"/>
              <w:rPr>
                <w:sz w:val="4"/>
                <w:szCs w:val="4"/>
              </w:rPr>
            </w:pPr>
            <w:r>
              <w:rPr>
                <w:sz w:val="4"/>
                <w:szCs w:val="4"/>
              </w:rPr>
            </w:r>
          </w:p>
        </w:tc>
        <w:tc>
          <w:tcPr>
            <w:tcW w:w="2239" w:type="dxa"/>
            <w:gridSpan w:val="4"/>
            <w:tcBorders/>
            <w:vAlign w:val="center"/>
          </w:tcPr>
          <w:p>
            <w:pPr>
              <w:pStyle w:val="TableContents"/>
              <w:bidi w:val="0"/>
              <w:spacing w:before="0" w:after="283"/>
              <w:jc w:val="left"/>
              <w:rPr>
                <w:sz w:val="4"/>
                <w:szCs w:val="4"/>
              </w:rPr>
            </w:pPr>
            <w:r>
              <w:rPr>
                <w:sz w:val="4"/>
                <w:szCs w:val="4"/>
              </w:rPr>
            </w:r>
          </w:p>
        </w:tc>
        <w:tc>
          <w:tcPr>
            <w:tcW w:w="1924" w:type="dxa"/>
            <w:gridSpan w:val="4"/>
            <w:tcBorders/>
            <w:vAlign w:val="center"/>
          </w:tcPr>
          <w:p>
            <w:pPr>
              <w:pStyle w:val="TableContents"/>
              <w:bidi w:val="0"/>
              <w:spacing w:before="0" w:after="283"/>
              <w:jc w:val="left"/>
              <w:rPr>
                <w:sz w:val="4"/>
                <w:szCs w:val="4"/>
              </w:rPr>
            </w:pPr>
            <w:r>
              <w:rPr>
                <w:sz w:val="4"/>
                <w:szCs w:val="4"/>
              </w:rPr>
            </w:r>
          </w:p>
        </w:tc>
      </w:tr>
      <w:tr>
        <w:trPr/>
        <w:tc>
          <w:tcPr>
            <w:tcW w:w="1505" w:type="dxa"/>
            <w:tcBorders>
              <w:bottom w:val="single" w:sz="6" w:space="0" w:color="FBDDE3"/>
            </w:tcBorders>
            <w:tcMar>
              <w:bottom w:w="60" w:type="dxa"/>
            </w:tcMar>
            <w:vAlign w:val="center"/>
          </w:tcPr>
          <w:p>
            <w:pPr>
              <w:pStyle w:val="TableContents"/>
              <w:bidi w:val="0"/>
              <w:spacing w:before="0" w:after="0"/>
              <w:jc w:val="left"/>
              <w:rPr>
                <w:rFonts w:ascii="arial" w:hAnsi="arial"/>
                <w:b/>
                <w:sz w:val="18"/>
              </w:rPr>
            </w:pPr>
            <w:r>
              <w:rPr>
                <w:rFonts w:ascii="arial" w:hAnsi="arial"/>
                <w:b/>
                <w:sz w:val="18"/>
              </w:rPr>
              <w:t>Timothy Johnson</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32" w:type="dxa"/>
            <w:tcBorders>
              <w:bottom w:val="single" w:sz="6" w:space="0" w:color="FBDDE3"/>
            </w:tcBorders>
            <w:tcMar>
              <w:bottom w:w="60" w:type="dxa"/>
            </w:tcMar>
            <w:vAlign w:val="center"/>
          </w:tcPr>
          <w:p>
            <w:pPr>
              <w:pStyle w:val="TableContents"/>
              <w:bidi w:val="0"/>
              <w:spacing w:before="0" w:after="283"/>
              <w:jc w:val="left"/>
              <w:rPr/>
            </w:pPr>
            <w:r>
              <w:rPr/>
              <w:t> </w:t>
            </w:r>
          </w:p>
        </w:tc>
        <w:tc>
          <w:tcPr>
            <w:tcW w:w="1487" w:type="dxa"/>
            <w:tcBorders>
              <w:bottom w:val="single" w:sz="6" w:space="0" w:color="FBDDE3"/>
            </w:tcBorders>
            <w:tcMar>
              <w:bottom w:w="60" w:type="dxa"/>
            </w:tcMar>
            <w:vAlign w:val="center"/>
          </w:tcPr>
          <w:p>
            <w:pPr>
              <w:pStyle w:val="TableContents"/>
              <w:bidi w:val="0"/>
              <w:spacing w:before="0" w:after="283"/>
              <w:jc w:val="right"/>
              <w:rPr/>
            </w:pPr>
            <w:r>
              <w:rPr/>
              <w:t>–</w:t>
            </w:r>
          </w:p>
        </w:tc>
        <w:tc>
          <w:tcPr>
            <w:tcW w:w="182" w:type="dxa"/>
            <w:tcBorders>
              <w:bottom w:val="single" w:sz="6" w:space="0" w:color="FBDDE3"/>
            </w:tcBorders>
            <w:tcMar>
              <w:bottom w:w="60" w:type="dxa"/>
            </w:tcMar>
            <w:vAlign w:val="center"/>
          </w:tcPr>
          <w:p>
            <w:pPr>
              <w:pStyle w:val="TableContents"/>
              <w:bidi w:val="0"/>
              <w:spacing w:before="0" w:after="283"/>
              <w:jc w:val="left"/>
              <w:rPr/>
            </w:pPr>
            <w:r>
              <w:rPr/>
              <w:t> </w:t>
            </w:r>
          </w:p>
        </w:tc>
        <w:tc>
          <w:tcPr>
            <w:tcW w:w="182" w:type="dxa"/>
            <w:tcBorders>
              <w:bottom w:val="single" w:sz="6" w:space="0" w:color="FBDDE3"/>
            </w:tcBorders>
            <w:tcMar>
              <w:bottom w:w="28" w:type="dxa"/>
            </w:tcMar>
            <w:vAlign w:val="center"/>
          </w:tcPr>
          <w:p>
            <w:pPr>
              <w:pStyle w:val="TableContents"/>
              <w:bidi w:val="0"/>
              <w:spacing w:before="0" w:after="283"/>
              <w:jc w:val="left"/>
              <w:rPr/>
            </w:pPr>
            <w:r>
              <w:rPr/>
              <w:t> </w:t>
            </w:r>
          </w:p>
        </w:tc>
        <w:tc>
          <w:tcPr>
            <w:tcW w:w="527" w:type="dxa"/>
            <w:tcBorders>
              <w:bottom w:val="single" w:sz="6" w:space="0" w:color="FBDDE3"/>
            </w:tcBorders>
            <w:tcMar>
              <w:bottom w:w="60" w:type="dxa"/>
            </w:tcMar>
            <w:vAlign w:val="center"/>
          </w:tcPr>
          <w:p>
            <w:pPr>
              <w:pStyle w:val="TableContents"/>
              <w:bidi w:val="0"/>
              <w:spacing w:before="0" w:after="283"/>
              <w:jc w:val="left"/>
              <w:rPr/>
            </w:pPr>
            <w:r>
              <w:rPr/>
              <w:t> </w:t>
            </w:r>
          </w:p>
        </w:tc>
        <w:tc>
          <w:tcPr>
            <w:tcW w:w="1262" w:type="dxa"/>
            <w:tcBorders>
              <w:bottom w:val="single" w:sz="6" w:space="0" w:color="FBDDE3"/>
            </w:tcBorders>
            <w:tcMar>
              <w:bottom w:w="60" w:type="dxa"/>
            </w:tcMar>
            <w:vAlign w:val="center"/>
          </w:tcPr>
          <w:p>
            <w:pPr>
              <w:pStyle w:val="TableContents"/>
              <w:bidi w:val="0"/>
              <w:spacing w:before="0" w:after="283"/>
              <w:jc w:val="right"/>
              <w:rPr/>
            </w:pPr>
            <w:r>
              <w:rPr/>
              <w:t>–</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71" w:type="dxa"/>
            <w:tcBorders>
              <w:bottom w:val="single" w:sz="6" w:space="0" w:color="FBDDE3"/>
            </w:tcBorders>
            <w:tcMar>
              <w:bottom w:w="60" w:type="dxa"/>
            </w:tcMar>
            <w:vAlign w:val="center"/>
          </w:tcPr>
          <w:p>
            <w:pPr>
              <w:pStyle w:val="TableContents"/>
              <w:bidi w:val="0"/>
              <w:spacing w:before="0" w:after="283"/>
              <w:jc w:val="left"/>
              <w:rPr/>
            </w:pPr>
            <w:r>
              <w:rPr/>
              <w:t> </w:t>
            </w:r>
          </w:p>
        </w:tc>
        <w:tc>
          <w:tcPr>
            <w:tcW w:w="1948" w:type="dxa"/>
            <w:tcBorders>
              <w:bottom w:val="single" w:sz="6" w:space="0" w:color="FBDDE3"/>
            </w:tcBorders>
            <w:tcMar>
              <w:bottom w:w="60" w:type="dxa"/>
            </w:tcMar>
            <w:vAlign w:val="center"/>
          </w:tcPr>
          <w:p>
            <w:pPr>
              <w:pStyle w:val="TableContents"/>
              <w:bidi w:val="0"/>
              <w:spacing w:before="0" w:after="283"/>
              <w:jc w:val="right"/>
              <w:rPr/>
            </w:pPr>
            <w:r>
              <w:rPr/>
              <w:t>17,555</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02" w:type="dxa"/>
            <w:tcBorders>
              <w:bottom w:val="single" w:sz="6" w:space="0" w:color="FBDDE3"/>
            </w:tcBorders>
            <w:tcMar>
              <w:bottom w:w="60" w:type="dxa"/>
            </w:tcMar>
            <w:vAlign w:val="center"/>
          </w:tcPr>
          <w:p>
            <w:pPr>
              <w:pStyle w:val="TableContents"/>
              <w:bidi w:val="0"/>
              <w:spacing w:before="0" w:after="283"/>
              <w:jc w:val="left"/>
              <w:rPr/>
            </w:pPr>
            <w:r>
              <w:rPr/>
              <w:t> </w:t>
            </w:r>
          </w:p>
        </w:tc>
        <w:tc>
          <w:tcPr>
            <w:tcW w:w="1687" w:type="dxa"/>
            <w:tcBorders>
              <w:bottom w:val="single" w:sz="6" w:space="0" w:color="FBDDE3"/>
            </w:tcBorders>
            <w:tcMar>
              <w:bottom w:w="60" w:type="dxa"/>
            </w:tcMar>
            <w:vAlign w:val="center"/>
          </w:tcPr>
          <w:p>
            <w:pPr>
              <w:pStyle w:val="TableContents"/>
              <w:bidi w:val="0"/>
              <w:spacing w:before="0" w:after="283"/>
              <w:jc w:val="right"/>
              <w:rPr/>
            </w:pPr>
            <w:r>
              <w:rPr/>
              <w:t>400,942</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2361" w:type="dxa"/>
            <w:gridSpan w:val="4"/>
            <w:tcBorders/>
            <w:vAlign w:val="center"/>
          </w:tcPr>
          <w:p>
            <w:pPr>
              <w:pStyle w:val="TableContents"/>
              <w:bidi w:val="0"/>
              <w:spacing w:before="0" w:after="283"/>
              <w:jc w:val="left"/>
              <w:rPr>
                <w:sz w:val="4"/>
                <w:szCs w:val="4"/>
              </w:rPr>
            </w:pPr>
            <w:r>
              <w:rPr>
                <w:sz w:val="4"/>
                <w:szCs w:val="4"/>
              </w:rPr>
            </w:r>
          </w:p>
        </w:tc>
        <w:tc>
          <w:tcPr>
            <w:tcW w:w="2031" w:type="dxa"/>
            <w:gridSpan w:val="4"/>
            <w:tcBorders/>
            <w:vAlign w:val="center"/>
          </w:tcPr>
          <w:p>
            <w:pPr>
              <w:pStyle w:val="TableContents"/>
              <w:bidi w:val="0"/>
              <w:spacing w:before="0" w:after="283"/>
              <w:jc w:val="left"/>
              <w:rPr>
                <w:sz w:val="4"/>
                <w:szCs w:val="4"/>
              </w:rPr>
            </w:pPr>
            <w:r>
              <w:rPr>
                <w:sz w:val="4"/>
                <w:szCs w:val="4"/>
              </w:rPr>
            </w:r>
          </w:p>
        </w:tc>
        <w:tc>
          <w:tcPr>
            <w:tcW w:w="2239" w:type="dxa"/>
            <w:gridSpan w:val="4"/>
            <w:tcBorders/>
            <w:vAlign w:val="center"/>
          </w:tcPr>
          <w:p>
            <w:pPr>
              <w:pStyle w:val="TableContents"/>
              <w:bidi w:val="0"/>
              <w:spacing w:before="0" w:after="283"/>
              <w:jc w:val="left"/>
              <w:rPr>
                <w:sz w:val="4"/>
                <w:szCs w:val="4"/>
              </w:rPr>
            </w:pPr>
            <w:r>
              <w:rPr>
                <w:sz w:val="4"/>
                <w:szCs w:val="4"/>
              </w:rPr>
            </w:r>
          </w:p>
        </w:tc>
        <w:tc>
          <w:tcPr>
            <w:tcW w:w="1924" w:type="dxa"/>
            <w:gridSpan w:val="4"/>
            <w:tcBorders/>
            <w:vAlign w:val="center"/>
          </w:tcPr>
          <w:p>
            <w:pPr>
              <w:pStyle w:val="TableContents"/>
              <w:bidi w:val="0"/>
              <w:spacing w:before="0" w:after="283"/>
              <w:jc w:val="left"/>
              <w:rPr>
                <w:sz w:val="4"/>
                <w:szCs w:val="4"/>
              </w:rPr>
            </w:pPr>
            <w:r>
              <w:rPr>
                <w:sz w:val="4"/>
                <w:szCs w:val="4"/>
              </w:rPr>
            </w:r>
          </w:p>
        </w:tc>
      </w:tr>
      <w:tr>
        <w:trPr/>
        <w:tc>
          <w:tcPr>
            <w:tcW w:w="1505" w:type="dxa"/>
            <w:tcBorders>
              <w:bottom w:val="single" w:sz="6" w:space="0" w:color="FBDDE3"/>
            </w:tcBorders>
            <w:tcMar>
              <w:bottom w:w="60" w:type="dxa"/>
            </w:tcMar>
            <w:vAlign w:val="center"/>
          </w:tcPr>
          <w:p>
            <w:pPr>
              <w:pStyle w:val="TableContents"/>
              <w:bidi w:val="0"/>
              <w:spacing w:before="0" w:after="0"/>
              <w:jc w:val="left"/>
              <w:rPr>
                <w:rFonts w:ascii="arial" w:hAnsi="arial"/>
                <w:b/>
                <w:sz w:val="18"/>
              </w:rPr>
            </w:pPr>
            <w:r>
              <w:rPr>
                <w:rFonts w:ascii="arial" w:hAnsi="arial"/>
                <w:b/>
                <w:sz w:val="18"/>
              </w:rPr>
              <w:t>Melinda McAfee</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32" w:type="dxa"/>
            <w:tcBorders>
              <w:bottom w:val="single" w:sz="6" w:space="0" w:color="FBDDE3"/>
            </w:tcBorders>
            <w:tcMar>
              <w:bottom w:w="60" w:type="dxa"/>
            </w:tcMar>
            <w:vAlign w:val="center"/>
          </w:tcPr>
          <w:p>
            <w:pPr>
              <w:pStyle w:val="TableContents"/>
              <w:bidi w:val="0"/>
              <w:spacing w:before="0" w:after="283"/>
              <w:jc w:val="left"/>
              <w:rPr/>
            </w:pPr>
            <w:r>
              <w:rPr/>
              <w:t> </w:t>
            </w:r>
          </w:p>
        </w:tc>
        <w:tc>
          <w:tcPr>
            <w:tcW w:w="1487" w:type="dxa"/>
            <w:tcBorders>
              <w:bottom w:val="single" w:sz="6" w:space="0" w:color="FBDDE3"/>
            </w:tcBorders>
            <w:tcMar>
              <w:bottom w:w="60" w:type="dxa"/>
            </w:tcMar>
            <w:vAlign w:val="center"/>
          </w:tcPr>
          <w:p>
            <w:pPr>
              <w:pStyle w:val="TableContents"/>
              <w:bidi w:val="0"/>
              <w:spacing w:before="0" w:after="283"/>
              <w:jc w:val="right"/>
              <w:rPr/>
            </w:pPr>
            <w:r>
              <w:rPr/>
              <w:t>–</w:t>
            </w:r>
          </w:p>
        </w:tc>
        <w:tc>
          <w:tcPr>
            <w:tcW w:w="182" w:type="dxa"/>
            <w:tcBorders>
              <w:bottom w:val="single" w:sz="6" w:space="0" w:color="FBDDE3"/>
            </w:tcBorders>
            <w:tcMar>
              <w:bottom w:w="60" w:type="dxa"/>
            </w:tcMar>
            <w:vAlign w:val="center"/>
          </w:tcPr>
          <w:p>
            <w:pPr>
              <w:pStyle w:val="TableContents"/>
              <w:bidi w:val="0"/>
              <w:spacing w:before="0" w:after="283"/>
              <w:jc w:val="left"/>
              <w:rPr/>
            </w:pPr>
            <w:r>
              <w:rPr/>
              <w:t> </w:t>
            </w:r>
          </w:p>
        </w:tc>
        <w:tc>
          <w:tcPr>
            <w:tcW w:w="182" w:type="dxa"/>
            <w:tcBorders>
              <w:bottom w:val="single" w:sz="6" w:space="0" w:color="FBDDE3"/>
            </w:tcBorders>
            <w:tcMar>
              <w:bottom w:w="28" w:type="dxa"/>
            </w:tcMar>
            <w:vAlign w:val="center"/>
          </w:tcPr>
          <w:p>
            <w:pPr>
              <w:pStyle w:val="TableContents"/>
              <w:bidi w:val="0"/>
              <w:spacing w:before="0" w:after="283"/>
              <w:jc w:val="left"/>
              <w:rPr/>
            </w:pPr>
            <w:r>
              <w:rPr/>
              <w:t> </w:t>
            </w:r>
          </w:p>
        </w:tc>
        <w:tc>
          <w:tcPr>
            <w:tcW w:w="527" w:type="dxa"/>
            <w:tcBorders>
              <w:bottom w:val="single" w:sz="6" w:space="0" w:color="FBDDE3"/>
            </w:tcBorders>
            <w:tcMar>
              <w:bottom w:w="60" w:type="dxa"/>
            </w:tcMar>
            <w:vAlign w:val="center"/>
          </w:tcPr>
          <w:p>
            <w:pPr>
              <w:pStyle w:val="TableContents"/>
              <w:bidi w:val="0"/>
              <w:spacing w:before="0" w:after="283"/>
              <w:jc w:val="left"/>
              <w:rPr/>
            </w:pPr>
            <w:r>
              <w:rPr/>
              <w:t> </w:t>
            </w:r>
          </w:p>
        </w:tc>
        <w:tc>
          <w:tcPr>
            <w:tcW w:w="1262" w:type="dxa"/>
            <w:tcBorders>
              <w:bottom w:val="single" w:sz="6" w:space="0" w:color="FBDDE3"/>
            </w:tcBorders>
            <w:tcMar>
              <w:bottom w:w="60" w:type="dxa"/>
            </w:tcMar>
            <w:vAlign w:val="center"/>
          </w:tcPr>
          <w:p>
            <w:pPr>
              <w:pStyle w:val="TableContents"/>
              <w:bidi w:val="0"/>
              <w:spacing w:before="0" w:after="283"/>
              <w:jc w:val="right"/>
              <w:rPr/>
            </w:pPr>
            <w:r>
              <w:rPr/>
              <w:t>–</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71" w:type="dxa"/>
            <w:tcBorders>
              <w:bottom w:val="single" w:sz="6" w:space="0" w:color="FBDDE3"/>
            </w:tcBorders>
            <w:tcMar>
              <w:bottom w:w="60" w:type="dxa"/>
            </w:tcMar>
            <w:vAlign w:val="center"/>
          </w:tcPr>
          <w:p>
            <w:pPr>
              <w:pStyle w:val="TableContents"/>
              <w:bidi w:val="0"/>
              <w:spacing w:before="0" w:after="283"/>
              <w:jc w:val="left"/>
              <w:rPr/>
            </w:pPr>
            <w:r>
              <w:rPr/>
              <w:t> </w:t>
            </w:r>
          </w:p>
        </w:tc>
        <w:tc>
          <w:tcPr>
            <w:tcW w:w="1948" w:type="dxa"/>
            <w:tcBorders>
              <w:bottom w:val="single" w:sz="6" w:space="0" w:color="FBDDE3"/>
            </w:tcBorders>
            <w:tcMar>
              <w:bottom w:w="60" w:type="dxa"/>
            </w:tcMar>
            <w:vAlign w:val="center"/>
          </w:tcPr>
          <w:p>
            <w:pPr>
              <w:pStyle w:val="TableContents"/>
              <w:bidi w:val="0"/>
              <w:spacing w:before="0" w:after="283"/>
              <w:jc w:val="right"/>
              <w:rPr/>
            </w:pPr>
            <w:r>
              <w:rPr/>
              <w:t>11,717</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02" w:type="dxa"/>
            <w:tcBorders>
              <w:bottom w:val="single" w:sz="6" w:space="0" w:color="FBDDE3"/>
            </w:tcBorders>
            <w:tcMar>
              <w:bottom w:w="60" w:type="dxa"/>
            </w:tcMar>
            <w:vAlign w:val="center"/>
          </w:tcPr>
          <w:p>
            <w:pPr>
              <w:pStyle w:val="TableContents"/>
              <w:bidi w:val="0"/>
              <w:spacing w:before="0" w:after="283"/>
              <w:jc w:val="left"/>
              <w:rPr/>
            </w:pPr>
            <w:r>
              <w:rPr/>
              <w:t> </w:t>
            </w:r>
          </w:p>
        </w:tc>
        <w:tc>
          <w:tcPr>
            <w:tcW w:w="1687" w:type="dxa"/>
            <w:tcBorders>
              <w:bottom w:val="single" w:sz="6" w:space="0" w:color="FBDDE3"/>
            </w:tcBorders>
            <w:tcMar>
              <w:bottom w:w="60" w:type="dxa"/>
            </w:tcMar>
            <w:vAlign w:val="center"/>
          </w:tcPr>
          <w:p>
            <w:pPr>
              <w:pStyle w:val="TableContents"/>
              <w:bidi w:val="0"/>
              <w:spacing w:before="0" w:after="283"/>
              <w:jc w:val="right"/>
              <w:rPr/>
            </w:pPr>
            <w:r>
              <w:rPr/>
              <w:t>281,997</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2361" w:type="dxa"/>
            <w:gridSpan w:val="4"/>
            <w:tcBorders/>
            <w:vAlign w:val="center"/>
          </w:tcPr>
          <w:p>
            <w:pPr>
              <w:pStyle w:val="TableContents"/>
              <w:bidi w:val="0"/>
              <w:spacing w:before="0" w:after="283"/>
              <w:jc w:val="left"/>
              <w:rPr>
                <w:sz w:val="4"/>
                <w:szCs w:val="4"/>
              </w:rPr>
            </w:pPr>
            <w:r>
              <w:rPr>
                <w:sz w:val="4"/>
                <w:szCs w:val="4"/>
              </w:rPr>
            </w:r>
          </w:p>
        </w:tc>
        <w:tc>
          <w:tcPr>
            <w:tcW w:w="2031" w:type="dxa"/>
            <w:gridSpan w:val="4"/>
            <w:tcBorders/>
            <w:vAlign w:val="center"/>
          </w:tcPr>
          <w:p>
            <w:pPr>
              <w:pStyle w:val="TableContents"/>
              <w:bidi w:val="0"/>
              <w:spacing w:before="0" w:after="283"/>
              <w:jc w:val="left"/>
              <w:rPr>
                <w:sz w:val="4"/>
                <w:szCs w:val="4"/>
              </w:rPr>
            </w:pPr>
            <w:r>
              <w:rPr>
                <w:sz w:val="4"/>
                <w:szCs w:val="4"/>
              </w:rPr>
            </w:r>
          </w:p>
        </w:tc>
        <w:tc>
          <w:tcPr>
            <w:tcW w:w="2239" w:type="dxa"/>
            <w:gridSpan w:val="4"/>
            <w:tcBorders/>
            <w:vAlign w:val="center"/>
          </w:tcPr>
          <w:p>
            <w:pPr>
              <w:pStyle w:val="TableContents"/>
              <w:bidi w:val="0"/>
              <w:spacing w:before="0" w:after="283"/>
              <w:jc w:val="left"/>
              <w:rPr>
                <w:sz w:val="4"/>
                <w:szCs w:val="4"/>
              </w:rPr>
            </w:pPr>
            <w:r>
              <w:rPr>
                <w:sz w:val="4"/>
                <w:szCs w:val="4"/>
              </w:rPr>
            </w:r>
          </w:p>
        </w:tc>
        <w:tc>
          <w:tcPr>
            <w:tcW w:w="1924" w:type="dxa"/>
            <w:gridSpan w:val="4"/>
            <w:tcBorders/>
            <w:vAlign w:val="center"/>
          </w:tcPr>
          <w:p>
            <w:pPr>
              <w:pStyle w:val="TableContents"/>
              <w:bidi w:val="0"/>
              <w:spacing w:before="0" w:after="283"/>
              <w:jc w:val="left"/>
              <w:rPr>
                <w:sz w:val="4"/>
                <w:szCs w:val="4"/>
              </w:rPr>
            </w:pPr>
            <w:r>
              <w:rPr>
                <w:sz w:val="4"/>
                <w:szCs w:val="4"/>
              </w:rPr>
            </w:r>
          </w:p>
        </w:tc>
      </w:tr>
      <w:tr>
        <w:trPr/>
        <w:tc>
          <w:tcPr>
            <w:tcW w:w="1505" w:type="dxa"/>
            <w:tcBorders>
              <w:bottom w:val="single" w:sz="6" w:space="0" w:color="FBDDE3"/>
            </w:tcBorders>
            <w:tcMar>
              <w:bottom w:w="60" w:type="dxa"/>
            </w:tcMar>
            <w:vAlign w:val="center"/>
          </w:tcPr>
          <w:p>
            <w:pPr>
              <w:pStyle w:val="TableContents"/>
              <w:bidi w:val="0"/>
              <w:spacing w:before="0" w:after="0"/>
              <w:jc w:val="left"/>
              <w:rPr>
                <w:rFonts w:ascii="arial" w:hAnsi="arial"/>
                <w:b/>
                <w:sz w:val="18"/>
              </w:rPr>
            </w:pPr>
            <w:r>
              <w:rPr>
                <w:rFonts w:ascii="arial" w:hAnsi="arial"/>
                <w:b/>
                <w:sz w:val="18"/>
              </w:rPr>
              <w:t>Christine Rupp</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32" w:type="dxa"/>
            <w:tcBorders>
              <w:bottom w:val="single" w:sz="6" w:space="0" w:color="FBDDE3"/>
            </w:tcBorders>
            <w:tcMar>
              <w:bottom w:w="60" w:type="dxa"/>
            </w:tcMar>
            <w:vAlign w:val="center"/>
          </w:tcPr>
          <w:p>
            <w:pPr>
              <w:pStyle w:val="TableContents"/>
              <w:bidi w:val="0"/>
              <w:spacing w:before="0" w:after="283"/>
              <w:jc w:val="left"/>
              <w:rPr/>
            </w:pPr>
            <w:r>
              <w:rPr/>
              <w:t> </w:t>
            </w:r>
          </w:p>
        </w:tc>
        <w:tc>
          <w:tcPr>
            <w:tcW w:w="1487" w:type="dxa"/>
            <w:tcBorders>
              <w:bottom w:val="single" w:sz="6" w:space="0" w:color="FBDDE3"/>
            </w:tcBorders>
            <w:tcMar>
              <w:bottom w:w="60" w:type="dxa"/>
            </w:tcMar>
            <w:vAlign w:val="center"/>
          </w:tcPr>
          <w:p>
            <w:pPr>
              <w:pStyle w:val="TableContents"/>
              <w:bidi w:val="0"/>
              <w:spacing w:before="0" w:after="283"/>
              <w:jc w:val="right"/>
              <w:rPr/>
            </w:pPr>
            <w:r>
              <w:rPr/>
              <w:t>–</w:t>
            </w:r>
          </w:p>
        </w:tc>
        <w:tc>
          <w:tcPr>
            <w:tcW w:w="182" w:type="dxa"/>
            <w:tcBorders>
              <w:bottom w:val="single" w:sz="6" w:space="0" w:color="FBDDE3"/>
            </w:tcBorders>
            <w:tcMar>
              <w:bottom w:w="60" w:type="dxa"/>
            </w:tcMar>
            <w:vAlign w:val="center"/>
          </w:tcPr>
          <w:p>
            <w:pPr>
              <w:pStyle w:val="TableContents"/>
              <w:bidi w:val="0"/>
              <w:spacing w:before="0" w:after="283"/>
              <w:jc w:val="left"/>
              <w:rPr/>
            </w:pPr>
            <w:r>
              <w:rPr/>
              <w:t> </w:t>
            </w:r>
          </w:p>
        </w:tc>
        <w:tc>
          <w:tcPr>
            <w:tcW w:w="182" w:type="dxa"/>
            <w:tcBorders>
              <w:bottom w:val="single" w:sz="6" w:space="0" w:color="FBDDE3"/>
            </w:tcBorders>
            <w:tcMar>
              <w:bottom w:w="28" w:type="dxa"/>
            </w:tcMar>
            <w:vAlign w:val="center"/>
          </w:tcPr>
          <w:p>
            <w:pPr>
              <w:pStyle w:val="TableContents"/>
              <w:bidi w:val="0"/>
              <w:spacing w:before="0" w:after="283"/>
              <w:jc w:val="left"/>
              <w:rPr/>
            </w:pPr>
            <w:r>
              <w:rPr/>
              <w:t> </w:t>
            </w:r>
          </w:p>
        </w:tc>
        <w:tc>
          <w:tcPr>
            <w:tcW w:w="527" w:type="dxa"/>
            <w:tcBorders>
              <w:bottom w:val="single" w:sz="6" w:space="0" w:color="FBDDE3"/>
            </w:tcBorders>
            <w:tcMar>
              <w:bottom w:w="60" w:type="dxa"/>
            </w:tcMar>
            <w:vAlign w:val="center"/>
          </w:tcPr>
          <w:p>
            <w:pPr>
              <w:pStyle w:val="TableContents"/>
              <w:bidi w:val="0"/>
              <w:spacing w:before="0" w:after="283"/>
              <w:jc w:val="left"/>
              <w:rPr/>
            </w:pPr>
            <w:r>
              <w:rPr/>
              <w:t> </w:t>
            </w:r>
          </w:p>
        </w:tc>
        <w:tc>
          <w:tcPr>
            <w:tcW w:w="1262" w:type="dxa"/>
            <w:tcBorders>
              <w:bottom w:val="single" w:sz="6" w:space="0" w:color="FBDDE3"/>
            </w:tcBorders>
            <w:tcMar>
              <w:bottom w:w="60" w:type="dxa"/>
            </w:tcMar>
            <w:vAlign w:val="center"/>
          </w:tcPr>
          <w:p>
            <w:pPr>
              <w:pStyle w:val="TableContents"/>
              <w:bidi w:val="0"/>
              <w:spacing w:before="0" w:after="283"/>
              <w:jc w:val="right"/>
              <w:rPr/>
            </w:pPr>
            <w:r>
              <w:rPr/>
              <w:t>–</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71" w:type="dxa"/>
            <w:tcBorders>
              <w:bottom w:val="single" w:sz="6" w:space="0" w:color="FBDDE3"/>
            </w:tcBorders>
            <w:tcMar>
              <w:bottom w:w="60" w:type="dxa"/>
            </w:tcMar>
            <w:vAlign w:val="center"/>
          </w:tcPr>
          <w:p>
            <w:pPr>
              <w:pStyle w:val="TableContents"/>
              <w:bidi w:val="0"/>
              <w:spacing w:before="0" w:after="283"/>
              <w:jc w:val="left"/>
              <w:rPr/>
            </w:pPr>
            <w:r>
              <w:rPr/>
              <w:t> </w:t>
            </w:r>
          </w:p>
        </w:tc>
        <w:tc>
          <w:tcPr>
            <w:tcW w:w="1948" w:type="dxa"/>
            <w:tcBorders>
              <w:bottom w:val="single" w:sz="6" w:space="0" w:color="FBDDE3"/>
            </w:tcBorders>
            <w:tcMar>
              <w:bottom w:w="60" w:type="dxa"/>
            </w:tcMar>
            <w:vAlign w:val="center"/>
          </w:tcPr>
          <w:p>
            <w:pPr>
              <w:pStyle w:val="TableContents"/>
              <w:bidi w:val="0"/>
              <w:spacing w:before="0" w:after="283"/>
              <w:jc w:val="right"/>
              <w:rPr/>
            </w:pPr>
            <w:r>
              <w:rPr/>
              <w:t>30,089</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02" w:type="dxa"/>
            <w:tcBorders>
              <w:bottom w:val="single" w:sz="6" w:space="0" w:color="FBDDE3"/>
            </w:tcBorders>
            <w:tcMar>
              <w:bottom w:w="60" w:type="dxa"/>
            </w:tcMar>
            <w:vAlign w:val="center"/>
          </w:tcPr>
          <w:p>
            <w:pPr>
              <w:pStyle w:val="TableContents"/>
              <w:bidi w:val="0"/>
              <w:spacing w:before="0" w:after="283"/>
              <w:jc w:val="left"/>
              <w:rPr/>
            </w:pPr>
            <w:r>
              <w:rPr/>
              <w:t> </w:t>
            </w:r>
          </w:p>
        </w:tc>
        <w:tc>
          <w:tcPr>
            <w:tcW w:w="1687" w:type="dxa"/>
            <w:tcBorders>
              <w:bottom w:val="single" w:sz="6" w:space="0" w:color="FBDDE3"/>
            </w:tcBorders>
            <w:tcMar>
              <w:bottom w:w="60" w:type="dxa"/>
            </w:tcMar>
            <w:vAlign w:val="center"/>
          </w:tcPr>
          <w:p>
            <w:pPr>
              <w:pStyle w:val="TableContents"/>
              <w:bidi w:val="0"/>
              <w:spacing w:before="0" w:after="283"/>
              <w:jc w:val="right"/>
              <w:rPr/>
            </w:pPr>
            <w:r>
              <w:rPr/>
              <w:t>452,238</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sz w:val="4"/>
                <w:szCs w:val="4"/>
              </w:rPr>
            </w:pPr>
            <w:r>
              <w:rPr>
                <w:sz w:val="4"/>
                <w:szCs w:val="4"/>
              </w:rPr>
            </w:r>
          </w:p>
        </w:tc>
        <w:tc>
          <w:tcPr>
            <w:tcW w:w="2361" w:type="dxa"/>
            <w:gridSpan w:val="4"/>
            <w:tcBorders/>
            <w:vAlign w:val="center"/>
          </w:tcPr>
          <w:p>
            <w:pPr>
              <w:pStyle w:val="TableContents"/>
              <w:bidi w:val="0"/>
              <w:spacing w:before="0" w:after="283"/>
              <w:jc w:val="left"/>
              <w:rPr>
                <w:sz w:val="4"/>
                <w:szCs w:val="4"/>
              </w:rPr>
            </w:pPr>
            <w:r>
              <w:rPr>
                <w:sz w:val="4"/>
                <w:szCs w:val="4"/>
              </w:rPr>
            </w:r>
          </w:p>
        </w:tc>
        <w:tc>
          <w:tcPr>
            <w:tcW w:w="2031" w:type="dxa"/>
            <w:gridSpan w:val="4"/>
            <w:tcBorders/>
            <w:vAlign w:val="center"/>
          </w:tcPr>
          <w:p>
            <w:pPr>
              <w:pStyle w:val="TableContents"/>
              <w:bidi w:val="0"/>
              <w:spacing w:before="0" w:after="283"/>
              <w:jc w:val="left"/>
              <w:rPr>
                <w:sz w:val="4"/>
                <w:szCs w:val="4"/>
              </w:rPr>
            </w:pPr>
            <w:r>
              <w:rPr>
                <w:sz w:val="4"/>
                <w:szCs w:val="4"/>
              </w:rPr>
            </w:r>
          </w:p>
        </w:tc>
        <w:tc>
          <w:tcPr>
            <w:tcW w:w="2239" w:type="dxa"/>
            <w:gridSpan w:val="4"/>
            <w:tcBorders/>
            <w:vAlign w:val="center"/>
          </w:tcPr>
          <w:p>
            <w:pPr>
              <w:pStyle w:val="TableContents"/>
              <w:bidi w:val="0"/>
              <w:spacing w:before="0" w:after="283"/>
              <w:jc w:val="left"/>
              <w:rPr>
                <w:sz w:val="4"/>
                <w:szCs w:val="4"/>
              </w:rPr>
            </w:pPr>
            <w:r>
              <w:rPr>
                <w:sz w:val="4"/>
                <w:szCs w:val="4"/>
              </w:rPr>
            </w:r>
          </w:p>
        </w:tc>
        <w:tc>
          <w:tcPr>
            <w:tcW w:w="1924" w:type="dxa"/>
            <w:gridSpan w:val="4"/>
            <w:tcBorders/>
            <w:vAlign w:val="center"/>
          </w:tcPr>
          <w:p>
            <w:pPr>
              <w:pStyle w:val="TableContents"/>
              <w:bidi w:val="0"/>
              <w:spacing w:before="0" w:after="283"/>
              <w:jc w:val="left"/>
              <w:rPr>
                <w:sz w:val="4"/>
                <w:szCs w:val="4"/>
              </w:rPr>
            </w:pPr>
            <w:r>
              <w:rPr>
                <w:sz w:val="4"/>
                <w:szCs w:val="4"/>
              </w:rPr>
            </w:r>
          </w:p>
        </w:tc>
      </w:tr>
      <w:tr>
        <w:trPr/>
        <w:tc>
          <w:tcPr>
            <w:tcW w:w="1505" w:type="dxa"/>
            <w:tcBorders>
              <w:bottom w:val="single" w:sz="8" w:space="0" w:color="F7ACBA"/>
            </w:tcBorders>
            <w:tcMar>
              <w:bottom w:w="80" w:type="dxa"/>
            </w:tcMar>
            <w:vAlign w:val="center"/>
          </w:tcPr>
          <w:p>
            <w:pPr>
              <w:pStyle w:val="TableContents"/>
              <w:bidi w:val="0"/>
              <w:spacing w:before="0" w:after="0"/>
              <w:jc w:val="left"/>
              <w:rPr>
                <w:rFonts w:ascii="arial" w:hAnsi="arial"/>
                <w:b/>
                <w:sz w:val="18"/>
              </w:rPr>
            </w:pPr>
            <w:r>
              <w:rPr>
                <w:rFonts w:ascii="arial" w:hAnsi="arial"/>
                <w:b/>
                <w:sz w:val="18"/>
              </w:rPr>
              <w:t>Gregory Unis</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32" w:type="dxa"/>
            <w:tcBorders>
              <w:bottom w:val="single" w:sz="8" w:space="0" w:color="F7ACBA"/>
            </w:tcBorders>
            <w:tcMar>
              <w:bottom w:w="80" w:type="dxa"/>
            </w:tcMar>
            <w:vAlign w:val="center"/>
          </w:tcPr>
          <w:p>
            <w:pPr>
              <w:pStyle w:val="TableContents"/>
              <w:bidi w:val="0"/>
              <w:spacing w:before="0" w:after="283"/>
              <w:jc w:val="left"/>
              <w:rPr/>
            </w:pPr>
            <w:r>
              <w:rPr/>
              <w:t> </w:t>
            </w:r>
          </w:p>
        </w:tc>
        <w:tc>
          <w:tcPr>
            <w:tcW w:w="1487" w:type="dxa"/>
            <w:tcBorders>
              <w:bottom w:val="single" w:sz="8" w:space="0" w:color="F7ACBA"/>
            </w:tcBorders>
            <w:tcMar>
              <w:bottom w:w="80" w:type="dxa"/>
            </w:tcMar>
            <w:vAlign w:val="center"/>
          </w:tcPr>
          <w:p>
            <w:pPr>
              <w:pStyle w:val="TableContents"/>
              <w:bidi w:val="0"/>
              <w:spacing w:before="0" w:after="283"/>
              <w:jc w:val="right"/>
              <w:rPr/>
            </w:pPr>
            <w:r>
              <w:rPr/>
              <w:t>–</w:t>
            </w:r>
          </w:p>
        </w:tc>
        <w:tc>
          <w:tcPr>
            <w:tcW w:w="182" w:type="dxa"/>
            <w:tcBorders>
              <w:bottom w:val="single" w:sz="8" w:space="0" w:color="F7ACBA"/>
            </w:tcBorders>
            <w:tcMar>
              <w:bottom w:w="80" w:type="dxa"/>
            </w:tcMar>
            <w:vAlign w:val="center"/>
          </w:tcPr>
          <w:p>
            <w:pPr>
              <w:pStyle w:val="TableContents"/>
              <w:bidi w:val="0"/>
              <w:spacing w:before="0" w:after="283"/>
              <w:jc w:val="left"/>
              <w:rPr/>
            </w:pPr>
            <w:r>
              <w:rPr/>
              <w:t> </w:t>
            </w:r>
          </w:p>
        </w:tc>
        <w:tc>
          <w:tcPr>
            <w:tcW w:w="182" w:type="dxa"/>
            <w:tcBorders>
              <w:bottom w:val="single" w:sz="8" w:space="0" w:color="F7ACBA"/>
            </w:tcBorders>
            <w:tcMar>
              <w:bottom w:w="28" w:type="dxa"/>
            </w:tcMar>
            <w:vAlign w:val="center"/>
          </w:tcPr>
          <w:p>
            <w:pPr>
              <w:pStyle w:val="TableContents"/>
              <w:bidi w:val="0"/>
              <w:spacing w:before="0" w:after="283"/>
              <w:jc w:val="left"/>
              <w:rPr/>
            </w:pPr>
            <w:r>
              <w:rPr/>
              <w:t> </w:t>
            </w:r>
          </w:p>
        </w:tc>
        <w:tc>
          <w:tcPr>
            <w:tcW w:w="527" w:type="dxa"/>
            <w:tcBorders>
              <w:bottom w:val="single" w:sz="8" w:space="0" w:color="F7ACBA"/>
            </w:tcBorders>
            <w:tcMar>
              <w:bottom w:w="80" w:type="dxa"/>
            </w:tcMar>
            <w:vAlign w:val="center"/>
          </w:tcPr>
          <w:p>
            <w:pPr>
              <w:pStyle w:val="TableContents"/>
              <w:bidi w:val="0"/>
              <w:spacing w:before="0" w:after="283"/>
              <w:jc w:val="left"/>
              <w:rPr/>
            </w:pPr>
            <w:r>
              <w:rPr/>
              <w:t> </w:t>
            </w:r>
          </w:p>
        </w:tc>
        <w:tc>
          <w:tcPr>
            <w:tcW w:w="1262" w:type="dxa"/>
            <w:tcBorders>
              <w:bottom w:val="single" w:sz="8" w:space="0" w:color="F7ACBA"/>
            </w:tcBorders>
            <w:tcMar>
              <w:bottom w:w="80" w:type="dxa"/>
            </w:tcMar>
            <w:vAlign w:val="center"/>
          </w:tcPr>
          <w:p>
            <w:pPr>
              <w:pStyle w:val="TableContents"/>
              <w:bidi w:val="0"/>
              <w:spacing w:before="0" w:after="283"/>
              <w:jc w:val="right"/>
              <w:rPr/>
            </w:pPr>
            <w:r>
              <w:rPr/>
              <w:t>–</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71" w:type="dxa"/>
            <w:tcBorders>
              <w:bottom w:val="single" w:sz="8" w:space="0" w:color="F7ACBA"/>
            </w:tcBorders>
            <w:tcMar>
              <w:bottom w:w="80" w:type="dxa"/>
            </w:tcMar>
            <w:vAlign w:val="center"/>
          </w:tcPr>
          <w:p>
            <w:pPr>
              <w:pStyle w:val="TableContents"/>
              <w:bidi w:val="0"/>
              <w:spacing w:before="0" w:after="283"/>
              <w:jc w:val="left"/>
              <w:rPr/>
            </w:pPr>
            <w:r>
              <w:rPr/>
              <w:t> </w:t>
            </w:r>
          </w:p>
        </w:tc>
        <w:tc>
          <w:tcPr>
            <w:tcW w:w="1948" w:type="dxa"/>
            <w:tcBorders>
              <w:bottom w:val="single" w:sz="8" w:space="0" w:color="F7ACBA"/>
            </w:tcBorders>
            <w:tcMar>
              <w:bottom w:w="80" w:type="dxa"/>
            </w:tcMar>
            <w:vAlign w:val="center"/>
          </w:tcPr>
          <w:p>
            <w:pPr>
              <w:pStyle w:val="TableContents"/>
              <w:bidi w:val="0"/>
              <w:spacing w:before="0" w:after="283"/>
              <w:jc w:val="right"/>
              <w:rPr/>
            </w:pPr>
            <w:r>
              <w:rPr/>
              <w:t>37,920</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02" w:type="dxa"/>
            <w:tcBorders>
              <w:bottom w:val="single" w:sz="8" w:space="0" w:color="F7ACBA"/>
            </w:tcBorders>
            <w:tcMar>
              <w:bottom w:w="80" w:type="dxa"/>
            </w:tcMar>
            <w:vAlign w:val="center"/>
          </w:tcPr>
          <w:p>
            <w:pPr>
              <w:pStyle w:val="TableContents"/>
              <w:bidi w:val="0"/>
              <w:spacing w:before="0" w:after="283"/>
              <w:jc w:val="left"/>
              <w:rPr/>
            </w:pPr>
            <w:r>
              <w:rPr/>
              <w:t> </w:t>
            </w:r>
          </w:p>
        </w:tc>
        <w:tc>
          <w:tcPr>
            <w:tcW w:w="1687" w:type="dxa"/>
            <w:tcBorders>
              <w:bottom w:val="single" w:sz="8" w:space="0" w:color="F7ACBA"/>
            </w:tcBorders>
            <w:tcMar>
              <w:bottom w:w="80" w:type="dxa"/>
            </w:tcMar>
            <w:vAlign w:val="center"/>
          </w:tcPr>
          <w:p>
            <w:pPr>
              <w:pStyle w:val="TableContents"/>
              <w:bidi w:val="0"/>
              <w:spacing w:before="0" w:after="283"/>
              <w:jc w:val="right"/>
              <w:rPr/>
            </w:pPr>
            <w:r>
              <w:rPr/>
              <w:t>1,185,590</w:t>
            </w:r>
          </w:p>
        </w:tc>
        <w:tc>
          <w:tcPr>
            <w:tcW w:w="75" w:type="dxa"/>
            <w:tcBorders>
              <w:bottom w:val="single" w:sz="8" w:space="0" w:color="F7ACBA"/>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7345" w:type="dxa"/>
        <w:jc w:val="left"/>
        <w:tblInd w:w="0" w:type="dxa"/>
        <w:tblLayout w:type="fixed"/>
        <w:tblCellMar>
          <w:top w:w="0" w:type="dxa"/>
          <w:left w:w="0" w:type="dxa"/>
          <w:bottom w:w="0" w:type="dxa"/>
          <w:right w:w="0" w:type="dxa"/>
        </w:tblCellMar>
      </w:tblPr>
      <w:tblGrid>
        <w:gridCol w:w="305"/>
        <w:gridCol w:w="7040"/>
      </w:tblGrid>
      <w:tr>
        <w:trPr/>
        <w:tc>
          <w:tcPr>
            <w:tcW w:w="305" w:type="dxa"/>
            <w:tcBorders/>
            <w:vAlign w:val="center"/>
          </w:tcPr>
          <w:p>
            <w:pPr>
              <w:pStyle w:val="TableContents"/>
              <w:bidi w:val="0"/>
              <w:spacing w:before="0" w:after="283"/>
              <w:jc w:val="left"/>
              <w:rPr/>
            </w:pPr>
            <w:r>
              <w:rPr/>
              <w:t>(1)</w:t>
            </w:r>
          </w:p>
        </w:tc>
        <w:tc>
          <w:tcPr>
            <w:tcW w:w="7040" w:type="dxa"/>
            <w:tcBorders/>
            <w:vAlign w:val="center"/>
          </w:tcPr>
          <w:p>
            <w:pPr>
              <w:pStyle w:val="TableContents"/>
              <w:bidi w:val="0"/>
              <w:spacing w:before="0" w:after="0"/>
              <w:jc w:val="left"/>
              <w:rPr>
                <w:rFonts w:ascii="arial" w:hAnsi="arial"/>
                <w:sz w:val="14"/>
              </w:rPr>
            </w:pPr>
            <w:r>
              <w:rPr>
                <w:rFonts w:ascii="arial" w:hAnsi="arial"/>
                <w:sz w:val="14"/>
              </w:rPr>
              <w:t xml:space="preserve">This column represents the vesting during fiscal 2023 of RSUs granted during fiscal 2018, 2020, 2021 and 2022. </w:t>
            </w:r>
          </w:p>
        </w:tc>
      </w:tr>
    </w:tbl>
    <w:p>
      <w:pPr>
        <w:pStyle w:val="TextBody"/>
        <w:bidi w:val="0"/>
        <w:spacing w:before="240" w:after="0"/>
        <w:jc w:val="left"/>
        <w:rPr>
          <w:rFonts w:ascii="arial" w:hAnsi="arial"/>
          <w:b/>
          <w:color w:val="F7ACBA"/>
          <w:sz w:val="24"/>
        </w:rPr>
      </w:pPr>
      <w:r>
        <w:rPr>
          <w:rFonts w:ascii="arial" w:hAnsi="arial"/>
          <w:b/>
          <w:color w:val="F7ACBA"/>
          <w:sz w:val="24"/>
        </w:rPr>
        <w:t xml:space="preserve">Estimated Post-Employment Payments and Benefits </w:t>
      </w:r>
    </w:p>
    <w:p>
      <w:pPr>
        <w:pStyle w:val="TextBody"/>
        <w:bidi w:val="0"/>
        <w:spacing w:before="60" w:after="0"/>
        <w:jc w:val="left"/>
        <w:rPr>
          <w:rFonts w:ascii="arial" w:hAnsi="arial"/>
          <w:sz w:val="18"/>
        </w:rPr>
      </w:pPr>
      <w:r>
        <w:rPr>
          <w:rFonts w:ascii="arial" w:hAnsi="arial"/>
          <w:sz w:val="18"/>
        </w:rPr>
        <w:t xml:space="preserve">VS&amp;Co has entered into certain agreements with Messrs. Waters, Johnson and Unis and Mses. McAfee and Rupp that will require VS&amp;Co to provide compensation in the event of a qualifying termination of employment, including a termination following a change in control of VS&amp;Co. In addition, participants in the VS 2021 Stock Plan receive accelerated vesting of equity awards in the event of termination due to death or upon a “change in control” in the event of the participant’s termination of employment (other than for “cause”) within 24 months of the change in control (commonly referred to as “double-trigger” vesting). </w:t>
      </w:r>
    </w:p>
    <w:p>
      <w:pPr>
        <w:pStyle w:val="TextBody"/>
        <w:bidi w:val="0"/>
        <w:spacing w:before="120" w:after="0"/>
        <w:jc w:val="left"/>
        <w:rPr>
          <w:rFonts w:ascii="arial" w:hAnsi="arial"/>
          <w:sz w:val="18"/>
        </w:rPr>
      </w:pPr>
      <w:r>
        <w:rPr>
          <w:rFonts w:ascii="arial" w:hAnsi="arial"/>
          <w:sz w:val="18"/>
        </w:rPr>
        <w:t xml:space="preserve">However, the HCCC retains discretion to provide additional benefits to NEOs upon termination or resignation if it determines the circumstances so warrant. </w:t>
      </w:r>
    </w:p>
    <w:p>
      <w:pPr>
        <w:pStyle w:val="TextBody"/>
        <w:bidi w:val="0"/>
        <w:spacing w:before="120" w:after="0"/>
        <w:jc w:val="left"/>
        <w:rPr>
          <w:rFonts w:ascii="arial" w:hAnsi="arial"/>
          <w:sz w:val="18"/>
        </w:rPr>
      </w:pPr>
      <w:r>
        <w:rPr>
          <w:rFonts w:ascii="arial" w:hAnsi="arial"/>
          <w:sz w:val="18"/>
        </w:rPr>
        <w:t xml:space="preserve">The following tables set forth the expected benefits that would be received by each of the NEOs in the event of termination resulting from various scenarios, assuming a termination date of February 3, 2024 and a stock price of $27.02, the price of VS&amp;Co common stock on the last trading day of the fiscal year. Each scenario relates to the single termination event described and amounts are not cumulative in situations where multiple scenarios may apply. The paragraphs following the table explain the general provisions applicable to each termination or change of control situation. </w:t>
      </w:r>
    </w:p>
    <w:p>
      <w:pPr>
        <w:pStyle w:val="TextBody"/>
        <w:bidi w:val="0"/>
        <w:spacing w:before="240" w:after="0"/>
        <w:jc w:val="left"/>
        <w:rPr>
          <w:rFonts w:ascii="arial" w:hAnsi="arial"/>
          <w:b/>
          <w:color w:val="F7ACBA"/>
          <w:sz w:val="24"/>
        </w:rPr>
      </w:pPr>
      <w:r>
        <w:rPr>
          <w:rFonts w:ascii="arial" w:hAnsi="arial"/>
          <w:b/>
          <w:color w:val="F7ACBA"/>
          <w:sz w:val="24"/>
        </w:rPr>
        <w:t xml:space="preserve">Martin Waters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98"/>
        <w:gridCol w:w="60"/>
        <w:gridCol w:w="87"/>
        <w:gridCol w:w="1443"/>
        <w:gridCol w:w="87"/>
        <w:gridCol w:w="87"/>
        <w:gridCol w:w="87"/>
        <w:gridCol w:w="1622"/>
        <w:gridCol w:w="60"/>
        <w:gridCol w:w="60"/>
        <w:gridCol w:w="60"/>
        <w:gridCol w:w="1100"/>
        <w:gridCol w:w="60"/>
        <w:gridCol w:w="60"/>
        <w:gridCol w:w="60"/>
        <w:gridCol w:w="1100"/>
        <w:gridCol w:w="60"/>
        <w:gridCol w:w="60"/>
        <w:gridCol w:w="66"/>
        <w:gridCol w:w="1229"/>
        <w:gridCol w:w="60"/>
        <w:gridCol w:w="60"/>
        <w:gridCol w:w="66"/>
        <w:gridCol w:w="1094"/>
        <w:gridCol w:w="79"/>
      </w:tblGrid>
      <w:tr>
        <w:trPr/>
        <w:tc>
          <w:tcPr>
            <w:tcW w:w="13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1398"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3413" w:type="dxa"/>
            <w:gridSpan w:val="6"/>
            <w:tcBorders>
              <w:bottom w:val="single" w:sz="8" w:space="0" w:color="000000"/>
            </w:tcBorders>
            <w:shd w:fill="FDEEF1" w:val="clear"/>
            <w:tcMar>
              <w:bottom w:w="28" w:type="dxa"/>
            </w:tcMar>
            <w:vAlign w:val="center"/>
          </w:tcPr>
          <w:p>
            <w:pPr>
              <w:pStyle w:val="TableContents"/>
              <w:bidi w:val="0"/>
              <w:spacing w:before="0" w:after="283"/>
              <w:jc w:val="center"/>
              <w:rPr/>
            </w:pPr>
            <w:r>
              <w:rPr/>
              <w:t> </w:t>
            </w:r>
            <w:r>
              <w:rPr>
                <w:b/>
              </w:rPr>
              <w:t>Involuntary Without Cause or </w:t>
              <w:br/>
              <w:t>Voluntary With Good Reason</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160" w:type="dxa"/>
            <w:gridSpan w:val="2"/>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160" w:type="dxa"/>
            <w:gridSpan w:val="2"/>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295" w:type="dxa"/>
            <w:gridSpan w:val="2"/>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160" w:type="dxa"/>
            <w:gridSpan w:val="2"/>
            <w:tcBorders/>
            <w:shd w:fill="FDEEF1" w:val="clear"/>
            <w:vAlign w:val="center"/>
          </w:tcPr>
          <w:p>
            <w:pPr>
              <w:pStyle w:val="TableContents"/>
              <w:bidi w:val="0"/>
              <w:spacing w:before="0" w:after="283"/>
              <w:jc w:val="left"/>
              <w:rPr/>
            </w:pPr>
            <w:r>
              <w:rPr/>
              <w:t> </w:t>
            </w:r>
          </w:p>
        </w:tc>
        <w:tc>
          <w:tcPr>
            <w:tcW w:w="79" w:type="dxa"/>
            <w:tcBorders/>
            <w:shd w:fill="FDEEF1" w:val="clear"/>
            <w:vAlign w:val="center"/>
          </w:tcPr>
          <w:p>
            <w:pPr>
              <w:pStyle w:val="TableContents"/>
              <w:bidi w:val="0"/>
              <w:spacing w:before="0" w:after="283"/>
              <w:jc w:val="left"/>
              <w:rPr/>
            </w:pPr>
            <w:r>
              <w:rPr/>
              <w:t> </w:t>
            </w:r>
          </w:p>
        </w:tc>
      </w:tr>
      <w:tr>
        <w:trPr/>
        <w:tc>
          <w:tcPr>
            <w:tcW w:w="1398" w:type="dxa"/>
            <w:tcBorders/>
            <w:shd w:fill="FDEEF1" w:val="clear"/>
            <w:vAlign w:val="center"/>
          </w:tcPr>
          <w:p>
            <w:pPr>
              <w:pStyle w:val="TableContents"/>
              <w:bidi w:val="0"/>
              <w:spacing w:before="0" w:after="283"/>
              <w:jc w:val="left"/>
              <w:rPr>
                <w:sz w:val="4"/>
                <w:szCs w:val="4"/>
              </w:rPr>
            </w:pPr>
            <w:r>
              <w:rPr>
                <w:sz w:val="4"/>
                <w:szCs w:val="4"/>
              </w:rPr>
            </w:r>
          </w:p>
        </w:tc>
        <w:tc>
          <w:tcPr>
            <w:tcW w:w="1677" w:type="dxa"/>
            <w:gridSpan w:val="4"/>
            <w:tcBorders/>
            <w:shd w:fill="FDEEF1" w:val="clear"/>
            <w:vAlign w:val="center"/>
          </w:tcPr>
          <w:p>
            <w:pPr>
              <w:pStyle w:val="TableContents"/>
              <w:bidi w:val="0"/>
              <w:spacing w:before="0" w:after="283"/>
              <w:jc w:val="left"/>
              <w:rPr>
                <w:sz w:val="4"/>
                <w:szCs w:val="4"/>
              </w:rPr>
            </w:pPr>
            <w:r>
              <w:rPr>
                <w:sz w:val="4"/>
                <w:szCs w:val="4"/>
              </w:rPr>
            </w:r>
          </w:p>
        </w:tc>
        <w:tc>
          <w:tcPr>
            <w:tcW w:w="1856" w:type="dxa"/>
            <w:gridSpan w:val="4"/>
            <w:tcBorders/>
            <w:shd w:fill="FDEEF1" w:val="clear"/>
            <w:vAlign w:val="center"/>
          </w:tcPr>
          <w:p>
            <w:pPr>
              <w:pStyle w:val="TableContents"/>
              <w:bidi w:val="0"/>
              <w:spacing w:before="0" w:after="283"/>
              <w:jc w:val="left"/>
              <w:rPr>
                <w:sz w:val="4"/>
                <w:szCs w:val="4"/>
              </w:rPr>
            </w:pPr>
            <w:r>
              <w:rPr>
                <w:sz w:val="4"/>
                <w:szCs w:val="4"/>
              </w:rPr>
            </w:r>
          </w:p>
        </w:tc>
        <w:tc>
          <w:tcPr>
            <w:tcW w:w="1280" w:type="dxa"/>
            <w:gridSpan w:val="4"/>
            <w:tcBorders/>
            <w:shd w:fill="FDEEF1" w:val="clear"/>
            <w:vAlign w:val="center"/>
          </w:tcPr>
          <w:p>
            <w:pPr>
              <w:pStyle w:val="TableContents"/>
              <w:bidi w:val="0"/>
              <w:spacing w:before="0" w:after="283"/>
              <w:jc w:val="left"/>
              <w:rPr>
                <w:sz w:val="4"/>
                <w:szCs w:val="4"/>
              </w:rPr>
            </w:pPr>
            <w:r>
              <w:rPr>
                <w:sz w:val="4"/>
                <w:szCs w:val="4"/>
              </w:rPr>
            </w:r>
          </w:p>
        </w:tc>
        <w:tc>
          <w:tcPr>
            <w:tcW w:w="1280" w:type="dxa"/>
            <w:gridSpan w:val="4"/>
            <w:tcBorders/>
            <w:shd w:fill="FDEEF1" w:val="clear"/>
            <w:vAlign w:val="center"/>
          </w:tcPr>
          <w:p>
            <w:pPr>
              <w:pStyle w:val="TableContents"/>
              <w:bidi w:val="0"/>
              <w:spacing w:before="0" w:after="283"/>
              <w:jc w:val="left"/>
              <w:rPr>
                <w:sz w:val="4"/>
                <w:szCs w:val="4"/>
              </w:rPr>
            </w:pPr>
            <w:r>
              <w:rPr>
                <w:sz w:val="4"/>
                <w:szCs w:val="4"/>
              </w:rPr>
            </w:r>
          </w:p>
        </w:tc>
        <w:tc>
          <w:tcPr>
            <w:tcW w:w="1415" w:type="dxa"/>
            <w:gridSpan w:val="4"/>
            <w:tcBorders/>
            <w:shd w:fill="FDEEF1" w:val="clear"/>
            <w:vAlign w:val="center"/>
          </w:tcPr>
          <w:p>
            <w:pPr>
              <w:pStyle w:val="TableContents"/>
              <w:bidi w:val="0"/>
              <w:spacing w:before="0" w:after="283"/>
              <w:jc w:val="left"/>
              <w:rPr>
                <w:sz w:val="4"/>
                <w:szCs w:val="4"/>
              </w:rPr>
            </w:pPr>
            <w:r>
              <w:rPr>
                <w:sz w:val="4"/>
                <w:szCs w:val="4"/>
              </w:rPr>
            </w:r>
          </w:p>
        </w:tc>
        <w:tc>
          <w:tcPr>
            <w:tcW w:w="1299" w:type="dxa"/>
            <w:gridSpan w:val="4"/>
            <w:tcBorders/>
            <w:shd w:fill="FDEEF1" w:val="clear"/>
            <w:vAlign w:val="center"/>
          </w:tcPr>
          <w:p>
            <w:pPr>
              <w:pStyle w:val="TableContents"/>
              <w:bidi w:val="0"/>
              <w:spacing w:before="0" w:after="283"/>
              <w:jc w:val="left"/>
              <w:rPr>
                <w:sz w:val="4"/>
                <w:szCs w:val="4"/>
              </w:rPr>
            </w:pPr>
            <w:r>
              <w:rPr>
                <w:sz w:val="4"/>
                <w:szCs w:val="4"/>
              </w:rPr>
            </w:r>
          </w:p>
        </w:tc>
      </w:tr>
      <w:tr>
        <w:trPr/>
        <w:tc>
          <w:tcPr>
            <w:tcW w:w="1398" w:type="dxa"/>
            <w:tcBorders/>
            <w:shd w:fill="FDEEF1" w:val="clear"/>
            <w:vAlign w:val="center"/>
          </w:tcPr>
          <w:p>
            <w:pPr>
              <w:pStyle w:val="TableContents"/>
              <w:bidi w:val="0"/>
              <w:jc w:val="left"/>
              <w:rPr/>
            </w:pPr>
            <w:r>
              <w:rPr/>
              <w:t> </w:t>
            </w:r>
          </w:p>
          <w:p>
            <w:pPr>
              <w:pStyle w:val="TableContents"/>
              <w:bidi w:val="0"/>
              <w:spacing w:before="0" w:after="0"/>
              <w:jc w:val="left"/>
              <w:rPr/>
            </w:pPr>
            <w:r>
              <w:rPr/>
              <w:t> </w:t>
            </w:r>
          </w:p>
        </w:tc>
        <w:tc>
          <w:tcPr>
            <w:tcW w:w="60" w:type="dxa"/>
            <w:tcBorders/>
            <w:shd w:fill="FDEEF1" w:val="clear"/>
            <w:vAlign w:val="center"/>
          </w:tcPr>
          <w:p>
            <w:pPr>
              <w:pStyle w:val="TableContents"/>
              <w:bidi w:val="0"/>
              <w:spacing w:before="0" w:after="283"/>
              <w:jc w:val="left"/>
              <w:rPr/>
            </w:pPr>
            <w:r>
              <w:rPr/>
              <w:t> </w:t>
            </w:r>
          </w:p>
        </w:tc>
        <w:tc>
          <w:tcPr>
            <w:tcW w:w="1530" w:type="dxa"/>
            <w:gridSpan w:val="2"/>
            <w:tcBorders/>
            <w:shd w:fill="FDEEF1" w:val="clear"/>
            <w:vAlign w:val="center"/>
          </w:tcPr>
          <w:p>
            <w:pPr>
              <w:pStyle w:val="TableContents"/>
              <w:bidi w:val="0"/>
              <w:spacing w:before="0" w:after="283"/>
              <w:jc w:val="center"/>
              <w:rPr>
                <w:b/>
              </w:rPr>
            </w:pPr>
            <w:r>
              <w:rPr>
                <w:b/>
              </w:rPr>
              <w:t>Without</w:t>
              <w:br/>
              <w:t>Release</w:t>
              <w:br/>
              <w:t>($)</w:t>
            </w:r>
          </w:p>
        </w:tc>
        <w:tc>
          <w:tcPr>
            <w:tcW w:w="87" w:type="dxa"/>
            <w:tcBorders/>
            <w:shd w:fill="FDEEF1" w:val="clear"/>
            <w:vAlign w:val="center"/>
          </w:tcPr>
          <w:p>
            <w:pPr>
              <w:pStyle w:val="TableContents"/>
              <w:bidi w:val="0"/>
              <w:spacing w:before="0" w:after="283"/>
              <w:jc w:val="left"/>
              <w:rPr/>
            </w:pPr>
            <w:r>
              <w:rPr/>
              <w:t> </w:t>
            </w:r>
          </w:p>
        </w:tc>
        <w:tc>
          <w:tcPr>
            <w:tcW w:w="87" w:type="dxa"/>
            <w:tcBorders/>
            <w:shd w:fill="FDEEF1" w:val="clear"/>
            <w:vAlign w:val="center"/>
          </w:tcPr>
          <w:p>
            <w:pPr>
              <w:pStyle w:val="TableContents"/>
              <w:bidi w:val="0"/>
              <w:spacing w:before="0" w:after="283"/>
              <w:jc w:val="left"/>
              <w:rPr/>
            </w:pPr>
            <w:r>
              <w:rPr/>
              <w:t> </w:t>
            </w:r>
          </w:p>
        </w:tc>
        <w:tc>
          <w:tcPr>
            <w:tcW w:w="1709" w:type="dxa"/>
            <w:gridSpan w:val="2"/>
            <w:tcBorders/>
            <w:shd w:fill="FDEEF1" w:val="clear"/>
            <w:vAlign w:val="center"/>
          </w:tcPr>
          <w:p>
            <w:pPr>
              <w:pStyle w:val="TableContents"/>
              <w:bidi w:val="0"/>
              <w:spacing w:before="0" w:after="283"/>
              <w:jc w:val="center"/>
              <w:rPr>
                <w:b/>
              </w:rPr>
            </w:pPr>
            <w:r>
              <w:rPr>
                <w:b/>
              </w:rPr>
              <w:t>With Release</w:t>
              <w:br/>
              <w:t>($)</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160" w:type="dxa"/>
            <w:gridSpan w:val="2"/>
            <w:tcBorders/>
            <w:shd w:fill="FDEEF1" w:val="clear"/>
            <w:vAlign w:val="center"/>
          </w:tcPr>
          <w:p>
            <w:pPr>
              <w:pStyle w:val="TableContents"/>
              <w:bidi w:val="0"/>
              <w:spacing w:before="0" w:after="283"/>
              <w:jc w:val="center"/>
              <w:rPr>
                <w:b/>
              </w:rPr>
            </w:pPr>
            <w:r>
              <w:rPr>
                <w:b/>
              </w:rPr>
              <w:t>Death</w:t>
              <w:br/>
              <w:t>($)(1)</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160" w:type="dxa"/>
            <w:gridSpan w:val="2"/>
            <w:tcBorders/>
            <w:shd w:fill="FDEEF1" w:val="clear"/>
            <w:vAlign w:val="center"/>
          </w:tcPr>
          <w:p>
            <w:pPr>
              <w:pStyle w:val="TableContents"/>
              <w:bidi w:val="0"/>
              <w:spacing w:before="0" w:after="283"/>
              <w:jc w:val="center"/>
              <w:rPr>
                <w:b/>
              </w:rPr>
            </w:pPr>
            <w:r>
              <w:rPr>
                <w:b/>
              </w:rPr>
              <w:t>Disability</w:t>
              <w:br/>
              <w:t>($)</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295" w:type="dxa"/>
            <w:gridSpan w:val="2"/>
            <w:tcBorders/>
            <w:shd w:fill="FDEEF1" w:val="clear"/>
            <w:vAlign w:val="center"/>
          </w:tcPr>
          <w:p>
            <w:pPr>
              <w:pStyle w:val="TableContents"/>
              <w:bidi w:val="0"/>
              <w:spacing w:before="0" w:after="283"/>
              <w:jc w:val="center"/>
              <w:rPr>
                <w:b/>
              </w:rPr>
            </w:pPr>
            <w:r>
              <w:rPr>
                <w:b/>
              </w:rPr>
              <w:t>Termination</w:t>
              <w:br/>
              <w:t>Following</w:t>
              <w:br/>
              <w:t>Change of</w:t>
              <w:br/>
              <w:t>Control</w:t>
              <w:br/>
              <w:t>($)</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160" w:type="dxa"/>
            <w:gridSpan w:val="2"/>
            <w:tcBorders/>
            <w:shd w:fill="FDEEF1" w:val="clear"/>
            <w:vAlign w:val="center"/>
          </w:tcPr>
          <w:p>
            <w:pPr>
              <w:pStyle w:val="TableContents"/>
              <w:bidi w:val="0"/>
              <w:spacing w:before="0" w:after="283"/>
              <w:jc w:val="center"/>
              <w:rPr>
                <w:b/>
              </w:rPr>
            </w:pPr>
            <w:r>
              <w:rPr>
                <w:b/>
              </w:rPr>
              <w:t>Retirement</w:t>
              <w:br/>
              <w:t>($)(2)</w:t>
            </w:r>
          </w:p>
        </w:tc>
        <w:tc>
          <w:tcPr>
            <w:tcW w:w="79" w:type="dxa"/>
            <w:tcBorders/>
            <w:shd w:fill="FDEEF1" w:val="clear"/>
            <w:vAlign w:val="center"/>
          </w:tcPr>
          <w:p>
            <w:pPr>
              <w:pStyle w:val="TableContents"/>
              <w:bidi w:val="0"/>
              <w:spacing w:before="0" w:after="283"/>
              <w:jc w:val="left"/>
              <w:rPr/>
            </w:pPr>
            <w:r>
              <w:rPr/>
              <w:t> </w:t>
            </w:r>
          </w:p>
        </w:tc>
      </w:tr>
      <w:tr>
        <w:trPr/>
        <w:tc>
          <w:tcPr>
            <w:tcW w:w="1398" w:type="dxa"/>
            <w:tcBorders/>
            <w:vAlign w:val="center"/>
          </w:tcPr>
          <w:p>
            <w:pPr>
              <w:pStyle w:val="TableContents"/>
              <w:bidi w:val="0"/>
              <w:spacing w:before="0" w:after="283"/>
              <w:jc w:val="left"/>
              <w:rPr>
                <w:sz w:val="4"/>
                <w:szCs w:val="4"/>
              </w:rPr>
            </w:pPr>
            <w:r>
              <w:rPr>
                <w:sz w:val="4"/>
                <w:szCs w:val="4"/>
              </w:rPr>
            </w:r>
          </w:p>
        </w:tc>
        <w:tc>
          <w:tcPr>
            <w:tcW w:w="1677" w:type="dxa"/>
            <w:gridSpan w:val="4"/>
            <w:tcBorders/>
            <w:vAlign w:val="center"/>
          </w:tcPr>
          <w:p>
            <w:pPr>
              <w:pStyle w:val="TableContents"/>
              <w:bidi w:val="0"/>
              <w:spacing w:before="0" w:after="283"/>
              <w:jc w:val="left"/>
              <w:rPr>
                <w:sz w:val="4"/>
                <w:szCs w:val="4"/>
              </w:rPr>
            </w:pPr>
            <w:r>
              <w:rPr>
                <w:sz w:val="4"/>
                <w:szCs w:val="4"/>
              </w:rPr>
            </w:r>
          </w:p>
        </w:tc>
        <w:tc>
          <w:tcPr>
            <w:tcW w:w="1856"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299" w:type="dxa"/>
            <w:gridSpan w:val="4"/>
            <w:tcBorders/>
            <w:vAlign w:val="center"/>
          </w:tcPr>
          <w:p>
            <w:pPr>
              <w:pStyle w:val="TableContents"/>
              <w:bidi w:val="0"/>
              <w:spacing w:before="0" w:after="283"/>
              <w:jc w:val="left"/>
              <w:rPr>
                <w:sz w:val="4"/>
                <w:szCs w:val="4"/>
              </w:rPr>
            </w:pPr>
            <w:r>
              <w:rPr>
                <w:sz w:val="4"/>
                <w:szCs w:val="4"/>
              </w:rPr>
            </w:r>
          </w:p>
        </w:tc>
      </w:tr>
      <w:tr>
        <w:trPr/>
        <w:tc>
          <w:tcPr>
            <w:tcW w:w="1398"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Base Salary</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7" w:type="dxa"/>
            <w:tcBorders>
              <w:bottom w:val="single" w:sz="6" w:space="0" w:color="FBDDE3"/>
            </w:tcBorders>
            <w:tcMar>
              <w:bottom w:w="60" w:type="dxa"/>
            </w:tcMar>
            <w:vAlign w:val="center"/>
          </w:tcPr>
          <w:p>
            <w:pPr>
              <w:pStyle w:val="TableContents"/>
              <w:bidi w:val="0"/>
              <w:spacing w:before="0" w:after="283"/>
              <w:jc w:val="left"/>
              <w:rPr/>
            </w:pPr>
            <w:r>
              <w:rPr/>
              <w:t> </w:t>
            </w:r>
          </w:p>
        </w:tc>
        <w:tc>
          <w:tcPr>
            <w:tcW w:w="1443" w:type="dxa"/>
            <w:tcBorders>
              <w:bottom w:val="single" w:sz="6" w:space="0" w:color="FBDDE3"/>
            </w:tcBorders>
            <w:tcMar>
              <w:bottom w:w="60" w:type="dxa"/>
            </w:tcMar>
            <w:vAlign w:val="center"/>
          </w:tcPr>
          <w:p>
            <w:pPr>
              <w:pStyle w:val="TableContents"/>
              <w:bidi w:val="0"/>
              <w:spacing w:before="0" w:after="283"/>
              <w:jc w:val="right"/>
              <w:rPr/>
            </w:pPr>
            <w:r>
              <w:rPr/>
              <w:t>1,250,000</w:t>
            </w:r>
          </w:p>
        </w:tc>
        <w:tc>
          <w:tcPr>
            <w:tcW w:w="87" w:type="dxa"/>
            <w:tcBorders>
              <w:bottom w:val="single" w:sz="6" w:space="0" w:color="FBDDE3"/>
            </w:tcBorders>
            <w:tcMar>
              <w:bottom w:w="60" w:type="dxa"/>
            </w:tcMar>
            <w:vAlign w:val="center"/>
          </w:tcPr>
          <w:p>
            <w:pPr>
              <w:pStyle w:val="TableContents"/>
              <w:bidi w:val="0"/>
              <w:spacing w:before="0" w:after="283"/>
              <w:jc w:val="left"/>
              <w:rPr/>
            </w:pPr>
            <w:r>
              <w:rPr/>
              <w:t> </w:t>
            </w:r>
          </w:p>
        </w:tc>
        <w:tc>
          <w:tcPr>
            <w:tcW w:w="87" w:type="dxa"/>
            <w:tcBorders>
              <w:bottom w:val="single" w:sz="6" w:space="0" w:color="FBDDE3"/>
            </w:tcBorders>
            <w:tcMar>
              <w:bottom w:w="28" w:type="dxa"/>
            </w:tcMar>
            <w:vAlign w:val="center"/>
          </w:tcPr>
          <w:p>
            <w:pPr>
              <w:pStyle w:val="TableContents"/>
              <w:bidi w:val="0"/>
              <w:spacing w:before="0" w:after="283"/>
              <w:jc w:val="left"/>
              <w:rPr/>
            </w:pPr>
            <w:r>
              <w:rPr/>
              <w:t> </w:t>
            </w:r>
          </w:p>
        </w:tc>
        <w:tc>
          <w:tcPr>
            <w:tcW w:w="87" w:type="dxa"/>
            <w:tcBorders>
              <w:bottom w:val="single" w:sz="6" w:space="0" w:color="FBDDE3"/>
            </w:tcBorders>
            <w:tcMar>
              <w:bottom w:w="60" w:type="dxa"/>
            </w:tcMar>
            <w:vAlign w:val="center"/>
          </w:tcPr>
          <w:p>
            <w:pPr>
              <w:pStyle w:val="TableContents"/>
              <w:bidi w:val="0"/>
              <w:spacing w:before="0" w:after="283"/>
              <w:jc w:val="left"/>
              <w:rPr/>
            </w:pPr>
            <w:r>
              <w:rPr/>
              <w:t> </w:t>
            </w:r>
          </w:p>
        </w:tc>
        <w:tc>
          <w:tcPr>
            <w:tcW w:w="1622" w:type="dxa"/>
            <w:tcBorders>
              <w:bottom w:val="single" w:sz="6" w:space="0" w:color="FBDDE3"/>
            </w:tcBorders>
            <w:tcMar>
              <w:bottom w:w="60" w:type="dxa"/>
            </w:tcMar>
            <w:vAlign w:val="center"/>
          </w:tcPr>
          <w:p>
            <w:pPr>
              <w:pStyle w:val="TableContents"/>
              <w:bidi w:val="0"/>
              <w:spacing w:before="0" w:after="283"/>
              <w:jc w:val="right"/>
              <w:rPr/>
            </w:pPr>
            <w:r>
              <w:rPr/>
              <w:t>2,500,000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612,500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6" w:type="dxa"/>
            <w:tcBorders>
              <w:bottom w:val="single" w:sz="6" w:space="0" w:color="FBDDE3"/>
            </w:tcBorders>
            <w:tcMar>
              <w:bottom w:w="60" w:type="dxa"/>
            </w:tcMar>
            <w:vAlign w:val="center"/>
          </w:tcPr>
          <w:p>
            <w:pPr>
              <w:pStyle w:val="TableContents"/>
              <w:bidi w:val="0"/>
              <w:spacing w:before="0" w:after="283"/>
              <w:jc w:val="left"/>
              <w:rPr/>
            </w:pPr>
            <w:r>
              <w:rPr/>
              <w:t> </w:t>
            </w:r>
          </w:p>
        </w:tc>
        <w:tc>
          <w:tcPr>
            <w:tcW w:w="1229" w:type="dxa"/>
            <w:tcBorders>
              <w:bottom w:val="single" w:sz="6" w:space="0" w:color="FBDDE3"/>
            </w:tcBorders>
            <w:tcMar>
              <w:bottom w:w="60" w:type="dxa"/>
            </w:tcMar>
            <w:vAlign w:val="center"/>
          </w:tcPr>
          <w:p>
            <w:pPr>
              <w:pStyle w:val="TableContents"/>
              <w:bidi w:val="0"/>
              <w:spacing w:before="0" w:after="283"/>
              <w:jc w:val="right"/>
              <w:rPr/>
            </w:pPr>
            <w:r>
              <w:rPr/>
              <w:t>3,750,000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6" w:type="dxa"/>
            <w:tcBorders>
              <w:bottom w:val="single" w:sz="6" w:space="0" w:color="FBDDE3"/>
            </w:tcBorders>
            <w:tcMar>
              <w:bottom w:w="60" w:type="dxa"/>
            </w:tcMar>
            <w:vAlign w:val="center"/>
          </w:tcPr>
          <w:p>
            <w:pPr>
              <w:pStyle w:val="TableContents"/>
              <w:bidi w:val="0"/>
              <w:spacing w:before="0" w:after="283"/>
              <w:jc w:val="left"/>
              <w:rPr/>
            </w:pPr>
            <w:r>
              <w:rPr/>
              <w:t> </w:t>
            </w:r>
          </w:p>
        </w:tc>
        <w:tc>
          <w:tcPr>
            <w:tcW w:w="1094" w:type="dxa"/>
            <w:tcBorders>
              <w:bottom w:val="single" w:sz="6" w:space="0" w:color="FBDDE3"/>
            </w:tcBorders>
            <w:tcMar>
              <w:bottom w:w="60" w:type="dxa"/>
            </w:tcMar>
            <w:vAlign w:val="center"/>
          </w:tcPr>
          <w:p>
            <w:pPr>
              <w:pStyle w:val="TableContents"/>
              <w:bidi w:val="0"/>
              <w:spacing w:before="0" w:after="283"/>
              <w:jc w:val="right"/>
              <w:rPr/>
            </w:pPr>
            <w:r>
              <w:rPr/>
              <w:t>–</w:t>
            </w:r>
          </w:p>
        </w:tc>
        <w:tc>
          <w:tcPr>
            <w:tcW w:w="79"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398" w:type="dxa"/>
            <w:tcBorders/>
            <w:vAlign w:val="center"/>
          </w:tcPr>
          <w:p>
            <w:pPr>
              <w:pStyle w:val="TableContents"/>
              <w:bidi w:val="0"/>
              <w:spacing w:before="0" w:after="283"/>
              <w:jc w:val="left"/>
              <w:rPr>
                <w:sz w:val="4"/>
                <w:szCs w:val="4"/>
              </w:rPr>
            </w:pPr>
            <w:r>
              <w:rPr>
                <w:sz w:val="4"/>
                <w:szCs w:val="4"/>
              </w:rPr>
            </w:r>
          </w:p>
        </w:tc>
        <w:tc>
          <w:tcPr>
            <w:tcW w:w="1677" w:type="dxa"/>
            <w:gridSpan w:val="4"/>
            <w:tcBorders/>
            <w:vAlign w:val="center"/>
          </w:tcPr>
          <w:p>
            <w:pPr>
              <w:pStyle w:val="TableContents"/>
              <w:bidi w:val="0"/>
              <w:spacing w:before="0" w:after="283"/>
              <w:jc w:val="left"/>
              <w:rPr>
                <w:sz w:val="4"/>
                <w:szCs w:val="4"/>
              </w:rPr>
            </w:pPr>
            <w:r>
              <w:rPr>
                <w:sz w:val="4"/>
                <w:szCs w:val="4"/>
              </w:rPr>
            </w:r>
          </w:p>
        </w:tc>
        <w:tc>
          <w:tcPr>
            <w:tcW w:w="1856"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299" w:type="dxa"/>
            <w:gridSpan w:val="4"/>
            <w:tcBorders/>
            <w:vAlign w:val="center"/>
          </w:tcPr>
          <w:p>
            <w:pPr>
              <w:pStyle w:val="TableContents"/>
              <w:bidi w:val="0"/>
              <w:spacing w:before="0" w:after="283"/>
              <w:jc w:val="left"/>
              <w:rPr>
                <w:sz w:val="4"/>
                <w:szCs w:val="4"/>
              </w:rPr>
            </w:pPr>
            <w:r>
              <w:rPr>
                <w:sz w:val="4"/>
                <w:szCs w:val="4"/>
              </w:rPr>
            </w:r>
          </w:p>
        </w:tc>
      </w:tr>
      <w:tr>
        <w:trPr/>
        <w:tc>
          <w:tcPr>
            <w:tcW w:w="1398"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Bonus(3)</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7" w:type="dxa"/>
            <w:tcBorders>
              <w:bottom w:val="single" w:sz="6" w:space="0" w:color="FBDDE3"/>
            </w:tcBorders>
            <w:tcMar>
              <w:bottom w:w="60" w:type="dxa"/>
            </w:tcMar>
            <w:vAlign w:val="center"/>
          </w:tcPr>
          <w:p>
            <w:pPr>
              <w:pStyle w:val="TableContents"/>
              <w:bidi w:val="0"/>
              <w:spacing w:before="0" w:after="283"/>
              <w:jc w:val="left"/>
              <w:rPr/>
            </w:pPr>
            <w:r>
              <w:rPr/>
              <w:t> </w:t>
            </w:r>
          </w:p>
        </w:tc>
        <w:tc>
          <w:tcPr>
            <w:tcW w:w="1443" w:type="dxa"/>
            <w:tcBorders>
              <w:bottom w:val="single" w:sz="6" w:space="0" w:color="FBDDE3"/>
            </w:tcBorders>
            <w:tcMar>
              <w:bottom w:w="60" w:type="dxa"/>
            </w:tcMar>
            <w:vAlign w:val="center"/>
          </w:tcPr>
          <w:p>
            <w:pPr>
              <w:pStyle w:val="TableContents"/>
              <w:bidi w:val="0"/>
              <w:spacing w:before="0" w:after="283"/>
              <w:jc w:val="right"/>
              <w:rPr/>
            </w:pPr>
            <w:r>
              <w:rPr/>
              <w:t>–</w:t>
            </w:r>
          </w:p>
        </w:tc>
        <w:tc>
          <w:tcPr>
            <w:tcW w:w="87" w:type="dxa"/>
            <w:tcBorders>
              <w:bottom w:val="single" w:sz="6" w:space="0" w:color="FBDDE3"/>
            </w:tcBorders>
            <w:tcMar>
              <w:bottom w:w="60" w:type="dxa"/>
            </w:tcMar>
            <w:vAlign w:val="center"/>
          </w:tcPr>
          <w:p>
            <w:pPr>
              <w:pStyle w:val="TableContents"/>
              <w:bidi w:val="0"/>
              <w:spacing w:before="0" w:after="283"/>
              <w:jc w:val="left"/>
              <w:rPr/>
            </w:pPr>
            <w:r>
              <w:rPr/>
              <w:t> </w:t>
            </w:r>
          </w:p>
        </w:tc>
        <w:tc>
          <w:tcPr>
            <w:tcW w:w="87" w:type="dxa"/>
            <w:tcBorders>
              <w:bottom w:val="single" w:sz="6" w:space="0" w:color="FBDDE3"/>
            </w:tcBorders>
            <w:tcMar>
              <w:bottom w:w="28" w:type="dxa"/>
            </w:tcMar>
            <w:vAlign w:val="center"/>
          </w:tcPr>
          <w:p>
            <w:pPr>
              <w:pStyle w:val="TableContents"/>
              <w:bidi w:val="0"/>
              <w:spacing w:before="0" w:after="283"/>
              <w:jc w:val="left"/>
              <w:rPr/>
            </w:pPr>
            <w:r>
              <w:rPr/>
              <w:t> </w:t>
            </w:r>
          </w:p>
        </w:tc>
        <w:tc>
          <w:tcPr>
            <w:tcW w:w="87" w:type="dxa"/>
            <w:tcBorders>
              <w:bottom w:val="single" w:sz="6" w:space="0" w:color="FBDDE3"/>
            </w:tcBorders>
            <w:tcMar>
              <w:bottom w:w="60" w:type="dxa"/>
            </w:tcMar>
            <w:vAlign w:val="center"/>
          </w:tcPr>
          <w:p>
            <w:pPr>
              <w:pStyle w:val="TableContents"/>
              <w:bidi w:val="0"/>
              <w:spacing w:before="0" w:after="283"/>
              <w:jc w:val="left"/>
              <w:rPr/>
            </w:pPr>
            <w:r>
              <w:rPr/>
              <w:t> </w:t>
            </w:r>
          </w:p>
        </w:tc>
        <w:tc>
          <w:tcPr>
            <w:tcW w:w="1622" w:type="dxa"/>
            <w:tcBorders>
              <w:bottom w:val="single" w:sz="6" w:space="0" w:color="FBDDE3"/>
            </w:tcBorders>
            <w:tcMar>
              <w:bottom w:w="60" w:type="dxa"/>
            </w:tcMar>
            <w:vAlign w:val="center"/>
          </w:tcPr>
          <w:p>
            <w:pPr>
              <w:pStyle w:val="TableContents"/>
              <w:bidi w:val="0"/>
              <w:spacing w:before="0" w:after="283"/>
              <w:jc w:val="right"/>
              <w:rPr/>
            </w:pPr>
            <w:r>
              <w:rPr/>
              <w:t>2,250,000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1,575,000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1,575,000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6" w:type="dxa"/>
            <w:tcBorders>
              <w:bottom w:val="single" w:sz="6" w:space="0" w:color="FBDDE3"/>
            </w:tcBorders>
            <w:tcMar>
              <w:bottom w:w="60" w:type="dxa"/>
            </w:tcMar>
            <w:vAlign w:val="center"/>
          </w:tcPr>
          <w:p>
            <w:pPr>
              <w:pStyle w:val="TableContents"/>
              <w:bidi w:val="0"/>
              <w:spacing w:before="0" w:after="283"/>
              <w:jc w:val="left"/>
              <w:rPr/>
            </w:pPr>
            <w:r>
              <w:rPr/>
              <w:t> </w:t>
            </w:r>
          </w:p>
        </w:tc>
        <w:tc>
          <w:tcPr>
            <w:tcW w:w="1229" w:type="dxa"/>
            <w:tcBorders>
              <w:bottom w:val="single" w:sz="6" w:space="0" w:color="FBDDE3"/>
            </w:tcBorders>
            <w:tcMar>
              <w:bottom w:w="60" w:type="dxa"/>
            </w:tcMar>
            <w:vAlign w:val="center"/>
          </w:tcPr>
          <w:p>
            <w:pPr>
              <w:pStyle w:val="TableContents"/>
              <w:bidi w:val="0"/>
              <w:spacing w:before="0" w:after="283"/>
              <w:jc w:val="right"/>
              <w:rPr/>
            </w:pPr>
            <w:r>
              <w:rPr/>
              <w:t>8,325,000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6" w:type="dxa"/>
            <w:tcBorders>
              <w:bottom w:val="single" w:sz="6" w:space="0" w:color="FBDDE3"/>
            </w:tcBorders>
            <w:tcMar>
              <w:bottom w:w="60" w:type="dxa"/>
            </w:tcMar>
            <w:vAlign w:val="center"/>
          </w:tcPr>
          <w:p>
            <w:pPr>
              <w:pStyle w:val="TableContents"/>
              <w:bidi w:val="0"/>
              <w:spacing w:before="0" w:after="283"/>
              <w:jc w:val="left"/>
              <w:rPr/>
            </w:pPr>
            <w:r>
              <w:rPr/>
              <w:t> </w:t>
            </w:r>
          </w:p>
        </w:tc>
        <w:tc>
          <w:tcPr>
            <w:tcW w:w="1094" w:type="dxa"/>
            <w:tcBorders>
              <w:bottom w:val="single" w:sz="6" w:space="0" w:color="FBDDE3"/>
            </w:tcBorders>
            <w:tcMar>
              <w:bottom w:w="60" w:type="dxa"/>
            </w:tcMar>
            <w:vAlign w:val="center"/>
          </w:tcPr>
          <w:p>
            <w:pPr>
              <w:pStyle w:val="TableContents"/>
              <w:bidi w:val="0"/>
              <w:spacing w:before="0" w:after="283"/>
              <w:jc w:val="right"/>
              <w:rPr/>
            </w:pPr>
            <w:r>
              <w:rPr/>
              <w:t>–</w:t>
            </w:r>
          </w:p>
        </w:tc>
        <w:tc>
          <w:tcPr>
            <w:tcW w:w="79"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398" w:type="dxa"/>
            <w:tcBorders/>
            <w:vAlign w:val="center"/>
          </w:tcPr>
          <w:p>
            <w:pPr>
              <w:pStyle w:val="TableContents"/>
              <w:bidi w:val="0"/>
              <w:spacing w:before="0" w:after="283"/>
              <w:jc w:val="left"/>
              <w:rPr>
                <w:sz w:val="4"/>
                <w:szCs w:val="4"/>
              </w:rPr>
            </w:pPr>
            <w:r>
              <w:rPr>
                <w:sz w:val="4"/>
                <w:szCs w:val="4"/>
              </w:rPr>
            </w:r>
          </w:p>
        </w:tc>
        <w:tc>
          <w:tcPr>
            <w:tcW w:w="1677" w:type="dxa"/>
            <w:gridSpan w:val="4"/>
            <w:tcBorders/>
            <w:vAlign w:val="center"/>
          </w:tcPr>
          <w:p>
            <w:pPr>
              <w:pStyle w:val="TableContents"/>
              <w:bidi w:val="0"/>
              <w:spacing w:before="0" w:after="283"/>
              <w:jc w:val="left"/>
              <w:rPr>
                <w:sz w:val="4"/>
                <w:szCs w:val="4"/>
              </w:rPr>
            </w:pPr>
            <w:r>
              <w:rPr>
                <w:sz w:val="4"/>
                <w:szCs w:val="4"/>
              </w:rPr>
            </w:r>
          </w:p>
        </w:tc>
        <w:tc>
          <w:tcPr>
            <w:tcW w:w="1856"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299" w:type="dxa"/>
            <w:gridSpan w:val="4"/>
            <w:tcBorders/>
            <w:vAlign w:val="center"/>
          </w:tcPr>
          <w:p>
            <w:pPr>
              <w:pStyle w:val="TableContents"/>
              <w:bidi w:val="0"/>
              <w:spacing w:before="0" w:after="283"/>
              <w:jc w:val="left"/>
              <w:rPr>
                <w:sz w:val="4"/>
                <w:szCs w:val="4"/>
              </w:rPr>
            </w:pPr>
            <w:r>
              <w:rPr>
                <w:sz w:val="4"/>
                <w:szCs w:val="4"/>
              </w:rPr>
            </w:r>
          </w:p>
        </w:tc>
      </w:tr>
      <w:tr>
        <w:trPr/>
        <w:tc>
          <w:tcPr>
            <w:tcW w:w="1398"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Long-Term Incentive Awards(4)</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7" w:type="dxa"/>
            <w:tcBorders>
              <w:bottom w:val="single" w:sz="6" w:space="0" w:color="FBDDE3"/>
            </w:tcBorders>
            <w:tcMar>
              <w:bottom w:w="60" w:type="dxa"/>
            </w:tcMar>
            <w:vAlign w:val="center"/>
          </w:tcPr>
          <w:p>
            <w:pPr>
              <w:pStyle w:val="TableContents"/>
              <w:bidi w:val="0"/>
              <w:spacing w:before="0" w:after="283"/>
              <w:jc w:val="left"/>
              <w:rPr/>
            </w:pPr>
            <w:r>
              <w:rPr/>
              <w:t> </w:t>
            </w:r>
          </w:p>
        </w:tc>
        <w:tc>
          <w:tcPr>
            <w:tcW w:w="1443" w:type="dxa"/>
            <w:tcBorders>
              <w:bottom w:val="single" w:sz="6" w:space="0" w:color="FBDDE3"/>
            </w:tcBorders>
            <w:tcMar>
              <w:bottom w:w="60" w:type="dxa"/>
            </w:tcMar>
            <w:vAlign w:val="center"/>
          </w:tcPr>
          <w:p>
            <w:pPr>
              <w:pStyle w:val="TableContents"/>
              <w:bidi w:val="0"/>
              <w:spacing w:before="0" w:after="283"/>
              <w:jc w:val="right"/>
              <w:rPr/>
            </w:pPr>
            <w:r>
              <w:rPr/>
              <w:t>–</w:t>
            </w:r>
          </w:p>
        </w:tc>
        <w:tc>
          <w:tcPr>
            <w:tcW w:w="87" w:type="dxa"/>
            <w:tcBorders>
              <w:bottom w:val="single" w:sz="6" w:space="0" w:color="FBDDE3"/>
            </w:tcBorders>
            <w:tcMar>
              <w:bottom w:w="60" w:type="dxa"/>
            </w:tcMar>
            <w:vAlign w:val="center"/>
          </w:tcPr>
          <w:p>
            <w:pPr>
              <w:pStyle w:val="TableContents"/>
              <w:bidi w:val="0"/>
              <w:spacing w:before="0" w:after="283"/>
              <w:jc w:val="left"/>
              <w:rPr/>
            </w:pPr>
            <w:r>
              <w:rPr/>
              <w:t> </w:t>
            </w:r>
          </w:p>
        </w:tc>
        <w:tc>
          <w:tcPr>
            <w:tcW w:w="87" w:type="dxa"/>
            <w:tcBorders>
              <w:bottom w:val="single" w:sz="6" w:space="0" w:color="FBDDE3"/>
            </w:tcBorders>
            <w:tcMar>
              <w:bottom w:w="28" w:type="dxa"/>
            </w:tcMar>
            <w:vAlign w:val="center"/>
          </w:tcPr>
          <w:p>
            <w:pPr>
              <w:pStyle w:val="TableContents"/>
              <w:bidi w:val="0"/>
              <w:spacing w:before="0" w:after="283"/>
              <w:jc w:val="left"/>
              <w:rPr/>
            </w:pPr>
            <w:r>
              <w:rPr/>
              <w:t> </w:t>
            </w:r>
          </w:p>
        </w:tc>
        <w:tc>
          <w:tcPr>
            <w:tcW w:w="87" w:type="dxa"/>
            <w:tcBorders>
              <w:bottom w:val="single" w:sz="6" w:space="0" w:color="FBDDE3"/>
            </w:tcBorders>
            <w:tcMar>
              <w:bottom w:w="60" w:type="dxa"/>
            </w:tcMar>
            <w:vAlign w:val="center"/>
          </w:tcPr>
          <w:p>
            <w:pPr>
              <w:pStyle w:val="TableContents"/>
              <w:bidi w:val="0"/>
              <w:spacing w:before="0" w:after="283"/>
              <w:jc w:val="left"/>
              <w:rPr/>
            </w:pPr>
            <w:r>
              <w:rPr/>
              <w:t> </w:t>
            </w:r>
          </w:p>
        </w:tc>
        <w:tc>
          <w:tcPr>
            <w:tcW w:w="1622" w:type="dxa"/>
            <w:tcBorders>
              <w:bottom w:val="single" w:sz="6" w:space="0" w:color="FBDDE3"/>
            </w:tcBorders>
            <w:tcMar>
              <w:bottom w:w="60" w:type="dxa"/>
            </w:tcMar>
            <w:vAlign w:val="center"/>
          </w:tcPr>
          <w:p>
            <w:pPr>
              <w:pStyle w:val="TableContents"/>
              <w:bidi w:val="0"/>
              <w:spacing w:before="0" w:after="283"/>
              <w:jc w:val="right"/>
              <w:rPr/>
            </w:pPr>
            <w:r>
              <w:rPr/>
              <w:t>6,265,587</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12,334,063</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12,334,063</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6" w:type="dxa"/>
            <w:tcBorders>
              <w:bottom w:val="single" w:sz="6" w:space="0" w:color="FBDDE3"/>
            </w:tcBorders>
            <w:tcMar>
              <w:bottom w:w="60" w:type="dxa"/>
            </w:tcMar>
            <w:vAlign w:val="center"/>
          </w:tcPr>
          <w:p>
            <w:pPr>
              <w:pStyle w:val="TableContents"/>
              <w:bidi w:val="0"/>
              <w:spacing w:before="0" w:after="283"/>
              <w:jc w:val="left"/>
              <w:rPr/>
            </w:pPr>
            <w:r>
              <w:rPr/>
              <w:t> </w:t>
            </w:r>
          </w:p>
        </w:tc>
        <w:tc>
          <w:tcPr>
            <w:tcW w:w="1229" w:type="dxa"/>
            <w:tcBorders>
              <w:bottom w:val="single" w:sz="6" w:space="0" w:color="FBDDE3"/>
            </w:tcBorders>
            <w:tcMar>
              <w:bottom w:w="60" w:type="dxa"/>
            </w:tcMar>
            <w:vAlign w:val="center"/>
          </w:tcPr>
          <w:p>
            <w:pPr>
              <w:pStyle w:val="TableContents"/>
              <w:bidi w:val="0"/>
              <w:spacing w:before="0" w:after="283"/>
              <w:jc w:val="right"/>
              <w:rPr/>
            </w:pPr>
            <w:r>
              <w:rPr/>
              <w:t>22,662,782</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6" w:type="dxa"/>
            <w:tcBorders>
              <w:bottom w:val="single" w:sz="6" w:space="0" w:color="FBDDE3"/>
            </w:tcBorders>
            <w:tcMar>
              <w:bottom w:w="60" w:type="dxa"/>
            </w:tcMar>
            <w:vAlign w:val="center"/>
          </w:tcPr>
          <w:p>
            <w:pPr>
              <w:pStyle w:val="TableContents"/>
              <w:bidi w:val="0"/>
              <w:spacing w:before="0" w:after="283"/>
              <w:jc w:val="left"/>
              <w:rPr/>
            </w:pPr>
            <w:r>
              <w:rPr/>
              <w:t> </w:t>
            </w:r>
          </w:p>
        </w:tc>
        <w:tc>
          <w:tcPr>
            <w:tcW w:w="1094" w:type="dxa"/>
            <w:tcBorders>
              <w:bottom w:val="single" w:sz="6" w:space="0" w:color="FBDDE3"/>
            </w:tcBorders>
            <w:tcMar>
              <w:bottom w:w="60" w:type="dxa"/>
            </w:tcMar>
            <w:vAlign w:val="center"/>
          </w:tcPr>
          <w:p>
            <w:pPr>
              <w:pStyle w:val="TableContents"/>
              <w:bidi w:val="0"/>
              <w:spacing w:before="0" w:after="283"/>
              <w:jc w:val="right"/>
              <w:rPr/>
            </w:pPr>
            <w:r>
              <w:rPr/>
              <w:t>1,469,334</w:t>
            </w:r>
          </w:p>
        </w:tc>
        <w:tc>
          <w:tcPr>
            <w:tcW w:w="79"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398" w:type="dxa"/>
            <w:tcBorders/>
            <w:vAlign w:val="center"/>
          </w:tcPr>
          <w:p>
            <w:pPr>
              <w:pStyle w:val="TableContents"/>
              <w:bidi w:val="0"/>
              <w:spacing w:before="0" w:after="283"/>
              <w:jc w:val="left"/>
              <w:rPr>
                <w:sz w:val="4"/>
                <w:szCs w:val="4"/>
              </w:rPr>
            </w:pPr>
            <w:r>
              <w:rPr>
                <w:sz w:val="4"/>
                <w:szCs w:val="4"/>
              </w:rPr>
            </w:r>
          </w:p>
        </w:tc>
        <w:tc>
          <w:tcPr>
            <w:tcW w:w="1677" w:type="dxa"/>
            <w:gridSpan w:val="4"/>
            <w:tcBorders/>
            <w:vAlign w:val="center"/>
          </w:tcPr>
          <w:p>
            <w:pPr>
              <w:pStyle w:val="TableContents"/>
              <w:bidi w:val="0"/>
              <w:spacing w:before="0" w:after="283"/>
              <w:jc w:val="left"/>
              <w:rPr>
                <w:sz w:val="4"/>
                <w:szCs w:val="4"/>
              </w:rPr>
            </w:pPr>
            <w:r>
              <w:rPr>
                <w:sz w:val="4"/>
                <w:szCs w:val="4"/>
              </w:rPr>
            </w:r>
          </w:p>
        </w:tc>
        <w:tc>
          <w:tcPr>
            <w:tcW w:w="1856"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299" w:type="dxa"/>
            <w:gridSpan w:val="4"/>
            <w:tcBorders/>
            <w:vAlign w:val="center"/>
          </w:tcPr>
          <w:p>
            <w:pPr>
              <w:pStyle w:val="TableContents"/>
              <w:bidi w:val="0"/>
              <w:spacing w:before="0" w:after="283"/>
              <w:jc w:val="left"/>
              <w:rPr>
                <w:sz w:val="4"/>
                <w:szCs w:val="4"/>
              </w:rPr>
            </w:pPr>
            <w:r>
              <w:rPr>
                <w:sz w:val="4"/>
                <w:szCs w:val="4"/>
              </w:rPr>
            </w:r>
          </w:p>
        </w:tc>
      </w:tr>
      <w:tr>
        <w:trPr/>
        <w:tc>
          <w:tcPr>
            <w:tcW w:w="1398"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Benefits(5)</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7" w:type="dxa"/>
            <w:tcBorders>
              <w:bottom w:val="single" w:sz="6" w:space="0" w:color="FBDDE3"/>
            </w:tcBorders>
            <w:tcMar>
              <w:bottom w:w="60" w:type="dxa"/>
            </w:tcMar>
            <w:vAlign w:val="center"/>
          </w:tcPr>
          <w:p>
            <w:pPr>
              <w:pStyle w:val="TableContents"/>
              <w:bidi w:val="0"/>
              <w:spacing w:before="0" w:after="283"/>
              <w:jc w:val="left"/>
              <w:rPr/>
            </w:pPr>
            <w:r>
              <w:rPr/>
              <w:t> </w:t>
            </w:r>
          </w:p>
        </w:tc>
        <w:tc>
          <w:tcPr>
            <w:tcW w:w="1443" w:type="dxa"/>
            <w:tcBorders>
              <w:bottom w:val="single" w:sz="6" w:space="0" w:color="FBDDE3"/>
            </w:tcBorders>
            <w:tcMar>
              <w:bottom w:w="60" w:type="dxa"/>
            </w:tcMar>
            <w:vAlign w:val="center"/>
          </w:tcPr>
          <w:p>
            <w:pPr>
              <w:pStyle w:val="TableContents"/>
              <w:bidi w:val="0"/>
              <w:spacing w:before="0" w:after="283"/>
              <w:jc w:val="right"/>
              <w:rPr/>
            </w:pPr>
            <w:r>
              <w:rPr/>
              <w:t>16,906</w:t>
            </w:r>
          </w:p>
        </w:tc>
        <w:tc>
          <w:tcPr>
            <w:tcW w:w="87" w:type="dxa"/>
            <w:tcBorders>
              <w:bottom w:val="single" w:sz="6" w:space="0" w:color="FBDDE3"/>
            </w:tcBorders>
            <w:tcMar>
              <w:bottom w:w="60" w:type="dxa"/>
            </w:tcMar>
            <w:vAlign w:val="center"/>
          </w:tcPr>
          <w:p>
            <w:pPr>
              <w:pStyle w:val="TableContents"/>
              <w:bidi w:val="0"/>
              <w:spacing w:before="0" w:after="283"/>
              <w:jc w:val="left"/>
              <w:rPr/>
            </w:pPr>
            <w:r>
              <w:rPr/>
              <w:t> </w:t>
            </w:r>
          </w:p>
        </w:tc>
        <w:tc>
          <w:tcPr>
            <w:tcW w:w="87" w:type="dxa"/>
            <w:tcBorders>
              <w:bottom w:val="single" w:sz="6" w:space="0" w:color="FBDDE3"/>
            </w:tcBorders>
            <w:tcMar>
              <w:bottom w:w="28" w:type="dxa"/>
            </w:tcMar>
            <w:vAlign w:val="center"/>
          </w:tcPr>
          <w:p>
            <w:pPr>
              <w:pStyle w:val="TableContents"/>
              <w:bidi w:val="0"/>
              <w:spacing w:before="0" w:after="283"/>
              <w:jc w:val="left"/>
              <w:rPr/>
            </w:pPr>
            <w:r>
              <w:rPr/>
              <w:t> </w:t>
            </w:r>
          </w:p>
        </w:tc>
        <w:tc>
          <w:tcPr>
            <w:tcW w:w="87" w:type="dxa"/>
            <w:tcBorders>
              <w:bottom w:val="single" w:sz="6" w:space="0" w:color="FBDDE3"/>
            </w:tcBorders>
            <w:tcMar>
              <w:bottom w:w="60" w:type="dxa"/>
            </w:tcMar>
            <w:vAlign w:val="center"/>
          </w:tcPr>
          <w:p>
            <w:pPr>
              <w:pStyle w:val="TableContents"/>
              <w:bidi w:val="0"/>
              <w:spacing w:before="0" w:after="283"/>
              <w:jc w:val="left"/>
              <w:rPr/>
            </w:pPr>
            <w:r>
              <w:rPr/>
              <w:t> </w:t>
            </w:r>
          </w:p>
        </w:tc>
        <w:tc>
          <w:tcPr>
            <w:tcW w:w="1622" w:type="dxa"/>
            <w:tcBorders>
              <w:bottom w:val="single" w:sz="6" w:space="0" w:color="FBDDE3"/>
            </w:tcBorders>
            <w:tcMar>
              <w:bottom w:w="60" w:type="dxa"/>
            </w:tcMar>
            <w:vAlign w:val="center"/>
          </w:tcPr>
          <w:p>
            <w:pPr>
              <w:pStyle w:val="TableContents"/>
              <w:bidi w:val="0"/>
              <w:spacing w:before="0" w:after="283"/>
              <w:jc w:val="right"/>
              <w:rPr/>
            </w:pPr>
            <w:r>
              <w:rPr/>
              <w:t>33,811</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2,000,000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6" w:type="dxa"/>
            <w:tcBorders>
              <w:bottom w:val="single" w:sz="6" w:space="0" w:color="FBDDE3"/>
            </w:tcBorders>
            <w:tcMar>
              <w:bottom w:w="60" w:type="dxa"/>
            </w:tcMar>
            <w:vAlign w:val="center"/>
          </w:tcPr>
          <w:p>
            <w:pPr>
              <w:pStyle w:val="TableContents"/>
              <w:bidi w:val="0"/>
              <w:spacing w:before="0" w:after="283"/>
              <w:jc w:val="left"/>
              <w:rPr/>
            </w:pPr>
            <w:r>
              <w:rPr/>
              <w:t> </w:t>
            </w:r>
          </w:p>
        </w:tc>
        <w:tc>
          <w:tcPr>
            <w:tcW w:w="1229" w:type="dxa"/>
            <w:tcBorders>
              <w:bottom w:val="single" w:sz="6" w:space="0" w:color="FBDDE3"/>
            </w:tcBorders>
            <w:tcMar>
              <w:bottom w:w="60" w:type="dxa"/>
            </w:tcMar>
            <w:vAlign w:val="center"/>
          </w:tcPr>
          <w:p>
            <w:pPr>
              <w:pStyle w:val="TableContents"/>
              <w:bidi w:val="0"/>
              <w:spacing w:before="0" w:after="283"/>
              <w:jc w:val="right"/>
              <w:rPr/>
            </w:pPr>
            <w:r>
              <w:rPr/>
              <w:t>50,717</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6" w:type="dxa"/>
            <w:tcBorders>
              <w:bottom w:val="single" w:sz="6" w:space="0" w:color="FBDDE3"/>
            </w:tcBorders>
            <w:tcMar>
              <w:bottom w:w="60" w:type="dxa"/>
            </w:tcMar>
            <w:vAlign w:val="center"/>
          </w:tcPr>
          <w:p>
            <w:pPr>
              <w:pStyle w:val="TableContents"/>
              <w:bidi w:val="0"/>
              <w:spacing w:before="0" w:after="283"/>
              <w:jc w:val="left"/>
              <w:rPr/>
            </w:pPr>
            <w:r>
              <w:rPr/>
              <w:t> </w:t>
            </w:r>
          </w:p>
        </w:tc>
        <w:tc>
          <w:tcPr>
            <w:tcW w:w="1094" w:type="dxa"/>
            <w:tcBorders>
              <w:bottom w:val="single" w:sz="6" w:space="0" w:color="FBDDE3"/>
            </w:tcBorders>
            <w:tcMar>
              <w:bottom w:w="60" w:type="dxa"/>
            </w:tcMar>
            <w:vAlign w:val="center"/>
          </w:tcPr>
          <w:p>
            <w:pPr>
              <w:pStyle w:val="TableContents"/>
              <w:bidi w:val="0"/>
              <w:spacing w:before="0" w:after="283"/>
              <w:jc w:val="right"/>
              <w:rPr/>
            </w:pPr>
            <w:r>
              <w:rPr/>
              <w:t>–</w:t>
            </w:r>
          </w:p>
        </w:tc>
        <w:tc>
          <w:tcPr>
            <w:tcW w:w="79"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398" w:type="dxa"/>
            <w:tcBorders/>
            <w:vAlign w:val="center"/>
          </w:tcPr>
          <w:p>
            <w:pPr>
              <w:pStyle w:val="TableContents"/>
              <w:bidi w:val="0"/>
              <w:spacing w:before="0" w:after="283"/>
              <w:jc w:val="left"/>
              <w:rPr>
                <w:sz w:val="4"/>
                <w:szCs w:val="4"/>
              </w:rPr>
            </w:pPr>
            <w:r>
              <w:rPr>
                <w:sz w:val="4"/>
                <w:szCs w:val="4"/>
              </w:rPr>
            </w:r>
          </w:p>
        </w:tc>
        <w:tc>
          <w:tcPr>
            <w:tcW w:w="1677" w:type="dxa"/>
            <w:gridSpan w:val="4"/>
            <w:tcBorders/>
            <w:vAlign w:val="center"/>
          </w:tcPr>
          <w:p>
            <w:pPr>
              <w:pStyle w:val="TableContents"/>
              <w:bidi w:val="0"/>
              <w:spacing w:before="0" w:after="283"/>
              <w:jc w:val="left"/>
              <w:rPr>
                <w:sz w:val="4"/>
                <w:szCs w:val="4"/>
              </w:rPr>
            </w:pPr>
            <w:r>
              <w:rPr>
                <w:sz w:val="4"/>
                <w:szCs w:val="4"/>
              </w:rPr>
            </w:r>
          </w:p>
        </w:tc>
        <w:tc>
          <w:tcPr>
            <w:tcW w:w="1856"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299" w:type="dxa"/>
            <w:gridSpan w:val="4"/>
            <w:tcBorders/>
            <w:vAlign w:val="center"/>
          </w:tcPr>
          <w:p>
            <w:pPr>
              <w:pStyle w:val="TableContents"/>
              <w:bidi w:val="0"/>
              <w:spacing w:before="0" w:after="283"/>
              <w:jc w:val="left"/>
              <w:rPr>
                <w:sz w:val="4"/>
                <w:szCs w:val="4"/>
              </w:rPr>
            </w:pPr>
            <w:r>
              <w:rPr>
                <w:sz w:val="4"/>
                <w:szCs w:val="4"/>
              </w:rPr>
            </w:r>
          </w:p>
        </w:tc>
      </w:tr>
      <w:tr>
        <w:trPr/>
        <w:tc>
          <w:tcPr>
            <w:tcW w:w="1398" w:type="dxa"/>
            <w:tcBorders>
              <w:bottom w:val="single" w:sz="8" w:space="0" w:color="F7ACBA"/>
            </w:tcBorders>
            <w:tcMar>
              <w:bottom w:w="80" w:type="dxa"/>
            </w:tcMar>
            <w:vAlign w:val="center"/>
          </w:tcPr>
          <w:p>
            <w:pPr>
              <w:pStyle w:val="TableContents"/>
              <w:bidi w:val="0"/>
              <w:spacing w:before="0" w:after="0"/>
              <w:jc w:val="left"/>
              <w:rPr>
                <w:rFonts w:ascii="arial" w:hAnsi="arial"/>
                <w:b/>
                <w:sz w:val="18"/>
              </w:rPr>
            </w:pPr>
            <w:r>
              <w:rPr>
                <w:rFonts w:ascii="arial" w:hAnsi="arial"/>
                <w:b/>
                <w:sz w:val="18"/>
              </w:rPr>
              <w:t>Total</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87" w:type="dxa"/>
            <w:tcBorders>
              <w:bottom w:val="single" w:sz="8" w:space="0" w:color="F7ACBA"/>
            </w:tcBorders>
            <w:tcMar>
              <w:bottom w:w="80" w:type="dxa"/>
            </w:tcMar>
            <w:vAlign w:val="center"/>
          </w:tcPr>
          <w:p>
            <w:pPr>
              <w:pStyle w:val="TableContents"/>
              <w:bidi w:val="0"/>
              <w:spacing w:before="0" w:after="283"/>
              <w:jc w:val="left"/>
              <w:rPr/>
            </w:pPr>
            <w:r>
              <w:rPr/>
              <w:t> </w:t>
            </w:r>
          </w:p>
        </w:tc>
        <w:tc>
          <w:tcPr>
            <w:tcW w:w="1443" w:type="dxa"/>
            <w:tcBorders>
              <w:bottom w:val="single" w:sz="8" w:space="0" w:color="F7ACBA"/>
            </w:tcBorders>
            <w:tcMar>
              <w:bottom w:w="80" w:type="dxa"/>
            </w:tcMar>
            <w:vAlign w:val="center"/>
          </w:tcPr>
          <w:p>
            <w:pPr>
              <w:pStyle w:val="TableContents"/>
              <w:bidi w:val="0"/>
              <w:spacing w:before="0" w:after="283"/>
              <w:jc w:val="right"/>
              <w:rPr>
                <w:b/>
              </w:rPr>
            </w:pPr>
            <w:r>
              <w:rPr>
                <w:b/>
              </w:rPr>
              <w:t>1,266,906</w:t>
            </w:r>
          </w:p>
        </w:tc>
        <w:tc>
          <w:tcPr>
            <w:tcW w:w="87" w:type="dxa"/>
            <w:tcBorders>
              <w:bottom w:val="single" w:sz="8" w:space="0" w:color="F7ACBA"/>
            </w:tcBorders>
            <w:tcMar>
              <w:bottom w:w="80" w:type="dxa"/>
            </w:tcMar>
            <w:vAlign w:val="center"/>
          </w:tcPr>
          <w:p>
            <w:pPr>
              <w:pStyle w:val="TableContents"/>
              <w:bidi w:val="0"/>
              <w:spacing w:before="0" w:after="283"/>
              <w:jc w:val="left"/>
              <w:rPr/>
            </w:pPr>
            <w:r>
              <w:rPr/>
              <w:t> </w:t>
            </w:r>
          </w:p>
        </w:tc>
        <w:tc>
          <w:tcPr>
            <w:tcW w:w="87" w:type="dxa"/>
            <w:tcBorders>
              <w:bottom w:val="single" w:sz="8" w:space="0" w:color="F7ACBA"/>
            </w:tcBorders>
            <w:tcMar>
              <w:bottom w:w="28" w:type="dxa"/>
            </w:tcMar>
            <w:vAlign w:val="center"/>
          </w:tcPr>
          <w:p>
            <w:pPr>
              <w:pStyle w:val="TableContents"/>
              <w:bidi w:val="0"/>
              <w:spacing w:before="0" w:after="283"/>
              <w:jc w:val="left"/>
              <w:rPr/>
            </w:pPr>
            <w:r>
              <w:rPr/>
              <w:t> </w:t>
            </w:r>
          </w:p>
        </w:tc>
        <w:tc>
          <w:tcPr>
            <w:tcW w:w="87" w:type="dxa"/>
            <w:tcBorders>
              <w:bottom w:val="single" w:sz="8" w:space="0" w:color="F7ACBA"/>
            </w:tcBorders>
            <w:tcMar>
              <w:bottom w:w="80" w:type="dxa"/>
            </w:tcMar>
            <w:vAlign w:val="center"/>
          </w:tcPr>
          <w:p>
            <w:pPr>
              <w:pStyle w:val="TableContents"/>
              <w:bidi w:val="0"/>
              <w:spacing w:before="0" w:after="283"/>
              <w:jc w:val="left"/>
              <w:rPr/>
            </w:pPr>
            <w:r>
              <w:rPr/>
              <w:t> </w:t>
            </w:r>
          </w:p>
        </w:tc>
        <w:tc>
          <w:tcPr>
            <w:tcW w:w="1622" w:type="dxa"/>
            <w:tcBorders>
              <w:bottom w:val="single" w:sz="8" w:space="0" w:color="F7ACBA"/>
            </w:tcBorders>
            <w:tcMar>
              <w:bottom w:w="80" w:type="dxa"/>
            </w:tcMar>
            <w:vAlign w:val="center"/>
          </w:tcPr>
          <w:p>
            <w:pPr>
              <w:pStyle w:val="TableContents"/>
              <w:bidi w:val="0"/>
              <w:spacing w:before="0" w:after="283"/>
              <w:jc w:val="right"/>
              <w:rPr>
                <w:b/>
              </w:rPr>
            </w:pPr>
            <w:r>
              <w:rPr>
                <w:b/>
              </w:rPr>
              <w:t>11,049,398</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1100" w:type="dxa"/>
            <w:tcBorders>
              <w:bottom w:val="single" w:sz="8" w:space="0" w:color="F7ACBA"/>
            </w:tcBorders>
            <w:tcMar>
              <w:bottom w:w="80" w:type="dxa"/>
            </w:tcMar>
            <w:vAlign w:val="center"/>
          </w:tcPr>
          <w:p>
            <w:pPr>
              <w:pStyle w:val="TableContents"/>
              <w:bidi w:val="0"/>
              <w:spacing w:before="0" w:after="283"/>
              <w:jc w:val="right"/>
              <w:rPr>
                <w:b/>
              </w:rPr>
            </w:pPr>
            <w:r>
              <w:rPr>
                <w:b/>
              </w:rPr>
              <w:t>15,909,063</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1100" w:type="dxa"/>
            <w:tcBorders>
              <w:bottom w:val="single" w:sz="8" w:space="0" w:color="F7ACBA"/>
            </w:tcBorders>
            <w:tcMar>
              <w:bottom w:w="80" w:type="dxa"/>
            </w:tcMar>
            <w:vAlign w:val="center"/>
          </w:tcPr>
          <w:p>
            <w:pPr>
              <w:pStyle w:val="TableContents"/>
              <w:bidi w:val="0"/>
              <w:spacing w:before="0" w:after="283"/>
              <w:jc w:val="right"/>
              <w:rPr>
                <w:b/>
              </w:rPr>
            </w:pPr>
            <w:r>
              <w:rPr>
                <w:b/>
              </w:rPr>
              <w:t>14,521,563</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6" w:type="dxa"/>
            <w:tcBorders>
              <w:bottom w:val="single" w:sz="8" w:space="0" w:color="F7ACBA"/>
            </w:tcBorders>
            <w:tcMar>
              <w:bottom w:w="80" w:type="dxa"/>
            </w:tcMar>
            <w:vAlign w:val="center"/>
          </w:tcPr>
          <w:p>
            <w:pPr>
              <w:pStyle w:val="TableContents"/>
              <w:bidi w:val="0"/>
              <w:spacing w:before="0" w:after="283"/>
              <w:jc w:val="left"/>
              <w:rPr/>
            </w:pPr>
            <w:r>
              <w:rPr/>
              <w:t> </w:t>
            </w:r>
          </w:p>
        </w:tc>
        <w:tc>
          <w:tcPr>
            <w:tcW w:w="1229" w:type="dxa"/>
            <w:tcBorders>
              <w:bottom w:val="single" w:sz="8" w:space="0" w:color="F7ACBA"/>
            </w:tcBorders>
            <w:tcMar>
              <w:bottom w:w="80" w:type="dxa"/>
            </w:tcMar>
            <w:vAlign w:val="center"/>
          </w:tcPr>
          <w:p>
            <w:pPr>
              <w:pStyle w:val="TableContents"/>
              <w:bidi w:val="0"/>
              <w:spacing w:before="0" w:after="283"/>
              <w:jc w:val="right"/>
              <w:rPr>
                <w:b/>
              </w:rPr>
            </w:pPr>
            <w:r>
              <w:rPr>
                <w:b/>
              </w:rPr>
              <w:t>34,788,499</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6" w:type="dxa"/>
            <w:tcBorders>
              <w:bottom w:val="single" w:sz="8" w:space="0" w:color="F7ACBA"/>
            </w:tcBorders>
            <w:tcMar>
              <w:bottom w:w="80" w:type="dxa"/>
            </w:tcMar>
            <w:vAlign w:val="center"/>
          </w:tcPr>
          <w:p>
            <w:pPr>
              <w:pStyle w:val="TableContents"/>
              <w:bidi w:val="0"/>
              <w:spacing w:before="0" w:after="283"/>
              <w:jc w:val="left"/>
              <w:rPr/>
            </w:pPr>
            <w:r>
              <w:rPr/>
              <w:t> </w:t>
            </w:r>
          </w:p>
        </w:tc>
        <w:tc>
          <w:tcPr>
            <w:tcW w:w="1094" w:type="dxa"/>
            <w:tcBorders>
              <w:bottom w:val="single" w:sz="8" w:space="0" w:color="F7ACBA"/>
            </w:tcBorders>
            <w:tcMar>
              <w:bottom w:w="80" w:type="dxa"/>
            </w:tcMar>
            <w:vAlign w:val="center"/>
          </w:tcPr>
          <w:p>
            <w:pPr>
              <w:pStyle w:val="TableContents"/>
              <w:bidi w:val="0"/>
              <w:spacing w:before="0" w:after="283"/>
              <w:jc w:val="right"/>
              <w:rPr>
                <w:b/>
              </w:rPr>
            </w:pPr>
            <w:r>
              <w:rPr>
                <w:b/>
              </w:rPr>
              <w:t>1,469,334</w:t>
            </w:r>
          </w:p>
        </w:tc>
        <w:tc>
          <w:tcPr>
            <w:tcW w:w="79" w:type="dxa"/>
            <w:tcBorders>
              <w:bottom w:val="single" w:sz="8" w:space="0" w:color="F7ACBA"/>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20"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09" descr=""/>
                          <pic:cNvPicPr>
                            <a:picLocks noChangeAspect="1" noChangeArrowheads="1"/>
                          </pic:cNvPicPr>
                        </pic:nvPicPr>
                        <pic:blipFill>
                          <a:blip r:embed="rId110"/>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lineRule="atLeast" w:line="180" w:before="0" w:after="0"/>
              <w:jc w:val="center"/>
              <w:rPr>
                <w:color w:val="F7ACBA"/>
              </w:rPr>
            </w:pPr>
            <w:r>
              <w:rPr>
                <w:color w:val="F7ACBA"/>
              </w:rPr>
              <w:t> </w:t>
            </w:r>
            <w:r>
              <w:rPr>
                <w:rFonts w:ascii="Times New Roman" w:hAnsi="Times New Roman"/>
                <w:b/>
                <w:color w:val="F7ACBA"/>
                <w:sz w:val="24"/>
              </w:rPr>
              <w:t>65 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COMPENSATION DISCUSSION AND ANALYSIS </w:t>
      </w:r>
    </w:p>
    <w:p>
      <w:pPr>
        <w:pStyle w:val="TextBody"/>
        <w:bidi w:val="0"/>
        <w:spacing w:before="0" w:after="0"/>
        <w:jc w:val="left"/>
        <w:rPr/>
      </w:pPr>
      <w:r>
        <w:rPr/>
        <w:t> </w:t>
      </w:r>
    </w:p>
    <w:p>
      <w:pPr>
        <w:pStyle w:val="TextBody"/>
        <w:bidi w:val="0"/>
        <w:spacing w:before="0" w:after="0"/>
        <w:jc w:val="left"/>
        <w:rPr>
          <w:rFonts w:ascii="arial" w:hAnsi="arial"/>
          <w:b/>
          <w:color w:val="F7ACBA"/>
          <w:sz w:val="24"/>
        </w:rPr>
      </w:pPr>
      <w:r>
        <w:rPr>
          <w:rFonts w:ascii="arial" w:hAnsi="arial"/>
          <w:b/>
          <w:color w:val="F7ACBA"/>
          <w:sz w:val="24"/>
        </w:rPr>
        <w:t xml:space="preserve">Timothy Johnson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92"/>
        <w:gridCol w:w="60"/>
        <w:gridCol w:w="257"/>
        <w:gridCol w:w="603"/>
        <w:gridCol w:w="149"/>
        <w:gridCol w:w="149"/>
        <w:gridCol w:w="149"/>
        <w:gridCol w:w="2455"/>
        <w:gridCol w:w="60"/>
        <w:gridCol w:w="60"/>
        <w:gridCol w:w="60"/>
        <w:gridCol w:w="980"/>
        <w:gridCol w:w="60"/>
        <w:gridCol w:w="60"/>
        <w:gridCol w:w="60"/>
        <w:gridCol w:w="980"/>
        <w:gridCol w:w="60"/>
        <w:gridCol w:w="60"/>
        <w:gridCol w:w="74"/>
        <w:gridCol w:w="1221"/>
        <w:gridCol w:w="60"/>
        <w:gridCol w:w="60"/>
        <w:gridCol w:w="80"/>
        <w:gridCol w:w="1080"/>
        <w:gridCol w:w="76"/>
      </w:tblGrid>
      <w:tr>
        <w:trPr/>
        <w:tc>
          <w:tcPr>
            <w:tcW w:w="1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1292"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3762" w:type="dxa"/>
            <w:gridSpan w:val="6"/>
            <w:tcBorders>
              <w:bottom w:val="single" w:sz="8" w:space="0" w:color="000000"/>
            </w:tcBorders>
            <w:shd w:fill="FDEEF1" w:val="clear"/>
            <w:tcMar>
              <w:bottom w:w="28" w:type="dxa"/>
            </w:tcMar>
            <w:vAlign w:val="center"/>
          </w:tcPr>
          <w:p>
            <w:pPr>
              <w:pStyle w:val="TableContents"/>
              <w:bidi w:val="0"/>
              <w:spacing w:before="0" w:after="283"/>
              <w:jc w:val="center"/>
              <w:rPr/>
            </w:pPr>
            <w:r>
              <w:rPr/>
              <w:t> </w:t>
            </w:r>
            <w:r>
              <w:rPr>
                <w:b/>
              </w:rPr>
              <w:t>Involuntary Without Cause or </w:t>
              <w:br/>
              <w:t>Voluntary With Good Reason</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040" w:type="dxa"/>
            <w:gridSpan w:val="2"/>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040" w:type="dxa"/>
            <w:gridSpan w:val="2"/>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295" w:type="dxa"/>
            <w:gridSpan w:val="2"/>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160" w:type="dxa"/>
            <w:gridSpan w:val="2"/>
            <w:tcBorders/>
            <w:shd w:fill="FDEEF1" w:val="clear"/>
            <w:vAlign w:val="center"/>
          </w:tcPr>
          <w:p>
            <w:pPr>
              <w:pStyle w:val="TableContents"/>
              <w:bidi w:val="0"/>
              <w:spacing w:before="0" w:after="283"/>
              <w:jc w:val="left"/>
              <w:rPr/>
            </w:pPr>
            <w:r>
              <w:rPr/>
              <w:t> </w:t>
            </w:r>
          </w:p>
        </w:tc>
        <w:tc>
          <w:tcPr>
            <w:tcW w:w="76" w:type="dxa"/>
            <w:tcBorders/>
            <w:shd w:fill="FDEEF1" w:val="clear"/>
            <w:vAlign w:val="center"/>
          </w:tcPr>
          <w:p>
            <w:pPr>
              <w:pStyle w:val="TableContents"/>
              <w:bidi w:val="0"/>
              <w:spacing w:before="0" w:after="283"/>
              <w:jc w:val="left"/>
              <w:rPr/>
            </w:pPr>
            <w:r>
              <w:rPr/>
              <w:t> </w:t>
            </w:r>
          </w:p>
        </w:tc>
      </w:tr>
      <w:tr>
        <w:trPr/>
        <w:tc>
          <w:tcPr>
            <w:tcW w:w="1292" w:type="dxa"/>
            <w:tcBorders/>
            <w:shd w:fill="FDEEF1" w:val="clear"/>
            <w:vAlign w:val="center"/>
          </w:tcPr>
          <w:p>
            <w:pPr>
              <w:pStyle w:val="TableContents"/>
              <w:bidi w:val="0"/>
              <w:spacing w:before="0" w:after="283"/>
              <w:jc w:val="left"/>
              <w:rPr>
                <w:sz w:val="4"/>
                <w:szCs w:val="4"/>
              </w:rPr>
            </w:pPr>
            <w:r>
              <w:rPr>
                <w:sz w:val="4"/>
                <w:szCs w:val="4"/>
              </w:rPr>
            </w:r>
          </w:p>
        </w:tc>
        <w:tc>
          <w:tcPr>
            <w:tcW w:w="1069" w:type="dxa"/>
            <w:gridSpan w:val="4"/>
            <w:tcBorders/>
            <w:shd w:fill="FDEEF1" w:val="clear"/>
            <w:vAlign w:val="center"/>
          </w:tcPr>
          <w:p>
            <w:pPr>
              <w:pStyle w:val="TableContents"/>
              <w:bidi w:val="0"/>
              <w:spacing w:before="0" w:after="283"/>
              <w:jc w:val="left"/>
              <w:rPr>
                <w:sz w:val="4"/>
                <w:szCs w:val="4"/>
              </w:rPr>
            </w:pPr>
            <w:r>
              <w:rPr>
                <w:sz w:val="4"/>
                <w:szCs w:val="4"/>
              </w:rPr>
            </w:r>
          </w:p>
        </w:tc>
        <w:tc>
          <w:tcPr>
            <w:tcW w:w="2813" w:type="dxa"/>
            <w:gridSpan w:val="4"/>
            <w:tcBorders/>
            <w:shd w:fill="FDEEF1" w:val="clear"/>
            <w:vAlign w:val="center"/>
          </w:tcPr>
          <w:p>
            <w:pPr>
              <w:pStyle w:val="TableContents"/>
              <w:bidi w:val="0"/>
              <w:spacing w:before="0" w:after="283"/>
              <w:jc w:val="left"/>
              <w:rPr>
                <w:sz w:val="4"/>
                <w:szCs w:val="4"/>
              </w:rPr>
            </w:pPr>
            <w:r>
              <w:rPr>
                <w:sz w:val="4"/>
                <w:szCs w:val="4"/>
              </w:rPr>
            </w:r>
          </w:p>
        </w:tc>
        <w:tc>
          <w:tcPr>
            <w:tcW w:w="1160" w:type="dxa"/>
            <w:gridSpan w:val="4"/>
            <w:tcBorders/>
            <w:shd w:fill="FDEEF1" w:val="clear"/>
            <w:vAlign w:val="center"/>
          </w:tcPr>
          <w:p>
            <w:pPr>
              <w:pStyle w:val="TableContents"/>
              <w:bidi w:val="0"/>
              <w:spacing w:before="0" w:after="283"/>
              <w:jc w:val="left"/>
              <w:rPr>
                <w:sz w:val="4"/>
                <w:szCs w:val="4"/>
              </w:rPr>
            </w:pPr>
            <w:r>
              <w:rPr>
                <w:sz w:val="4"/>
                <w:szCs w:val="4"/>
              </w:rPr>
            </w:r>
          </w:p>
        </w:tc>
        <w:tc>
          <w:tcPr>
            <w:tcW w:w="1160" w:type="dxa"/>
            <w:gridSpan w:val="4"/>
            <w:tcBorders/>
            <w:shd w:fill="FDEEF1" w:val="clear"/>
            <w:vAlign w:val="center"/>
          </w:tcPr>
          <w:p>
            <w:pPr>
              <w:pStyle w:val="TableContents"/>
              <w:bidi w:val="0"/>
              <w:spacing w:before="0" w:after="283"/>
              <w:jc w:val="left"/>
              <w:rPr>
                <w:sz w:val="4"/>
                <w:szCs w:val="4"/>
              </w:rPr>
            </w:pPr>
            <w:r>
              <w:rPr>
                <w:sz w:val="4"/>
                <w:szCs w:val="4"/>
              </w:rPr>
            </w:r>
          </w:p>
        </w:tc>
        <w:tc>
          <w:tcPr>
            <w:tcW w:w="1415" w:type="dxa"/>
            <w:gridSpan w:val="4"/>
            <w:tcBorders/>
            <w:shd w:fill="FDEEF1" w:val="clear"/>
            <w:vAlign w:val="center"/>
          </w:tcPr>
          <w:p>
            <w:pPr>
              <w:pStyle w:val="TableContents"/>
              <w:bidi w:val="0"/>
              <w:spacing w:before="0" w:after="283"/>
              <w:jc w:val="left"/>
              <w:rPr>
                <w:sz w:val="4"/>
                <w:szCs w:val="4"/>
              </w:rPr>
            </w:pPr>
            <w:r>
              <w:rPr>
                <w:sz w:val="4"/>
                <w:szCs w:val="4"/>
              </w:rPr>
            </w:r>
          </w:p>
        </w:tc>
        <w:tc>
          <w:tcPr>
            <w:tcW w:w="1296" w:type="dxa"/>
            <w:gridSpan w:val="4"/>
            <w:tcBorders/>
            <w:shd w:fill="FDEEF1" w:val="clear"/>
            <w:vAlign w:val="center"/>
          </w:tcPr>
          <w:p>
            <w:pPr>
              <w:pStyle w:val="TableContents"/>
              <w:bidi w:val="0"/>
              <w:spacing w:before="0" w:after="283"/>
              <w:jc w:val="left"/>
              <w:rPr>
                <w:sz w:val="4"/>
                <w:szCs w:val="4"/>
              </w:rPr>
            </w:pPr>
            <w:r>
              <w:rPr>
                <w:sz w:val="4"/>
                <w:szCs w:val="4"/>
              </w:rPr>
            </w:r>
          </w:p>
        </w:tc>
      </w:tr>
      <w:tr>
        <w:trPr/>
        <w:tc>
          <w:tcPr>
            <w:tcW w:w="1292" w:type="dxa"/>
            <w:tcBorders/>
            <w:shd w:fill="FDEEF1" w:val="clear"/>
            <w:vAlign w:val="center"/>
          </w:tcPr>
          <w:p>
            <w:pPr>
              <w:pStyle w:val="TableContents"/>
              <w:bidi w:val="0"/>
              <w:jc w:val="left"/>
              <w:rPr/>
            </w:pPr>
            <w:r>
              <w:rPr/>
              <w:t> </w:t>
            </w:r>
          </w:p>
          <w:p>
            <w:pPr>
              <w:pStyle w:val="TableContents"/>
              <w:bidi w:val="0"/>
              <w:spacing w:before="0" w:after="0"/>
              <w:jc w:val="left"/>
              <w:rPr/>
            </w:pPr>
            <w:r>
              <w:rPr/>
              <w:t> </w:t>
            </w:r>
          </w:p>
        </w:tc>
        <w:tc>
          <w:tcPr>
            <w:tcW w:w="60" w:type="dxa"/>
            <w:tcBorders/>
            <w:shd w:fill="FDEEF1" w:val="clear"/>
            <w:vAlign w:val="center"/>
          </w:tcPr>
          <w:p>
            <w:pPr>
              <w:pStyle w:val="TableContents"/>
              <w:bidi w:val="0"/>
              <w:spacing w:before="0" w:after="283"/>
              <w:jc w:val="left"/>
              <w:rPr/>
            </w:pPr>
            <w:r>
              <w:rPr/>
              <w:t> </w:t>
            </w:r>
          </w:p>
        </w:tc>
        <w:tc>
          <w:tcPr>
            <w:tcW w:w="860" w:type="dxa"/>
            <w:gridSpan w:val="2"/>
            <w:tcBorders/>
            <w:shd w:fill="FDEEF1" w:val="clear"/>
            <w:vAlign w:val="center"/>
          </w:tcPr>
          <w:p>
            <w:pPr>
              <w:pStyle w:val="TableContents"/>
              <w:bidi w:val="0"/>
              <w:spacing w:before="0" w:after="283"/>
              <w:jc w:val="center"/>
              <w:rPr>
                <w:b/>
              </w:rPr>
            </w:pPr>
            <w:r>
              <w:rPr>
                <w:b/>
              </w:rPr>
              <w:t>Without</w:t>
              <w:br/>
              <w:t>Release</w:t>
              <w:br/>
              <w:t>($)</w:t>
            </w:r>
          </w:p>
        </w:tc>
        <w:tc>
          <w:tcPr>
            <w:tcW w:w="149" w:type="dxa"/>
            <w:tcBorders/>
            <w:shd w:fill="FDEEF1" w:val="clear"/>
            <w:vAlign w:val="center"/>
          </w:tcPr>
          <w:p>
            <w:pPr>
              <w:pStyle w:val="TableContents"/>
              <w:bidi w:val="0"/>
              <w:spacing w:before="0" w:after="283"/>
              <w:jc w:val="left"/>
              <w:rPr/>
            </w:pPr>
            <w:r>
              <w:rPr/>
              <w:t> </w:t>
            </w:r>
          </w:p>
        </w:tc>
        <w:tc>
          <w:tcPr>
            <w:tcW w:w="149" w:type="dxa"/>
            <w:tcBorders/>
            <w:shd w:fill="FDEEF1" w:val="clear"/>
            <w:vAlign w:val="center"/>
          </w:tcPr>
          <w:p>
            <w:pPr>
              <w:pStyle w:val="TableContents"/>
              <w:bidi w:val="0"/>
              <w:spacing w:before="0" w:after="283"/>
              <w:jc w:val="left"/>
              <w:rPr/>
            </w:pPr>
            <w:r>
              <w:rPr/>
              <w:t> </w:t>
            </w:r>
          </w:p>
        </w:tc>
        <w:tc>
          <w:tcPr>
            <w:tcW w:w="2604" w:type="dxa"/>
            <w:gridSpan w:val="2"/>
            <w:tcBorders/>
            <w:shd w:fill="FDEEF1" w:val="clear"/>
            <w:vAlign w:val="center"/>
          </w:tcPr>
          <w:p>
            <w:pPr>
              <w:pStyle w:val="TableContents"/>
              <w:bidi w:val="0"/>
              <w:spacing w:before="0" w:after="283"/>
              <w:jc w:val="center"/>
              <w:rPr>
                <w:b/>
              </w:rPr>
            </w:pPr>
            <w:r>
              <w:rPr>
                <w:b/>
              </w:rPr>
              <w:t>With Release</w:t>
              <w:br/>
              <w:t>($)</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040" w:type="dxa"/>
            <w:gridSpan w:val="2"/>
            <w:tcBorders/>
            <w:shd w:fill="FDEEF1" w:val="clear"/>
            <w:vAlign w:val="center"/>
          </w:tcPr>
          <w:p>
            <w:pPr>
              <w:pStyle w:val="TableContents"/>
              <w:bidi w:val="0"/>
              <w:spacing w:before="0" w:after="283"/>
              <w:jc w:val="center"/>
              <w:rPr>
                <w:b/>
              </w:rPr>
            </w:pPr>
            <w:r>
              <w:rPr>
                <w:b/>
              </w:rPr>
              <w:t>Death</w:t>
              <w:br/>
              <w:t>($)(1)</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040" w:type="dxa"/>
            <w:gridSpan w:val="2"/>
            <w:tcBorders/>
            <w:shd w:fill="FDEEF1" w:val="clear"/>
            <w:vAlign w:val="center"/>
          </w:tcPr>
          <w:p>
            <w:pPr>
              <w:pStyle w:val="TableContents"/>
              <w:bidi w:val="0"/>
              <w:spacing w:before="0" w:after="283"/>
              <w:jc w:val="center"/>
              <w:rPr>
                <w:b/>
              </w:rPr>
            </w:pPr>
            <w:r>
              <w:rPr>
                <w:b/>
              </w:rPr>
              <w:t>Disability</w:t>
              <w:br/>
              <w:t>($)</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295" w:type="dxa"/>
            <w:gridSpan w:val="2"/>
            <w:tcBorders/>
            <w:shd w:fill="FDEEF1" w:val="clear"/>
            <w:vAlign w:val="center"/>
          </w:tcPr>
          <w:p>
            <w:pPr>
              <w:pStyle w:val="TableContents"/>
              <w:bidi w:val="0"/>
              <w:spacing w:before="0" w:after="283"/>
              <w:jc w:val="center"/>
              <w:rPr>
                <w:b/>
              </w:rPr>
            </w:pPr>
            <w:r>
              <w:rPr>
                <w:b/>
              </w:rPr>
              <w:t>Termination</w:t>
              <w:br/>
              <w:t>Following</w:t>
              <w:br/>
              <w:t>Change of</w:t>
              <w:br/>
              <w:t>Control</w:t>
              <w:br/>
              <w:t>($)</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160" w:type="dxa"/>
            <w:gridSpan w:val="2"/>
            <w:tcBorders/>
            <w:shd w:fill="FDEEF1" w:val="clear"/>
            <w:vAlign w:val="center"/>
          </w:tcPr>
          <w:p>
            <w:pPr>
              <w:pStyle w:val="TableContents"/>
              <w:bidi w:val="0"/>
              <w:spacing w:before="0" w:after="283"/>
              <w:jc w:val="center"/>
              <w:rPr>
                <w:b/>
              </w:rPr>
            </w:pPr>
            <w:r>
              <w:rPr>
                <w:b/>
              </w:rPr>
              <w:t>Retirement</w:t>
              <w:br/>
              <w:t>($)(2)</w:t>
            </w:r>
          </w:p>
        </w:tc>
        <w:tc>
          <w:tcPr>
            <w:tcW w:w="76" w:type="dxa"/>
            <w:tcBorders/>
            <w:shd w:fill="FDEEF1" w:val="clear"/>
            <w:vAlign w:val="center"/>
          </w:tcPr>
          <w:p>
            <w:pPr>
              <w:pStyle w:val="TableContents"/>
              <w:bidi w:val="0"/>
              <w:spacing w:before="0" w:after="283"/>
              <w:jc w:val="left"/>
              <w:rPr/>
            </w:pPr>
            <w:r>
              <w:rPr/>
              <w:t> </w:t>
            </w:r>
          </w:p>
        </w:tc>
      </w:tr>
      <w:tr>
        <w:trPr/>
        <w:tc>
          <w:tcPr>
            <w:tcW w:w="1292" w:type="dxa"/>
            <w:tcBorders/>
            <w:vAlign w:val="center"/>
          </w:tcPr>
          <w:p>
            <w:pPr>
              <w:pStyle w:val="TableContents"/>
              <w:bidi w:val="0"/>
              <w:spacing w:before="0" w:after="283"/>
              <w:jc w:val="left"/>
              <w:rPr>
                <w:sz w:val="4"/>
                <w:szCs w:val="4"/>
              </w:rPr>
            </w:pPr>
            <w:r>
              <w:rPr>
                <w:sz w:val="4"/>
                <w:szCs w:val="4"/>
              </w:rPr>
            </w:r>
          </w:p>
        </w:tc>
        <w:tc>
          <w:tcPr>
            <w:tcW w:w="1069" w:type="dxa"/>
            <w:gridSpan w:val="4"/>
            <w:tcBorders/>
            <w:vAlign w:val="center"/>
          </w:tcPr>
          <w:p>
            <w:pPr>
              <w:pStyle w:val="TableContents"/>
              <w:bidi w:val="0"/>
              <w:spacing w:before="0" w:after="283"/>
              <w:jc w:val="left"/>
              <w:rPr>
                <w:sz w:val="4"/>
                <w:szCs w:val="4"/>
              </w:rPr>
            </w:pPr>
            <w:r>
              <w:rPr>
                <w:sz w:val="4"/>
                <w:szCs w:val="4"/>
              </w:rPr>
            </w:r>
          </w:p>
        </w:tc>
        <w:tc>
          <w:tcPr>
            <w:tcW w:w="2813"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296" w:type="dxa"/>
            <w:gridSpan w:val="4"/>
            <w:tcBorders/>
            <w:vAlign w:val="center"/>
          </w:tcPr>
          <w:p>
            <w:pPr>
              <w:pStyle w:val="TableContents"/>
              <w:bidi w:val="0"/>
              <w:spacing w:before="0" w:after="283"/>
              <w:jc w:val="left"/>
              <w:rPr>
                <w:sz w:val="4"/>
                <w:szCs w:val="4"/>
              </w:rPr>
            </w:pPr>
            <w:r>
              <w:rPr>
                <w:sz w:val="4"/>
                <w:szCs w:val="4"/>
              </w:rPr>
            </w:r>
          </w:p>
        </w:tc>
      </w:tr>
      <w:tr>
        <w:trPr/>
        <w:tc>
          <w:tcPr>
            <w:tcW w:w="1292"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Base Salary</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257" w:type="dxa"/>
            <w:tcBorders>
              <w:bottom w:val="single" w:sz="6" w:space="0" w:color="FBDDE3"/>
            </w:tcBorders>
            <w:tcMar>
              <w:bottom w:w="60" w:type="dxa"/>
            </w:tcMar>
            <w:vAlign w:val="center"/>
          </w:tcPr>
          <w:p>
            <w:pPr>
              <w:pStyle w:val="TableContents"/>
              <w:bidi w:val="0"/>
              <w:spacing w:before="0" w:after="283"/>
              <w:jc w:val="left"/>
              <w:rPr/>
            </w:pPr>
            <w:r>
              <w:rPr/>
              <w:t> </w:t>
            </w:r>
          </w:p>
        </w:tc>
        <w:tc>
          <w:tcPr>
            <w:tcW w:w="603" w:type="dxa"/>
            <w:tcBorders>
              <w:bottom w:val="single" w:sz="6" w:space="0" w:color="FBDDE3"/>
            </w:tcBorders>
            <w:tcMar>
              <w:bottom w:w="60" w:type="dxa"/>
            </w:tcMar>
            <w:vAlign w:val="center"/>
          </w:tcPr>
          <w:p>
            <w:pPr>
              <w:pStyle w:val="TableContents"/>
              <w:bidi w:val="0"/>
              <w:spacing w:before="0" w:after="283"/>
              <w:jc w:val="right"/>
              <w:rPr/>
            </w:pPr>
            <w:r>
              <w:rPr/>
              <w:t>–</w:t>
            </w:r>
          </w:p>
        </w:tc>
        <w:tc>
          <w:tcPr>
            <w:tcW w:w="149" w:type="dxa"/>
            <w:tcBorders>
              <w:bottom w:val="single" w:sz="6" w:space="0" w:color="FBDDE3"/>
            </w:tcBorders>
            <w:tcMar>
              <w:bottom w:w="60" w:type="dxa"/>
            </w:tcMar>
            <w:vAlign w:val="center"/>
          </w:tcPr>
          <w:p>
            <w:pPr>
              <w:pStyle w:val="TableContents"/>
              <w:bidi w:val="0"/>
              <w:spacing w:before="0" w:after="283"/>
              <w:jc w:val="left"/>
              <w:rPr/>
            </w:pPr>
            <w:r>
              <w:rPr/>
              <w:t> </w:t>
            </w:r>
          </w:p>
        </w:tc>
        <w:tc>
          <w:tcPr>
            <w:tcW w:w="149" w:type="dxa"/>
            <w:tcBorders>
              <w:bottom w:val="single" w:sz="6" w:space="0" w:color="FBDDE3"/>
            </w:tcBorders>
            <w:tcMar>
              <w:bottom w:w="28" w:type="dxa"/>
            </w:tcMar>
            <w:vAlign w:val="center"/>
          </w:tcPr>
          <w:p>
            <w:pPr>
              <w:pStyle w:val="TableContents"/>
              <w:bidi w:val="0"/>
              <w:spacing w:before="0" w:after="283"/>
              <w:jc w:val="left"/>
              <w:rPr/>
            </w:pPr>
            <w:r>
              <w:rPr/>
              <w:t> </w:t>
            </w:r>
          </w:p>
        </w:tc>
        <w:tc>
          <w:tcPr>
            <w:tcW w:w="149" w:type="dxa"/>
            <w:tcBorders>
              <w:bottom w:val="single" w:sz="6" w:space="0" w:color="FBDDE3"/>
            </w:tcBorders>
            <w:tcMar>
              <w:bottom w:w="60" w:type="dxa"/>
            </w:tcMar>
            <w:vAlign w:val="center"/>
          </w:tcPr>
          <w:p>
            <w:pPr>
              <w:pStyle w:val="TableContents"/>
              <w:bidi w:val="0"/>
              <w:spacing w:before="0" w:after="283"/>
              <w:jc w:val="left"/>
              <w:rPr/>
            </w:pPr>
            <w:r>
              <w:rPr/>
              <w:t> </w:t>
            </w:r>
          </w:p>
        </w:tc>
        <w:tc>
          <w:tcPr>
            <w:tcW w:w="2455" w:type="dxa"/>
            <w:tcBorders>
              <w:bottom w:val="single" w:sz="6" w:space="0" w:color="FBDDE3"/>
            </w:tcBorders>
            <w:tcMar>
              <w:bottom w:w="60" w:type="dxa"/>
            </w:tcMar>
            <w:vAlign w:val="center"/>
          </w:tcPr>
          <w:p>
            <w:pPr>
              <w:pStyle w:val="TableContents"/>
              <w:bidi w:val="0"/>
              <w:spacing w:before="0" w:after="283"/>
              <w:jc w:val="right"/>
              <w:rPr/>
            </w:pPr>
            <w:r>
              <w:rPr/>
              <w:t>1,600,000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500,000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4" w:type="dxa"/>
            <w:tcBorders>
              <w:bottom w:val="single" w:sz="6" w:space="0" w:color="FBDDE3"/>
            </w:tcBorders>
            <w:tcMar>
              <w:bottom w:w="60" w:type="dxa"/>
            </w:tcMar>
            <w:vAlign w:val="center"/>
          </w:tcPr>
          <w:p>
            <w:pPr>
              <w:pStyle w:val="TableContents"/>
              <w:bidi w:val="0"/>
              <w:spacing w:before="0" w:after="283"/>
              <w:jc w:val="left"/>
              <w:rPr/>
            </w:pPr>
            <w:r>
              <w:rPr/>
              <w:t> </w:t>
            </w:r>
          </w:p>
        </w:tc>
        <w:tc>
          <w:tcPr>
            <w:tcW w:w="1221" w:type="dxa"/>
            <w:tcBorders>
              <w:bottom w:val="single" w:sz="6" w:space="0" w:color="FBDDE3"/>
            </w:tcBorders>
            <w:tcMar>
              <w:bottom w:w="60" w:type="dxa"/>
            </w:tcMar>
            <w:vAlign w:val="center"/>
          </w:tcPr>
          <w:p>
            <w:pPr>
              <w:pStyle w:val="TableContents"/>
              <w:bidi w:val="0"/>
              <w:spacing w:before="0" w:after="283"/>
              <w:jc w:val="right"/>
              <w:rPr/>
            </w:pPr>
            <w:r>
              <w:rPr/>
              <w:t>1,600,000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0" w:type="dxa"/>
            <w:tcBorders>
              <w:bottom w:val="single" w:sz="6" w:space="0" w:color="FBDDE3"/>
            </w:tcBorders>
            <w:tcMar>
              <w:bottom w:w="60" w:type="dxa"/>
            </w:tcMar>
            <w:vAlign w:val="center"/>
          </w:tcPr>
          <w:p>
            <w:pPr>
              <w:pStyle w:val="TableContents"/>
              <w:bidi w:val="0"/>
              <w:spacing w:before="0" w:after="283"/>
              <w:jc w:val="left"/>
              <w:rPr/>
            </w:pPr>
            <w:r>
              <w:rPr/>
              <w:t> </w:t>
            </w:r>
          </w:p>
        </w:tc>
        <w:tc>
          <w:tcPr>
            <w:tcW w:w="1080" w:type="dxa"/>
            <w:tcBorders>
              <w:bottom w:val="single" w:sz="6" w:space="0" w:color="FBDDE3"/>
            </w:tcBorders>
            <w:tcMar>
              <w:bottom w:w="60" w:type="dxa"/>
            </w:tcMar>
            <w:vAlign w:val="center"/>
          </w:tcPr>
          <w:p>
            <w:pPr>
              <w:pStyle w:val="TableContents"/>
              <w:bidi w:val="0"/>
              <w:spacing w:before="0" w:after="283"/>
              <w:jc w:val="right"/>
              <w:rPr/>
            </w:pPr>
            <w:r>
              <w:rPr/>
              <w:t>–</w:t>
            </w:r>
          </w:p>
        </w:tc>
        <w:tc>
          <w:tcPr>
            <w:tcW w:w="76"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292" w:type="dxa"/>
            <w:tcBorders/>
            <w:vAlign w:val="center"/>
          </w:tcPr>
          <w:p>
            <w:pPr>
              <w:pStyle w:val="TableContents"/>
              <w:bidi w:val="0"/>
              <w:spacing w:before="0" w:after="283"/>
              <w:jc w:val="left"/>
              <w:rPr>
                <w:sz w:val="4"/>
                <w:szCs w:val="4"/>
              </w:rPr>
            </w:pPr>
            <w:r>
              <w:rPr>
                <w:sz w:val="4"/>
                <w:szCs w:val="4"/>
              </w:rPr>
            </w:r>
          </w:p>
        </w:tc>
        <w:tc>
          <w:tcPr>
            <w:tcW w:w="1069" w:type="dxa"/>
            <w:gridSpan w:val="4"/>
            <w:tcBorders/>
            <w:vAlign w:val="center"/>
          </w:tcPr>
          <w:p>
            <w:pPr>
              <w:pStyle w:val="TableContents"/>
              <w:bidi w:val="0"/>
              <w:spacing w:before="0" w:after="283"/>
              <w:jc w:val="left"/>
              <w:rPr>
                <w:sz w:val="4"/>
                <w:szCs w:val="4"/>
              </w:rPr>
            </w:pPr>
            <w:r>
              <w:rPr>
                <w:sz w:val="4"/>
                <w:szCs w:val="4"/>
              </w:rPr>
            </w:r>
          </w:p>
        </w:tc>
        <w:tc>
          <w:tcPr>
            <w:tcW w:w="2813"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296" w:type="dxa"/>
            <w:gridSpan w:val="4"/>
            <w:tcBorders/>
            <w:vAlign w:val="center"/>
          </w:tcPr>
          <w:p>
            <w:pPr>
              <w:pStyle w:val="TableContents"/>
              <w:bidi w:val="0"/>
              <w:spacing w:before="0" w:after="283"/>
              <w:jc w:val="left"/>
              <w:rPr>
                <w:sz w:val="4"/>
                <w:szCs w:val="4"/>
              </w:rPr>
            </w:pPr>
            <w:r>
              <w:rPr>
                <w:sz w:val="4"/>
                <w:szCs w:val="4"/>
              </w:rPr>
            </w:r>
          </w:p>
        </w:tc>
      </w:tr>
      <w:tr>
        <w:trPr/>
        <w:tc>
          <w:tcPr>
            <w:tcW w:w="1292"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Bonus(3)</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257" w:type="dxa"/>
            <w:tcBorders>
              <w:bottom w:val="single" w:sz="6" w:space="0" w:color="FBDDE3"/>
            </w:tcBorders>
            <w:tcMar>
              <w:bottom w:w="60" w:type="dxa"/>
            </w:tcMar>
            <w:vAlign w:val="center"/>
          </w:tcPr>
          <w:p>
            <w:pPr>
              <w:pStyle w:val="TableContents"/>
              <w:bidi w:val="0"/>
              <w:spacing w:before="0" w:after="283"/>
              <w:jc w:val="left"/>
              <w:rPr/>
            </w:pPr>
            <w:r>
              <w:rPr/>
              <w:t> </w:t>
            </w:r>
          </w:p>
        </w:tc>
        <w:tc>
          <w:tcPr>
            <w:tcW w:w="603" w:type="dxa"/>
            <w:tcBorders>
              <w:bottom w:val="single" w:sz="6" w:space="0" w:color="FBDDE3"/>
            </w:tcBorders>
            <w:tcMar>
              <w:bottom w:w="60" w:type="dxa"/>
            </w:tcMar>
            <w:vAlign w:val="center"/>
          </w:tcPr>
          <w:p>
            <w:pPr>
              <w:pStyle w:val="TableContents"/>
              <w:bidi w:val="0"/>
              <w:spacing w:before="0" w:after="283"/>
              <w:jc w:val="right"/>
              <w:rPr/>
            </w:pPr>
            <w:r>
              <w:rPr/>
              <w:t>–</w:t>
            </w:r>
          </w:p>
        </w:tc>
        <w:tc>
          <w:tcPr>
            <w:tcW w:w="149" w:type="dxa"/>
            <w:tcBorders>
              <w:bottom w:val="single" w:sz="6" w:space="0" w:color="FBDDE3"/>
            </w:tcBorders>
            <w:tcMar>
              <w:bottom w:w="60" w:type="dxa"/>
            </w:tcMar>
            <w:vAlign w:val="center"/>
          </w:tcPr>
          <w:p>
            <w:pPr>
              <w:pStyle w:val="TableContents"/>
              <w:bidi w:val="0"/>
              <w:spacing w:before="0" w:after="283"/>
              <w:jc w:val="left"/>
              <w:rPr/>
            </w:pPr>
            <w:r>
              <w:rPr/>
              <w:t> </w:t>
            </w:r>
          </w:p>
        </w:tc>
        <w:tc>
          <w:tcPr>
            <w:tcW w:w="149" w:type="dxa"/>
            <w:tcBorders>
              <w:bottom w:val="single" w:sz="6" w:space="0" w:color="FBDDE3"/>
            </w:tcBorders>
            <w:tcMar>
              <w:bottom w:w="28" w:type="dxa"/>
            </w:tcMar>
            <w:vAlign w:val="center"/>
          </w:tcPr>
          <w:p>
            <w:pPr>
              <w:pStyle w:val="TableContents"/>
              <w:bidi w:val="0"/>
              <w:spacing w:before="0" w:after="283"/>
              <w:jc w:val="left"/>
              <w:rPr/>
            </w:pPr>
            <w:r>
              <w:rPr/>
              <w:t> </w:t>
            </w:r>
          </w:p>
        </w:tc>
        <w:tc>
          <w:tcPr>
            <w:tcW w:w="149" w:type="dxa"/>
            <w:tcBorders>
              <w:bottom w:val="single" w:sz="6" w:space="0" w:color="FBDDE3"/>
            </w:tcBorders>
            <w:tcMar>
              <w:bottom w:w="60" w:type="dxa"/>
            </w:tcMar>
            <w:vAlign w:val="center"/>
          </w:tcPr>
          <w:p>
            <w:pPr>
              <w:pStyle w:val="TableContents"/>
              <w:bidi w:val="0"/>
              <w:spacing w:before="0" w:after="283"/>
              <w:jc w:val="left"/>
              <w:rPr/>
            </w:pPr>
            <w:r>
              <w:rPr/>
              <w:t> </w:t>
            </w:r>
          </w:p>
        </w:tc>
        <w:tc>
          <w:tcPr>
            <w:tcW w:w="2455" w:type="dxa"/>
            <w:tcBorders>
              <w:bottom w:val="single" w:sz="6" w:space="0" w:color="FBDDE3"/>
            </w:tcBorders>
            <w:tcMar>
              <w:bottom w:w="60" w:type="dxa"/>
            </w:tcMar>
            <w:vAlign w:val="center"/>
          </w:tcPr>
          <w:p>
            <w:pPr>
              <w:pStyle w:val="TableContents"/>
              <w:bidi w:val="0"/>
              <w:spacing w:before="0" w:after="283"/>
              <w:jc w:val="right"/>
              <w:rPr/>
            </w:pPr>
            <w:r>
              <w:rPr/>
              <w:t>800,000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560,000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560,000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4" w:type="dxa"/>
            <w:tcBorders>
              <w:bottom w:val="single" w:sz="6" w:space="0" w:color="FBDDE3"/>
            </w:tcBorders>
            <w:tcMar>
              <w:bottom w:w="60" w:type="dxa"/>
            </w:tcMar>
            <w:vAlign w:val="center"/>
          </w:tcPr>
          <w:p>
            <w:pPr>
              <w:pStyle w:val="TableContents"/>
              <w:bidi w:val="0"/>
              <w:spacing w:before="0" w:after="283"/>
              <w:jc w:val="left"/>
              <w:rPr/>
            </w:pPr>
            <w:r>
              <w:rPr/>
              <w:t> </w:t>
            </w:r>
          </w:p>
        </w:tc>
        <w:tc>
          <w:tcPr>
            <w:tcW w:w="1221" w:type="dxa"/>
            <w:tcBorders>
              <w:bottom w:val="single" w:sz="6" w:space="0" w:color="FBDDE3"/>
            </w:tcBorders>
            <w:tcMar>
              <w:bottom w:w="60" w:type="dxa"/>
            </w:tcMar>
            <w:vAlign w:val="center"/>
          </w:tcPr>
          <w:p>
            <w:pPr>
              <w:pStyle w:val="TableContents"/>
              <w:bidi w:val="0"/>
              <w:spacing w:before="0" w:after="283"/>
              <w:jc w:val="right"/>
              <w:rPr/>
            </w:pPr>
            <w:r>
              <w:rPr/>
              <w:t>1,310,270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0" w:type="dxa"/>
            <w:tcBorders>
              <w:bottom w:val="single" w:sz="6" w:space="0" w:color="FBDDE3"/>
            </w:tcBorders>
            <w:tcMar>
              <w:bottom w:w="60" w:type="dxa"/>
            </w:tcMar>
            <w:vAlign w:val="center"/>
          </w:tcPr>
          <w:p>
            <w:pPr>
              <w:pStyle w:val="TableContents"/>
              <w:bidi w:val="0"/>
              <w:spacing w:before="0" w:after="283"/>
              <w:jc w:val="left"/>
              <w:rPr/>
            </w:pPr>
            <w:r>
              <w:rPr/>
              <w:t> </w:t>
            </w:r>
          </w:p>
        </w:tc>
        <w:tc>
          <w:tcPr>
            <w:tcW w:w="1080" w:type="dxa"/>
            <w:tcBorders>
              <w:bottom w:val="single" w:sz="6" w:space="0" w:color="FBDDE3"/>
            </w:tcBorders>
            <w:tcMar>
              <w:bottom w:w="60" w:type="dxa"/>
            </w:tcMar>
            <w:vAlign w:val="center"/>
          </w:tcPr>
          <w:p>
            <w:pPr>
              <w:pStyle w:val="TableContents"/>
              <w:bidi w:val="0"/>
              <w:spacing w:before="0" w:after="283"/>
              <w:jc w:val="right"/>
              <w:rPr/>
            </w:pPr>
            <w:r>
              <w:rPr/>
              <w:t>–</w:t>
            </w:r>
          </w:p>
        </w:tc>
        <w:tc>
          <w:tcPr>
            <w:tcW w:w="76"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292" w:type="dxa"/>
            <w:tcBorders/>
            <w:vAlign w:val="center"/>
          </w:tcPr>
          <w:p>
            <w:pPr>
              <w:pStyle w:val="TableContents"/>
              <w:bidi w:val="0"/>
              <w:spacing w:before="0" w:after="283"/>
              <w:jc w:val="left"/>
              <w:rPr>
                <w:sz w:val="4"/>
                <w:szCs w:val="4"/>
              </w:rPr>
            </w:pPr>
            <w:r>
              <w:rPr>
                <w:sz w:val="4"/>
                <w:szCs w:val="4"/>
              </w:rPr>
            </w:r>
          </w:p>
        </w:tc>
        <w:tc>
          <w:tcPr>
            <w:tcW w:w="1069" w:type="dxa"/>
            <w:gridSpan w:val="4"/>
            <w:tcBorders/>
            <w:vAlign w:val="center"/>
          </w:tcPr>
          <w:p>
            <w:pPr>
              <w:pStyle w:val="TableContents"/>
              <w:bidi w:val="0"/>
              <w:spacing w:before="0" w:after="283"/>
              <w:jc w:val="left"/>
              <w:rPr>
                <w:sz w:val="4"/>
                <w:szCs w:val="4"/>
              </w:rPr>
            </w:pPr>
            <w:r>
              <w:rPr>
                <w:sz w:val="4"/>
                <w:szCs w:val="4"/>
              </w:rPr>
            </w:r>
          </w:p>
        </w:tc>
        <w:tc>
          <w:tcPr>
            <w:tcW w:w="2813"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296" w:type="dxa"/>
            <w:gridSpan w:val="4"/>
            <w:tcBorders/>
            <w:vAlign w:val="center"/>
          </w:tcPr>
          <w:p>
            <w:pPr>
              <w:pStyle w:val="TableContents"/>
              <w:bidi w:val="0"/>
              <w:spacing w:before="0" w:after="283"/>
              <w:jc w:val="left"/>
              <w:rPr>
                <w:sz w:val="4"/>
                <w:szCs w:val="4"/>
              </w:rPr>
            </w:pPr>
            <w:r>
              <w:rPr>
                <w:sz w:val="4"/>
                <w:szCs w:val="4"/>
              </w:rPr>
            </w:r>
          </w:p>
        </w:tc>
      </w:tr>
      <w:tr>
        <w:trPr/>
        <w:tc>
          <w:tcPr>
            <w:tcW w:w="1292"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Long-Term Incentive Awards(4)</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257" w:type="dxa"/>
            <w:tcBorders>
              <w:bottom w:val="single" w:sz="6" w:space="0" w:color="FBDDE3"/>
            </w:tcBorders>
            <w:tcMar>
              <w:bottom w:w="60" w:type="dxa"/>
            </w:tcMar>
            <w:vAlign w:val="center"/>
          </w:tcPr>
          <w:p>
            <w:pPr>
              <w:pStyle w:val="TableContents"/>
              <w:bidi w:val="0"/>
              <w:spacing w:before="0" w:after="283"/>
              <w:jc w:val="left"/>
              <w:rPr/>
            </w:pPr>
            <w:r>
              <w:rPr/>
              <w:t> </w:t>
            </w:r>
          </w:p>
        </w:tc>
        <w:tc>
          <w:tcPr>
            <w:tcW w:w="603" w:type="dxa"/>
            <w:tcBorders>
              <w:bottom w:val="single" w:sz="6" w:space="0" w:color="FBDDE3"/>
            </w:tcBorders>
            <w:tcMar>
              <w:bottom w:w="60" w:type="dxa"/>
            </w:tcMar>
            <w:vAlign w:val="center"/>
          </w:tcPr>
          <w:p>
            <w:pPr>
              <w:pStyle w:val="TableContents"/>
              <w:bidi w:val="0"/>
              <w:spacing w:before="0" w:after="283"/>
              <w:jc w:val="right"/>
              <w:rPr/>
            </w:pPr>
            <w:r>
              <w:rPr/>
              <w:t>–</w:t>
            </w:r>
          </w:p>
        </w:tc>
        <w:tc>
          <w:tcPr>
            <w:tcW w:w="149" w:type="dxa"/>
            <w:tcBorders>
              <w:bottom w:val="single" w:sz="6" w:space="0" w:color="FBDDE3"/>
            </w:tcBorders>
            <w:tcMar>
              <w:bottom w:w="60" w:type="dxa"/>
            </w:tcMar>
            <w:vAlign w:val="center"/>
          </w:tcPr>
          <w:p>
            <w:pPr>
              <w:pStyle w:val="TableContents"/>
              <w:bidi w:val="0"/>
              <w:spacing w:before="0" w:after="283"/>
              <w:jc w:val="left"/>
              <w:rPr/>
            </w:pPr>
            <w:r>
              <w:rPr/>
              <w:t> </w:t>
            </w:r>
          </w:p>
        </w:tc>
        <w:tc>
          <w:tcPr>
            <w:tcW w:w="149" w:type="dxa"/>
            <w:tcBorders>
              <w:bottom w:val="single" w:sz="6" w:space="0" w:color="FBDDE3"/>
            </w:tcBorders>
            <w:tcMar>
              <w:bottom w:w="28" w:type="dxa"/>
            </w:tcMar>
            <w:vAlign w:val="center"/>
          </w:tcPr>
          <w:p>
            <w:pPr>
              <w:pStyle w:val="TableContents"/>
              <w:bidi w:val="0"/>
              <w:spacing w:before="0" w:after="283"/>
              <w:jc w:val="left"/>
              <w:rPr/>
            </w:pPr>
            <w:r>
              <w:rPr/>
              <w:t> </w:t>
            </w:r>
          </w:p>
        </w:tc>
        <w:tc>
          <w:tcPr>
            <w:tcW w:w="149" w:type="dxa"/>
            <w:tcBorders>
              <w:bottom w:val="single" w:sz="6" w:space="0" w:color="FBDDE3"/>
            </w:tcBorders>
            <w:tcMar>
              <w:bottom w:w="60" w:type="dxa"/>
            </w:tcMar>
            <w:vAlign w:val="center"/>
          </w:tcPr>
          <w:p>
            <w:pPr>
              <w:pStyle w:val="TableContents"/>
              <w:bidi w:val="0"/>
              <w:spacing w:before="0" w:after="283"/>
              <w:jc w:val="left"/>
              <w:rPr/>
            </w:pPr>
            <w:r>
              <w:rPr/>
              <w:t> </w:t>
            </w:r>
          </w:p>
        </w:tc>
        <w:tc>
          <w:tcPr>
            <w:tcW w:w="2455" w:type="dxa"/>
            <w:tcBorders>
              <w:bottom w:val="single" w:sz="6" w:space="0" w:color="FBDDE3"/>
            </w:tcBorders>
            <w:tcMar>
              <w:bottom w:w="60" w:type="dxa"/>
            </w:tcMar>
            <w:vAlign w:val="center"/>
          </w:tcPr>
          <w:p>
            <w:pPr>
              <w:pStyle w:val="TableContents"/>
              <w:bidi w:val="0"/>
              <w:spacing w:before="0" w:after="283"/>
              <w:jc w:val="right"/>
              <w:rPr/>
            </w:pPr>
            <w:r>
              <w:rPr/>
              <w:t>1,158,564</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2,509,996</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2,509,996</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4" w:type="dxa"/>
            <w:tcBorders>
              <w:bottom w:val="single" w:sz="6" w:space="0" w:color="FBDDE3"/>
            </w:tcBorders>
            <w:tcMar>
              <w:bottom w:w="60" w:type="dxa"/>
            </w:tcMar>
            <w:vAlign w:val="center"/>
          </w:tcPr>
          <w:p>
            <w:pPr>
              <w:pStyle w:val="TableContents"/>
              <w:bidi w:val="0"/>
              <w:spacing w:before="0" w:after="283"/>
              <w:jc w:val="left"/>
              <w:rPr/>
            </w:pPr>
            <w:r>
              <w:rPr/>
              <w:t> </w:t>
            </w:r>
          </w:p>
        </w:tc>
        <w:tc>
          <w:tcPr>
            <w:tcW w:w="1221" w:type="dxa"/>
            <w:tcBorders>
              <w:bottom w:val="single" w:sz="6" w:space="0" w:color="FBDDE3"/>
            </w:tcBorders>
            <w:tcMar>
              <w:bottom w:w="60" w:type="dxa"/>
            </w:tcMar>
            <w:vAlign w:val="center"/>
          </w:tcPr>
          <w:p>
            <w:pPr>
              <w:pStyle w:val="TableContents"/>
              <w:bidi w:val="0"/>
              <w:spacing w:before="0" w:after="283"/>
              <w:jc w:val="right"/>
              <w:rPr/>
            </w:pPr>
            <w:r>
              <w:rPr/>
              <w:t>3,396,765</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0" w:type="dxa"/>
            <w:tcBorders>
              <w:bottom w:val="single" w:sz="6" w:space="0" w:color="FBDDE3"/>
            </w:tcBorders>
            <w:tcMar>
              <w:bottom w:w="60" w:type="dxa"/>
            </w:tcMar>
            <w:vAlign w:val="center"/>
          </w:tcPr>
          <w:p>
            <w:pPr>
              <w:pStyle w:val="TableContents"/>
              <w:bidi w:val="0"/>
              <w:spacing w:before="0" w:after="283"/>
              <w:jc w:val="left"/>
              <w:rPr/>
            </w:pPr>
            <w:r>
              <w:rPr/>
              <w:t> </w:t>
            </w:r>
          </w:p>
        </w:tc>
        <w:tc>
          <w:tcPr>
            <w:tcW w:w="1080" w:type="dxa"/>
            <w:tcBorders>
              <w:bottom w:val="single" w:sz="6" w:space="0" w:color="FBDDE3"/>
            </w:tcBorders>
            <w:tcMar>
              <w:bottom w:w="60" w:type="dxa"/>
            </w:tcMar>
            <w:vAlign w:val="center"/>
          </w:tcPr>
          <w:p>
            <w:pPr>
              <w:pStyle w:val="TableContents"/>
              <w:bidi w:val="0"/>
              <w:spacing w:before="0" w:after="283"/>
              <w:jc w:val="right"/>
              <w:rPr/>
            </w:pPr>
            <w:r>
              <w:rPr/>
              <w:t>295,599</w:t>
            </w:r>
          </w:p>
        </w:tc>
        <w:tc>
          <w:tcPr>
            <w:tcW w:w="76"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292" w:type="dxa"/>
            <w:tcBorders/>
            <w:vAlign w:val="center"/>
          </w:tcPr>
          <w:p>
            <w:pPr>
              <w:pStyle w:val="TableContents"/>
              <w:bidi w:val="0"/>
              <w:spacing w:before="0" w:after="283"/>
              <w:jc w:val="left"/>
              <w:rPr>
                <w:sz w:val="4"/>
                <w:szCs w:val="4"/>
              </w:rPr>
            </w:pPr>
            <w:r>
              <w:rPr>
                <w:sz w:val="4"/>
                <w:szCs w:val="4"/>
              </w:rPr>
            </w:r>
          </w:p>
        </w:tc>
        <w:tc>
          <w:tcPr>
            <w:tcW w:w="1069" w:type="dxa"/>
            <w:gridSpan w:val="4"/>
            <w:tcBorders/>
            <w:vAlign w:val="center"/>
          </w:tcPr>
          <w:p>
            <w:pPr>
              <w:pStyle w:val="TableContents"/>
              <w:bidi w:val="0"/>
              <w:spacing w:before="0" w:after="283"/>
              <w:jc w:val="left"/>
              <w:rPr>
                <w:sz w:val="4"/>
                <w:szCs w:val="4"/>
              </w:rPr>
            </w:pPr>
            <w:r>
              <w:rPr>
                <w:sz w:val="4"/>
                <w:szCs w:val="4"/>
              </w:rPr>
            </w:r>
          </w:p>
        </w:tc>
        <w:tc>
          <w:tcPr>
            <w:tcW w:w="2813"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296" w:type="dxa"/>
            <w:gridSpan w:val="4"/>
            <w:tcBorders/>
            <w:vAlign w:val="center"/>
          </w:tcPr>
          <w:p>
            <w:pPr>
              <w:pStyle w:val="TableContents"/>
              <w:bidi w:val="0"/>
              <w:spacing w:before="0" w:after="283"/>
              <w:jc w:val="left"/>
              <w:rPr>
                <w:sz w:val="4"/>
                <w:szCs w:val="4"/>
              </w:rPr>
            </w:pPr>
            <w:r>
              <w:rPr>
                <w:sz w:val="4"/>
                <w:szCs w:val="4"/>
              </w:rPr>
            </w:r>
          </w:p>
        </w:tc>
      </w:tr>
      <w:tr>
        <w:trPr/>
        <w:tc>
          <w:tcPr>
            <w:tcW w:w="1292"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Benefits(5)</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257" w:type="dxa"/>
            <w:tcBorders>
              <w:bottom w:val="single" w:sz="6" w:space="0" w:color="FBDDE3"/>
            </w:tcBorders>
            <w:tcMar>
              <w:bottom w:w="60" w:type="dxa"/>
            </w:tcMar>
            <w:vAlign w:val="center"/>
          </w:tcPr>
          <w:p>
            <w:pPr>
              <w:pStyle w:val="TableContents"/>
              <w:bidi w:val="0"/>
              <w:spacing w:before="0" w:after="283"/>
              <w:jc w:val="left"/>
              <w:rPr/>
            </w:pPr>
            <w:r>
              <w:rPr/>
              <w:t> </w:t>
            </w:r>
          </w:p>
        </w:tc>
        <w:tc>
          <w:tcPr>
            <w:tcW w:w="603" w:type="dxa"/>
            <w:tcBorders>
              <w:bottom w:val="single" w:sz="6" w:space="0" w:color="FBDDE3"/>
            </w:tcBorders>
            <w:tcMar>
              <w:bottom w:w="60" w:type="dxa"/>
            </w:tcMar>
            <w:vAlign w:val="center"/>
          </w:tcPr>
          <w:p>
            <w:pPr>
              <w:pStyle w:val="TableContents"/>
              <w:bidi w:val="0"/>
              <w:spacing w:before="0" w:after="283"/>
              <w:jc w:val="right"/>
              <w:rPr/>
            </w:pPr>
            <w:r>
              <w:rPr/>
              <w:t>–</w:t>
            </w:r>
          </w:p>
        </w:tc>
        <w:tc>
          <w:tcPr>
            <w:tcW w:w="149" w:type="dxa"/>
            <w:tcBorders>
              <w:bottom w:val="single" w:sz="6" w:space="0" w:color="FBDDE3"/>
            </w:tcBorders>
            <w:tcMar>
              <w:bottom w:w="60" w:type="dxa"/>
            </w:tcMar>
            <w:vAlign w:val="center"/>
          </w:tcPr>
          <w:p>
            <w:pPr>
              <w:pStyle w:val="TableContents"/>
              <w:bidi w:val="0"/>
              <w:spacing w:before="0" w:after="283"/>
              <w:jc w:val="left"/>
              <w:rPr/>
            </w:pPr>
            <w:r>
              <w:rPr/>
              <w:t> </w:t>
            </w:r>
          </w:p>
        </w:tc>
        <w:tc>
          <w:tcPr>
            <w:tcW w:w="149" w:type="dxa"/>
            <w:tcBorders>
              <w:bottom w:val="single" w:sz="6" w:space="0" w:color="FBDDE3"/>
            </w:tcBorders>
            <w:tcMar>
              <w:bottom w:w="28" w:type="dxa"/>
            </w:tcMar>
            <w:vAlign w:val="center"/>
          </w:tcPr>
          <w:p>
            <w:pPr>
              <w:pStyle w:val="TableContents"/>
              <w:bidi w:val="0"/>
              <w:spacing w:before="0" w:after="283"/>
              <w:jc w:val="left"/>
              <w:rPr/>
            </w:pPr>
            <w:r>
              <w:rPr/>
              <w:t> </w:t>
            </w:r>
          </w:p>
        </w:tc>
        <w:tc>
          <w:tcPr>
            <w:tcW w:w="149" w:type="dxa"/>
            <w:tcBorders>
              <w:bottom w:val="single" w:sz="6" w:space="0" w:color="FBDDE3"/>
            </w:tcBorders>
            <w:tcMar>
              <w:bottom w:w="60" w:type="dxa"/>
            </w:tcMar>
            <w:vAlign w:val="center"/>
          </w:tcPr>
          <w:p>
            <w:pPr>
              <w:pStyle w:val="TableContents"/>
              <w:bidi w:val="0"/>
              <w:spacing w:before="0" w:after="283"/>
              <w:jc w:val="left"/>
              <w:rPr/>
            </w:pPr>
            <w:r>
              <w:rPr/>
              <w:t> </w:t>
            </w:r>
          </w:p>
        </w:tc>
        <w:tc>
          <w:tcPr>
            <w:tcW w:w="2455" w:type="dxa"/>
            <w:tcBorders>
              <w:bottom w:val="single" w:sz="6" w:space="0" w:color="FBDDE3"/>
            </w:tcBorders>
            <w:tcMar>
              <w:bottom w:w="60" w:type="dxa"/>
            </w:tcMar>
            <w:vAlign w:val="center"/>
          </w:tcPr>
          <w:p>
            <w:pPr>
              <w:pStyle w:val="TableContents"/>
              <w:bidi w:val="0"/>
              <w:spacing w:before="0" w:after="283"/>
              <w:jc w:val="right"/>
              <w:rPr/>
            </w:pPr>
            <w:r>
              <w:rPr/>
              <w:t>33,811</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1,600,000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4" w:type="dxa"/>
            <w:tcBorders>
              <w:bottom w:val="single" w:sz="6" w:space="0" w:color="FBDDE3"/>
            </w:tcBorders>
            <w:tcMar>
              <w:bottom w:w="60" w:type="dxa"/>
            </w:tcMar>
            <w:vAlign w:val="center"/>
          </w:tcPr>
          <w:p>
            <w:pPr>
              <w:pStyle w:val="TableContents"/>
              <w:bidi w:val="0"/>
              <w:spacing w:before="0" w:after="283"/>
              <w:jc w:val="left"/>
              <w:rPr/>
            </w:pPr>
            <w:r>
              <w:rPr/>
              <w:t> </w:t>
            </w:r>
          </w:p>
        </w:tc>
        <w:tc>
          <w:tcPr>
            <w:tcW w:w="1221" w:type="dxa"/>
            <w:tcBorders>
              <w:bottom w:val="single" w:sz="6" w:space="0" w:color="FBDDE3"/>
            </w:tcBorders>
            <w:tcMar>
              <w:bottom w:w="60" w:type="dxa"/>
            </w:tcMar>
            <w:vAlign w:val="center"/>
          </w:tcPr>
          <w:p>
            <w:pPr>
              <w:pStyle w:val="TableContents"/>
              <w:bidi w:val="0"/>
              <w:spacing w:before="0" w:after="283"/>
              <w:jc w:val="right"/>
              <w:rPr/>
            </w:pPr>
            <w:r>
              <w:rPr/>
              <w:t>33,811</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0" w:type="dxa"/>
            <w:tcBorders>
              <w:bottom w:val="single" w:sz="6" w:space="0" w:color="FBDDE3"/>
            </w:tcBorders>
            <w:tcMar>
              <w:bottom w:w="60" w:type="dxa"/>
            </w:tcMar>
            <w:vAlign w:val="center"/>
          </w:tcPr>
          <w:p>
            <w:pPr>
              <w:pStyle w:val="TableContents"/>
              <w:bidi w:val="0"/>
              <w:spacing w:before="0" w:after="283"/>
              <w:jc w:val="left"/>
              <w:rPr/>
            </w:pPr>
            <w:r>
              <w:rPr/>
              <w:t> </w:t>
            </w:r>
          </w:p>
        </w:tc>
        <w:tc>
          <w:tcPr>
            <w:tcW w:w="1080" w:type="dxa"/>
            <w:tcBorders>
              <w:bottom w:val="single" w:sz="6" w:space="0" w:color="FBDDE3"/>
            </w:tcBorders>
            <w:tcMar>
              <w:bottom w:w="60" w:type="dxa"/>
            </w:tcMar>
            <w:vAlign w:val="center"/>
          </w:tcPr>
          <w:p>
            <w:pPr>
              <w:pStyle w:val="TableContents"/>
              <w:bidi w:val="0"/>
              <w:spacing w:before="0" w:after="283"/>
              <w:jc w:val="right"/>
              <w:rPr/>
            </w:pPr>
            <w:r>
              <w:rPr/>
              <w:t>–</w:t>
            </w:r>
          </w:p>
        </w:tc>
        <w:tc>
          <w:tcPr>
            <w:tcW w:w="76"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292" w:type="dxa"/>
            <w:tcBorders/>
            <w:vAlign w:val="center"/>
          </w:tcPr>
          <w:p>
            <w:pPr>
              <w:pStyle w:val="TableContents"/>
              <w:bidi w:val="0"/>
              <w:spacing w:before="0" w:after="283"/>
              <w:jc w:val="left"/>
              <w:rPr>
                <w:sz w:val="4"/>
                <w:szCs w:val="4"/>
              </w:rPr>
            </w:pPr>
            <w:r>
              <w:rPr>
                <w:sz w:val="4"/>
                <w:szCs w:val="4"/>
              </w:rPr>
            </w:r>
          </w:p>
        </w:tc>
        <w:tc>
          <w:tcPr>
            <w:tcW w:w="1069" w:type="dxa"/>
            <w:gridSpan w:val="4"/>
            <w:tcBorders/>
            <w:vAlign w:val="center"/>
          </w:tcPr>
          <w:p>
            <w:pPr>
              <w:pStyle w:val="TableContents"/>
              <w:bidi w:val="0"/>
              <w:spacing w:before="0" w:after="283"/>
              <w:jc w:val="left"/>
              <w:rPr>
                <w:sz w:val="4"/>
                <w:szCs w:val="4"/>
              </w:rPr>
            </w:pPr>
            <w:r>
              <w:rPr>
                <w:sz w:val="4"/>
                <w:szCs w:val="4"/>
              </w:rPr>
            </w:r>
          </w:p>
        </w:tc>
        <w:tc>
          <w:tcPr>
            <w:tcW w:w="2813"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296" w:type="dxa"/>
            <w:gridSpan w:val="4"/>
            <w:tcBorders/>
            <w:vAlign w:val="center"/>
          </w:tcPr>
          <w:p>
            <w:pPr>
              <w:pStyle w:val="TableContents"/>
              <w:bidi w:val="0"/>
              <w:spacing w:before="0" w:after="283"/>
              <w:jc w:val="left"/>
              <w:rPr>
                <w:sz w:val="4"/>
                <w:szCs w:val="4"/>
              </w:rPr>
            </w:pPr>
            <w:r>
              <w:rPr>
                <w:sz w:val="4"/>
                <w:szCs w:val="4"/>
              </w:rPr>
            </w:r>
          </w:p>
        </w:tc>
      </w:tr>
      <w:tr>
        <w:trPr/>
        <w:tc>
          <w:tcPr>
            <w:tcW w:w="1292" w:type="dxa"/>
            <w:tcBorders>
              <w:bottom w:val="single" w:sz="8" w:space="0" w:color="F7ACBA"/>
            </w:tcBorders>
            <w:tcMar>
              <w:bottom w:w="80" w:type="dxa"/>
            </w:tcMar>
            <w:vAlign w:val="center"/>
          </w:tcPr>
          <w:p>
            <w:pPr>
              <w:pStyle w:val="TableContents"/>
              <w:bidi w:val="0"/>
              <w:spacing w:before="0" w:after="0"/>
              <w:jc w:val="left"/>
              <w:rPr>
                <w:rFonts w:ascii="arial" w:hAnsi="arial"/>
                <w:b/>
                <w:sz w:val="18"/>
              </w:rPr>
            </w:pPr>
            <w:r>
              <w:rPr>
                <w:rFonts w:ascii="arial" w:hAnsi="arial"/>
                <w:b/>
                <w:sz w:val="18"/>
              </w:rPr>
              <w:t>Total</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257" w:type="dxa"/>
            <w:tcBorders>
              <w:bottom w:val="single" w:sz="8" w:space="0" w:color="F7ACBA"/>
            </w:tcBorders>
            <w:tcMar>
              <w:bottom w:w="80" w:type="dxa"/>
            </w:tcMar>
            <w:vAlign w:val="center"/>
          </w:tcPr>
          <w:p>
            <w:pPr>
              <w:pStyle w:val="TableContents"/>
              <w:bidi w:val="0"/>
              <w:spacing w:before="0" w:after="283"/>
              <w:jc w:val="left"/>
              <w:rPr/>
            </w:pPr>
            <w:r>
              <w:rPr/>
              <w:t> </w:t>
            </w:r>
          </w:p>
        </w:tc>
        <w:tc>
          <w:tcPr>
            <w:tcW w:w="603" w:type="dxa"/>
            <w:tcBorders>
              <w:bottom w:val="single" w:sz="8" w:space="0" w:color="F7ACBA"/>
            </w:tcBorders>
            <w:tcMar>
              <w:bottom w:w="80" w:type="dxa"/>
            </w:tcMar>
            <w:vAlign w:val="center"/>
          </w:tcPr>
          <w:p>
            <w:pPr>
              <w:pStyle w:val="TableContents"/>
              <w:bidi w:val="0"/>
              <w:spacing w:before="0" w:after="283"/>
              <w:jc w:val="right"/>
              <w:rPr/>
            </w:pPr>
            <w:r>
              <w:rPr/>
              <w:t>–</w:t>
            </w:r>
          </w:p>
        </w:tc>
        <w:tc>
          <w:tcPr>
            <w:tcW w:w="149" w:type="dxa"/>
            <w:tcBorders>
              <w:bottom w:val="single" w:sz="8" w:space="0" w:color="F7ACBA"/>
            </w:tcBorders>
            <w:tcMar>
              <w:bottom w:w="80" w:type="dxa"/>
            </w:tcMar>
            <w:vAlign w:val="center"/>
          </w:tcPr>
          <w:p>
            <w:pPr>
              <w:pStyle w:val="TableContents"/>
              <w:bidi w:val="0"/>
              <w:spacing w:before="0" w:after="283"/>
              <w:jc w:val="left"/>
              <w:rPr/>
            </w:pPr>
            <w:r>
              <w:rPr/>
              <w:t> </w:t>
            </w:r>
          </w:p>
        </w:tc>
        <w:tc>
          <w:tcPr>
            <w:tcW w:w="149" w:type="dxa"/>
            <w:tcBorders>
              <w:bottom w:val="single" w:sz="8" w:space="0" w:color="F7ACBA"/>
            </w:tcBorders>
            <w:tcMar>
              <w:bottom w:w="28" w:type="dxa"/>
            </w:tcMar>
            <w:vAlign w:val="center"/>
          </w:tcPr>
          <w:p>
            <w:pPr>
              <w:pStyle w:val="TableContents"/>
              <w:bidi w:val="0"/>
              <w:spacing w:before="0" w:after="283"/>
              <w:jc w:val="left"/>
              <w:rPr/>
            </w:pPr>
            <w:r>
              <w:rPr/>
              <w:t> </w:t>
            </w:r>
          </w:p>
        </w:tc>
        <w:tc>
          <w:tcPr>
            <w:tcW w:w="149" w:type="dxa"/>
            <w:tcBorders>
              <w:bottom w:val="single" w:sz="8" w:space="0" w:color="F7ACBA"/>
            </w:tcBorders>
            <w:tcMar>
              <w:bottom w:w="80" w:type="dxa"/>
            </w:tcMar>
            <w:vAlign w:val="center"/>
          </w:tcPr>
          <w:p>
            <w:pPr>
              <w:pStyle w:val="TableContents"/>
              <w:bidi w:val="0"/>
              <w:spacing w:before="0" w:after="283"/>
              <w:jc w:val="left"/>
              <w:rPr/>
            </w:pPr>
            <w:r>
              <w:rPr/>
              <w:t> </w:t>
            </w:r>
          </w:p>
        </w:tc>
        <w:tc>
          <w:tcPr>
            <w:tcW w:w="2455" w:type="dxa"/>
            <w:tcBorders>
              <w:bottom w:val="single" w:sz="8" w:space="0" w:color="F7ACBA"/>
            </w:tcBorders>
            <w:tcMar>
              <w:bottom w:w="80" w:type="dxa"/>
            </w:tcMar>
            <w:vAlign w:val="center"/>
          </w:tcPr>
          <w:p>
            <w:pPr>
              <w:pStyle w:val="TableContents"/>
              <w:bidi w:val="0"/>
              <w:spacing w:before="0" w:after="283"/>
              <w:jc w:val="right"/>
              <w:rPr>
                <w:b/>
              </w:rPr>
            </w:pPr>
            <w:r>
              <w:rPr>
                <w:b/>
              </w:rPr>
              <w:t>3,592,375</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980" w:type="dxa"/>
            <w:tcBorders>
              <w:bottom w:val="single" w:sz="8" w:space="0" w:color="F7ACBA"/>
            </w:tcBorders>
            <w:tcMar>
              <w:bottom w:w="80" w:type="dxa"/>
            </w:tcMar>
            <w:vAlign w:val="center"/>
          </w:tcPr>
          <w:p>
            <w:pPr>
              <w:pStyle w:val="TableContents"/>
              <w:bidi w:val="0"/>
              <w:spacing w:before="0" w:after="283"/>
              <w:jc w:val="right"/>
              <w:rPr>
                <w:b/>
              </w:rPr>
            </w:pPr>
            <w:r>
              <w:rPr>
                <w:b/>
              </w:rPr>
              <w:t>4,669,996</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980" w:type="dxa"/>
            <w:tcBorders>
              <w:bottom w:val="single" w:sz="8" w:space="0" w:color="F7ACBA"/>
            </w:tcBorders>
            <w:tcMar>
              <w:bottom w:w="80" w:type="dxa"/>
            </w:tcMar>
            <w:vAlign w:val="center"/>
          </w:tcPr>
          <w:p>
            <w:pPr>
              <w:pStyle w:val="TableContents"/>
              <w:bidi w:val="0"/>
              <w:spacing w:before="0" w:after="283"/>
              <w:jc w:val="right"/>
              <w:rPr>
                <w:b/>
              </w:rPr>
            </w:pPr>
            <w:r>
              <w:rPr>
                <w:b/>
              </w:rPr>
              <w:t>3,569,996</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74" w:type="dxa"/>
            <w:tcBorders>
              <w:bottom w:val="single" w:sz="8" w:space="0" w:color="F7ACBA"/>
            </w:tcBorders>
            <w:tcMar>
              <w:bottom w:w="80" w:type="dxa"/>
            </w:tcMar>
            <w:vAlign w:val="center"/>
          </w:tcPr>
          <w:p>
            <w:pPr>
              <w:pStyle w:val="TableContents"/>
              <w:bidi w:val="0"/>
              <w:spacing w:before="0" w:after="283"/>
              <w:jc w:val="left"/>
              <w:rPr/>
            </w:pPr>
            <w:r>
              <w:rPr/>
              <w:t> </w:t>
            </w:r>
          </w:p>
        </w:tc>
        <w:tc>
          <w:tcPr>
            <w:tcW w:w="1221" w:type="dxa"/>
            <w:tcBorders>
              <w:bottom w:val="single" w:sz="8" w:space="0" w:color="F7ACBA"/>
            </w:tcBorders>
            <w:tcMar>
              <w:bottom w:w="80" w:type="dxa"/>
            </w:tcMar>
            <w:vAlign w:val="center"/>
          </w:tcPr>
          <w:p>
            <w:pPr>
              <w:pStyle w:val="TableContents"/>
              <w:bidi w:val="0"/>
              <w:spacing w:before="0" w:after="283"/>
              <w:jc w:val="right"/>
              <w:rPr>
                <w:b/>
              </w:rPr>
            </w:pPr>
            <w:r>
              <w:rPr>
                <w:b/>
              </w:rPr>
              <w:t>6,340,846</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80" w:type="dxa"/>
            <w:tcBorders>
              <w:bottom w:val="single" w:sz="8" w:space="0" w:color="F7ACBA"/>
            </w:tcBorders>
            <w:tcMar>
              <w:bottom w:w="80" w:type="dxa"/>
            </w:tcMar>
            <w:vAlign w:val="center"/>
          </w:tcPr>
          <w:p>
            <w:pPr>
              <w:pStyle w:val="TableContents"/>
              <w:bidi w:val="0"/>
              <w:spacing w:before="0" w:after="283"/>
              <w:jc w:val="left"/>
              <w:rPr/>
            </w:pPr>
            <w:r>
              <w:rPr/>
              <w:t> </w:t>
            </w:r>
          </w:p>
        </w:tc>
        <w:tc>
          <w:tcPr>
            <w:tcW w:w="1080" w:type="dxa"/>
            <w:tcBorders>
              <w:bottom w:val="single" w:sz="8" w:space="0" w:color="F7ACBA"/>
            </w:tcBorders>
            <w:tcMar>
              <w:bottom w:w="80" w:type="dxa"/>
            </w:tcMar>
            <w:vAlign w:val="center"/>
          </w:tcPr>
          <w:p>
            <w:pPr>
              <w:pStyle w:val="TableContents"/>
              <w:bidi w:val="0"/>
              <w:spacing w:before="0" w:after="283"/>
              <w:jc w:val="right"/>
              <w:rPr>
                <w:b/>
              </w:rPr>
            </w:pPr>
            <w:r>
              <w:rPr>
                <w:b/>
              </w:rPr>
              <w:t>295,599</w:t>
            </w:r>
          </w:p>
        </w:tc>
        <w:tc>
          <w:tcPr>
            <w:tcW w:w="76" w:type="dxa"/>
            <w:tcBorders>
              <w:bottom w:val="single" w:sz="8" w:space="0" w:color="F7ACBA"/>
            </w:tcBorders>
            <w:tcMar>
              <w:bottom w:w="80" w:type="dxa"/>
            </w:tcMar>
            <w:vAlign w:val="center"/>
          </w:tcPr>
          <w:p>
            <w:pPr>
              <w:pStyle w:val="TableContents"/>
              <w:bidi w:val="0"/>
              <w:spacing w:before="0" w:after="283"/>
              <w:jc w:val="left"/>
              <w:rPr/>
            </w:pPr>
            <w:r>
              <w:rPr/>
              <w:t> </w:t>
            </w:r>
          </w:p>
        </w:tc>
      </w:tr>
    </w:tbl>
    <w:p>
      <w:pPr>
        <w:pStyle w:val="TextBody"/>
        <w:bidi w:val="0"/>
        <w:spacing w:before="240" w:after="0"/>
        <w:jc w:val="left"/>
        <w:rPr>
          <w:rFonts w:ascii="arial" w:hAnsi="arial"/>
          <w:b/>
          <w:color w:val="F7ACBA"/>
          <w:sz w:val="24"/>
        </w:rPr>
      </w:pPr>
      <w:r>
        <w:rPr>
          <w:rFonts w:ascii="arial" w:hAnsi="arial"/>
          <w:b/>
          <w:color w:val="F7ACBA"/>
          <w:sz w:val="24"/>
        </w:rPr>
        <w:t xml:space="preserve">Melinda McAfee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92"/>
        <w:gridCol w:w="60"/>
        <w:gridCol w:w="257"/>
        <w:gridCol w:w="603"/>
        <w:gridCol w:w="149"/>
        <w:gridCol w:w="149"/>
        <w:gridCol w:w="149"/>
        <w:gridCol w:w="2455"/>
        <w:gridCol w:w="60"/>
        <w:gridCol w:w="60"/>
        <w:gridCol w:w="60"/>
        <w:gridCol w:w="980"/>
        <w:gridCol w:w="60"/>
        <w:gridCol w:w="60"/>
        <w:gridCol w:w="60"/>
        <w:gridCol w:w="980"/>
        <w:gridCol w:w="60"/>
        <w:gridCol w:w="60"/>
        <w:gridCol w:w="74"/>
        <w:gridCol w:w="1221"/>
        <w:gridCol w:w="60"/>
        <w:gridCol w:w="60"/>
        <w:gridCol w:w="348"/>
        <w:gridCol w:w="812"/>
        <w:gridCol w:w="76"/>
      </w:tblGrid>
      <w:tr>
        <w:trPr/>
        <w:tc>
          <w:tcPr>
            <w:tcW w:w="1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1292"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3762" w:type="dxa"/>
            <w:gridSpan w:val="6"/>
            <w:tcBorders>
              <w:bottom w:val="single" w:sz="8" w:space="0" w:color="000000"/>
            </w:tcBorders>
            <w:shd w:fill="FDEEF1" w:val="clear"/>
            <w:tcMar>
              <w:bottom w:w="28" w:type="dxa"/>
            </w:tcMar>
            <w:vAlign w:val="center"/>
          </w:tcPr>
          <w:p>
            <w:pPr>
              <w:pStyle w:val="TableContents"/>
              <w:bidi w:val="0"/>
              <w:spacing w:before="0" w:after="283"/>
              <w:jc w:val="center"/>
              <w:rPr/>
            </w:pPr>
            <w:r>
              <w:rPr/>
              <w:t> </w:t>
            </w:r>
            <w:r>
              <w:rPr>
                <w:b/>
              </w:rPr>
              <w:t>Involuntary Without Cause or </w:t>
              <w:br/>
              <w:t>Voluntary With Good Reason</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040" w:type="dxa"/>
            <w:gridSpan w:val="2"/>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040" w:type="dxa"/>
            <w:gridSpan w:val="2"/>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295" w:type="dxa"/>
            <w:gridSpan w:val="2"/>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160" w:type="dxa"/>
            <w:gridSpan w:val="2"/>
            <w:tcBorders/>
            <w:shd w:fill="FDEEF1" w:val="clear"/>
            <w:vAlign w:val="center"/>
          </w:tcPr>
          <w:p>
            <w:pPr>
              <w:pStyle w:val="TableContents"/>
              <w:bidi w:val="0"/>
              <w:spacing w:before="0" w:after="283"/>
              <w:jc w:val="left"/>
              <w:rPr/>
            </w:pPr>
            <w:r>
              <w:rPr/>
              <w:t> </w:t>
            </w:r>
          </w:p>
        </w:tc>
        <w:tc>
          <w:tcPr>
            <w:tcW w:w="76" w:type="dxa"/>
            <w:tcBorders/>
            <w:shd w:fill="FDEEF1" w:val="clear"/>
            <w:vAlign w:val="center"/>
          </w:tcPr>
          <w:p>
            <w:pPr>
              <w:pStyle w:val="TableContents"/>
              <w:bidi w:val="0"/>
              <w:spacing w:before="0" w:after="283"/>
              <w:jc w:val="left"/>
              <w:rPr/>
            </w:pPr>
            <w:r>
              <w:rPr/>
              <w:t> </w:t>
            </w:r>
          </w:p>
        </w:tc>
      </w:tr>
      <w:tr>
        <w:trPr/>
        <w:tc>
          <w:tcPr>
            <w:tcW w:w="1292" w:type="dxa"/>
            <w:tcBorders/>
            <w:shd w:fill="FDEEF1" w:val="clear"/>
            <w:vAlign w:val="center"/>
          </w:tcPr>
          <w:p>
            <w:pPr>
              <w:pStyle w:val="TableContents"/>
              <w:bidi w:val="0"/>
              <w:spacing w:before="0" w:after="283"/>
              <w:jc w:val="left"/>
              <w:rPr>
                <w:sz w:val="4"/>
                <w:szCs w:val="4"/>
              </w:rPr>
            </w:pPr>
            <w:r>
              <w:rPr>
                <w:sz w:val="4"/>
                <w:szCs w:val="4"/>
              </w:rPr>
            </w:r>
          </w:p>
        </w:tc>
        <w:tc>
          <w:tcPr>
            <w:tcW w:w="1069" w:type="dxa"/>
            <w:gridSpan w:val="4"/>
            <w:tcBorders/>
            <w:shd w:fill="FDEEF1" w:val="clear"/>
            <w:vAlign w:val="center"/>
          </w:tcPr>
          <w:p>
            <w:pPr>
              <w:pStyle w:val="TableContents"/>
              <w:bidi w:val="0"/>
              <w:spacing w:before="0" w:after="283"/>
              <w:jc w:val="left"/>
              <w:rPr>
                <w:sz w:val="4"/>
                <w:szCs w:val="4"/>
              </w:rPr>
            </w:pPr>
            <w:r>
              <w:rPr>
                <w:sz w:val="4"/>
                <w:szCs w:val="4"/>
              </w:rPr>
            </w:r>
          </w:p>
        </w:tc>
        <w:tc>
          <w:tcPr>
            <w:tcW w:w="2813" w:type="dxa"/>
            <w:gridSpan w:val="4"/>
            <w:tcBorders/>
            <w:shd w:fill="FDEEF1" w:val="clear"/>
            <w:vAlign w:val="center"/>
          </w:tcPr>
          <w:p>
            <w:pPr>
              <w:pStyle w:val="TableContents"/>
              <w:bidi w:val="0"/>
              <w:spacing w:before="0" w:after="283"/>
              <w:jc w:val="left"/>
              <w:rPr>
                <w:sz w:val="4"/>
                <w:szCs w:val="4"/>
              </w:rPr>
            </w:pPr>
            <w:r>
              <w:rPr>
                <w:sz w:val="4"/>
                <w:szCs w:val="4"/>
              </w:rPr>
            </w:r>
          </w:p>
        </w:tc>
        <w:tc>
          <w:tcPr>
            <w:tcW w:w="1160" w:type="dxa"/>
            <w:gridSpan w:val="4"/>
            <w:tcBorders/>
            <w:shd w:fill="FDEEF1" w:val="clear"/>
            <w:vAlign w:val="center"/>
          </w:tcPr>
          <w:p>
            <w:pPr>
              <w:pStyle w:val="TableContents"/>
              <w:bidi w:val="0"/>
              <w:spacing w:before="0" w:after="283"/>
              <w:jc w:val="left"/>
              <w:rPr>
                <w:sz w:val="4"/>
                <w:szCs w:val="4"/>
              </w:rPr>
            </w:pPr>
            <w:r>
              <w:rPr>
                <w:sz w:val="4"/>
                <w:szCs w:val="4"/>
              </w:rPr>
            </w:r>
          </w:p>
        </w:tc>
        <w:tc>
          <w:tcPr>
            <w:tcW w:w="1160" w:type="dxa"/>
            <w:gridSpan w:val="4"/>
            <w:tcBorders/>
            <w:shd w:fill="FDEEF1" w:val="clear"/>
            <w:vAlign w:val="center"/>
          </w:tcPr>
          <w:p>
            <w:pPr>
              <w:pStyle w:val="TableContents"/>
              <w:bidi w:val="0"/>
              <w:spacing w:before="0" w:after="283"/>
              <w:jc w:val="left"/>
              <w:rPr>
                <w:sz w:val="4"/>
                <w:szCs w:val="4"/>
              </w:rPr>
            </w:pPr>
            <w:r>
              <w:rPr>
                <w:sz w:val="4"/>
                <w:szCs w:val="4"/>
              </w:rPr>
            </w:r>
          </w:p>
        </w:tc>
        <w:tc>
          <w:tcPr>
            <w:tcW w:w="1415" w:type="dxa"/>
            <w:gridSpan w:val="4"/>
            <w:tcBorders/>
            <w:shd w:fill="FDEEF1" w:val="clear"/>
            <w:vAlign w:val="center"/>
          </w:tcPr>
          <w:p>
            <w:pPr>
              <w:pStyle w:val="TableContents"/>
              <w:bidi w:val="0"/>
              <w:spacing w:before="0" w:after="283"/>
              <w:jc w:val="left"/>
              <w:rPr>
                <w:sz w:val="4"/>
                <w:szCs w:val="4"/>
              </w:rPr>
            </w:pPr>
            <w:r>
              <w:rPr>
                <w:sz w:val="4"/>
                <w:szCs w:val="4"/>
              </w:rPr>
            </w:r>
          </w:p>
        </w:tc>
        <w:tc>
          <w:tcPr>
            <w:tcW w:w="1296" w:type="dxa"/>
            <w:gridSpan w:val="4"/>
            <w:tcBorders/>
            <w:shd w:fill="FDEEF1" w:val="clear"/>
            <w:vAlign w:val="center"/>
          </w:tcPr>
          <w:p>
            <w:pPr>
              <w:pStyle w:val="TableContents"/>
              <w:bidi w:val="0"/>
              <w:spacing w:before="0" w:after="283"/>
              <w:jc w:val="left"/>
              <w:rPr>
                <w:sz w:val="4"/>
                <w:szCs w:val="4"/>
              </w:rPr>
            </w:pPr>
            <w:r>
              <w:rPr>
                <w:sz w:val="4"/>
                <w:szCs w:val="4"/>
              </w:rPr>
            </w:r>
          </w:p>
        </w:tc>
      </w:tr>
      <w:tr>
        <w:trPr/>
        <w:tc>
          <w:tcPr>
            <w:tcW w:w="1292" w:type="dxa"/>
            <w:tcBorders/>
            <w:shd w:fill="FDEEF1" w:val="clear"/>
            <w:vAlign w:val="center"/>
          </w:tcPr>
          <w:p>
            <w:pPr>
              <w:pStyle w:val="TableContents"/>
              <w:bidi w:val="0"/>
              <w:jc w:val="left"/>
              <w:rPr/>
            </w:pPr>
            <w:r>
              <w:rPr/>
              <w:t> </w:t>
            </w:r>
          </w:p>
          <w:p>
            <w:pPr>
              <w:pStyle w:val="TableContents"/>
              <w:bidi w:val="0"/>
              <w:spacing w:before="0" w:after="0"/>
              <w:jc w:val="left"/>
              <w:rPr/>
            </w:pPr>
            <w:r>
              <w:rPr/>
              <w:t> </w:t>
            </w:r>
          </w:p>
        </w:tc>
        <w:tc>
          <w:tcPr>
            <w:tcW w:w="60" w:type="dxa"/>
            <w:tcBorders/>
            <w:shd w:fill="FDEEF1" w:val="clear"/>
            <w:vAlign w:val="center"/>
          </w:tcPr>
          <w:p>
            <w:pPr>
              <w:pStyle w:val="TableContents"/>
              <w:bidi w:val="0"/>
              <w:spacing w:before="0" w:after="283"/>
              <w:jc w:val="left"/>
              <w:rPr/>
            </w:pPr>
            <w:r>
              <w:rPr/>
              <w:t> </w:t>
            </w:r>
          </w:p>
        </w:tc>
        <w:tc>
          <w:tcPr>
            <w:tcW w:w="860" w:type="dxa"/>
            <w:gridSpan w:val="2"/>
            <w:tcBorders/>
            <w:shd w:fill="FDEEF1" w:val="clear"/>
            <w:vAlign w:val="center"/>
          </w:tcPr>
          <w:p>
            <w:pPr>
              <w:pStyle w:val="TableContents"/>
              <w:bidi w:val="0"/>
              <w:spacing w:before="0" w:after="283"/>
              <w:jc w:val="center"/>
              <w:rPr>
                <w:b/>
              </w:rPr>
            </w:pPr>
            <w:r>
              <w:rPr>
                <w:b/>
              </w:rPr>
              <w:t>Without</w:t>
              <w:br/>
              <w:t>Release</w:t>
              <w:br/>
              <w:t>($)</w:t>
            </w:r>
          </w:p>
        </w:tc>
        <w:tc>
          <w:tcPr>
            <w:tcW w:w="149" w:type="dxa"/>
            <w:tcBorders/>
            <w:shd w:fill="FDEEF1" w:val="clear"/>
            <w:vAlign w:val="center"/>
          </w:tcPr>
          <w:p>
            <w:pPr>
              <w:pStyle w:val="TableContents"/>
              <w:bidi w:val="0"/>
              <w:spacing w:before="0" w:after="283"/>
              <w:jc w:val="left"/>
              <w:rPr/>
            </w:pPr>
            <w:r>
              <w:rPr/>
              <w:t> </w:t>
            </w:r>
          </w:p>
        </w:tc>
        <w:tc>
          <w:tcPr>
            <w:tcW w:w="149" w:type="dxa"/>
            <w:tcBorders/>
            <w:shd w:fill="FDEEF1" w:val="clear"/>
            <w:vAlign w:val="center"/>
          </w:tcPr>
          <w:p>
            <w:pPr>
              <w:pStyle w:val="TableContents"/>
              <w:bidi w:val="0"/>
              <w:spacing w:before="0" w:after="283"/>
              <w:jc w:val="left"/>
              <w:rPr/>
            </w:pPr>
            <w:r>
              <w:rPr/>
              <w:t> </w:t>
            </w:r>
          </w:p>
        </w:tc>
        <w:tc>
          <w:tcPr>
            <w:tcW w:w="2604" w:type="dxa"/>
            <w:gridSpan w:val="2"/>
            <w:tcBorders/>
            <w:shd w:fill="FDEEF1" w:val="clear"/>
            <w:vAlign w:val="center"/>
          </w:tcPr>
          <w:p>
            <w:pPr>
              <w:pStyle w:val="TableContents"/>
              <w:bidi w:val="0"/>
              <w:spacing w:before="0" w:after="283"/>
              <w:jc w:val="center"/>
              <w:rPr>
                <w:b/>
              </w:rPr>
            </w:pPr>
            <w:r>
              <w:rPr>
                <w:b/>
              </w:rPr>
              <w:t>With Release</w:t>
              <w:br/>
              <w:t>($)</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040" w:type="dxa"/>
            <w:gridSpan w:val="2"/>
            <w:tcBorders/>
            <w:shd w:fill="FDEEF1" w:val="clear"/>
            <w:vAlign w:val="center"/>
          </w:tcPr>
          <w:p>
            <w:pPr>
              <w:pStyle w:val="TableContents"/>
              <w:bidi w:val="0"/>
              <w:spacing w:before="0" w:after="283"/>
              <w:jc w:val="center"/>
              <w:rPr>
                <w:b/>
              </w:rPr>
            </w:pPr>
            <w:r>
              <w:rPr>
                <w:b/>
              </w:rPr>
              <w:t>Death</w:t>
              <w:br/>
              <w:t>($)(1)</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040" w:type="dxa"/>
            <w:gridSpan w:val="2"/>
            <w:tcBorders/>
            <w:shd w:fill="FDEEF1" w:val="clear"/>
            <w:vAlign w:val="center"/>
          </w:tcPr>
          <w:p>
            <w:pPr>
              <w:pStyle w:val="TableContents"/>
              <w:bidi w:val="0"/>
              <w:spacing w:before="0" w:after="283"/>
              <w:jc w:val="center"/>
              <w:rPr>
                <w:b/>
              </w:rPr>
            </w:pPr>
            <w:r>
              <w:rPr>
                <w:b/>
              </w:rPr>
              <w:t>Disability</w:t>
              <w:br/>
              <w:t>($)</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295" w:type="dxa"/>
            <w:gridSpan w:val="2"/>
            <w:tcBorders/>
            <w:shd w:fill="FDEEF1" w:val="clear"/>
            <w:vAlign w:val="center"/>
          </w:tcPr>
          <w:p>
            <w:pPr>
              <w:pStyle w:val="TableContents"/>
              <w:bidi w:val="0"/>
              <w:spacing w:before="0" w:after="283"/>
              <w:jc w:val="center"/>
              <w:rPr>
                <w:b/>
              </w:rPr>
            </w:pPr>
            <w:r>
              <w:rPr>
                <w:b/>
              </w:rPr>
              <w:t>Termination</w:t>
              <w:br/>
              <w:t>Following</w:t>
              <w:br/>
              <w:t>Change of</w:t>
              <w:br/>
              <w:t>Control</w:t>
              <w:br/>
              <w:t>($)</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160" w:type="dxa"/>
            <w:gridSpan w:val="2"/>
            <w:tcBorders/>
            <w:shd w:fill="FDEEF1" w:val="clear"/>
            <w:vAlign w:val="center"/>
          </w:tcPr>
          <w:p>
            <w:pPr>
              <w:pStyle w:val="TableContents"/>
              <w:bidi w:val="0"/>
              <w:spacing w:before="0" w:after="283"/>
              <w:jc w:val="center"/>
              <w:rPr>
                <w:b/>
              </w:rPr>
            </w:pPr>
            <w:r>
              <w:rPr>
                <w:b/>
              </w:rPr>
              <w:t>Retirement</w:t>
              <w:br/>
              <w:t>($)(2)</w:t>
            </w:r>
          </w:p>
        </w:tc>
        <w:tc>
          <w:tcPr>
            <w:tcW w:w="76" w:type="dxa"/>
            <w:tcBorders/>
            <w:shd w:fill="FDEEF1" w:val="clear"/>
            <w:vAlign w:val="center"/>
          </w:tcPr>
          <w:p>
            <w:pPr>
              <w:pStyle w:val="TableContents"/>
              <w:bidi w:val="0"/>
              <w:spacing w:before="0" w:after="283"/>
              <w:jc w:val="left"/>
              <w:rPr/>
            </w:pPr>
            <w:r>
              <w:rPr/>
              <w:t> </w:t>
            </w:r>
          </w:p>
        </w:tc>
      </w:tr>
      <w:tr>
        <w:trPr/>
        <w:tc>
          <w:tcPr>
            <w:tcW w:w="1292" w:type="dxa"/>
            <w:tcBorders/>
            <w:vAlign w:val="center"/>
          </w:tcPr>
          <w:p>
            <w:pPr>
              <w:pStyle w:val="TableContents"/>
              <w:bidi w:val="0"/>
              <w:spacing w:before="0" w:after="283"/>
              <w:jc w:val="left"/>
              <w:rPr>
                <w:sz w:val="4"/>
                <w:szCs w:val="4"/>
              </w:rPr>
            </w:pPr>
            <w:r>
              <w:rPr>
                <w:sz w:val="4"/>
                <w:szCs w:val="4"/>
              </w:rPr>
            </w:r>
          </w:p>
        </w:tc>
        <w:tc>
          <w:tcPr>
            <w:tcW w:w="1069" w:type="dxa"/>
            <w:gridSpan w:val="4"/>
            <w:tcBorders/>
            <w:vAlign w:val="center"/>
          </w:tcPr>
          <w:p>
            <w:pPr>
              <w:pStyle w:val="TableContents"/>
              <w:bidi w:val="0"/>
              <w:spacing w:before="0" w:after="283"/>
              <w:jc w:val="left"/>
              <w:rPr>
                <w:sz w:val="4"/>
                <w:szCs w:val="4"/>
              </w:rPr>
            </w:pPr>
            <w:r>
              <w:rPr>
                <w:sz w:val="4"/>
                <w:szCs w:val="4"/>
              </w:rPr>
            </w:r>
          </w:p>
        </w:tc>
        <w:tc>
          <w:tcPr>
            <w:tcW w:w="2813"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296" w:type="dxa"/>
            <w:gridSpan w:val="4"/>
            <w:tcBorders/>
            <w:vAlign w:val="center"/>
          </w:tcPr>
          <w:p>
            <w:pPr>
              <w:pStyle w:val="TableContents"/>
              <w:bidi w:val="0"/>
              <w:spacing w:before="0" w:after="283"/>
              <w:jc w:val="left"/>
              <w:rPr>
                <w:sz w:val="4"/>
                <w:szCs w:val="4"/>
              </w:rPr>
            </w:pPr>
            <w:r>
              <w:rPr>
                <w:sz w:val="4"/>
                <w:szCs w:val="4"/>
              </w:rPr>
            </w:r>
          </w:p>
        </w:tc>
      </w:tr>
      <w:tr>
        <w:trPr/>
        <w:tc>
          <w:tcPr>
            <w:tcW w:w="1292"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Base Salary</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257" w:type="dxa"/>
            <w:tcBorders>
              <w:bottom w:val="single" w:sz="6" w:space="0" w:color="FBDDE3"/>
            </w:tcBorders>
            <w:tcMar>
              <w:bottom w:w="60" w:type="dxa"/>
            </w:tcMar>
            <w:vAlign w:val="center"/>
          </w:tcPr>
          <w:p>
            <w:pPr>
              <w:pStyle w:val="TableContents"/>
              <w:bidi w:val="0"/>
              <w:spacing w:before="0" w:after="283"/>
              <w:jc w:val="left"/>
              <w:rPr/>
            </w:pPr>
            <w:r>
              <w:rPr/>
              <w:t> </w:t>
            </w:r>
          </w:p>
        </w:tc>
        <w:tc>
          <w:tcPr>
            <w:tcW w:w="603" w:type="dxa"/>
            <w:tcBorders>
              <w:bottom w:val="single" w:sz="6" w:space="0" w:color="FBDDE3"/>
            </w:tcBorders>
            <w:tcMar>
              <w:bottom w:w="60" w:type="dxa"/>
            </w:tcMar>
            <w:vAlign w:val="center"/>
          </w:tcPr>
          <w:p>
            <w:pPr>
              <w:pStyle w:val="TableContents"/>
              <w:bidi w:val="0"/>
              <w:spacing w:before="0" w:after="283"/>
              <w:jc w:val="right"/>
              <w:rPr/>
            </w:pPr>
            <w:r>
              <w:rPr/>
              <w:t>–</w:t>
            </w:r>
          </w:p>
        </w:tc>
        <w:tc>
          <w:tcPr>
            <w:tcW w:w="149" w:type="dxa"/>
            <w:tcBorders>
              <w:bottom w:val="single" w:sz="6" w:space="0" w:color="FBDDE3"/>
            </w:tcBorders>
            <w:tcMar>
              <w:bottom w:w="60" w:type="dxa"/>
            </w:tcMar>
            <w:vAlign w:val="center"/>
          </w:tcPr>
          <w:p>
            <w:pPr>
              <w:pStyle w:val="TableContents"/>
              <w:bidi w:val="0"/>
              <w:spacing w:before="0" w:after="283"/>
              <w:jc w:val="left"/>
              <w:rPr/>
            </w:pPr>
            <w:r>
              <w:rPr/>
              <w:t> </w:t>
            </w:r>
          </w:p>
        </w:tc>
        <w:tc>
          <w:tcPr>
            <w:tcW w:w="149" w:type="dxa"/>
            <w:tcBorders>
              <w:bottom w:val="single" w:sz="6" w:space="0" w:color="FBDDE3"/>
            </w:tcBorders>
            <w:tcMar>
              <w:bottom w:w="28" w:type="dxa"/>
            </w:tcMar>
            <w:vAlign w:val="center"/>
          </w:tcPr>
          <w:p>
            <w:pPr>
              <w:pStyle w:val="TableContents"/>
              <w:bidi w:val="0"/>
              <w:spacing w:before="0" w:after="283"/>
              <w:jc w:val="left"/>
              <w:rPr/>
            </w:pPr>
            <w:r>
              <w:rPr/>
              <w:t> </w:t>
            </w:r>
          </w:p>
        </w:tc>
        <w:tc>
          <w:tcPr>
            <w:tcW w:w="149" w:type="dxa"/>
            <w:tcBorders>
              <w:bottom w:val="single" w:sz="6" w:space="0" w:color="FBDDE3"/>
            </w:tcBorders>
            <w:tcMar>
              <w:bottom w:w="60" w:type="dxa"/>
            </w:tcMar>
            <w:vAlign w:val="center"/>
          </w:tcPr>
          <w:p>
            <w:pPr>
              <w:pStyle w:val="TableContents"/>
              <w:bidi w:val="0"/>
              <w:spacing w:before="0" w:after="283"/>
              <w:jc w:val="left"/>
              <w:rPr/>
            </w:pPr>
            <w:r>
              <w:rPr/>
              <w:t> </w:t>
            </w:r>
          </w:p>
        </w:tc>
        <w:tc>
          <w:tcPr>
            <w:tcW w:w="2455" w:type="dxa"/>
            <w:tcBorders>
              <w:bottom w:val="single" w:sz="6" w:space="0" w:color="FBDDE3"/>
            </w:tcBorders>
            <w:tcMar>
              <w:bottom w:w="60" w:type="dxa"/>
            </w:tcMar>
            <w:vAlign w:val="center"/>
          </w:tcPr>
          <w:p>
            <w:pPr>
              <w:pStyle w:val="TableContents"/>
              <w:bidi w:val="0"/>
              <w:spacing w:before="0" w:after="283"/>
              <w:jc w:val="right"/>
              <w:rPr/>
            </w:pPr>
            <w:r>
              <w:rPr/>
              <w:t>1,450,000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481,250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4" w:type="dxa"/>
            <w:tcBorders>
              <w:bottom w:val="single" w:sz="6" w:space="0" w:color="FBDDE3"/>
            </w:tcBorders>
            <w:tcMar>
              <w:bottom w:w="60" w:type="dxa"/>
            </w:tcMar>
            <w:vAlign w:val="center"/>
          </w:tcPr>
          <w:p>
            <w:pPr>
              <w:pStyle w:val="TableContents"/>
              <w:bidi w:val="0"/>
              <w:spacing w:before="0" w:after="283"/>
              <w:jc w:val="left"/>
              <w:rPr/>
            </w:pPr>
            <w:r>
              <w:rPr/>
              <w:t> </w:t>
            </w:r>
          </w:p>
        </w:tc>
        <w:tc>
          <w:tcPr>
            <w:tcW w:w="1221" w:type="dxa"/>
            <w:tcBorders>
              <w:bottom w:val="single" w:sz="6" w:space="0" w:color="FBDDE3"/>
            </w:tcBorders>
            <w:tcMar>
              <w:bottom w:w="60" w:type="dxa"/>
            </w:tcMar>
            <w:vAlign w:val="center"/>
          </w:tcPr>
          <w:p>
            <w:pPr>
              <w:pStyle w:val="TableContents"/>
              <w:bidi w:val="0"/>
              <w:spacing w:before="0" w:after="283"/>
              <w:jc w:val="right"/>
              <w:rPr/>
            </w:pPr>
            <w:r>
              <w:rPr/>
              <w:t>1,450,000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348" w:type="dxa"/>
            <w:tcBorders>
              <w:bottom w:val="single" w:sz="6" w:space="0" w:color="FBDDE3"/>
            </w:tcBorders>
            <w:tcMar>
              <w:bottom w:w="60" w:type="dxa"/>
            </w:tcMar>
            <w:vAlign w:val="center"/>
          </w:tcPr>
          <w:p>
            <w:pPr>
              <w:pStyle w:val="TableContents"/>
              <w:bidi w:val="0"/>
              <w:spacing w:before="0" w:after="283"/>
              <w:jc w:val="left"/>
              <w:rPr/>
            </w:pPr>
            <w:r>
              <w:rPr/>
              <w:t> </w:t>
            </w:r>
          </w:p>
        </w:tc>
        <w:tc>
          <w:tcPr>
            <w:tcW w:w="812" w:type="dxa"/>
            <w:tcBorders>
              <w:bottom w:val="single" w:sz="6" w:space="0" w:color="FBDDE3"/>
            </w:tcBorders>
            <w:tcMar>
              <w:bottom w:w="60" w:type="dxa"/>
            </w:tcMar>
            <w:vAlign w:val="center"/>
          </w:tcPr>
          <w:p>
            <w:pPr>
              <w:pStyle w:val="TableContents"/>
              <w:bidi w:val="0"/>
              <w:spacing w:before="0" w:after="283"/>
              <w:jc w:val="right"/>
              <w:rPr/>
            </w:pPr>
            <w:r>
              <w:rPr/>
              <w:t>–</w:t>
            </w:r>
          </w:p>
        </w:tc>
        <w:tc>
          <w:tcPr>
            <w:tcW w:w="76"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292" w:type="dxa"/>
            <w:tcBorders/>
            <w:vAlign w:val="center"/>
          </w:tcPr>
          <w:p>
            <w:pPr>
              <w:pStyle w:val="TableContents"/>
              <w:bidi w:val="0"/>
              <w:spacing w:before="0" w:after="283"/>
              <w:jc w:val="left"/>
              <w:rPr>
                <w:sz w:val="4"/>
                <w:szCs w:val="4"/>
              </w:rPr>
            </w:pPr>
            <w:r>
              <w:rPr>
                <w:sz w:val="4"/>
                <w:szCs w:val="4"/>
              </w:rPr>
            </w:r>
          </w:p>
        </w:tc>
        <w:tc>
          <w:tcPr>
            <w:tcW w:w="1069" w:type="dxa"/>
            <w:gridSpan w:val="4"/>
            <w:tcBorders/>
            <w:vAlign w:val="center"/>
          </w:tcPr>
          <w:p>
            <w:pPr>
              <w:pStyle w:val="TableContents"/>
              <w:bidi w:val="0"/>
              <w:spacing w:before="0" w:after="283"/>
              <w:jc w:val="left"/>
              <w:rPr>
                <w:sz w:val="4"/>
                <w:szCs w:val="4"/>
              </w:rPr>
            </w:pPr>
            <w:r>
              <w:rPr>
                <w:sz w:val="4"/>
                <w:szCs w:val="4"/>
              </w:rPr>
            </w:r>
          </w:p>
        </w:tc>
        <w:tc>
          <w:tcPr>
            <w:tcW w:w="2813"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296" w:type="dxa"/>
            <w:gridSpan w:val="4"/>
            <w:tcBorders/>
            <w:vAlign w:val="center"/>
          </w:tcPr>
          <w:p>
            <w:pPr>
              <w:pStyle w:val="TableContents"/>
              <w:bidi w:val="0"/>
              <w:spacing w:before="0" w:after="283"/>
              <w:jc w:val="left"/>
              <w:rPr>
                <w:sz w:val="4"/>
                <w:szCs w:val="4"/>
              </w:rPr>
            </w:pPr>
            <w:r>
              <w:rPr>
                <w:sz w:val="4"/>
                <w:szCs w:val="4"/>
              </w:rPr>
            </w:r>
          </w:p>
        </w:tc>
      </w:tr>
      <w:tr>
        <w:trPr/>
        <w:tc>
          <w:tcPr>
            <w:tcW w:w="1292"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Bonus(3)</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257" w:type="dxa"/>
            <w:tcBorders>
              <w:bottom w:val="single" w:sz="6" w:space="0" w:color="FBDDE3"/>
            </w:tcBorders>
            <w:tcMar>
              <w:bottom w:w="60" w:type="dxa"/>
            </w:tcMar>
            <w:vAlign w:val="center"/>
          </w:tcPr>
          <w:p>
            <w:pPr>
              <w:pStyle w:val="TableContents"/>
              <w:bidi w:val="0"/>
              <w:spacing w:before="0" w:after="283"/>
              <w:jc w:val="left"/>
              <w:rPr/>
            </w:pPr>
            <w:r>
              <w:rPr/>
              <w:t> </w:t>
            </w:r>
          </w:p>
        </w:tc>
        <w:tc>
          <w:tcPr>
            <w:tcW w:w="603" w:type="dxa"/>
            <w:tcBorders>
              <w:bottom w:val="single" w:sz="6" w:space="0" w:color="FBDDE3"/>
            </w:tcBorders>
            <w:tcMar>
              <w:bottom w:w="60" w:type="dxa"/>
            </w:tcMar>
            <w:vAlign w:val="center"/>
          </w:tcPr>
          <w:p>
            <w:pPr>
              <w:pStyle w:val="TableContents"/>
              <w:bidi w:val="0"/>
              <w:spacing w:before="0" w:after="283"/>
              <w:jc w:val="right"/>
              <w:rPr/>
            </w:pPr>
            <w:r>
              <w:rPr/>
              <w:t>–</w:t>
            </w:r>
          </w:p>
        </w:tc>
        <w:tc>
          <w:tcPr>
            <w:tcW w:w="149" w:type="dxa"/>
            <w:tcBorders>
              <w:bottom w:val="single" w:sz="6" w:space="0" w:color="FBDDE3"/>
            </w:tcBorders>
            <w:tcMar>
              <w:bottom w:w="60" w:type="dxa"/>
            </w:tcMar>
            <w:vAlign w:val="center"/>
          </w:tcPr>
          <w:p>
            <w:pPr>
              <w:pStyle w:val="TableContents"/>
              <w:bidi w:val="0"/>
              <w:spacing w:before="0" w:after="283"/>
              <w:jc w:val="left"/>
              <w:rPr/>
            </w:pPr>
            <w:r>
              <w:rPr/>
              <w:t> </w:t>
            </w:r>
          </w:p>
        </w:tc>
        <w:tc>
          <w:tcPr>
            <w:tcW w:w="149" w:type="dxa"/>
            <w:tcBorders>
              <w:bottom w:val="single" w:sz="6" w:space="0" w:color="FBDDE3"/>
            </w:tcBorders>
            <w:tcMar>
              <w:bottom w:w="28" w:type="dxa"/>
            </w:tcMar>
            <w:vAlign w:val="center"/>
          </w:tcPr>
          <w:p>
            <w:pPr>
              <w:pStyle w:val="TableContents"/>
              <w:bidi w:val="0"/>
              <w:spacing w:before="0" w:after="283"/>
              <w:jc w:val="left"/>
              <w:rPr/>
            </w:pPr>
            <w:r>
              <w:rPr/>
              <w:t> </w:t>
            </w:r>
          </w:p>
        </w:tc>
        <w:tc>
          <w:tcPr>
            <w:tcW w:w="149" w:type="dxa"/>
            <w:tcBorders>
              <w:bottom w:val="single" w:sz="6" w:space="0" w:color="FBDDE3"/>
            </w:tcBorders>
            <w:tcMar>
              <w:bottom w:w="60" w:type="dxa"/>
            </w:tcMar>
            <w:vAlign w:val="center"/>
          </w:tcPr>
          <w:p>
            <w:pPr>
              <w:pStyle w:val="TableContents"/>
              <w:bidi w:val="0"/>
              <w:spacing w:before="0" w:after="283"/>
              <w:jc w:val="left"/>
              <w:rPr/>
            </w:pPr>
            <w:r>
              <w:rPr/>
              <w:t> </w:t>
            </w:r>
          </w:p>
        </w:tc>
        <w:tc>
          <w:tcPr>
            <w:tcW w:w="2455" w:type="dxa"/>
            <w:tcBorders>
              <w:bottom w:val="single" w:sz="6" w:space="0" w:color="FBDDE3"/>
            </w:tcBorders>
            <w:tcMar>
              <w:bottom w:w="60" w:type="dxa"/>
            </w:tcMar>
            <w:vAlign w:val="center"/>
          </w:tcPr>
          <w:p>
            <w:pPr>
              <w:pStyle w:val="TableContents"/>
              <w:bidi w:val="0"/>
              <w:spacing w:before="0" w:after="283"/>
              <w:jc w:val="right"/>
              <w:rPr/>
            </w:pPr>
            <w:r>
              <w:rPr/>
              <w:t>725,000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507,500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507,500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4" w:type="dxa"/>
            <w:tcBorders>
              <w:bottom w:val="single" w:sz="6" w:space="0" w:color="FBDDE3"/>
            </w:tcBorders>
            <w:tcMar>
              <w:bottom w:w="60" w:type="dxa"/>
            </w:tcMar>
            <w:vAlign w:val="center"/>
          </w:tcPr>
          <w:p>
            <w:pPr>
              <w:pStyle w:val="TableContents"/>
              <w:bidi w:val="0"/>
              <w:spacing w:before="0" w:after="283"/>
              <w:jc w:val="left"/>
              <w:rPr/>
            </w:pPr>
            <w:r>
              <w:rPr/>
              <w:t> </w:t>
            </w:r>
          </w:p>
        </w:tc>
        <w:tc>
          <w:tcPr>
            <w:tcW w:w="1221" w:type="dxa"/>
            <w:tcBorders>
              <w:bottom w:val="single" w:sz="6" w:space="0" w:color="FBDDE3"/>
            </w:tcBorders>
            <w:tcMar>
              <w:bottom w:w="60" w:type="dxa"/>
            </w:tcMar>
            <w:vAlign w:val="center"/>
          </w:tcPr>
          <w:p>
            <w:pPr>
              <w:pStyle w:val="TableContents"/>
              <w:bidi w:val="0"/>
              <w:spacing w:before="0" w:after="283"/>
              <w:jc w:val="right"/>
              <w:rPr/>
            </w:pPr>
            <w:r>
              <w:rPr/>
              <w:t>1,842,473</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348" w:type="dxa"/>
            <w:tcBorders>
              <w:bottom w:val="single" w:sz="6" w:space="0" w:color="FBDDE3"/>
            </w:tcBorders>
            <w:tcMar>
              <w:bottom w:w="60" w:type="dxa"/>
            </w:tcMar>
            <w:vAlign w:val="center"/>
          </w:tcPr>
          <w:p>
            <w:pPr>
              <w:pStyle w:val="TableContents"/>
              <w:bidi w:val="0"/>
              <w:spacing w:before="0" w:after="283"/>
              <w:jc w:val="left"/>
              <w:rPr/>
            </w:pPr>
            <w:r>
              <w:rPr/>
              <w:t> </w:t>
            </w:r>
          </w:p>
        </w:tc>
        <w:tc>
          <w:tcPr>
            <w:tcW w:w="812" w:type="dxa"/>
            <w:tcBorders>
              <w:bottom w:val="single" w:sz="6" w:space="0" w:color="FBDDE3"/>
            </w:tcBorders>
            <w:tcMar>
              <w:bottom w:w="60" w:type="dxa"/>
            </w:tcMar>
            <w:vAlign w:val="center"/>
          </w:tcPr>
          <w:p>
            <w:pPr>
              <w:pStyle w:val="TableContents"/>
              <w:bidi w:val="0"/>
              <w:spacing w:before="0" w:after="283"/>
              <w:jc w:val="right"/>
              <w:rPr/>
            </w:pPr>
            <w:r>
              <w:rPr/>
              <w:t>–</w:t>
            </w:r>
          </w:p>
        </w:tc>
        <w:tc>
          <w:tcPr>
            <w:tcW w:w="76"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292" w:type="dxa"/>
            <w:tcBorders/>
            <w:vAlign w:val="center"/>
          </w:tcPr>
          <w:p>
            <w:pPr>
              <w:pStyle w:val="TableContents"/>
              <w:bidi w:val="0"/>
              <w:spacing w:before="0" w:after="283"/>
              <w:jc w:val="left"/>
              <w:rPr>
                <w:sz w:val="4"/>
                <w:szCs w:val="4"/>
              </w:rPr>
            </w:pPr>
            <w:r>
              <w:rPr>
                <w:sz w:val="4"/>
                <w:szCs w:val="4"/>
              </w:rPr>
            </w:r>
          </w:p>
        </w:tc>
        <w:tc>
          <w:tcPr>
            <w:tcW w:w="1069" w:type="dxa"/>
            <w:gridSpan w:val="4"/>
            <w:tcBorders/>
            <w:vAlign w:val="center"/>
          </w:tcPr>
          <w:p>
            <w:pPr>
              <w:pStyle w:val="TableContents"/>
              <w:bidi w:val="0"/>
              <w:spacing w:before="0" w:after="283"/>
              <w:jc w:val="left"/>
              <w:rPr>
                <w:sz w:val="4"/>
                <w:szCs w:val="4"/>
              </w:rPr>
            </w:pPr>
            <w:r>
              <w:rPr>
                <w:sz w:val="4"/>
                <w:szCs w:val="4"/>
              </w:rPr>
            </w:r>
          </w:p>
        </w:tc>
        <w:tc>
          <w:tcPr>
            <w:tcW w:w="2813"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296" w:type="dxa"/>
            <w:gridSpan w:val="4"/>
            <w:tcBorders/>
            <w:vAlign w:val="center"/>
          </w:tcPr>
          <w:p>
            <w:pPr>
              <w:pStyle w:val="TableContents"/>
              <w:bidi w:val="0"/>
              <w:spacing w:before="0" w:after="283"/>
              <w:jc w:val="left"/>
              <w:rPr>
                <w:sz w:val="4"/>
                <w:szCs w:val="4"/>
              </w:rPr>
            </w:pPr>
            <w:r>
              <w:rPr>
                <w:sz w:val="4"/>
                <w:szCs w:val="4"/>
              </w:rPr>
            </w:r>
          </w:p>
        </w:tc>
      </w:tr>
      <w:tr>
        <w:trPr/>
        <w:tc>
          <w:tcPr>
            <w:tcW w:w="1292"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Long-Term Incentive Awards(4)</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257" w:type="dxa"/>
            <w:tcBorders>
              <w:bottom w:val="single" w:sz="6" w:space="0" w:color="FBDDE3"/>
            </w:tcBorders>
            <w:tcMar>
              <w:bottom w:w="60" w:type="dxa"/>
            </w:tcMar>
            <w:vAlign w:val="center"/>
          </w:tcPr>
          <w:p>
            <w:pPr>
              <w:pStyle w:val="TableContents"/>
              <w:bidi w:val="0"/>
              <w:spacing w:before="0" w:after="283"/>
              <w:jc w:val="left"/>
              <w:rPr/>
            </w:pPr>
            <w:r>
              <w:rPr/>
              <w:t> </w:t>
            </w:r>
          </w:p>
        </w:tc>
        <w:tc>
          <w:tcPr>
            <w:tcW w:w="603" w:type="dxa"/>
            <w:tcBorders>
              <w:bottom w:val="single" w:sz="6" w:space="0" w:color="FBDDE3"/>
            </w:tcBorders>
            <w:tcMar>
              <w:bottom w:w="60" w:type="dxa"/>
            </w:tcMar>
            <w:vAlign w:val="center"/>
          </w:tcPr>
          <w:p>
            <w:pPr>
              <w:pStyle w:val="TableContents"/>
              <w:bidi w:val="0"/>
              <w:spacing w:before="0" w:after="283"/>
              <w:jc w:val="right"/>
              <w:rPr/>
            </w:pPr>
            <w:r>
              <w:rPr/>
              <w:t>–</w:t>
            </w:r>
          </w:p>
        </w:tc>
        <w:tc>
          <w:tcPr>
            <w:tcW w:w="149" w:type="dxa"/>
            <w:tcBorders>
              <w:bottom w:val="single" w:sz="6" w:space="0" w:color="FBDDE3"/>
            </w:tcBorders>
            <w:tcMar>
              <w:bottom w:w="60" w:type="dxa"/>
            </w:tcMar>
            <w:vAlign w:val="center"/>
          </w:tcPr>
          <w:p>
            <w:pPr>
              <w:pStyle w:val="TableContents"/>
              <w:bidi w:val="0"/>
              <w:spacing w:before="0" w:after="283"/>
              <w:jc w:val="left"/>
              <w:rPr/>
            </w:pPr>
            <w:r>
              <w:rPr/>
              <w:t> </w:t>
            </w:r>
          </w:p>
        </w:tc>
        <w:tc>
          <w:tcPr>
            <w:tcW w:w="149" w:type="dxa"/>
            <w:tcBorders>
              <w:bottom w:val="single" w:sz="6" w:space="0" w:color="FBDDE3"/>
            </w:tcBorders>
            <w:tcMar>
              <w:bottom w:w="28" w:type="dxa"/>
            </w:tcMar>
            <w:vAlign w:val="center"/>
          </w:tcPr>
          <w:p>
            <w:pPr>
              <w:pStyle w:val="TableContents"/>
              <w:bidi w:val="0"/>
              <w:spacing w:before="0" w:after="283"/>
              <w:jc w:val="left"/>
              <w:rPr/>
            </w:pPr>
            <w:r>
              <w:rPr/>
              <w:t> </w:t>
            </w:r>
          </w:p>
        </w:tc>
        <w:tc>
          <w:tcPr>
            <w:tcW w:w="149" w:type="dxa"/>
            <w:tcBorders>
              <w:bottom w:val="single" w:sz="6" w:space="0" w:color="FBDDE3"/>
            </w:tcBorders>
            <w:tcMar>
              <w:bottom w:w="60" w:type="dxa"/>
            </w:tcMar>
            <w:vAlign w:val="center"/>
          </w:tcPr>
          <w:p>
            <w:pPr>
              <w:pStyle w:val="TableContents"/>
              <w:bidi w:val="0"/>
              <w:spacing w:before="0" w:after="283"/>
              <w:jc w:val="left"/>
              <w:rPr/>
            </w:pPr>
            <w:r>
              <w:rPr/>
              <w:t> </w:t>
            </w:r>
          </w:p>
        </w:tc>
        <w:tc>
          <w:tcPr>
            <w:tcW w:w="2455" w:type="dxa"/>
            <w:tcBorders>
              <w:bottom w:val="single" w:sz="6" w:space="0" w:color="FBDDE3"/>
            </w:tcBorders>
            <w:tcMar>
              <w:bottom w:w="60" w:type="dxa"/>
            </w:tcMar>
            <w:vAlign w:val="center"/>
          </w:tcPr>
          <w:p>
            <w:pPr>
              <w:pStyle w:val="TableContents"/>
              <w:bidi w:val="0"/>
              <w:spacing w:before="0" w:after="283"/>
              <w:jc w:val="right"/>
              <w:rPr/>
            </w:pPr>
            <w:r>
              <w:rPr/>
              <w:t>909,277</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2,213,370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2,213,370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4" w:type="dxa"/>
            <w:tcBorders>
              <w:bottom w:val="single" w:sz="6" w:space="0" w:color="FBDDE3"/>
            </w:tcBorders>
            <w:tcMar>
              <w:bottom w:w="60" w:type="dxa"/>
            </w:tcMar>
            <w:vAlign w:val="center"/>
          </w:tcPr>
          <w:p>
            <w:pPr>
              <w:pStyle w:val="TableContents"/>
              <w:bidi w:val="0"/>
              <w:spacing w:before="0" w:after="283"/>
              <w:jc w:val="left"/>
              <w:rPr/>
            </w:pPr>
            <w:r>
              <w:rPr/>
              <w:t> </w:t>
            </w:r>
          </w:p>
        </w:tc>
        <w:tc>
          <w:tcPr>
            <w:tcW w:w="1221" w:type="dxa"/>
            <w:tcBorders>
              <w:bottom w:val="single" w:sz="6" w:space="0" w:color="FBDDE3"/>
            </w:tcBorders>
            <w:tcMar>
              <w:bottom w:w="60" w:type="dxa"/>
            </w:tcMar>
            <w:vAlign w:val="center"/>
          </w:tcPr>
          <w:p>
            <w:pPr>
              <w:pStyle w:val="TableContents"/>
              <w:bidi w:val="0"/>
              <w:spacing w:before="0" w:after="283"/>
              <w:jc w:val="right"/>
              <w:rPr/>
            </w:pPr>
            <w:r>
              <w:rPr/>
              <w:t>3,185,280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348" w:type="dxa"/>
            <w:tcBorders>
              <w:bottom w:val="single" w:sz="6" w:space="0" w:color="FBDDE3"/>
            </w:tcBorders>
            <w:tcMar>
              <w:bottom w:w="60" w:type="dxa"/>
            </w:tcMar>
            <w:vAlign w:val="center"/>
          </w:tcPr>
          <w:p>
            <w:pPr>
              <w:pStyle w:val="TableContents"/>
              <w:bidi w:val="0"/>
              <w:spacing w:before="0" w:after="283"/>
              <w:jc w:val="left"/>
              <w:rPr/>
            </w:pPr>
            <w:r>
              <w:rPr/>
              <w:t> </w:t>
            </w:r>
          </w:p>
        </w:tc>
        <w:tc>
          <w:tcPr>
            <w:tcW w:w="812" w:type="dxa"/>
            <w:tcBorders>
              <w:bottom w:val="single" w:sz="6" w:space="0" w:color="FBDDE3"/>
            </w:tcBorders>
            <w:tcMar>
              <w:bottom w:w="60" w:type="dxa"/>
            </w:tcMar>
            <w:vAlign w:val="center"/>
          </w:tcPr>
          <w:p>
            <w:pPr>
              <w:pStyle w:val="TableContents"/>
              <w:bidi w:val="0"/>
              <w:spacing w:before="0" w:after="283"/>
              <w:jc w:val="right"/>
              <w:rPr/>
            </w:pPr>
            <w:r>
              <w:rPr/>
              <w:t>–</w:t>
            </w:r>
          </w:p>
        </w:tc>
        <w:tc>
          <w:tcPr>
            <w:tcW w:w="76"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292" w:type="dxa"/>
            <w:tcBorders/>
            <w:vAlign w:val="center"/>
          </w:tcPr>
          <w:p>
            <w:pPr>
              <w:pStyle w:val="TableContents"/>
              <w:bidi w:val="0"/>
              <w:spacing w:before="0" w:after="283"/>
              <w:jc w:val="left"/>
              <w:rPr>
                <w:sz w:val="4"/>
                <w:szCs w:val="4"/>
              </w:rPr>
            </w:pPr>
            <w:r>
              <w:rPr>
                <w:sz w:val="4"/>
                <w:szCs w:val="4"/>
              </w:rPr>
            </w:r>
          </w:p>
        </w:tc>
        <w:tc>
          <w:tcPr>
            <w:tcW w:w="1069" w:type="dxa"/>
            <w:gridSpan w:val="4"/>
            <w:tcBorders/>
            <w:vAlign w:val="center"/>
          </w:tcPr>
          <w:p>
            <w:pPr>
              <w:pStyle w:val="TableContents"/>
              <w:bidi w:val="0"/>
              <w:spacing w:before="0" w:after="283"/>
              <w:jc w:val="left"/>
              <w:rPr>
                <w:sz w:val="4"/>
                <w:szCs w:val="4"/>
              </w:rPr>
            </w:pPr>
            <w:r>
              <w:rPr>
                <w:sz w:val="4"/>
                <w:szCs w:val="4"/>
              </w:rPr>
            </w:r>
          </w:p>
        </w:tc>
        <w:tc>
          <w:tcPr>
            <w:tcW w:w="2813"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296" w:type="dxa"/>
            <w:gridSpan w:val="4"/>
            <w:tcBorders/>
            <w:vAlign w:val="center"/>
          </w:tcPr>
          <w:p>
            <w:pPr>
              <w:pStyle w:val="TableContents"/>
              <w:bidi w:val="0"/>
              <w:spacing w:before="0" w:after="283"/>
              <w:jc w:val="left"/>
              <w:rPr>
                <w:sz w:val="4"/>
                <w:szCs w:val="4"/>
              </w:rPr>
            </w:pPr>
            <w:r>
              <w:rPr>
                <w:sz w:val="4"/>
                <w:szCs w:val="4"/>
              </w:rPr>
            </w:r>
          </w:p>
        </w:tc>
      </w:tr>
      <w:tr>
        <w:trPr/>
        <w:tc>
          <w:tcPr>
            <w:tcW w:w="1292"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Benefits(5)</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257" w:type="dxa"/>
            <w:tcBorders>
              <w:bottom w:val="single" w:sz="6" w:space="0" w:color="FBDDE3"/>
            </w:tcBorders>
            <w:tcMar>
              <w:bottom w:w="60" w:type="dxa"/>
            </w:tcMar>
            <w:vAlign w:val="center"/>
          </w:tcPr>
          <w:p>
            <w:pPr>
              <w:pStyle w:val="TableContents"/>
              <w:bidi w:val="0"/>
              <w:spacing w:before="0" w:after="283"/>
              <w:jc w:val="left"/>
              <w:rPr/>
            </w:pPr>
            <w:r>
              <w:rPr/>
              <w:t> </w:t>
            </w:r>
          </w:p>
        </w:tc>
        <w:tc>
          <w:tcPr>
            <w:tcW w:w="603" w:type="dxa"/>
            <w:tcBorders>
              <w:bottom w:val="single" w:sz="6" w:space="0" w:color="FBDDE3"/>
            </w:tcBorders>
            <w:tcMar>
              <w:bottom w:w="60" w:type="dxa"/>
            </w:tcMar>
            <w:vAlign w:val="center"/>
          </w:tcPr>
          <w:p>
            <w:pPr>
              <w:pStyle w:val="TableContents"/>
              <w:bidi w:val="0"/>
              <w:spacing w:before="0" w:after="283"/>
              <w:jc w:val="right"/>
              <w:rPr/>
            </w:pPr>
            <w:r>
              <w:rPr/>
              <w:t>–</w:t>
            </w:r>
          </w:p>
        </w:tc>
        <w:tc>
          <w:tcPr>
            <w:tcW w:w="149" w:type="dxa"/>
            <w:tcBorders>
              <w:bottom w:val="single" w:sz="6" w:space="0" w:color="FBDDE3"/>
            </w:tcBorders>
            <w:tcMar>
              <w:bottom w:w="60" w:type="dxa"/>
            </w:tcMar>
            <w:vAlign w:val="center"/>
          </w:tcPr>
          <w:p>
            <w:pPr>
              <w:pStyle w:val="TableContents"/>
              <w:bidi w:val="0"/>
              <w:spacing w:before="0" w:after="283"/>
              <w:jc w:val="left"/>
              <w:rPr/>
            </w:pPr>
            <w:r>
              <w:rPr/>
              <w:t> </w:t>
            </w:r>
          </w:p>
        </w:tc>
        <w:tc>
          <w:tcPr>
            <w:tcW w:w="149" w:type="dxa"/>
            <w:tcBorders>
              <w:bottom w:val="single" w:sz="6" w:space="0" w:color="FBDDE3"/>
            </w:tcBorders>
            <w:tcMar>
              <w:bottom w:w="28" w:type="dxa"/>
            </w:tcMar>
            <w:vAlign w:val="center"/>
          </w:tcPr>
          <w:p>
            <w:pPr>
              <w:pStyle w:val="TableContents"/>
              <w:bidi w:val="0"/>
              <w:spacing w:before="0" w:after="283"/>
              <w:jc w:val="left"/>
              <w:rPr/>
            </w:pPr>
            <w:r>
              <w:rPr/>
              <w:t> </w:t>
            </w:r>
          </w:p>
        </w:tc>
        <w:tc>
          <w:tcPr>
            <w:tcW w:w="149" w:type="dxa"/>
            <w:tcBorders>
              <w:bottom w:val="single" w:sz="6" w:space="0" w:color="FBDDE3"/>
            </w:tcBorders>
            <w:tcMar>
              <w:bottom w:w="60" w:type="dxa"/>
            </w:tcMar>
            <w:vAlign w:val="center"/>
          </w:tcPr>
          <w:p>
            <w:pPr>
              <w:pStyle w:val="TableContents"/>
              <w:bidi w:val="0"/>
              <w:spacing w:before="0" w:after="283"/>
              <w:jc w:val="left"/>
              <w:rPr/>
            </w:pPr>
            <w:r>
              <w:rPr/>
              <w:t> </w:t>
            </w:r>
          </w:p>
        </w:tc>
        <w:tc>
          <w:tcPr>
            <w:tcW w:w="2455" w:type="dxa"/>
            <w:tcBorders>
              <w:bottom w:val="single" w:sz="6" w:space="0" w:color="FBDDE3"/>
            </w:tcBorders>
            <w:tcMar>
              <w:bottom w:w="60" w:type="dxa"/>
            </w:tcMar>
            <w:vAlign w:val="center"/>
          </w:tcPr>
          <w:p>
            <w:pPr>
              <w:pStyle w:val="TableContents"/>
              <w:bidi w:val="0"/>
              <w:spacing w:before="0" w:after="283"/>
              <w:jc w:val="right"/>
              <w:rPr/>
            </w:pPr>
            <w:r>
              <w:rPr/>
              <w:t>33,811</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1,450,000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4" w:type="dxa"/>
            <w:tcBorders>
              <w:bottom w:val="single" w:sz="6" w:space="0" w:color="FBDDE3"/>
            </w:tcBorders>
            <w:tcMar>
              <w:bottom w:w="60" w:type="dxa"/>
            </w:tcMar>
            <w:vAlign w:val="center"/>
          </w:tcPr>
          <w:p>
            <w:pPr>
              <w:pStyle w:val="TableContents"/>
              <w:bidi w:val="0"/>
              <w:spacing w:before="0" w:after="283"/>
              <w:jc w:val="left"/>
              <w:rPr/>
            </w:pPr>
            <w:r>
              <w:rPr/>
              <w:t> </w:t>
            </w:r>
          </w:p>
        </w:tc>
        <w:tc>
          <w:tcPr>
            <w:tcW w:w="1221" w:type="dxa"/>
            <w:tcBorders>
              <w:bottom w:val="single" w:sz="6" w:space="0" w:color="FBDDE3"/>
            </w:tcBorders>
            <w:tcMar>
              <w:bottom w:w="60" w:type="dxa"/>
            </w:tcMar>
            <w:vAlign w:val="center"/>
          </w:tcPr>
          <w:p>
            <w:pPr>
              <w:pStyle w:val="TableContents"/>
              <w:bidi w:val="0"/>
              <w:spacing w:before="0" w:after="283"/>
              <w:jc w:val="right"/>
              <w:rPr/>
            </w:pPr>
            <w:r>
              <w:rPr/>
              <w:t>33,811</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348" w:type="dxa"/>
            <w:tcBorders>
              <w:bottom w:val="single" w:sz="6" w:space="0" w:color="FBDDE3"/>
            </w:tcBorders>
            <w:tcMar>
              <w:bottom w:w="60" w:type="dxa"/>
            </w:tcMar>
            <w:vAlign w:val="center"/>
          </w:tcPr>
          <w:p>
            <w:pPr>
              <w:pStyle w:val="TableContents"/>
              <w:bidi w:val="0"/>
              <w:spacing w:before="0" w:after="283"/>
              <w:jc w:val="left"/>
              <w:rPr/>
            </w:pPr>
            <w:r>
              <w:rPr/>
              <w:t> </w:t>
            </w:r>
          </w:p>
        </w:tc>
        <w:tc>
          <w:tcPr>
            <w:tcW w:w="812" w:type="dxa"/>
            <w:tcBorders>
              <w:bottom w:val="single" w:sz="6" w:space="0" w:color="FBDDE3"/>
            </w:tcBorders>
            <w:tcMar>
              <w:bottom w:w="60" w:type="dxa"/>
            </w:tcMar>
            <w:vAlign w:val="center"/>
          </w:tcPr>
          <w:p>
            <w:pPr>
              <w:pStyle w:val="TableContents"/>
              <w:bidi w:val="0"/>
              <w:spacing w:before="0" w:after="283"/>
              <w:jc w:val="right"/>
              <w:rPr/>
            </w:pPr>
            <w:r>
              <w:rPr/>
              <w:t>–</w:t>
            </w:r>
          </w:p>
        </w:tc>
        <w:tc>
          <w:tcPr>
            <w:tcW w:w="76"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292" w:type="dxa"/>
            <w:tcBorders/>
            <w:vAlign w:val="center"/>
          </w:tcPr>
          <w:p>
            <w:pPr>
              <w:pStyle w:val="TableContents"/>
              <w:bidi w:val="0"/>
              <w:spacing w:before="0" w:after="283"/>
              <w:jc w:val="left"/>
              <w:rPr>
                <w:sz w:val="4"/>
                <w:szCs w:val="4"/>
              </w:rPr>
            </w:pPr>
            <w:r>
              <w:rPr>
                <w:sz w:val="4"/>
                <w:szCs w:val="4"/>
              </w:rPr>
            </w:r>
          </w:p>
        </w:tc>
        <w:tc>
          <w:tcPr>
            <w:tcW w:w="1069" w:type="dxa"/>
            <w:gridSpan w:val="4"/>
            <w:tcBorders/>
            <w:vAlign w:val="center"/>
          </w:tcPr>
          <w:p>
            <w:pPr>
              <w:pStyle w:val="TableContents"/>
              <w:bidi w:val="0"/>
              <w:spacing w:before="0" w:after="283"/>
              <w:jc w:val="left"/>
              <w:rPr>
                <w:sz w:val="4"/>
                <w:szCs w:val="4"/>
              </w:rPr>
            </w:pPr>
            <w:r>
              <w:rPr>
                <w:sz w:val="4"/>
                <w:szCs w:val="4"/>
              </w:rPr>
            </w:r>
          </w:p>
        </w:tc>
        <w:tc>
          <w:tcPr>
            <w:tcW w:w="2813"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296" w:type="dxa"/>
            <w:gridSpan w:val="4"/>
            <w:tcBorders/>
            <w:vAlign w:val="center"/>
          </w:tcPr>
          <w:p>
            <w:pPr>
              <w:pStyle w:val="TableContents"/>
              <w:bidi w:val="0"/>
              <w:spacing w:before="0" w:after="283"/>
              <w:jc w:val="left"/>
              <w:rPr>
                <w:sz w:val="4"/>
                <w:szCs w:val="4"/>
              </w:rPr>
            </w:pPr>
            <w:r>
              <w:rPr>
                <w:sz w:val="4"/>
                <w:szCs w:val="4"/>
              </w:rPr>
            </w:r>
          </w:p>
        </w:tc>
      </w:tr>
      <w:tr>
        <w:trPr/>
        <w:tc>
          <w:tcPr>
            <w:tcW w:w="1292" w:type="dxa"/>
            <w:tcBorders>
              <w:bottom w:val="single" w:sz="8" w:space="0" w:color="F7ACBA"/>
            </w:tcBorders>
            <w:tcMar>
              <w:bottom w:w="80" w:type="dxa"/>
            </w:tcMar>
            <w:vAlign w:val="center"/>
          </w:tcPr>
          <w:p>
            <w:pPr>
              <w:pStyle w:val="TableContents"/>
              <w:bidi w:val="0"/>
              <w:spacing w:before="0" w:after="0"/>
              <w:jc w:val="left"/>
              <w:rPr>
                <w:rFonts w:ascii="arial" w:hAnsi="arial"/>
                <w:b/>
                <w:sz w:val="18"/>
              </w:rPr>
            </w:pPr>
            <w:r>
              <w:rPr>
                <w:rFonts w:ascii="arial" w:hAnsi="arial"/>
                <w:b/>
                <w:sz w:val="18"/>
              </w:rPr>
              <w:t>Total</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257" w:type="dxa"/>
            <w:tcBorders>
              <w:bottom w:val="single" w:sz="8" w:space="0" w:color="F7ACBA"/>
            </w:tcBorders>
            <w:tcMar>
              <w:bottom w:w="80" w:type="dxa"/>
            </w:tcMar>
            <w:vAlign w:val="center"/>
          </w:tcPr>
          <w:p>
            <w:pPr>
              <w:pStyle w:val="TableContents"/>
              <w:bidi w:val="0"/>
              <w:spacing w:before="0" w:after="283"/>
              <w:jc w:val="left"/>
              <w:rPr/>
            </w:pPr>
            <w:r>
              <w:rPr/>
              <w:t> </w:t>
            </w:r>
          </w:p>
        </w:tc>
        <w:tc>
          <w:tcPr>
            <w:tcW w:w="603" w:type="dxa"/>
            <w:tcBorders>
              <w:bottom w:val="single" w:sz="8" w:space="0" w:color="F7ACBA"/>
            </w:tcBorders>
            <w:tcMar>
              <w:bottom w:w="80" w:type="dxa"/>
            </w:tcMar>
            <w:vAlign w:val="center"/>
          </w:tcPr>
          <w:p>
            <w:pPr>
              <w:pStyle w:val="TableContents"/>
              <w:bidi w:val="0"/>
              <w:spacing w:before="0" w:after="283"/>
              <w:jc w:val="right"/>
              <w:rPr/>
            </w:pPr>
            <w:r>
              <w:rPr/>
              <w:t>–</w:t>
            </w:r>
          </w:p>
        </w:tc>
        <w:tc>
          <w:tcPr>
            <w:tcW w:w="149" w:type="dxa"/>
            <w:tcBorders>
              <w:bottom w:val="single" w:sz="8" w:space="0" w:color="F7ACBA"/>
            </w:tcBorders>
            <w:tcMar>
              <w:bottom w:w="80" w:type="dxa"/>
            </w:tcMar>
            <w:vAlign w:val="center"/>
          </w:tcPr>
          <w:p>
            <w:pPr>
              <w:pStyle w:val="TableContents"/>
              <w:bidi w:val="0"/>
              <w:spacing w:before="0" w:after="283"/>
              <w:jc w:val="left"/>
              <w:rPr/>
            </w:pPr>
            <w:r>
              <w:rPr/>
              <w:t> </w:t>
            </w:r>
          </w:p>
        </w:tc>
        <w:tc>
          <w:tcPr>
            <w:tcW w:w="149" w:type="dxa"/>
            <w:tcBorders>
              <w:bottom w:val="single" w:sz="8" w:space="0" w:color="F7ACBA"/>
            </w:tcBorders>
            <w:tcMar>
              <w:bottom w:w="28" w:type="dxa"/>
            </w:tcMar>
            <w:vAlign w:val="center"/>
          </w:tcPr>
          <w:p>
            <w:pPr>
              <w:pStyle w:val="TableContents"/>
              <w:bidi w:val="0"/>
              <w:spacing w:before="0" w:after="283"/>
              <w:jc w:val="left"/>
              <w:rPr/>
            </w:pPr>
            <w:r>
              <w:rPr/>
              <w:t> </w:t>
            </w:r>
          </w:p>
        </w:tc>
        <w:tc>
          <w:tcPr>
            <w:tcW w:w="149" w:type="dxa"/>
            <w:tcBorders>
              <w:bottom w:val="single" w:sz="8" w:space="0" w:color="F7ACBA"/>
            </w:tcBorders>
            <w:tcMar>
              <w:bottom w:w="80" w:type="dxa"/>
            </w:tcMar>
            <w:vAlign w:val="center"/>
          </w:tcPr>
          <w:p>
            <w:pPr>
              <w:pStyle w:val="TableContents"/>
              <w:bidi w:val="0"/>
              <w:spacing w:before="0" w:after="283"/>
              <w:jc w:val="left"/>
              <w:rPr/>
            </w:pPr>
            <w:r>
              <w:rPr/>
              <w:t> </w:t>
            </w:r>
          </w:p>
        </w:tc>
        <w:tc>
          <w:tcPr>
            <w:tcW w:w="2455" w:type="dxa"/>
            <w:tcBorders>
              <w:bottom w:val="single" w:sz="8" w:space="0" w:color="F7ACBA"/>
            </w:tcBorders>
            <w:tcMar>
              <w:bottom w:w="80" w:type="dxa"/>
            </w:tcMar>
            <w:vAlign w:val="center"/>
          </w:tcPr>
          <w:p>
            <w:pPr>
              <w:pStyle w:val="TableContents"/>
              <w:bidi w:val="0"/>
              <w:spacing w:before="0" w:after="283"/>
              <w:jc w:val="right"/>
              <w:rPr>
                <w:b/>
              </w:rPr>
            </w:pPr>
            <w:r>
              <w:rPr>
                <w:b/>
              </w:rPr>
              <w:t>3,118,088</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980" w:type="dxa"/>
            <w:tcBorders>
              <w:bottom w:val="single" w:sz="8" w:space="0" w:color="F7ACBA"/>
            </w:tcBorders>
            <w:tcMar>
              <w:bottom w:w="80" w:type="dxa"/>
            </w:tcMar>
            <w:vAlign w:val="center"/>
          </w:tcPr>
          <w:p>
            <w:pPr>
              <w:pStyle w:val="TableContents"/>
              <w:bidi w:val="0"/>
              <w:spacing w:before="0" w:after="283"/>
              <w:jc w:val="right"/>
              <w:rPr>
                <w:b/>
              </w:rPr>
            </w:pPr>
            <w:r>
              <w:rPr>
                <w:b/>
              </w:rPr>
              <w:t>4,170,870</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980" w:type="dxa"/>
            <w:tcBorders>
              <w:bottom w:val="single" w:sz="8" w:space="0" w:color="F7ACBA"/>
            </w:tcBorders>
            <w:tcMar>
              <w:bottom w:w="80" w:type="dxa"/>
            </w:tcMar>
            <w:vAlign w:val="center"/>
          </w:tcPr>
          <w:p>
            <w:pPr>
              <w:pStyle w:val="TableContents"/>
              <w:bidi w:val="0"/>
              <w:spacing w:before="0" w:after="283"/>
              <w:jc w:val="right"/>
              <w:rPr>
                <w:b/>
              </w:rPr>
            </w:pPr>
            <w:r>
              <w:rPr>
                <w:b/>
              </w:rPr>
              <w:t>3,202,120</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74" w:type="dxa"/>
            <w:tcBorders>
              <w:bottom w:val="single" w:sz="8" w:space="0" w:color="F7ACBA"/>
            </w:tcBorders>
            <w:tcMar>
              <w:bottom w:w="80" w:type="dxa"/>
            </w:tcMar>
            <w:vAlign w:val="center"/>
          </w:tcPr>
          <w:p>
            <w:pPr>
              <w:pStyle w:val="TableContents"/>
              <w:bidi w:val="0"/>
              <w:spacing w:before="0" w:after="283"/>
              <w:jc w:val="left"/>
              <w:rPr/>
            </w:pPr>
            <w:r>
              <w:rPr/>
              <w:t> </w:t>
            </w:r>
          </w:p>
        </w:tc>
        <w:tc>
          <w:tcPr>
            <w:tcW w:w="1221" w:type="dxa"/>
            <w:tcBorders>
              <w:bottom w:val="single" w:sz="8" w:space="0" w:color="F7ACBA"/>
            </w:tcBorders>
            <w:tcMar>
              <w:bottom w:w="80" w:type="dxa"/>
            </w:tcMar>
            <w:vAlign w:val="center"/>
          </w:tcPr>
          <w:p>
            <w:pPr>
              <w:pStyle w:val="TableContents"/>
              <w:bidi w:val="0"/>
              <w:spacing w:before="0" w:after="283"/>
              <w:jc w:val="right"/>
              <w:rPr>
                <w:b/>
              </w:rPr>
            </w:pPr>
            <w:r>
              <w:rPr>
                <w:b/>
              </w:rPr>
              <w:t>6,511,564</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348" w:type="dxa"/>
            <w:tcBorders>
              <w:bottom w:val="single" w:sz="8" w:space="0" w:color="F7ACBA"/>
            </w:tcBorders>
            <w:tcMar>
              <w:bottom w:w="80" w:type="dxa"/>
            </w:tcMar>
            <w:vAlign w:val="center"/>
          </w:tcPr>
          <w:p>
            <w:pPr>
              <w:pStyle w:val="TableContents"/>
              <w:bidi w:val="0"/>
              <w:spacing w:before="0" w:after="283"/>
              <w:jc w:val="left"/>
              <w:rPr/>
            </w:pPr>
            <w:r>
              <w:rPr/>
              <w:t> </w:t>
            </w:r>
          </w:p>
        </w:tc>
        <w:tc>
          <w:tcPr>
            <w:tcW w:w="812" w:type="dxa"/>
            <w:tcBorders>
              <w:bottom w:val="single" w:sz="8" w:space="0" w:color="F7ACBA"/>
            </w:tcBorders>
            <w:tcMar>
              <w:bottom w:w="80" w:type="dxa"/>
            </w:tcMar>
            <w:vAlign w:val="center"/>
          </w:tcPr>
          <w:p>
            <w:pPr>
              <w:pStyle w:val="TableContents"/>
              <w:bidi w:val="0"/>
              <w:spacing w:before="0" w:after="283"/>
              <w:jc w:val="right"/>
              <w:rPr/>
            </w:pPr>
            <w:r>
              <w:rPr/>
              <w:t>–</w:t>
            </w:r>
          </w:p>
        </w:tc>
        <w:tc>
          <w:tcPr>
            <w:tcW w:w="76" w:type="dxa"/>
            <w:tcBorders>
              <w:bottom w:val="single" w:sz="8" w:space="0" w:color="F7ACBA"/>
            </w:tcBorders>
            <w:tcMar>
              <w:bottom w:w="80" w:type="dxa"/>
            </w:tcMar>
            <w:vAlign w:val="center"/>
          </w:tcPr>
          <w:p>
            <w:pPr>
              <w:pStyle w:val="TableContents"/>
              <w:bidi w:val="0"/>
              <w:spacing w:before="0" w:after="283"/>
              <w:jc w:val="left"/>
              <w:rPr/>
            </w:pPr>
            <w:r>
              <w:rPr/>
              <w:t> </w:t>
            </w:r>
          </w:p>
        </w:tc>
      </w:tr>
    </w:tbl>
    <w:p>
      <w:pPr>
        <w:pStyle w:val="TextBody"/>
        <w:bidi w:val="0"/>
        <w:spacing w:before="240" w:after="0"/>
        <w:jc w:val="left"/>
        <w:rPr>
          <w:rFonts w:ascii="arial" w:hAnsi="arial"/>
          <w:b/>
          <w:color w:val="F7ACBA"/>
          <w:sz w:val="24"/>
        </w:rPr>
      </w:pPr>
      <w:r>
        <w:rPr>
          <w:rFonts w:ascii="arial" w:hAnsi="arial"/>
          <w:b/>
          <w:color w:val="F7ACBA"/>
          <w:sz w:val="24"/>
        </w:rPr>
        <w:t xml:space="preserve">Christine Rupp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92"/>
        <w:gridCol w:w="60"/>
        <w:gridCol w:w="257"/>
        <w:gridCol w:w="603"/>
        <w:gridCol w:w="149"/>
        <w:gridCol w:w="149"/>
        <w:gridCol w:w="149"/>
        <w:gridCol w:w="2455"/>
        <w:gridCol w:w="60"/>
        <w:gridCol w:w="60"/>
        <w:gridCol w:w="60"/>
        <w:gridCol w:w="980"/>
        <w:gridCol w:w="60"/>
        <w:gridCol w:w="60"/>
        <w:gridCol w:w="60"/>
        <w:gridCol w:w="980"/>
        <w:gridCol w:w="60"/>
        <w:gridCol w:w="60"/>
        <w:gridCol w:w="74"/>
        <w:gridCol w:w="1221"/>
        <w:gridCol w:w="60"/>
        <w:gridCol w:w="60"/>
        <w:gridCol w:w="348"/>
        <w:gridCol w:w="812"/>
        <w:gridCol w:w="76"/>
      </w:tblGrid>
      <w:tr>
        <w:trPr/>
        <w:tc>
          <w:tcPr>
            <w:tcW w:w="1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1292"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3762" w:type="dxa"/>
            <w:gridSpan w:val="6"/>
            <w:tcBorders>
              <w:bottom w:val="single" w:sz="8" w:space="0" w:color="000000"/>
            </w:tcBorders>
            <w:shd w:fill="FDEEF1" w:val="clear"/>
            <w:tcMar>
              <w:bottom w:w="28" w:type="dxa"/>
            </w:tcMar>
            <w:vAlign w:val="center"/>
          </w:tcPr>
          <w:p>
            <w:pPr>
              <w:pStyle w:val="TableContents"/>
              <w:bidi w:val="0"/>
              <w:spacing w:before="0" w:after="283"/>
              <w:jc w:val="center"/>
              <w:rPr/>
            </w:pPr>
            <w:r>
              <w:rPr/>
              <w:t> </w:t>
            </w:r>
            <w:r>
              <w:rPr>
                <w:b/>
              </w:rPr>
              <w:t>Involuntary Without Cause or </w:t>
              <w:br/>
              <w:t>Voluntary With Good Reason</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040" w:type="dxa"/>
            <w:gridSpan w:val="2"/>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040" w:type="dxa"/>
            <w:gridSpan w:val="2"/>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295" w:type="dxa"/>
            <w:gridSpan w:val="2"/>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160" w:type="dxa"/>
            <w:gridSpan w:val="2"/>
            <w:tcBorders/>
            <w:shd w:fill="FDEEF1" w:val="clear"/>
            <w:vAlign w:val="center"/>
          </w:tcPr>
          <w:p>
            <w:pPr>
              <w:pStyle w:val="TableContents"/>
              <w:bidi w:val="0"/>
              <w:spacing w:before="0" w:after="283"/>
              <w:jc w:val="left"/>
              <w:rPr/>
            </w:pPr>
            <w:r>
              <w:rPr/>
              <w:t> </w:t>
            </w:r>
          </w:p>
        </w:tc>
        <w:tc>
          <w:tcPr>
            <w:tcW w:w="76" w:type="dxa"/>
            <w:tcBorders/>
            <w:shd w:fill="FDEEF1" w:val="clear"/>
            <w:vAlign w:val="center"/>
          </w:tcPr>
          <w:p>
            <w:pPr>
              <w:pStyle w:val="TableContents"/>
              <w:bidi w:val="0"/>
              <w:spacing w:before="0" w:after="283"/>
              <w:jc w:val="left"/>
              <w:rPr/>
            </w:pPr>
            <w:r>
              <w:rPr/>
              <w:t> </w:t>
            </w:r>
          </w:p>
        </w:tc>
      </w:tr>
      <w:tr>
        <w:trPr/>
        <w:tc>
          <w:tcPr>
            <w:tcW w:w="1292" w:type="dxa"/>
            <w:tcBorders/>
            <w:shd w:fill="FDEEF1" w:val="clear"/>
            <w:vAlign w:val="center"/>
          </w:tcPr>
          <w:p>
            <w:pPr>
              <w:pStyle w:val="TableContents"/>
              <w:bidi w:val="0"/>
              <w:spacing w:before="0" w:after="283"/>
              <w:jc w:val="left"/>
              <w:rPr>
                <w:sz w:val="4"/>
                <w:szCs w:val="4"/>
              </w:rPr>
            </w:pPr>
            <w:r>
              <w:rPr>
                <w:sz w:val="4"/>
                <w:szCs w:val="4"/>
              </w:rPr>
            </w:r>
          </w:p>
        </w:tc>
        <w:tc>
          <w:tcPr>
            <w:tcW w:w="1069" w:type="dxa"/>
            <w:gridSpan w:val="4"/>
            <w:tcBorders/>
            <w:shd w:fill="FDEEF1" w:val="clear"/>
            <w:vAlign w:val="center"/>
          </w:tcPr>
          <w:p>
            <w:pPr>
              <w:pStyle w:val="TableContents"/>
              <w:bidi w:val="0"/>
              <w:spacing w:before="0" w:after="283"/>
              <w:jc w:val="left"/>
              <w:rPr>
                <w:sz w:val="4"/>
                <w:szCs w:val="4"/>
              </w:rPr>
            </w:pPr>
            <w:r>
              <w:rPr>
                <w:sz w:val="4"/>
                <w:szCs w:val="4"/>
              </w:rPr>
            </w:r>
          </w:p>
        </w:tc>
        <w:tc>
          <w:tcPr>
            <w:tcW w:w="2813" w:type="dxa"/>
            <w:gridSpan w:val="4"/>
            <w:tcBorders/>
            <w:shd w:fill="FDEEF1" w:val="clear"/>
            <w:vAlign w:val="center"/>
          </w:tcPr>
          <w:p>
            <w:pPr>
              <w:pStyle w:val="TableContents"/>
              <w:bidi w:val="0"/>
              <w:spacing w:before="0" w:after="283"/>
              <w:jc w:val="left"/>
              <w:rPr>
                <w:sz w:val="4"/>
                <w:szCs w:val="4"/>
              </w:rPr>
            </w:pPr>
            <w:r>
              <w:rPr>
                <w:sz w:val="4"/>
                <w:szCs w:val="4"/>
              </w:rPr>
            </w:r>
          </w:p>
        </w:tc>
        <w:tc>
          <w:tcPr>
            <w:tcW w:w="1160" w:type="dxa"/>
            <w:gridSpan w:val="4"/>
            <w:tcBorders/>
            <w:shd w:fill="FDEEF1" w:val="clear"/>
            <w:vAlign w:val="center"/>
          </w:tcPr>
          <w:p>
            <w:pPr>
              <w:pStyle w:val="TableContents"/>
              <w:bidi w:val="0"/>
              <w:spacing w:before="0" w:after="283"/>
              <w:jc w:val="left"/>
              <w:rPr>
                <w:sz w:val="4"/>
                <w:szCs w:val="4"/>
              </w:rPr>
            </w:pPr>
            <w:r>
              <w:rPr>
                <w:sz w:val="4"/>
                <w:szCs w:val="4"/>
              </w:rPr>
            </w:r>
          </w:p>
        </w:tc>
        <w:tc>
          <w:tcPr>
            <w:tcW w:w="1160" w:type="dxa"/>
            <w:gridSpan w:val="4"/>
            <w:tcBorders/>
            <w:shd w:fill="FDEEF1" w:val="clear"/>
            <w:vAlign w:val="center"/>
          </w:tcPr>
          <w:p>
            <w:pPr>
              <w:pStyle w:val="TableContents"/>
              <w:bidi w:val="0"/>
              <w:spacing w:before="0" w:after="283"/>
              <w:jc w:val="left"/>
              <w:rPr>
                <w:sz w:val="4"/>
                <w:szCs w:val="4"/>
              </w:rPr>
            </w:pPr>
            <w:r>
              <w:rPr>
                <w:sz w:val="4"/>
                <w:szCs w:val="4"/>
              </w:rPr>
            </w:r>
          </w:p>
        </w:tc>
        <w:tc>
          <w:tcPr>
            <w:tcW w:w="1415" w:type="dxa"/>
            <w:gridSpan w:val="4"/>
            <w:tcBorders/>
            <w:shd w:fill="FDEEF1" w:val="clear"/>
            <w:vAlign w:val="center"/>
          </w:tcPr>
          <w:p>
            <w:pPr>
              <w:pStyle w:val="TableContents"/>
              <w:bidi w:val="0"/>
              <w:spacing w:before="0" w:after="283"/>
              <w:jc w:val="left"/>
              <w:rPr>
                <w:sz w:val="4"/>
                <w:szCs w:val="4"/>
              </w:rPr>
            </w:pPr>
            <w:r>
              <w:rPr>
                <w:sz w:val="4"/>
                <w:szCs w:val="4"/>
              </w:rPr>
            </w:r>
          </w:p>
        </w:tc>
        <w:tc>
          <w:tcPr>
            <w:tcW w:w="1296" w:type="dxa"/>
            <w:gridSpan w:val="4"/>
            <w:tcBorders/>
            <w:shd w:fill="FDEEF1" w:val="clear"/>
            <w:vAlign w:val="center"/>
          </w:tcPr>
          <w:p>
            <w:pPr>
              <w:pStyle w:val="TableContents"/>
              <w:bidi w:val="0"/>
              <w:spacing w:before="0" w:after="283"/>
              <w:jc w:val="left"/>
              <w:rPr>
                <w:sz w:val="4"/>
                <w:szCs w:val="4"/>
              </w:rPr>
            </w:pPr>
            <w:r>
              <w:rPr>
                <w:sz w:val="4"/>
                <w:szCs w:val="4"/>
              </w:rPr>
            </w:r>
          </w:p>
        </w:tc>
      </w:tr>
      <w:tr>
        <w:trPr/>
        <w:tc>
          <w:tcPr>
            <w:tcW w:w="1292" w:type="dxa"/>
            <w:tcBorders/>
            <w:shd w:fill="FDEEF1" w:val="clear"/>
            <w:vAlign w:val="center"/>
          </w:tcPr>
          <w:p>
            <w:pPr>
              <w:pStyle w:val="TableContents"/>
              <w:bidi w:val="0"/>
              <w:jc w:val="left"/>
              <w:rPr/>
            </w:pPr>
            <w:r>
              <w:rPr/>
              <w:t> </w:t>
            </w:r>
          </w:p>
          <w:p>
            <w:pPr>
              <w:pStyle w:val="TableContents"/>
              <w:bidi w:val="0"/>
              <w:spacing w:before="0" w:after="0"/>
              <w:jc w:val="left"/>
              <w:rPr/>
            </w:pPr>
            <w:r>
              <w:rPr/>
              <w:t> </w:t>
            </w:r>
          </w:p>
        </w:tc>
        <w:tc>
          <w:tcPr>
            <w:tcW w:w="60" w:type="dxa"/>
            <w:tcBorders/>
            <w:shd w:fill="FDEEF1" w:val="clear"/>
            <w:vAlign w:val="center"/>
          </w:tcPr>
          <w:p>
            <w:pPr>
              <w:pStyle w:val="TableContents"/>
              <w:bidi w:val="0"/>
              <w:spacing w:before="0" w:after="283"/>
              <w:jc w:val="left"/>
              <w:rPr/>
            </w:pPr>
            <w:r>
              <w:rPr/>
              <w:t> </w:t>
            </w:r>
          </w:p>
        </w:tc>
        <w:tc>
          <w:tcPr>
            <w:tcW w:w="860" w:type="dxa"/>
            <w:gridSpan w:val="2"/>
            <w:tcBorders/>
            <w:shd w:fill="FDEEF1" w:val="clear"/>
            <w:vAlign w:val="center"/>
          </w:tcPr>
          <w:p>
            <w:pPr>
              <w:pStyle w:val="TableContents"/>
              <w:bidi w:val="0"/>
              <w:spacing w:before="0" w:after="283"/>
              <w:jc w:val="center"/>
              <w:rPr>
                <w:b/>
              </w:rPr>
            </w:pPr>
            <w:r>
              <w:rPr>
                <w:b/>
              </w:rPr>
              <w:t>Without</w:t>
              <w:br/>
              <w:t>Release</w:t>
              <w:br/>
              <w:t>($)</w:t>
            </w:r>
          </w:p>
        </w:tc>
        <w:tc>
          <w:tcPr>
            <w:tcW w:w="149" w:type="dxa"/>
            <w:tcBorders/>
            <w:shd w:fill="FDEEF1" w:val="clear"/>
            <w:vAlign w:val="center"/>
          </w:tcPr>
          <w:p>
            <w:pPr>
              <w:pStyle w:val="TableContents"/>
              <w:bidi w:val="0"/>
              <w:spacing w:before="0" w:after="283"/>
              <w:jc w:val="left"/>
              <w:rPr/>
            </w:pPr>
            <w:r>
              <w:rPr/>
              <w:t> </w:t>
            </w:r>
          </w:p>
        </w:tc>
        <w:tc>
          <w:tcPr>
            <w:tcW w:w="149" w:type="dxa"/>
            <w:tcBorders/>
            <w:shd w:fill="FDEEF1" w:val="clear"/>
            <w:vAlign w:val="center"/>
          </w:tcPr>
          <w:p>
            <w:pPr>
              <w:pStyle w:val="TableContents"/>
              <w:bidi w:val="0"/>
              <w:spacing w:before="0" w:after="283"/>
              <w:jc w:val="left"/>
              <w:rPr/>
            </w:pPr>
            <w:r>
              <w:rPr/>
              <w:t> </w:t>
            </w:r>
          </w:p>
        </w:tc>
        <w:tc>
          <w:tcPr>
            <w:tcW w:w="2604" w:type="dxa"/>
            <w:gridSpan w:val="2"/>
            <w:tcBorders/>
            <w:shd w:fill="FDEEF1" w:val="clear"/>
            <w:vAlign w:val="center"/>
          </w:tcPr>
          <w:p>
            <w:pPr>
              <w:pStyle w:val="TableContents"/>
              <w:bidi w:val="0"/>
              <w:spacing w:before="0" w:after="283"/>
              <w:jc w:val="center"/>
              <w:rPr>
                <w:b/>
              </w:rPr>
            </w:pPr>
            <w:r>
              <w:rPr>
                <w:b/>
              </w:rPr>
              <w:t>With Release</w:t>
              <w:br/>
              <w:t>($)</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040" w:type="dxa"/>
            <w:gridSpan w:val="2"/>
            <w:tcBorders/>
            <w:shd w:fill="FDEEF1" w:val="clear"/>
            <w:vAlign w:val="center"/>
          </w:tcPr>
          <w:p>
            <w:pPr>
              <w:pStyle w:val="TableContents"/>
              <w:bidi w:val="0"/>
              <w:spacing w:before="0" w:after="283"/>
              <w:jc w:val="center"/>
              <w:rPr>
                <w:b/>
              </w:rPr>
            </w:pPr>
            <w:r>
              <w:rPr>
                <w:b/>
              </w:rPr>
              <w:t>Death</w:t>
              <w:br/>
              <w:t>($)(1)</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040" w:type="dxa"/>
            <w:gridSpan w:val="2"/>
            <w:tcBorders/>
            <w:shd w:fill="FDEEF1" w:val="clear"/>
            <w:vAlign w:val="center"/>
          </w:tcPr>
          <w:p>
            <w:pPr>
              <w:pStyle w:val="TableContents"/>
              <w:bidi w:val="0"/>
              <w:spacing w:before="0" w:after="283"/>
              <w:jc w:val="center"/>
              <w:rPr>
                <w:b/>
              </w:rPr>
            </w:pPr>
            <w:r>
              <w:rPr>
                <w:b/>
              </w:rPr>
              <w:t>Disability</w:t>
              <w:br/>
              <w:t>($)</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295" w:type="dxa"/>
            <w:gridSpan w:val="2"/>
            <w:tcBorders/>
            <w:shd w:fill="FDEEF1" w:val="clear"/>
            <w:vAlign w:val="center"/>
          </w:tcPr>
          <w:p>
            <w:pPr>
              <w:pStyle w:val="TableContents"/>
              <w:bidi w:val="0"/>
              <w:spacing w:before="0" w:after="283"/>
              <w:jc w:val="center"/>
              <w:rPr>
                <w:b/>
              </w:rPr>
            </w:pPr>
            <w:r>
              <w:rPr>
                <w:b/>
              </w:rPr>
              <w:t>Termination</w:t>
              <w:br/>
              <w:t>Following</w:t>
              <w:br/>
              <w:t>Change of</w:t>
              <w:br/>
              <w:t>Control</w:t>
              <w:br/>
              <w:t>($)</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160" w:type="dxa"/>
            <w:gridSpan w:val="2"/>
            <w:tcBorders/>
            <w:shd w:fill="FDEEF1" w:val="clear"/>
            <w:vAlign w:val="center"/>
          </w:tcPr>
          <w:p>
            <w:pPr>
              <w:pStyle w:val="TableContents"/>
              <w:bidi w:val="0"/>
              <w:spacing w:before="0" w:after="283"/>
              <w:jc w:val="center"/>
              <w:rPr>
                <w:b/>
              </w:rPr>
            </w:pPr>
            <w:r>
              <w:rPr>
                <w:b/>
              </w:rPr>
              <w:t>Retirement</w:t>
              <w:br/>
              <w:t>($)(2)</w:t>
            </w:r>
          </w:p>
        </w:tc>
        <w:tc>
          <w:tcPr>
            <w:tcW w:w="76" w:type="dxa"/>
            <w:tcBorders/>
            <w:shd w:fill="FDEEF1" w:val="clear"/>
            <w:vAlign w:val="center"/>
          </w:tcPr>
          <w:p>
            <w:pPr>
              <w:pStyle w:val="TableContents"/>
              <w:bidi w:val="0"/>
              <w:spacing w:before="0" w:after="283"/>
              <w:jc w:val="left"/>
              <w:rPr/>
            </w:pPr>
            <w:r>
              <w:rPr/>
              <w:t> </w:t>
            </w:r>
          </w:p>
        </w:tc>
      </w:tr>
      <w:tr>
        <w:trPr/>
        <w:tc>
          <w:tcPr>
            <w:tcW w:w="1292" w:type="dxa"/>
            <w:tcBorders/>
            <w:vAlign w:val="center"/>
          </w:tcPr>
          <w:p>
            <w:pPr>
              <w:pStyle w:val="TableContents"/>
              <w:bidi w:val="0"/>
              <w:spacing w:before="0" w:after="283"/>
              <w:jc w:val="left"/>
              <w:rPr>
                <w:sz w:val="4"/>
                <w:szCs w:val="4"/>
              </w:rPr>
            </w:pPr>
            <w:r>
              <w:rPr>
                <w:sz w:val="4"/>
                <w:szCs w:val="4"/>
              </w:rPr>
            </w:r>
          </w:p>
        </w:tc>
        <w:tc>
          <w:tcPr>
            <w:tcW w:w="1069" w:type="dxa"/>
            <w:gridSpan w:val="4"/>
            <w:tcBorders/>
            <w:vAlign w:val="center"/>
          </w:tcPr>
          <w:p>
            <w:pPr>
              <w:pStyle w:val="TableContents"/>
              <w:bidi w:val="0"/>
              <w:spacing w:before="0" w:after="283"/>
              <w:jc w:val="left"/>
              <w:rPr>
                <w:sz w:val="4"/>
                <w:szCs w:val="4"/>
              </w:rPr>
            </w:pPr>
            <w:r>
              <w:rPr>
                <w:sz w:val="4"/>
                <w:szCs w:val="4"/>
              </w:rPr>
            </w:r>
          </w:p>
        </w:tc>
        <w:tc>
          <w:tcPr>
            <w:tcW w:w="2813"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296" w:type="dxa"/>
            <w:gridSpan w:val="4"/>
            <w:tcBorders/>
            <w:vAlign w:val="center"/>
          </w:tcPr>
          <w:p>
            <w:pPr>
              <w:pStyle w:val="TableContents"/>
              <w:bidi w:val="0"/>
              <w:spacing w:before="0" w:after="283"/>
              <w:jc w:val="left"/>
              <w:rPr>
                <w:sz w:val="4"/>
                <w:szCs w:val="4"/>
              </w:rPr>
            </w:pPr>
            <w:r>
              <w:rPr>
                <w:sz w:val="4"/>
                <w:szCs w:val="4"/>
              </w:rPr>
            </w:r>
          </w:p>
        </w:tc>
      </w:tr>
      <w:tr>
        <w:trPr/>
        <w:tc>
          <w:tcPr>
            <w:tcW w:w="1292"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Base Salary</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257" w:type="dxa"/>
            <w:tcBorders>
              <w:bottom w:val="single" w:sz="6" w:space="0" w:color="FBDDE3"/>
            </w:tcBorders>
            <w:tcMar>
              <w:bottom w:w="60" w:type="dxa"/>
            </w:tcMar>
            <w:vAlign w:val="center"/>
          </w:tcPr>
          <w:p>
            <w:pPr>
              <w:pStyle w:val="TableContents"/>
              <w:bidi w:val="0"/>
              <w:spacing w:before="0" w:after="283"/>
              <w:jc w:val="left"/>
              <w:rPr/>
            </w:pPr>
            <w:r>
              <w:rPr/>
              <w:t> </w:t>
            </w:r>
          </w:p>
        </w:tc>
        <w:tc>
          <w:tcPr>
            <w:tcW w:w="603" w:type="dxa"/>
            <w:tcBorders>
              <w:bottom w:val="single" w:sz="6" w:space="0" w:color="FBDDE3"/>
            </w:tcBorders>
            <w:tcMar>
              <w:bottom w:w="60" w:type="dxa"/>
            </w:tcMar>
            <w:vAlign w:val="center"/>
          </w:tcPr>
          <w:p>
            <w:pPr>
              <w:pStyle w:val="TableContents"/>
              <w:bidi w:val="0"/>
              <w:spacing w:before="0" w:after="283"/>
              <w:jc w:val="right"/>
              <w:rPr/>
            </w:pPr>
            <w:r>
              <w:rPr/>
              <w:t>–</w:t>
            </w:r>
          </w:p>
        </w:tc>
        <w:tc>
          <w:tcPr>
            <w:tcW w:w="149" w:type="dxa"/>
            <w:tcBorders>
              <w:bottom w:val="single" w:sz="6" w:space="0" w:color="FBDDE3"/>
            </w:tcBorders>
            <w:tcMar>
              <w:bottom w:w="60" w:type="dxa"/>
            </w:tcMar>
            <w:vAlign w:val="center"/>
          </w:tcPr>
          <w:p>
            <w:pPr>
              <w:pStyle w:val="TableContents"/>
              <w:bidi w:val="0"/>
              <w:spacing w:before="0" w:after="283"/>
              <w:jc w:val="left"/>
              <w:rPr/>
            </w:pPr>
            <w:r>
              <w:rPr/>
              <w:t> </w:t>
            </w:r>
          </w:p>
        </w:tc>
        <w:tc>
          <w:tcPr>
            <w:tcW w:w="149" w:type="dxa"/>
            <w:tcBorders>
              <w:bottom w:val="single" w:sz="6" w:space="0" w:color="FBDDE3"/>
            </w:tcBorders>
            <w:tcMar>
              <w:bottom w:w="28" w:type="dxa"/>
            </w:tcMar>
            <w:vAlign w:val="center"/>
          </w:tcPr>
          <w:p>
            <w:pPr>
              <w:pStyle w:val="TableContents"/>
              <w:bidi w:val="0"/>
              <w:spacing w:before="0" w:after="283"/>
              <w:jc w:val="left"/>
              <w:rPr/>
            </w:pPr>
            <w:r>
              <w:rPr/>
              <w:t> </w:t>
            </w:r>
          </w:p>
        </w:tc>
        <w:tc>
          <w:tcPr>
            <w:tcW w:w="149" w:type="dxa"/>
            <w:tcBorders>
              <w:bottom w:val="single" w:sz="6" w:space="0" w:color="FBDDE3"/>
            </w:tcBorders>
            <w:tcMar>
              <w:bottom w:w="60" w:type="dxa"/>
            </w:tcMar>
            <w:vAlign w:val="center"/>
          </w:tcPr>
          <w:p>
            <w:pPr>
              <w:pStyle w:val="TableContents"/>
              <w:bidi w:val="0"/>
              <w:spacing w:before="0" w:after="283"/>
              <w:jc w:val="left"/>
              <w:rPr/>
            </w:pPr>
            <w:r>
              <w:rPr/>
              <w:t> </w:t>
            </w:r>
          </w:p>
        </w:tc>
        <w:tc>
          <w:tcPr>
            <w:tcW w:w="2455" w:type="dxa"/>
            <w:tcBorders>
              <w:bottom w:val="single" w:sz="6" w:space="0" w:color="FBDDE3"/>
            </w:tcBorders>
            <w:tcMar>
              <w:bottom w:w="60" w:type="dxa"/>
            </w:tcMar>
            <w:vAlign w:val="center"/>
          </w:tcPr>
          <w:p>
            <w:pPr>
              <w:pStyle w:val="TableContents"/>
              <w:bidi w:val="0"/>
              <w:spacing w:before="0" w:after="283"/>
              <w:jc w:val="right"/>
              <w:rPr/>
            </w:pPr>
            <w:r>
              <w:rPr/>
              <w:t>1,970,000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546,250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4" w:type="dxa"/>
            <w:tcBorders>
              <w:bottom w:val="single" w:sz="6" w:space="0" w:color="FBDDE3"/>
            </w:tcBorders>
            <w:tcMar>
              <w:bottom w:w="60" w:type="dxa"/>
            </w:tcMar>
            <w:vAlign w:val="center"/>
          </w:tcPr>
          <w:p>
            <w:pPr>
              <w:pStyle w:val="TableContents"/>
              <w:bidi w:val="0"/>
              <w:spacing w:before="0" w:after="283"/>
              <w:jc w:val="left"/>
              <w:rPr/>
            </w:pPr>
            <w:r>
              <w:rPr/>
              <w:t> </w:t>
            </w:r>
          </w:p>
        </w:tc>
        <w:tc>
          <w:tcPr>
            <w:tcW w:w="1221" w:type="dxa"/>
            <w:tcBorders>
              <w:bottom w:val="single" w:sz="6" w:space="0" w:color="FBDDE3"/>
            </w:tcBorders>
            <w:tcMar>
              <w:bottom w:w="60" w:type="dxa"/>
            </w:tcMar>
            <w:vAlign w:val="center"/>
          </w:tcPr>
          <w:p>
            <w:pPr>
              <w:pStyle w:val="TableContents"/>
              <w:bidi w:val="0"/>
              <w:spacing w:before="0" w:after="283"/>
              <w:jc w:val="right"/>
              <w:rPr/>
            </w:pPr>
            <w:r>
              <w:rPr/>
              <w:t>1,970,000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348" w:type="dxa"/>
            <w:tcBorders>
              <w:bottom w:val="single" w:sz="6" w:space="0" w:color="FBDDE3"/>
            </w:tcBorders>
            <w:tcMar>
              <w:bottom w:w="60" w:type="dxa"/>
            </w:tcMar>
            <w:vAlign w:val="center"/>
          </w:tcPr>
          <w:p>
            <w:pPr>
              <w:pStyle w:val="TableContents"/>
              <w:bidi w:val="0"/>
              <w:spacing w:before="0" w:after="283"/>
              <w:jc w:val="left"/>
              <w:rPr/>
            </w:pPr>
            <w:r>
              <w:rPr/>
              <w:t> </w:t>
            </w:r>
          </w:p>
        </w:tc>
        <w:tc>
          <w:tcPr>
            <w:tcW w:w="812" w:type="dxa"/>
            <w:tcBorders>
              <w:bottom w:val="single" w:sz="6" w:space="0" w:color="FBDDE3"/>
            </w:tcBorders>
            <w:tcMar>
              <w:bottom w:w="60" w:type="dxa"/>
            </w:tcMar>
            <w:vAlign w:val="center"/>
          </w:tcPr>
          <w:p>
            <w:pPr>
              <w:pStyle w:val="TableContents"/>
              <w:bidi w:val="0"/>
              <w:spacing w:before="0" w:after="283"/>
              <w:jc w:val="right"/>
              <w:rPr/>
            </w:pPr>
            <w:r>
              <w:rPr/>
              <w:t>–</w:t>
            </w:r>
          </w:p>
        </w:tc>
        <w:tc>
          <w:tcPr>
            <w:tcW w:w="76"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292" w:type="dxa"/>
            <w:tcBorders/>
            <w:vAlign w:val="center"/>
          </w:tcPr>
          <w:p>
            <w:pPr>
              <w:pStyle w:val="TableContents"/>
              <w:bidi w:val="0"/>
              <w:spacing w:before="0" w:after="283"/>
              <w:jc w:val="left"/>
              <w:rPr>
                <w:sz w:val="4"/>
                <w:szCs w:val="4"/>
              </w:rPr>
            </w:pPr>
            <w:r>
              <w:rPr>
                <w:sz w:val="4"/>
                <w:szCs w:val="4"/>
              </w:rPr>
            </w:r>
          </w:p>
        </w:tc>
        <w:tc>
          <w:tcPr>
            <w:tcW w:w="1069" w:type="dxa"/>
            <w:gridSpan w:val="4"/>
            <w:tcBorders/>
            <w:vAlign w:val="center"/>
          </w:tcPr>
          <w:p>
            <w:pPr>
              <w:pStyle w:val="TableContents"/>
              <w:bidi w:val="0"/>
              <w:spacing w:before="0" w:after="283"/>
              <w:jc w:val="left"/>
              <w:rPr>
                <w:sz w:val="4"/>
                <w:szCs w:val="4"/>
              </w:rPr>
            </w:pPr>
            <w:r>
              <w:rPr>
                <w:sz w:val="4"/>
                <w:szCs w:val="4"/>
              </w:rPr>
            </w:r>
          </w:p>
        </w:tc>
        <w:tc>
          <w:tcPr>
            <w:tcW w:w="2813"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296" w:type="dxa"/>
            <w:gridSpan w:val="4"/>
            <w:tcBorders/>
            <w:vAlign w:val="center"/>
          </w:tcPr>
          <w:p>
            <w:pPr>
              <w:pStyle w:val="TableContents"/>
              <w:bidi w:val="0"/>
              <w:spacing w:before="0" w:after="283"/>
              <w:jc w:val="left"/>
              <w:rPr>
                <w:sz w:val="4"/>
                <w:szCs w:val="4"/>
              </w:rPr>
            </w:pPr>
            <w:r>
              <w:rPr>
                <w:sz w:val="4"/>
                <w:szCs w:val="4"/>
              </w:rPr>
            </w:r>
          </w:p>
        </w:tc>
      </w:tr>
      <w:tr>
        <w:trPr/>
        <w:tc>
          <w:tcPr>
            <w:tcW w:w="1292"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Bonus(3)</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257" w:type="dxa"/>
            <w:tcBorders>
              <w:bottom w:val="single" w:sz="6" w:space="0" w:color="FBDDE3"/>
            </w:tcBorders>
            <w:tcMar>
              <w:bottom w:w="60" w:type="dxa"/>
            </w:tcMar>
            <w:vAlign w:val="center"/>
          </w:tcPr>
          <w:p>
            <w:pPr>
              <w:pStyle w:val="TableContents"/>
              <w:bidi w:val="0"/>
              <w:spacing w:before="0" w:after="283"/>
              <w:jc w:val="left"/>
              <w:rPr/>
            </w:pPr>
            <w:r>
              <w:rPr/>
              <w:t> </w:t>
            </w:r>
          </w:p>
        </w:tc>
        <w:tc>
          <w:tcPr>
            <w:tcW w:w="603" w:type="dxa"/>
            <w:tcBorders>
              <w:bottom w:val="single" w:sz="6" w:space="0" w:color="FBDDE3"/>
            </w:tcBorders>
            <w:tcMar>
              <w:bottom w:w="60" w:type="dxa"/>
            </w:tcMar>
            <w:vAlign w:val="center"/>
          </w:tcPr>
          <w:p>
            <w:pPr>
              <w:pStyle w:val="TableContents"/>
              <w:bidi w:val="0"/>
              <w:spacing w:before="0" w:after="283"/>
              <w:jc w:val="right"/>
              <w:rPr/>
            </w:pPr>
            <w:r>
              <w:rPr/>
              <w:t>–</w:t>
            </w:r>
          </w:p>
        </w:tc>
        <w:tc>
          <w:tcPr>
            <w:tcW w:w="149" w:type="dxa"/>
            <w:tcBorders>
              <w:bottom w:val="single" w:sz="6" w:space="0" w:color="FBDDE3"/>
            </w:tcBorders>
            <w:tcMar>
              <w:bottom w:w="60" w:type="dxa"/>
            </w:tcMar>
            <w:vAlign w:val="center"/>
          </w:tcPr>
          <w:p>
            <w:pPr>
              <w:pStyle w:val="TableContents"/>
              <w:bidi w:val="0"/>
              <w:spacing w:before="0" w:after="283"/>
              <w:jc w:val="left"/>
              <w:rPr/>
            </w:pPr>
            <w:r>
              <w:rPr/>
              <w:t> </w:t>
            </w:r>
          </w:p>
        </w:tc>
        <w:tc>
          <w:tcPr>
            <w:tcW w:w="149" w:type="dxa"/>
            <w:tcBorders>
              <w:bottom w:val="single" w:sz="6" w:space="0" w:color="FBDDE3"/>
            </w:tcBorders>
            <w:tcMar>
              <w:bottom w:w="28" w:type="dxa"/>
            </w:tcMar>
            <w:vAlign w:val="center"/>
          </w:tcPr>
          <w:p>
            <w:pPr>
              <w:pStyle w:val="TableContents"/>
              <w:bidi w:val="0"/>
              <w:spacing w:before="0" w:after="283"/>
              <w:jc w:val="left"/>
              <w:rPr/>
            </w:pPr>
            <w:r>
              <w:rPr/>
              <w:t> </w:t>
            </w:r>
          </w:p>
        </w:tc>
        <w:tc>
          <w:tcPr>
            <w:tcW w:w="149" w:type="dxa"/>
            <w:tcBorders>
              <w:bottom w:val="single" w:sz="6" w:space="0" w:color="FBDDE3"/>
            </w:tcBorders>
            <w:tcMar>
              <w:bottom w:w="60" w:type="dxa"/>
            </w:tcMar>
            <w:vAlign w:val="center"/>
          </w:tcPr>
          <w:p>
            <w:pPr>
              <w:pStyle w:val="TableContents"/>
              <w:bidi w:val="0"/>
              <w:spacing w:before="0" w:after="283"/>
              <w:jc w:val="left"/>
              <w:rPr/>
            </w:pPr>
            <w:r>
              <w:rPr/>
              <w:t> </w:t>
            </w:r>
          </w:p>
        </w:tc>
        <w:tc>
          <w:tcPr>
            <w:tcW w:w="2455" w:type="dxa"/>
            <w:tcBorders>
              <w:bottom w:val="single" w:sz="6" w:space="0" w:color="FBDDE3"/>
            </w:tcBorders>
            <w:tcMar>
              <w:bottom w:w="60" w:type="dxa"/>
            </w:tcMar>
            <w:vAlign w:val="center"/>
          </w:tcPr>
          <w:p>
            <w:pPr>
              <w:pStyle w:val="TableContents"/>
              <w:bidi w:val="0"/>
              <w:spacing w:before="0" w:after="283"/>
              <w:jc w:val="right"/>
              <w:rPr/>
            </w:pPr>
            <w:r>
              <w:rPr/>
              <w:t>1,674,500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1,172,150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1,172,150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4" w:type="dxa"/>
            <w:tcBorders>
              <w:bottom w:val="single" w:sz="6" w:space="0" w:color="FBDDE3"/>
            </w:tcBorders>
            <w:tcMar>
              <w:bottom w:w="60" w:type="dxa"/>
            </w:tcMar>
            <w:vAlign w:val="center"/>
          </w:tcPr>
          <w:p>
            <w:pPr>
              <w:pStyle w:val="TableContents"/>
              <w:bidi w:val="0"/>
              <w:spacing w:before="0" w:after="283"/>
              <w:jc w:val="left"/>
              <w:rPr/>
            </w:pPr>
            <w:r>
              <w:rPr/>
              <w:t> </w:t>
            </w:r>
          </w:p>
        </w:tc>
        <w:tc>
          <w:tcPr>
            <w:tcW w:w="1221" w:type="dxa"/>
            <w:tcBorders>
              <w:bottom w:val="single" w:sz="6" w:space="0" w:color="FBDDE3"/>
            </w:tcBorders>
            <w:tcMar>
              <w:bottom w:w="60" w:type="dxa"/>
            </w:tcMar>
            <w:vAlign w:val="center"/>
          </w:tcPr>
          <w:p>
            <w:pPr>
              <w:pStyle w:val="TableContents"/>
              <w:bidi w:val="0"/>
              <w:spacing w:before="0" w:after="283"/>
              <w:jc w:val="right"/>
              <w:rPr/>
            </w:pPr>
            <w:r>
              <w:rPr/>
              <w:t>1,627,747</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348" w:type="dxa"/>
            <w:tcBorders>
              <w:bottom w:val="single" w:sz="6" w:space="0" w:color="FBDDE3"/>
            </w:tcBorders>
            <w:tcMar>
              <w:bottom w:w="60" w:type="dxa"/>
            </w:tcMar>
            <w:vAlign w:val="center"/>
          </w:tcPr>
          <w:p>
            <w:pPr>
              <w:pStyle w:val="TableContents"/>
              <w:bidi w:val="0"/>
              <w:spacing w:before="0" w:after="283"/>
              <w:jc w:val="left"/>
              <w:rPr/>
            </w:pPr>
            <w:r>
              <w:rPr/>
              <w:t> </w:t>
            </w:r>
          </w:p>
        </w:tc>
        <w:tc>
          <w:tcPr>
            <w:tcW w:w="812" w:type="dxa"/>
            <w:tcBorders>
              <w:bottom w:val="single" w:sz="6" w:space="0" w:color="FBDDE3"/>
            </w:tcBorders>
            <w:tcMar>
              <w:bottom w:w="60" w:type="dxa"/>
            </w:tcMar>
            <w:vAlign w:val="center"/>
          </w:tcPr>
          <w:p>
            <w:pPr>
              <w:pStyle w:val="TableContents"/>
              <w:bidi w:val="0"/>
              <w:spacing w:before="0" w:after="283"/>
              <w:jc w:val="right"/>
              <w:rPr/>
            </w:pPr>
            <w:r>
              <w:rPr/>
              <w:t>–</w:t>
            </w:r>
          </w:p>
        </w:tc>
        <w:tc>
          <w:tcPr>
            <w:tcW w:w="76"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292" w:type="dxa"/>
            <w:tcBorders/>
            <w:vAlign w:val="center"/>
          </w:tcPr>
          <w:p>
            <w:pPr>
              <w:pStyle w:val="TableContents"/>
              <w:bidi w:val="0"/>
              <w:spacing w:before="0" w:after="283"/>
              <w:jc w:val="left"/>
              <w:rPr>
                <w:sz w:val="4"/>
                <w:szCs w:val="4"/>
              </w:rPr>
            </w:pPr>
            <w:r>
              <w:rPr>
                <w:sz w:val="4"/>
                <w:szCs w:val="4"/>
              </w:rPr>
            </w:r>
          </w:p>
        </w:tc>
        <w:tc>
          <w:tcPr>
            <w:tcW w:w="1069" w:type="dxa"/>
            <w:gridSpan w:val="4"/>
            <w:tcBorders/>
            <w:vAlign w:val="center"/>
          </w:tcPr>
          <w:p>
            <w:pPr>
              <w:pStyle w:val="TableContents"/>
              <w:bidi w:val="0"/>
              <w:spacing w:before="0" w:after="283"/>
              <w:jc w:val="left"/>
              <w:rPr>
                <w:sz w:val="4"/>
                <w:szCs w:val="4"/>
              </w:rPr>
            </w:pPr>
            <w:r>
              <w:rPr>
                <w:sz w:val="4"/>
                <w:szCs w:val="4"/>
              </w:rPr>
            </w:r>
          </w:p>
        </w:tc>
        <w:tc>
          <w:tcPr>
            <w:tcW w:w="2813"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296" w:type="dxa"/>
            <w:gridSpan w:val="4"/>
            <w:tcBorders/>
            <w:vAlign w:val="center"/>
          </w:tcPr>
          <w:p>
            <w:pPr>
              <w:pStyle w:val="TableContents"/>
              <w:bidi w:val="0"/>
              <w:spacing w:before="0" w:after="283"/>
              <w:jc w:val="left"/>
              <w:rPr>
                <w:sz w:val="4"/>
                <w:szCs w:val="4"/>
              </w:rPr>
            </w:pPr>
            <w:r>
              <w:rPr>
                <w:sz w:val="4"/>
                <w:szCs w:val="4"/>
              </w:rPr>
            </w:r>
          </w:p>
        </w:tc>
      </w:tr>
      <w:tr>
        <w:trPr/>
        <w:tc>
          <w:tcPr>
            <w:tcW w:w="1292"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Long-Term Incentive Awards(4)</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257" w:type="dxa"/>
            <w:tcBorders>
              <w:bottom w:val="single" w:sz="6" w:space="0" w:color="FBDDE3"/>
            </w:tcBorders>
            <w:tcMar>
              <w:bottom w:w="60" w:type="dxa"/>
            </w:tcMar>
            <w:vAlign w:val="center"/>
          </w:tcPr>
          <w:p>
            <w:pPr>
              <w:pStyle w:val="TableContents"/>
              <w:bidi w:val="0"/>
              <w:spacing w:before="0" w:after="283"/>
              <w:jc w:val="left"/>
              <w:rPr/>
            </w:pPr>
            <w:r>
              <w:rPr/>
              <w:t> </w:t>
            </w:r>
          </w:p>
        </w:tc>
        <w:tc>
          <w:tcPr>
            <w:tcW w:w="603" w:type="dxa"/>
            <w:tcBorders>
              <w:bottom w:val="single" w:sz="6" w:space="0" w:color="FBDDE3"/>
            </w:tcBorders>
            <w:tcMar>
              <w:bottom w:w="60" w:type="dxa"/>
            </w:tcMar>
            <w:vAlign w:val="center"/>
          </w:tcPr>
          <w:p>
            <w:pPr>
              <w:pStyle w:val="TableContents"/>
              <w:bidi w:val="0"/>
              <w:spacing w:before="0" w:after="283"/>
              <w:jc w:val="right"/>
              <w:rPr/>
            </w:pPr>
            <w:r>
              <w:rPr/>
              <w:t>–</w:t>
            </w:r>
          </w:p>
        </w:tc>
        <w:tc>
          <w:tcPr>
            <w:tcW w:w="149" w:type="dxa"/>
            <w:tcBorders>
              <w:bottom w:val="single" w:sz="6" w:space="0" w:color="FBDDE3"/>
            </w:tcBorders>
            <w:tcMar>
              <w:bottom w:w="60" w:type="dxa"/>
            </w:tcMar>
            <w:vAlign w:val="center"/>
          </w:tcPr>
          <w:p>
            <w:pPr>
              <w:pStyle w:val="TableContents"/>
              <w:bidi w:val="0"/>
              <w:spacing w:before="0" w:after="283"/>
              <w:jc w:val="left"/>
              <w:rPr/>
            </w:pPr>
            <w:r>
              <w:rPr/>
              <w:t> </w:t>
            </w:r>
          </w:p>
        </w:tc>
        <w:tc>
          <w:tcPr>
            <w:tcW w:w="149" w:type="dxa"/>
            <w:tcBorders>
              <w:bottom w:val="single" w:sz="6" w:space="0" w:color="FBDDE3"/>
            </w:tcBorders>
            <w:tcMar>
              <w:bottom w:w="28" w:type="dxa"/>
            </w:tcMar>
            <w:vAlign w:val="center"/>
          </w:tcPr>
          <w:p>
            <w:pPr>
              <w:pStyle w:val="TableContents"/>
              <w:bidi w:val="0"/>
              <w:spacing w:before="0" w:after="283"/>
              <w:jc w:val="left"/>
              <w:rPr/>
            </w:pPr>
            <w:r>
              <w:rPr/>
              <w:t> </w:t>
            </w:r>
          </w:p>
        </w:tc>
        <w:tc>
          <w:tcPr>
            <w:tcW w:w="149" w:type="dxa"/>
            <w:tcBorders>
              <w:bottom w:val="single" w:sz="6" w:space="0" w:color="FBDDE3"/>
            </w:tcBorders>
            <w:tcMar>
              <w:bottom w:w="60" w:type="dxa"/>
            </w:tcMar>
            <w:vAlign w:val="center"/>
          </w:tcPr>
          <w:p>
            <w:pPr>
              <w:pStyle w:val="TableContents"/>
              <w:bidi w:val="0"/>
              <w:spacing w:before="0" w:after="283"/>
              <w:jc w:val="left"/>
              <w:rPr/>
            </w:pPr>
            <w:r>
              <w:rPr/>
              <w:t> </w:t>
            </w:r>
          </w:p>
        </w:tc>
        <w:tc>
          <w:tcPr>
            <w:tcW w:w="2455" w:type="dxa"/>
            <w:tcBorders>
              <w:bottom w:val="single" w:sz="6" w:space="0" w:color="FBDDE3"/>
            </w:tcBorders>
            <w:tcMar>
              <w:bottom w:w="60" w:type="dxa"/>
            </w:tcMar>
            <w:vAlign w:val="center"/>
          </w:tcPr>
          <w:p>
            <w:pPr>
              <w:pStyle w:val="TableContents"/>
              <w:bidi w:val="0"/>
              <w:spacing w:before="0" w:after="283"/>
              <w:jc w:val="right"/>
              <w:rPr/>
            </w:pPr>
            <w:r>
              <w:rPr/>
              <w:t>236,101</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427,916</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427,916</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4" w:type="dxa"/>
            <w:tcBorders>
              <w:bottom w:val="single" w:sz="6" w:space="0" w:color="FBDDE3"/>
            </w:tcBorders>
            <w:tcMar>
              <w:bottom w:w="60" w:type="dxa"/>
            </w:tcMar>
            <w:vAlign w:val="center"/>
          </w:tcPr>
          <w:p>
            <w:pPr>
              <w:pStyle w:val="TableContents"/>
              <w:bidi w:val="0"/>
              <w:spacing w:before="0" w:after="283"/>
              <w:jc w:val="left"/>
              <w:rPr/>
            </w:pPr>
            <w:r>
              <w:rPr/>
              <w:t> </w:t>
            </w:r>
          </w:p>
        </w:tc>
        <w:tc>
          <w:tcPr>
            <w:tcW w:w="1221" w:type="dxa"/>
            <w:tcBorders>
              <w:bottom w:val="single" w:sz="6" w:space="0" w:color="FBDDE3"/>
            </w:tcBorders>
            <w:tcMar>
              <w:bottom w:w="60" w:type="dxa"/>
            </w:tcMar>
            <w:vAlign w:val="center"/>
          </w:tcPr>
          <w:p>
            <w:pPr>
              <w:pStyle w:val="TableContents"/>
              <w:bidi w:val="0"/>
              <w:spacing w:before="0" w:after="283"/>
              <w:jc w:val="right"/>
              <w:rPr/>
            </w:pPr>
            <w:r>
              <w:rPr/>
              <w:t>1,711,609</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348" w:type="dxa"/>
            <w:tcBorders>
              <w:bottom w:val="single" w:sz="6" w:space="0" w:color="FBDDE3"/>
            </w:tcBorders>
            <w:tcMar>
              <w:bottom w:w="60" w:type="dxa"/>
            </w:tcMar>
            <w:vAlign w:val="center"/>
          </w:tcPr>
          <w:p>
            <w:pPr>
              <w:pStyle w:val="TableContents"/>
              <w:bidi w:val="0"/>
              <w:spacing w:before="0" w:after="283"/>
              <w:jc w:val="left"/>
              <w:rPr/>
            </w:pPr>
            <w:r>
              <w:rPr/>
              <w:t> </w:t>
            </w:r>
          </w:p>
        </w:tc>
        <w:tc>
          <w:tcPr>
            <w:tcW w:w="812" w:type="dxa"/>
            <w:tcBorders>
              <w:bottom w:val="single" w:sz="6" w:space="0" w:color="FBDDE3"/>
            </w:tcBorders>
            <w:tcMar>
              <w:bottom w:w="60" w:type="dxa"/>
            </w:tcMar>
            <w:vAlign w:val="center"/>
          </w:tcPr>
          <w:p>
            <w:pPr>
              <w:pStyle w:val="TableContents"/>
              <w:bidi w:val="0"/>
              <w:spacing w:before="0" w:after="283"/>
              <w:jc w:val="right"/>
              <w:rPr/>
            </w:pPr>
            <w:r>
              <w:rPr/>
              <w:t>–</w:t>
            </w:r>
          </w:p>
        </w:tc>
        <w:tc>
          <w:tcPr>
            <w:tcW w:w="76"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292" w:type="dxa"/>
            <w:tcBorders/>
            <w:vAlign w:val="center"/>
          </w:tcPr>
          <w:p>
            <w:pPr>
              <w:pStyle w:val="TableContents"/>
              <w:bidi w:val="0"/>
              <w:spacing w:before="0" w:after="283"/>
              <w:jc w:val="left"/>
              <w:rPr>
                <w:sz w:val="4"/>
                <w:szCs w:val="4"/>
              </w:rPr>
            </w:pPr>
            <w:r>
              <w:rPr>
                <w:sz w:val="4"/>
                <w:szCs w:val="4"/>
              </w:rPr>
            </w:r>
          </w:p>
        </w:tc>
        <w:tc>
          <w:tcPr>
            <w:tcW w:w="1069" w:type="dxa"/>
            <w:gridSpan w:val="4"/>
            <w:tcBorders/>
            <w:vAlign w:val="center"/>
          </w:tcPr>
          <w:p>
            <w:pPr>
              <w:pStyle w:val="TableContents"/>
              <w:bidi w:val="0"/>
              <w:spacing w:before="0" w:after="283"/>
              <w:jc w:val="left"/>
              <w:rPr>
                <w:sz w:val="4"/>
                <w:szCs w:val="4"/>
              </w:rPr>
            </w:pPr>
            <w:r>
              <w:rPr>
                <w:sz w:val="4"/>
                <w:szCs w:val="4"/>
              </w:rPr>
            </w:r>
          </w:p>
        </w:tc>
        <w:tc>
          <w:tcPr>
            <w:tcW w:w="2813"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296" w:type="dxa"/>
            <w:gridSpan w:val="4"/>
            <w:tcBorders/>
            <w:vAlign w:val="center"/>
          </w:tcPr>
          <w:p>
            <w:pPr>
              <w:pStyle w:val="TableContents"/>
              <w:bidi w:val="0"/>
              <w:spacing w:before="0" w:after="283"/>
              <w:jc w:val="left"/>
              <w:rPr>
                <w:sz w:val="4"/>
                <w:szCs w:val="4"/>
              </w:rPr>
            </w:pPr>
            <w:r>
              <w:rPr>
                <w:sz w:val="4"/>
                <w:szCs w:val="4"/>
              </w:rPr>
            </w:r>
          </w:p>
        </w:tc>
      </w:tr>
      <w:tr>
        <w:trPr/>
        <w:tc>
          <w:tcPr>
            <w:tcW w:w="1292"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Benefits(5)</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257" w:type="dxa"/>
            <w:tcBorders>
              <w:bottom w:val="single" w:sz="6" w:space="0" w:color="FBDDE3"/>
            </w:tcBorders>
            <w:tcMar>
              <w:bottom w:w="60" w:type="dxa"/>
            </w:tcMar>
            <w:vAlign w:val="center"/>
          </w:tcPr>
          <w:p>
            <w:pPr>
              <w:pStyle w:val="TableContents"/>
              <w:bidi w:val="0"/>
              <w:spacing w:before="0" w:after="283"/>
              <w:jc w:val="left"/>
              <w:rPr/>
            </w:pPr>
            <w:r>
              <w:rPr/>
              <w:t> </w:t>
            </w:r>
          </w:p>
        </w:tc>
        <w:tc>
          <w:tcPr>
            <w:tcW w:w="603" w:type="dxa"/>
            <w:tcBorders>
              <w:bottom w:val="single" w:sz="6" w:space="0" w:color="FBDDE3"/>
            </w:tcBorders>
            <w:tcMar>
              <w:bottom w:w="60" w:type="dxa"/>
            </w:tcMar>
            <w:vAlign w:val="center"/>
          </w:tcPr>
          <w:p>
            <w:pPr>
              <w:pStyle w:val="TableContents"/>
              <w:bidi w:val="0"/>
              <w:spacing w:before="0" w:after="283"/>
              <w:jc w:val="right"/>
              <w:rPr/>
            </w:pPr>
            <w:r>
              <w:rPr/>
              <w:t>–</w:t>
            </w:r>
          </w:p>
        </w:tc>
        <w:tc>
          <w:tcPr>
            <w:tcW w:w="149" w:type="dxa"/>
            <w:tcBorders>
              <w:bottom w:val="single" w:sz="6" w:space="0" w:color="FBDDE3"/>
            </w:tcBorders>
            <w:tcMar>
              <w:bottom w:w="60" w:type="dxa"/>
            </w:tcMar>
            <w:vAlign w:val="center"/>
          </w:tcPr>
          <w:p>
            <w:pPr>
              <w:pStyle w:val="TableContents"/>
              <w:bidi w:val="0"/>
              <w:spacing w:before="0" w:after="283"/>
              <w:jc w:val="left"/>
              <w:rPr/>
            </w:pPr>
            <w:r>
              <w:rPr/>
              <w:t> </w:t>
            </w:r>
          </w:p>
        </w:tc>
        <w:tc>
          <w:tcPr>
            <w:tcW w:w="149" w:type="dxa"/>
            <w:tcBorders>
              <w:bottom w:val="single" w:sz="6" w:space="0" w:color="FBDDE3"/>
            </w:tcBorders>
            <w:tcMar>
              <w:bottom w:w="28" w:type="dxa"/>
            </w:tcMar>
            <w:vAlign w:val="center"/>
          </w:tcPr>
          <w:p>
            <w:pPr>
              <w:pStyle w:val="TableContents"/>
              <w:bidi w:val="0"/>
              <w:spacing w:before="0" w:after="283"/>
              <w:jc w:val="left"/>
              <w:rPr/>
            </w:pPr>
            <w:r>
              <w:rPr/>
              <w:t> </w:t>
            </w:r>
          </w:p>
        </w:tc>
        <w:tc>
          <w:tcPr>
            <w:tcW w:w="149" w:type="dxa"/>
            <w:tcBorders>
              <w:bottom w:val="single" w:sz="6" w:space="0" w:color="FBDDE3"/>
            </w:tcBorders>
            <w:tcMar>
              <w:bottom w:w="60" w:type="dxa"/>
            </w:tcMar>
            <w:vAlign w:val="center"/>
          </w:tcPr>
          <w:p>
            <w:pPr>
              <w:pStyle w:val="TableContents"/>
              <w:bidi w:val="0"/>
              <w:spacing w:before="0" w:after="283"/>
              <w:jc w:val="left"/>
              <w:rPr/>
            </w:pPr>
            <w:r>
              <w:rPr/>
              <w:t> </w:t>
            </w:r>
          </w:p>
        </w:tc>
        <w:tc>
          <w:tcPr>
            <w:tcW w:w="2455" w:type="dxa"/>
            <w:tcBorders>
              <w:bottom w:val="single" w:sz="6" w:space="0" w:color="FBDDE3"/>
            </w:tcBorders>
            <w:tcMar>
              <w:bottom w:w="60" w:type="dxa"/>
            </w:tcMar>
            <w:vAlign w:val="center"/>
          </w:tcPr>
          <w:p>
            <w:pPr>
              <w:pStyle w:val="TableContents"/>
              <w:bidi w:val="0"/>
              <w:spacing w:before="0" w:after="283"/>
              <w:jc w:val="right"/>
              <w:rPr/>
            </w:pPr>
            <w:r>
              <w:rPr/>
              <w:t>11,312</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1,970,000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4" w:type="dxa"/>
            <w:tcBorders>
              <w:bottom w:val="single" w:sz="6" w:space="0" w:color="FBDDE3"/>
            </w:tcBorders>
            <w:tcMar>
              <w:bottom w:w="60" w:type="dxa"/>
            </w:tcMar>
            <w:vAlign w:val="center"/>
          </w:tcPr>
          <w:p>
            <w:pPr>
              <w:pStyle w:val="TableContents"/>
              <w:bidi w:val="0"/>
              <w:spacing w:before="0" w:after="283"/>
              <w:jc w:val="left"/>
              <w:rPr/>
            </w:pPr>
            <w:r>
              <w:rPr/>
              <w:t> </w:t>
            </w:r>
          </w:p>
        </w:tc>
        <w:tc>
          <w:tcPr>
            <w:tcW w:w="1221" w:type="dxa"/>
            <w:tcBorders>
              <w:bottom w:val="single" w:sz="6" w:space="0" w:color="FBDDE3"/>
            </w:tcBorders>
            <w:tcMar>
              <w:bottom w:w="60" w:type="dxa"/>
            </w:tcMar>
            <w:vAlign w:val="center"/>
          </w:tcPr>
          <w:p>
            <w:pPr>
              <w:pStyle w:val="TableContents"/>
              <w:bidi w:val="0"/>
              <w:spacing w:before="0" w:after="283"/>
              <w:jc w:val="right"/>
              <w:rPr/>
            </w:pPr>
            <w:r>
              <w:rPr/>
              <w:t>11,312</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348" w:type="dxa"/>
            <w:tcBorders>
              <w:bottom w:val="single" w:sz="6" w:space="0" w:color="FBDDE3"/>
            </w:tcBorders>
            <w:tcMar>
              <w:bottom w:w="60" w:type="dxa"/>
            </w:tcMar>
            <w:vAlign w:val="center"/>
          </w:tcPr>
          <w:p>
            <w:pPr>
              <w:pStyle w:val="TableContents"/>
              <w:bidi w:val="0"/>
              <w:spacing w:before="0" w:after="283"/>
              <w:jc w:val="left"/>
              <w:rPr/>
            </w:pPr>
            <w:r>
              <w:rPr/>
              <w:t> </w:t>
            </w:r>
          </w:p>
        </w:tc>
        <w:tc>
          <w:tcPr>
            <w:tcW w:w="812" w:type="dxa"/>
            <w:tcBorders>
              <w:bottom w:val="single" w:sz="6" w:space="0" w:color="FBDDE3"/>
            </w:tcBorders>
            <w:tcMar>
              <w:bottom w:w="60" w:type="dxa"/>
            </w:tcMar>
            <w:vAlign w:val="center"/>
          </w:tcPr>
          <w:p>
            <w:pPr>
              <w:pStyle w:val="TableContents"/>
              <w:bidi w:val="0"/>
              <w:spacing w:before="0" w:after="283"/>
              <w:jc w:val="right"/>
              <w:rPr/>
            </w:pPr>
            <w:r>
              <w:rPr/>
              <w:t>–</w:t>
            </w:r>
          </w:p>
        </w:tc>
        <w:tc>
          <w:tcPr>
            <w:tcW w:w="76"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292" w:type="dxa"/>
            <w:tcBorders/>
            <w:vAlign w:val="center"/>
          </w:tcPr>
          <w:p>
            <w:pPr>
              <w:pStyle w:val="TableContents"/>
              <w:bidi w:val="0"/>
              <w:spacing w:before="0" w:after="283"/>
              <w:jc w:val="left"/>
              <w:rPr>
                <w:sz w:val="4"/>
                <w:szCs w:val="4"/>
              </w:rPr>
            </w:pPr>
            <w:r>
              <w:rPr>
                <w:sz w:val="4"/>
                <w:szCs w:val="4"/>
              </w:rPr>
            </w:r>
          </w:p>
        </w:tc>
        <w:tc>
          <w:tcPr>
            <w:tcW w:w="1069" w:type="dxa"/>
            <w:gridSpan w:val="4"/>
            <w:tcBorders/>
            <w:vAlign w:val="center"/>
          </w:tcPr>
          <w:p>
            <w:pPr>
              <w:pStyle w:val="TableContents"/>
              <w:bidi w:val="0"/>
              <w:spacing w:before="0" w:after="283"/>
              <w:jc w:val="left"/>
              <w:rPr>
                <w:sz w:val="4"/>
                <w:szCs w:val="4"/>
              </w:rPr>
            </w:pPr>
            <w:r>
              <w:rPr>
                <w:sz w:val="4"/>
                <w:szCs w:val="4"/>
              </w:rPr>
            </w:r>
          </w:p>
        </w:tc>
        <w:tc>
          <w:tcPr>
            <w:tcW w:w="2813"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296" w:type="dxa"/>
            <w:gridSpan w:val="4"/>
            <w:tcBorders/>
            <w:vAlign w:val="center"/>
          </w:tcPr>
          <w:p>
            <w:pPr>
              <w:pStyle w:val="TableContents"/>
              <w:bidi w:val="0"/>
              <w:spacing w:before="0" w:after="283"/>
              <w:jc w:val="left"/>
              <w:rPr>
                <w:sz w:val="4"/>
                <w:szCs w:val="4"/>
              </w:rPr>
            </w:pPr>
            <w:r>
              <w:rPr>
                <w:sz w:val="4"/>
                <w:szCs w:val="4"/>
              </w:rPr>
            </w:r>
          </w:p>
        </w:tc>
      </w:tr>
      <w:tr>
        <w:trPr/>
        <w:tc>
          <w:tcPr>
            <w:tcW w:w="1292" w:type="dxa"/>
            <w:tcBorders>
              <w:bottom w:val="single" w:sz="8" w:space="0" w:color="F7ACBA"/>
            </w:tcBorders>
            <w:tcMar>
              <w:bottom w:w="80" w:type="dxa"/>
            </w:tcMar>
            <w:vAlign w:val="center"/>
          </w:tcPr>
          <w:p>
            <w:pPr>
              <w:pStyle w:val="TableContents"/>
              <w:bidi w:val="0"/>
              <w:spacing w:before="0" w:after="0"/>
              <w:jc w:val="left"/>
              <w:rPr>
                <w:rFonts w:ascii="arial" w:hAnsi="arial"/>
                <w:b/>
                <w:sz w:val="18"/>
              </w:rPr>
            </w:pPr>
            <w:r>
              <w:rPr>
                <w:rFonts w:ascii="arial" w:hAnsi="arial"/>
                <w:b/>
                <w:sz w:val="18"/>
              </w:rPr>
              <w:t>Total</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257" w:type="dxa"/>
            <w:tcBorders>
              <w:bottom w:val="single" w:sz="8" w:space="0" w:color="F7ACBA"/>
            </w:tcBorders>
            <w:tcMar>
              <w:bottom w:w="80" w:type="dxa"/>
            </w:tcMar>
            <w:vAlign w:val="center"/>
          </w:tcPr>
          <w:p>
            <w:pPr>
              <w:pStyle w:val="TableContents"/>
              <w:bidi w:val="0"/>
              <w:spacing w:before="0" w:after="283"/>
              <w:jc w:val="left"/>
              <w:rPr/>
            </w:pPr>
            <w:r>
              <w:rPr/>
              <w:t> </w:t>
            </w:r>
          </w:p>
        </w:tc>
        <w:tc>
          <w:tcPr>
            <w:tcW w:w="603" w:type="dxa"/>
            <w:tcBorders>
              <w:bottom w:val="single" w:sz="8" w:space="0" w:color="F7ACBA"/>
            </w:tcBorders>
            <w:tcMar>
              <w:bottom w:w="80" w:type="dxa"/>
            </w:tcMar>
            <w:vAlign w:val="center"/>
          </w:tcPr>
          <w:p>
            <w:pPr>
              <w:pStyle w:val="TableContents"/>
              <w:bidi w:val="0"/>
              <w:spacing w:before="0" w:after="283"/>
              <w:jc w:val="right"/>
              <w:rPr/>
            </w:pPr>
            <w:r>
              <w:rPr/>
              <w:t>–</w:t>
            </w:r>
          </w:p>
        </w:tc>
        <w:tc>
          <w:tcPr>
            <w:tcW w:w="149" w:type="dxa"/>
            <w:tcBorders>
              <w:bottom w:val="single" w:sz="8" w:space="0" w:color="F7ACBA"/>
            </w:tcBorders>
            <w:tcMar>
              <w:bottom w:w="80" w:type="dxa"/>
            </w:tcMar>
            <w:vAlign w:val="center"/>
          </w:tcPr>
          <w:p>
            <w:pPr>
              <w:pStyle w:val="TableContents"/>
              <w:bidi w:val="0"/>
              <w:spacing w:before="0" w:after="283"/>
              <w:jc w:val="left"/>
              <w:rPr/>
            </w:pPr>
            <w:r>
              <w:rPr/>
              <w:t> </w:t>
            </w:r>
          </w:p>
        </w:tc>
        <w:tc>
          <w:tcPr>
            <w:tcW w:w="149" w:type="dxa"/>
            <w:tcBorders>
              <w:bottom w:val="single" w:sz="8" w:space="0" w:color="F7ACBA"/>
            </w:tcBorders>
            <w:tcMar>
              <w:bottom w:w="28" w:type="dxa"/>
            </w:tcMar>
            <w:vAlign w:val="center"/>
          </w:tcPr>
          <w:p>
            <w:pPr>
              <w:pStyle w:val="TableContents"/>
              <w:bidi w:val="0"/>
              <w:spacing w:before="0" w:after="283"/>
              <w:jc w:val="left"/>
              <w:rPr/>
            </w:pPr>
            <w:r>
              <w:rPr/>
              <w:t> </w:t>
            </w:r>
          </w:p>
        </w:tc>
        <w:tc>
          <w:tcPr>
            <w:tcW w:w="149" w:type="dxa"/>
            <w:tcBorders>
              <w:bottom w:val="single" w:sz="8" w:space="0" w:color="F7ACBA"/>
            </w:tcBorders>
            <w:tcMar>
              <w:bottom w:w="80" w:type="dxa"/>
            </w:tcMar>
            <w:vAlign w:val="center"/>
          </w:tcPr>
          <w:p>
            <w:pPr>
              <w:pStyle w:val="TableContents"/>
              <w:bidi w:val="0"/>
              <w:spacing w:before="0" w:after="283"/>
              <w:jc w:val="left"/>
              <w:rPr/>
            </w:pPr>
            <w:r>
              <w:rPr/>
              <w:t> </w:t>
            </w:r>
          </w:p>
        </w:tc>
        <w:tc>
          <w:tcPr>
            <w:tcW w:w="2455" w:type="dxa"/>
            <w:tcBorders>
              <w:bottom w:val="single" w:sz="8" w:space="0" w:color="F7ACBA"/>
            </w:tcBorders>
            <w:tcMar>
              <w:bottom w:w="80" w:type="dxa"/>
            </w:tcMar>
            <w:vAlign w:val="center"/>
          </w:tcPr>
          <w:p>
            <w:pPr>
              <w:pStyle w:val="TableContents"/>
              <w:bidi w:val="0"/>
              <w:spacing w:before="0" w:after="283"/>
              <w:jc w:val="right"/>
              <w:rPr>
                <w:b/>
              </w:rPr>
            </w:pPr>
            <w:r>
              <w:rPr>
                <w:b/>
              </w:rPr>
              <w:t>3,891,913</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980" w:type="dxa"/>
            <w:tcBorders>
              <w:bottom w:val="single" w:sz="8" w:space="0" w:color="F7ACBA"/>
            </w:tcBorders>
            <w:tcMar>
              <w:bottom w:w="80" w:type="dxa"/>
            </w:tcMar>
            <w:vAlign w:val="center"/>
          </w:tcPr>
          <w:p>
            <w:pPr>
              <w:pStyle w:val="TableContents"/>
              <w:bidi w:val="0"/>
              <w:spacing w:before="0" w:after="283"/>
              <w:jc w:val="right"/>
              <w:rPr>
                <w:b/>
              </w:rPr>
            </w:pPr>
            <w:r>
              <w:rPr>
                <w:b/>
              </w:rPr>
              <w:t>3,570,066</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980" w:type="dxa"/>
            <w:tcBorders>
              <w:bottom w:val="single" w:sz="8" w:space="0" w:color="F7ACBA"/>
            </w:tcBorders>
            <w:tcMar>
              <w:bottom w:w="80" w:type="dxa"/>
            </w:tcMar>
            <w:vAlign w:val="center"/>
          </w:tcPr>
          <w:p>
            <w:pPr>
              <w:pStyle w:val="TableContents"/>
              <w:bidi w:val="0"/>
              <w:spacing w:before="0" w:after="283"/>
              <w:jc w:val="right"/>
              <w:rPr>
                <w:b/>
              </w:rPr>
            </w:pPr>
            <w:r>
              <w:rPr>
                <w:b/>
              </w:rPr>
              <w:t>2,146,316</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74" w:type="dxa"/>
            <w:tcBorders>
              <w:bottom w:val="single" w:sz="8" w:space="0" w:color="F7ACBA"/>
            </w:tcBorders>
            <w:tcMar>
              <w:bottom w:w="80" w:type="dxa"/>
            </w:tcMar>
            <w:vAlign w:val="center"/>
          </w:tcPr>
          <w:p>
            <w:pPr>
              <w:pStyle w:val="TableContents"/>
              <w:bidi w:val="0"/>
              <w:spacing w:before="0" w:after="283"/>
              <w:jc w:val="left"/>
              <w:rPr/>
            </w:pPr>
            <w:r>
              <w:rPr/>
              <w:t> </w:t>
            </w:r>
          </w:p>
        </w:tc>
        <w:tc>
          <w:tcPr>
            <w:tcW w:w="1221" w:type="dxa"/>
            <w:tcBorders>
              <w:bottom w:val="single" w:sz="8" w:space="0" w:color="F7ACBA"/>
            </w:tcBorders>
            <w:tcMar>
              <w:bottom w:w="80" w:type="dxa"/>
            </w:tcMar>
            <w:vAlign w:val="center"/>
          </w:tcPr>
          <w:p>
            <w:pPr>
              <w:pStyle w:val="TableContents"/>
              <w:bidi w:val="0"/>
              <w:spacing w:before="0" w:after="283"/>
              <w:jc w:val="right"/>
              <w:rPr>
                <w:b/>
              </w:rPr>
            </w:pPr>
            <w:r>
              <w:rPr>
                <w:b/>
              </w:rPr>
              <w:t>5,320,668</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348" w:type="dxa"/>
            <w:tcBorders>
              <w:bottom w:val="single" w:sz="8" w:space="0" w:color="F7ACBA"/>
            </w:tcBorders>
            <w:tcMar>
              <w:bottom w:w="80" w:type="dxa"/>
            </w:tcMar>
            <w:vAlign w:val="center"/>
          </w:tcPr>
          <w:p>
            <w:pPr>
              <w:pStyle w:val="TableContents"/>
              <w:bidi w:val="0"/>
              <w:spacing w:before="0" w:after="283"/>
              <w:jc w:val="left"/>
              <w:rPr/>
            </w:pPr>
            <w:r>
              <w:rPr/>
              <w:t> </w:t>
            </w:r>
          </w:p>
        </w:tc>
        <w:tc>
          <w:tcPr>
            <w:tcW w:w="812" w:type="dxa"/>
            <w:tcBorders>
              <w:bottom w:val="single" w:sz="8" w:space="0" w:color="F7ACBA"/>
            </w:tcBorders>
            <w:tcMar>
              <w:bottom w:w="80" w:type="dxa"/>
            </w:tcMar>
            <w:vAlign w:val="center"/>
          </w:tcPr>
          <w:p>
            <w:pPr>
              <w:pStyle w:val="TableContents"/>
              <w:bidi w:val="0"/>
              <w:spacing w:before="0" w:after="283"/>
              <w:jc w:val="right"/>
              <w:rPr/>
            </w:pPr>
            <w:r>
              <w:rPr/>
              <w:t>–</w:t>
            </w:r>
          </w:p>
        </w:tc>
        <w:tc>
          <w:tcPr>
            <w:tcW w:w="76" w:type="dxa"/>
            <w:tcBorders>
              <w:bottom w:val="single" w:sz="8" w:space="0" w:color="F7ACBA"/>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21"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0" descr=""/>
                          <pic:cNvPicPr>
                            <a:picLocks noChangeAspect="1" noChangeArrowheads="1"/>
                          </pic:cNvPicPr>
                        </pic:nvPicPr>
                        <pic:blipFill>
                          <a:blip r:embed="rId111"/>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66 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COMPENSATION DISCUSSION AND ANALYSIS </w:t>
      </w:r>
    </w:p>
    <w:p>
      <w:pPr>
        <w:pStyle w:val="TextBody"/>
        <w:bidi w:val="0"/>
        <w:spacing w:before="0" w:after="0"/>
        <w:jc w:val="left"/>
        <w:rPr/>
      </w:pPr>
      <w:r>
        <w:rPr/>
        <w:t> </w:t>
      </w:r>
    </w:p>
    <w:p>
      <w:pPr>
        <w:pStyle w:val="TextBody"/>
        <w:bidi w:val="0"/>
        <w:spacing w:before="0" w:after="0"/>
        <w:jc w:val="left"/>
        <w:rPr>
          <w:rFonts w:ascii="arial" w:hAnsi="arial"/>
          <w:b/>
          <w:color w:val="F7ACBA"/>
          <w:sz w:val="24"/>
        </w:rPr>
      </w:pPr>
      <w:r>
        <w:rPr>
          <w:rFonts w:ascii="arial" w:hAnsi="arial"/>
          <w:b/>
          <w:color w:val="F7ACBA"/>
          <w:sz w:val="24"/>
        </w:rPr>
        <w:t xml:space="preserve">Gregory Unis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92"/>
        <w:gridCol w:w="60"/>
        <w:gridCol w:w="257"/>
        <w:gridCol w:w="603"/>
        <w:gridCol w:w="149"/>
        <w:gridCol w:w="149"/>
        <w:gridCol w:w="149"/>
        <w:gridCol w:w="2455"/>
        <w:gridCol w:w="60"/>
        <w:gridCol w:w="60"/>
        <w:gridCol w:w="60"/>
        <w:gridCol w:w="980"/>
        <w:gridCol w:w="60"/>
        <w:gridCol w:w="60"/>
        <w:gridCol w:w="60"/>
        <w:gridCol w:w="980"/>
        <w:gridCol w:w="60"/>
        <w:gridCol w:w="60"/>
        <w:gridCol w:w="66"/>
        <w:gridCol w:w="1229"/>
        <w:gridCol w:w="60"/>
        <w:gridCol w:w="60"/>
        <w:gridCol w:w="348"/>
        <w:gridCol w:w="812"/>
        <w:gridCol w:w="76"/>
      </w:tblGrid>
      <w:tr>
        <w:trPr/>
        <w:tc>
          <w:tcPr>
            <w:tcW w:w="1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1292"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3762" w:type="dxa"/>
            <w:gridSpan w:val="6"/>
            <w:tcBorders>
              <w:bottom w:val="single" w:sz="8" w:space="0" w:color="000000"/>
            </w:tcBorders>
            <w:shd w:fill="FDEEF1" w:val="clear"/>
            <w:tcMar>
              <w:bottom w:w="28" w:type="dxa"/>
            </w:tcMar>
            <w:vAlign w:val="center"/>
          </w:tcPr>
          <w:p>
            <w:pPr>
              <w:pStyle w:val="TableContents"/>
              <w:bidi w:val="0"/>
              <w:spacing w:before="0" w:after="283"/>
              <w:jc w:val="center"/>
              <w:rPr/>
            </w:pPr>
            <w:r>
              <w:rPr/>
              <w:t> </w:t>
            </w:r>
            <w:r>
              <w:rPr>
                <w:b/>
              </w:rPr>
              <w:t>Involuntary Without Cause or </w:t>
              <w:br/>
              <w:t>Voluntary With Good Reason</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040" w:type="dxa"/>
            <w:gridSpan w:val="2"/>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040" w:type="dxa"/>
            <w:gridSpan w:val="2"/>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295" w:type="dxa"/>
            <w:gridSpan w:val="2"/>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160" w:type="dxa"/>
            <w:gridSpan w:val="2"/>
            <w:tcBorders/>
            <w:shd w:fill="FDEEF1" w:val="clear"/>
            <w:vAlign w:val="center"/>
          </w:tcPr>
          <w:p>
            <w:pPr>
              <w:pStyle w:val="TableContents"/>
              <w:bidi w:val="0"/>
              <w:spacing w:before="0" w:after="283"/>
              <w:jc w:val="left"/>
              <w:rPr/>
            </w:pPr>
            <w:r>
              <w:rPr/>
              <w:t> </w:t>
            </w:r>
          </w:p>
        </w:tc>
        <w:tc>
          <w:tcPr>
            <w:tcW w:w="76" w:type="dxa"/>
            <w:tcBorders/>
            <w:shd w:fill="FDEEF1" w:val="clear"/>
            <w:vAlign w:val="center"/>
          </w:tcPr>
          <w:p>
            <w:pPr>
              <w:pStyle w:val="TableContents"/>
              <w:bidi w:val="0"/>
              <w:spacing w:before="0" w:after="283"/>
              <w:jc w:val="left"/>
              <w:rPr/>
            </w:pPr>
            <w:r>
              <w:rPr/>
              <w:t> </w:t>
            </w:r>
          </w:p>
        </w:tc>
      </w:tr>
      <w:tr>
        <w:trPr/>
        <w:tc>
          <w:tcPr>
            <w:tcW w:w="1292" w:type="dxa"/>
            <w:tcBorders/>
            <w:shd w:fill="FDEEF1" w:val="clear"/>
            <w:vAlign w:val="center"/>
          </w:tcPr>
          <w:p>
            <w:pPr>
              <w:pStyle w:val="TableContents"/>
              <w:bidi w:val="0"/>
              <w:spacing w:before="0" w:after="283"/>
              <w:jc w:val="left"/>
              <w:rPr>
                <w:sz w:val="4"/>
                <w:szCs w:val="4"/>
              </w:rPr>
            </w:pPr>
            <w:r>
              <w:rPr>
                <w:sz w:val="4"/>
                <w:szCs w:val="4"/>
              </w:rPr>
            </w:r>
          </w:p>
        </w:tc>
        <w:tc>
          <w:tcPr>
            <w:tcW w:w="1069" w:type="dxa"/>
            <w:gridSpan w:val="4"/>
            <w:tcBorders/>
            <w:shd w:fill="FDEEF1" w:val="clear"/>
            <w:vAlign w:val="center"/>
          </w:tcPr>
          <w:p>
            <w:pPr>
              <w:pStyle w:val="TableContents"/>
              <w:bidi w:val="0"/>
              <w:spacing w:before="0" w:after="283"/>
              <w:jc w:val="left"/>
              <w:rPr>
                <w:sz w:val="4"/>
                <w:szCs w:val="4"/>
              </w:rPr>
            </w:pPr>
            <w:r>
              <w:rPr>
                <w:sz w:val="4"/>
                <w:szCs w:val="4"/>
              </w:rPr>
            </w:r>
          </w:p>
        </w:tc>
        <w:tc>
          <w:tcPr>
            <w:tcW w:w="2813" w:type="dxa"/>
            <w:gridSpan w:val="4"/>
            <w:tcBorders/>
            <w:shd w:fill="FDEEF1" w:val="clear"/>
            <w:vAlign w:val="center"/>
          </w:tcPr>
          <w:p>
            <w:pPr>
              <w:pStyle w:val="TableContents"/>
              <w:bidi w:val="0"/>
              <w:spacing w:before="0" w:after="283"/>
              <w:jc w:val="left"/>
              <w:rPr>
                <w:sz w:val="4"/>
                <w:szCs w:val="4"/>
              </w:rPr>
            </w:pPr>
            <w:r>
              <w:rPr>
                <w:sz w:val="4"/>
                <w:szCs w:val="4"/>
              </w:rPr>
            </w:r>
          </w:p>
        </w:tc>
        <w:tc>
          <w:tcPr>
            <w:tcW w:w="1160" w:type="dxa"/>
            <w:gridSpan w:val="4"/>
            <w:tcBorders/>
            <w:shd w:fill="FDEEF1" w:val="clear"/>
            <w:vAlign w:val="center"/>
          </w:tcPr>
          <w:p>
            <w:pPr>
              <w:pStyle w:val="TableContents"/>
              <w:bidi w:val="0"/>
              <w:spacing w:before="0" w:after="283"/>
              <w:jc w:val="left"/>
              <w:rPr>
                <w:sz w:val="4"/>
                <w:szCs w:val="4"/>
              </w:rPr>
            </w:pPr>
            <w:r>
              <w:rPr>
                <w:sz w:val="4"/>
                <w:szCs w:val="4"/>
              </w:rPr>
            </w:r>
          </w:p>
        </w:tc>
        <w:tc>
          <w:tcPr>
            <w:tcW w:w="1160" w:type="dxa"/>
            <w:gridSpan w:val="4"/>
            <w:tcBorders/>
            <w:shd w:fill="FDEEF1" w:val="clear"/>
            <w:vAlign w:val="center"/>
          </w:tcPr>
          <w:p>
            <w:pPr>
              <w:pStyle w:val="TableContents"/>
              <w:bidi w:val="0"/>
              <w:spacing w:before="0" w:after="283"/>
              <w:jc w:val="left"/>
              <w:rPr>
                <w:sz w:val="4"/>
                <w:szCs w:val="4"/>
              </w:rPr>
            </w:pPr>
            <w:r>
              <w:rPr>
                <w:sz w:val="4"/>
                <w:szCs w:val="4"/>
              </w:rPr>
            </w:r>
          </w:p>
        </w:tc>
        <w:tc>
          <w:tcPr>
            <w:tcW w:w="1415" w:type="dxa"/>
            <w:gridSpan w:val="4"/>
            <w:tcBorders/>
            <w:shd w:fill="FDEEF1" w:val="clear"/>
            <w:vAlign w:val="center"/>
          </w:tcPr>
          <w:p>
            <w:pPr>
              <w:pStyle w:val="TableContents"/>
              <w:bidi w:val="0"/>
              <w:spacing w:before="0" w:after="283"/>
              <w:jc w:val="left"/>
              <w:rPr>
                <w:sz w:val="4"/>
                <w:szCs w:val="4"/>
              </w:rPr>
            </w:pPr>
            <w:r>
              <w:rPr>
                <w:sz w:val="4"/>
                <w:szCs w:val="4"/>
              </w:rPr>
            </w:r>
          </w:p>
        </w:tc>
        <w:tc>
          <w:tcPr>
            <w:tcW w:w="1296" w:type="dxa"/>
            <w:gridSpan w:val="4"/>
            <w:tcBorders/>
            <w:shd w:fill="FDEEF1" w:val="clear"/>
            <w:vAlign w:val="center"/>
          </w:tcPr>
          <w:p>
            <w:pPr>
              <w:pStyle w:val="TableContents"/>
              <w:bidi w:val="0"/>
              <w:spacing w:before="0" w:after="283"/>
              <w:jc w:val="left"/>
              <w:rPr>
                <w:sz w:val="4"/>
                <w:szCs w:val="4"/>
              </w:rPr>
            </w:pPr>
            <w:r>
              <w:rPr>
                <w:sz w:val="4"/>
                <w:szCs w:val="4"/>
              </w:rPr>
            </w:r>
          </w:p>
        </w:tc>
      </w:tr>
      <w:tr>
        <w:trPr/>
        <w:tc>
          <w:tcPr>
            <w:tcW w:w="1292" w:type="dxa"/>
            <w:tcBorders/>
            <w:shd w:fill="FDEEF1" w:val="clear"/>
            <w:vAlign w:val="center"/>
          </w:tcPr>
          <w:p>
            <w:pPr>
              <w:pStyle w:val="TableContents"/>
              <w:bidi w:val="0"/>
              <w:jc w:val="left"/>
              <w:rPr/>
            </w:pPr>
            <w:r>
              <w:rPr/>
              <w:t> </w:t>
            </w:r>
          </w:p>
          <w:p>
            <w:pPr>
              <w:pStyle w:val="TableContents"/>
              <w:bidi w:val="0"/>
              <w:spacing w:before="0" w:after="0"/>
              <w:jc w:val="left"/>
              <w:rPr/>
            </w:pPr>
            <w:r>
              <w:rPr/>
              <w:t> </w:t>
            </w:r>
          </w:p>
        </w:tc>
        <w:tc>
          <w:tcPr>
            <w:tcW w:w="60" w:type="dxa"/>
            <w:tcBorders/>
            <w:shd w:fill="FDEEF1" w:val="clear"/>
            <w:vAlign w:val="center"/>
          </w:tcPr>
          <w:p>
            <w:pPr>
              <w:pStyle w:val="TableContents"/>
              <w:bidi w:val="0"/>
              <w:spacing w:before="0" w:after="283"/>
              <w:jc w:val="left"/>
              <w:rPr/>
            </w:pPr>
            <w:r>
              <w:rPr/>
              <w:t> </w:t>
            </w:r>
          </w:p>
        </w:tc>
        <w:tc>
          <w:tcPr>
            <w:tcW w:w="860" w:type="dxa"/>
            <w:gridSpan w:val="2"/>
            <w:tcBorders/>
            <w:shd w:fill="FDEEF1" w:val="clear"/>
            <w:vAlign w:val="center"/>
          </w:tcPr>
          <w:p>
            <w:pPr>
              <w:pStyle w:val="TableContents"/>
              <w:bidi w:val="0"/>
              <w:spacing w:before="0" w:after="283"/>
              <w:jc w:val="center"/>
              <w:rPr>
                <w:b/>
              </w:rPr>
            </w:pPr>
            <w:r>
              <w:rPr>
                <w:b/>
              </w:rPr>
              <w:t>Without</w:t>
              <w:br/>
              <w:t>Release</w:t>
              <w:br/>
              <w:t>($)</w:t>
            </w:r>
          </w:p>
        </w:tc>
        <w:tc>
          <w:tcPr>
            <w:tcW w:w="149" w:type="dxa"/>
            <w:tcBorders/>
            <w:shd w:fill="FDEEF1" w:val="clear"/>
            <w:vAlign w:val="center"/>
          </w:tcPr>
          <w:p>
            <w:pPr>
              <w:pStyle w:val="TableContents"/>
              <w:bidi w:val="0"/>
              <w:spacing w:before="0" w:after="283"/>
              <w:jc w:val="left"/>
              <w:rPr/>
            </w:pPr>
            <w:r>
              <w:rPr/>
              <w:t> </w:t>
            </w:r>
          </w:p>
        </w:tc>
        <w:tc>
          <w:tcPr>
            <w:tcW w:w="149" w:type="dxa"/>
            <w:tcBorders/>
            <w:shd w:fill="FDEEF1" w:val="clear"/>
            <w:vAlign w:val="center"/>
          </w:tcPr>
          <w:p>
            <w:pPr>
              <w:pStyle w:val="TableContents"/>
              <w:bidi w:val="0"/>
              <w:spacing w:before="0" w:after="283"/>
              <w:jc w:val="left"/>
              <w:rPr/>
            </w:pPr>
            <w:r>
              <w:rPr/>
              <w:t> </w:t>
            </w:r>
          </w:p>
        </w:tc>
        <w:tc>
          <w:tcPr>
            <w:tcW w:w="2604" w:type="dxa"/>
            <w:gridSpan w:val="2"/>
            <w:tcBorders/>
            <w:shd w:fill="FDEEF1" w:val="clear"/>
            <w:vAlign w:val="center"/>
          </w:tcPr>
          <w:p>
            <w:pPr>
              <w:pStyle w:val="TableContents"/>
              <w:bidi w:val="0"/>
              <w:spacing w:before="0" w:after="283"/>
              <w:jc w:val="center"/>
              <w:rPr>
                <w:b/>
              </w:rPr>
            </w:pPr>
            <w:r>
              <w:rPr>
                <w:b/>
              </w:rPr>
              <w:t>With Release</w:t>
              <w:br/>
              <w:t>($)</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040" w:type="dxa"/>
            <w:gridSpan w:val="2"/>
            <w:tcBorders/>
            <w:shd w:fill="FDEEF1" w:val="clear"/>
            <w:vAlign w:val="center"/>
          </w:tcPr>
          <w:p>
            <w:pPr>
              <w:pStyle w:val="TableContents"/>
              <w:bidi w:val="0"/>
              <w:spacing w:before="0" w:after="283"/>
              <w:jc w:val="center"/>
              <w:rPr>
                <w:b/>
              </w:rPr>
            </w:pPr>
            <w:r>
              <w:rPr>
                <w:b/>
              </w:rPr>
              <w:t>Death</w:t>
              <w:br/>
              <w:t>($)(1)</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040" w:type="dxa"/>
            <w:gridSpan w:val="2"/>
            <w:tcBorders/>
            <w:shd w:fill="FDEEF1" w:val="clear"/>
            <w:vAlign w:val="center"/>
          </w:tcPr>
          <w:p>
            <w:pPr>
              <w:pStyle w:val="TableContents"/>
              <w:bidi w:val="0"/>
              <w:spacing w:before="0" w:after="283"/>
              <w:jc w:val="center"/>
              <w:rPr>
                <w:b/>
              </w:rPr>
            </w:pPr>
            <w:r>
              <w:rPr>
                <w:b/>
              </w:rPr>
              <w:t>Disability</w:t>
              <w:br/>
              <w:t>($)</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295" w:type="dxa"/>
            <w:gridSpan w:val="2"/>
            <w:tcBorders/>
            <w:shd w:fill="FDEEF1" w:val="clear"/>
            <w:vAlign w:val="center"/>
          </w:tcPr>
          <w:p>
            <w:pPr>
              <w:pStyle w:val="TableContents"/>
              <w:bidi w:val="0"/>
              <w:spacing w:before="0" w:after="283"/>
              <w:jc w:val="center"/>
              <w:rPr>
                <w:b/>
              </w:rPr>
            </w:pPr>
            <w:r>
              <w:rPr>
                <w:b/>
              </w:rPr>
              <w:t>Termination</w:t>
              <w:br/>
              <w:t>Following</w:t>
              <w:br/>
              <w:t>Change of</w:t>
              <w:br/>
              <w:t>Control</w:t>
              <w:br/>
              <w:t>($)</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160" w:type="dxa"/>
            <w:gridSpan w:val="2"/>
            <w:tcBorders/>
            <w:shd w:fill="FDEEF1" w:val="clear"/>
            <w:vAlign w:val="center"/>
          </w:tcPr>
          <w:p>
            <w:pPr>
              <w:pStyle w:val="TableContents"/>
              <w:bidi w:val="0"/>
              <w:spacing w:before="0" w:after="283"/>
              <w:jc w:val="center"/>
              <w:rPr>
                <w:b/>
              </w:rPr>
            </w:pPr>
            <w:r>
              <w:rPr>
                <w:b/>
              </w:rPr>
              <w:t>Retirement</w:t>
              <w:br/>
              <w:t>($)(2)</w:t>
            </w:r>
          </w:p>
        </w:tc>
        <w:tc>
          <w:tcPr>
            <w:tcW w:w="76" w:type="dxa"/>
            <w:tcBorders/>
            <w:shd w:fill="FDEEF1" w:val="clear"/>
            <w:vAlign w:val="center"/>
          </w:tcPr>
          <w:p>
            <w:pPr>
              <w:pStyle w:val="TableContents"/>
              <w:bidi w:val="0"/>
              <w:spacing w:before="0" w:after="283"/>
              <w:jc w:val="left"/>
              <w:rPr/>
            </w:pPr>
            <w:r>
              <w:rPr/>
              <w:t> </w:t>
            </w:r>
          </w:p>
        </w:tc>
      </w:tr>
      <w:tr>
        <w:trPr/>
        <w:tc>
          <w:tcPr>
            <w:tcW w:w="1292" w:type="dxa"/>
            <w:tcBorders/>
            <w:vAlign w:val="center"/>
          </w:tcPr>
          <w:p>
            <w:pPr>
              <w:pStyle w:val="TableContents"/>
              <w:bidi w:val="0"/>
              <w:spacing w:before="0" w:after="283"/>
              <w:jc w:val="left"/>
              <w:rPr>
                <w:sz w:val="4"/>
                <w:szCs w:val="4"/>
              </w:rPr>
            </w:pPr>
            <w:r>
              <w:rPr>
                <w:sz w:val="4"/>
                <w:szCs w:val="4"/>
              </w:rPr>
            </w:r>
          </w:p>
        </w:tc>
        <w:tc>
          <w:tcPr>
            <w:tcW w:w="1069" w:type="dxa"/>
            <w:gridSpan w:val="4"/>
            <w:tcBorders/>
            <w:vAlign w:val="center"/>
          </w:tcPr>
          <w:p>
            <w:pPr>
              <w:pStyle w:val="TableContents"/>
              <w:bidi w:val="0"/>
              <w:spacing w:before="0" w:after="283"/>
              <w:jc w:val="left"/>
              <w:rPr>
                <w:sz w:val="4"/>
                <w:szCs w:val="4"/>
              </w:rPr>
            </w:pPr>
            <w:r>
              <w:rPr>
                <w:sz w:val="4"/>
                <w:szCs w:val="4"/>
              </w:rPr>
            </w:r>
          </w:p>
        </w:tc>
        <w:tc>
          <w:tcPr>
            <w:tcW w:w="2813"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296" w:type="dxa"/>
            <w:gridSpan w:val="4"/>
            <w:tcBorders/>
            <w:vAlign w:val="center"/>
          </w:tcPr>
          <w:p>
            <w:pPr>
              <w:pStyle w:val="TableContents"/>
              <w:bidi w:val="0"/>
              <w:spacing w:before="0" w:after="283"/>
              <w:jc w:val="left"/>
              <w:rPr>
                <w:sz w:val="4"/>
                <w:szCs w:val="4"/>
              </w:rPr>
            </w:pPr>
            <w:r>
              <w:rPr>
                <w:sz w:val="4"/>
                <w:szCs w:val="4"/>
              </w:rPr>
            </w:r>
          </w:p>
        </w:tc>
      </w:tr>
      <w:tr>
        <w:trPr/>
        <w:tc>
          <w:tcPr>
            <w:tcW w:w="1292"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Base Salary</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257" w:type="dxa"/>
            <w:tcBorders>
              <w:bottom w:val="single" w:sz="6" w:space="0" w:color="FBDDE3"/>
            </w:tcBorders>
            <w:tcMar>
              <w:bottom w:w="60" w:type="dxa"/>
            </w:tcMar>
            <w:vAlign w:val="center"/>
          </w:tcPr>
          <w:p>
            <w:pPr>
              <w:pStyle w:val="TableContents"/>
              <w:bidi w:val="0"/>
              <w:spacing w:before="0" w:after="283"/>
              <w:jc w:val="left"/>
              <w:rPr/>
            </w:pPr>
            <w:r>
              <w:rPr/>
              <w:t> </w:t>
            </w:r>
          </w:p>
        </w:tc>
        <w:tc>
          <w:tcPr>
            <w:tcW w:w="603" w:type="dxa"/>
            <w:tcBorders>
              <w:bottom w:val="single" w:sz="6" w:space="0" w:color="FBDDE3"/>
            </w:tcBorders>
            <w:tcMar>
              <w:bottom w:w="60" w:type="dxa"/>
            </w:tcMar>
            <w:vAlign w:val="center"/>
          </w:tcPr>
          <w:p>
            <w:pPr>
              <w:pStyle w:val="TableContents"/>
              <w:bidi w:val="0"/>
              <w:spacing w:before="0" w:after="283"/>
              <w:jc w:val="right"/>
              <w:rPr/>
            </w:pPr>
            <w:r>
              <w:rPr/>
              <w:t>–</w:t>
            </w:r>
          </w:p>
        </w:tc>
        <w:tc>
          <w:tcPr>
            <w:tcW w:w="149" w:type="dxa"/>
            <w:tcBorders>
              <w:bottom w:val="single" w:sz="6" w:space="0" w:color="FBDDE3"/>
            </w:tcBorders>
            <w:tcMar>
              <w:bottom w:w="60" w:type="dxa"/>
            </w:tcMar>
            <w:vAlign w:val="center"/>
          </w:tcPr>
          <w:p>
            <w:pPr>
              <w:pStyle w:val="TableContents"/>
              <w:bidi w:val="0"/>
              <w:spacing w:before="0" w:after="283"/>
              <w:jc w:val="left"/>
              <w:rPr/>
            </w:pPr>
            <w:r>
              <w:rPr/>
              <w:t> </w:t>
            </w:r>
          </w:p>
        </w:tc>
        <w:tc>
          <w:tcPr>
            <w:tcW w:w="149" w:type="dxa"/>
            <w:tcBorders>
              <w:bottom w:val="single" w:sz="6" w:space="0" w:color="FBDDE3"/>
            </w:tcBorders>
            <w:tcMar>
              <w:bottom w:w="28" w:type="dxa"/>
            </w:tcMar>
            <w:vAlign w:val="center"/>
          </w:tcPr>
          <w:p>
            <w:pPr>
              <w:pStyle w:val="TableContents"/>
              <w:bidi w:val="0"/>
              <w:spacing w:before="0" w:after="283"/>
              <w:jc w:val="left"/>
              <w:rPr/>
            </w:pPr>
            <w:r>
              <w:rPr/>
              <w:t> </w:t>
            </w:r>
          </w:p>
        </w:tc>
        <w:tc>
          <w:tcPr>
            <w:tcW w:w="149" w:type="dxa"/>
            <w:tcBorders>
              <w:bottom w:val="single" w:sz="6" w:space="0" w:color="FBDDE3"/>
            </w:tcBorders>
            <w:tcMar>
              <w:bottom w:w="60" w:type="dxa"/>
            </w:tcMar>
            <w:vAlign w:val="center"/>
          </w:tcPr>
          <w:p>
            <w:pPr>
              <w:pStyle w:val="TableContents"/>
              <w:bidi w:val="0"/>
              <w:spacing w:before="0" w:after="283"/>
              <w:jc w:val="left"/>
              <w:rPr/>
            </w:pPr>
            <w:r>
              <w:rPr/>
              <w:t> </w:t>
            </w:r>
          </w:p>
        </w:tc>
        <w:tc>
          <w:tcPr>
            <w:tcW w:w="2455" w:type="dxa"/>
            <w:tcBorders>
              <w:bottom w:val="single" w:sz="6" w:space="0" w:color="FBDDE3"/>
            </w:tcBorders>
            <w:tcMar>
              <w:bottom w:w="60" w:type="dxa"/>
            </w:tcMar>
            <w:vAlign w:val="center"/>
          </w:tcPr>
          <w:p>
            <w:pPr>
              <w:pStyle w:val="TableContents"/>
              <w:bidi w:val="0"/>
              <w:spacing w:before="0" w:after="283"/>
              <w:jc w:val="right"/>
              <w:rPr/>
            </w:pPr>
            <w:r>
              <w:rPr/>
              <w:t>1,810,000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526,250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6" w:type="dxa"/>
            <w:tcBorders>
              <w:bottom w:val="single" w:sz="6" w:space="0" w:color="FBDDE3"/>
            </w:tcBorders>
            <w:tcMar>
              <w:bottom w:w="60" w:type="dxa"/>
            </w:tcMar>
            <w:vAlign w:val="center"/>
          </w:tcPr>
          <w:p>
            <w:pPr>
              <w:pStyle w:val="TableContents"/>
              <w:bidi w:val="0"/>
              <w:spacing w:before="0" w:after="283"/>
              <w:jc w:val="left"/>
              <w:rPr/>
            </w:pPr>
            <w:r>
              <w:rPr/>
              <w:t> </w:t>
            </w:r>
          </w:p>
        </w:tc>
        <w:tc>
          <w:tcPr>
            <w:tcW w:w="1229" w:type="dxa"/>
            <w:tcBorders>
              <w:bottom w:val="single" w:sz="6" w:space="0" w:color="FBDDE3"/>
            </w:tcBorders>
            <w:tcMar>
              <w:bottom w:w="60" w:type="dxa"/>
            </w:tcMar>
            <w:vAlign w:val="center"/>
          </w:tcPr>
          <w:p>
            <w:pPr>
              <w:pStyle w:val="TableContents"/>
              <w:bidi w:val="0"/>
              <w:spacing w:before="0" w:after="283"/>
              <w:jc w:val="right"/>
              <w:rPr/>
            </w:pPr>
            <w:r>
              <w:rPr/>
              <w:t>1,810,000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348" w:type="dxa"/>
            <w:tcBorders>
              <w:bottom w:val="single" w:sz="6" w:space="0" w:color="FBDDE3"/>
            </w:tcBorders>
            <w:tcMar>
              <w:bottom w:w="60" w:type="dxa"/>
            </w:tcMar>
            <w:vAlign w:val="center"/>
          </w:tcPr>
          <w:p>
            <w:pPr>
              <w:pStyle w:val="TableContents"/>
              <w:bidi w:val="0"/>
              <w:spacing w:before="0" w:after="283"/>
              <w:jc w:val="left"/>
              <w:rPr/>
            </w:pPr>
            <w:r>
              <w:rPr/>
              <w:t> </w:t>
            </w:r>
          </w:p>
        </w:tc>
        <w:tc>
          <w:tcPr>
            <w:tcW w:w="812" w:type="dxa"/>
            <w:tcBorders>
              <w:bottom w:val="single" w:sz="6" w:space="0" w:color="FBDDE3"/>
            </w:tcBorders>
            <w:tcMar>
              <w:bottom w:w="60" w:type="dxa"/>
            </w:tcMar>
            <w:vAlign w:val="center"/>
          </w:tcPr>
          <w:p>
            <w:pPr>
              <w:pStyle w:val="TableContents"/>
              <w:bidi w:val="0"/>
              <w:spacing w:before="0" w:after="283"/>
              <w:jc w:val="right"/>
              <w:rPr/>
            </w:pPr>
            <w:r>
              <w:rPr/>
              <w:t>–</w:t>
            </w:r>
          </w:p>
        </w:tc>
        <w:tc>
          <w:tcPr>
            <w:tcW w:w="76"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292" w:type="dxa"/>
            <w:tcBorders/>
            <w:vAlign w:val="center"/>
          </w:tcPr>
          <w:p>
            <w:pPr>
              <w:pStyle w:val="TableContents"/>
              <w:bidi w:val="0"/>
              <w:spacing w:before="0" w:after="283"/>
              <w:jc w:val="left"/>
              <w:rPr>
                <w:sz w:val="4"/>
                <w:szCs w:val="4"/>
              </w:rPr>
            </w:pPr>
            <w:r>
              <w:rPr>
                <w:sz w:val="4"/>
                <w:szCs w:val="4"/>
              </w:rPr>
            </w:r>
          </w:p>
        </w:tc>
        <w:tc>
          <w:tcPr>
            <w:tcW w:w="1069" w:type="dxa"/>
            <w:gridSpan w:val="4"/>
            <w:tcBorders/>
            <w:vAlign w:val="center"/>
          </w:tcPr>
          <w:p>
            <w:pPr>
              <w:pStyle w:val="TableContents"/>
              <w:bidi w:val="0"/>
              <w:spacing w:before="0" w:after="283"/>
              <w:jc w:val="left"/>
              <w:rPr>
                <w:sz w:val="4"/>
                <w:szCs w:val="4"/>
              </w:rPr>
            </w:pPr>
            <w:r>
              <w:rPr>
                <w:sz w:val="4"/>
                <w:szCs w:val="4"/>
              </w:rPr>
            </w:r>
          </w:p>
        </w:tc>
        <w:tc>
          <w:tcPr>
            <w:tcW w:w="2813"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296" w:type="dxa"/>
            <w:gridSpan w:val="4"/>
            <w:tcBorders/>
            <w:vAlign w:val="center"/>
          </w:tcPr>
          <w:p>
            <w:pPr>
              <w:pStyle w:val="TableContents"/>
              <w:bidi w:val="0"/>
              <w:spacing w:before="0" w:after="283"/>
              <w:jc w:val="left"/>
              <w:rPr>
                <w:sz w:val="4"/>
                <w:szCs w:val="4"/>
              </w:rPr>
            </w:pPr>
            <w:r>
              <w:rPr>
                <w:sz w:val="4"/>
                <w:szCs w:val="4"/>
              </w:rPr>
            </w:r>
          </w:p>
        </w:tc>
      </w:tr>
      <w:tr>
        <w:trPr/>
        <w:tc>
          <w:tcPr>
            <w:tcW w:w="1292"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Bonus(3)</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257" w:type="dxa"/>
            <w:tcBorders>
              <w:bottom w:val="single" w:sz="6" w:space="0" w:color="FBDDE3"/>
            </w:tcBorders>
            <w:tcMar>
              <w:bottom w:w="60" w:type="dxa"/>
            </w:tcMar>
            <w:vAlign w:val="center"/>
          </w:tcPr>
          <w:p>
            <w:pPr>
              <w:pStyle w:val="TableContents"/>
              <w:bidi w:val="0"/>
              <w:spacing w:before="0" w:after="283"/>
              <w:jc w:val="left"/>
              <w:rPr/>
            </w:pPr>
            <w:r>
              <w:rPr/>
              <w:t> </w:t>
            </w:r>
          </w:p>
        </w:tc>
        <w:tc>
          <w:tcPr>
            <w:tcW w:w="603" w:type="dxa"/>
            <w:tcBorders>
              <w:bottom w:val="single" w:sz="6" w:space="0" w:color="FBDDE3"/>
            </w:tcBorders>
            <w:tcMar>
              <w:bottom w:w="60" w:type="dxa"/>
            </w:tcMar>
            <w:vAlign w:val="center"/>
          </w:tcPr>
          <w:p>
            <w:pPr>
              <w:pStyle w:val="TableContents"/>
              <w:bidi w:val="0"/>
              <w:spacing w:before="0" w:after="283"/>
              <w:jc w:val="right"/>
              <w:rPr/>
            </w:pPr>
            <w:r>
              <w:rPr/>
              <w:t>–</w:t>
            </w:r>
          </w:p>
        </w:tc>
        <w:tc>
          <w:tcPr>
            <w:tcW w:w="149" w:type="dxa"/>
            <w:tcBorders>
              <w:bottom w:val="single" w:sz="6" w:space="0" w:color="FBDDE3"/>
            </w:tcBorders>
            <w:tcMar>
              <w:bottom w:w="60" w:type="dxa"/>
            </w:tcMar>
            <w:vAlign w:val="center"/>
          </w:tcPr>
          <w:p>
            <w:pPr>
              <w:pStyle w:val="TableContents"/>
              <w:bidi w:val="0"/>
              <w:spacing w:before="0" w:after="283"/>
              <w:jc w:val="left"/>
              <w:rPr/>
            </w:pPr>
            <w:r>
              <w:rPr/>
              <w:t> </w:t>
            </w:r>
          </w:p>
        </w:tc>
        <w:tc>
          <w:tcPr>
            <w:tcW w:w="149" w:type="dxa"/>
            <w:tcBorders>
              <w:bottom w:val="single" w:sz="6" w:space="0" w:color="FBDDE3"/>
            </w:tcBorders>
            <w:tcMar>
              <w:bottom w:w="28" w:type="dxa"/>
            </w:tcMar>
            <w:vAlign w:val="center"/>
          </w:tcPr>
          <w:p>
            <w:pPr>
              <w:pStyle w:val="TableContents"/>
              <w:bidi w:val="0"/>
              <w:spacing w:before="0" w:after="283"/>
              <w:jc w:val="left"/>
              <w:rPr/>
            </w:pPr>
            <w:r>
              <w:rPr/>
              <w:t> </w:t>
            </w:r>
          </w:p>
        </w:tc>
        <w:tc>
          <w:tcPr>
            <w:tcW w:w="149" w:type="dxa"/>
            <w:tcBorders>
              <w:bottom w:val="single" w:sz="6" w:space="0" w:color="FBDDE3"/>
            </w:tcBorders>
            <w:tcMar>
              <w:bottom w:w="60" w:type="dxa"/>
            </w:tcMar>
            <w:vAlign w:val="center"/>
          </w:tcPr>
          <w:p>
            <w:pPr>
              <w:pStyle w:val="TableContents"/>
              <w:bidi w:val="0"/>
              <w:spacing w:before="0" w:after="283"/>
              <w:jc w:val="left"/>
              <w:rPr/>
            </w:pPr>
            <w:r>
              <w:rPr/>
              <w:t> </w:t>
            </w:r>
          </w:p>
        </w:tc>
        <w:tc>
          <w:tcPr>
            <w:tcW w:w="2455" w:type="dxa"/>
            <w:tcBorders>
              <w:bottom w:val="single" w:sz="6" w:space="0" w:color="FBDDE3"/>
            </w:tcBorders>
            <w:tcMar>
              <w:bottom w:w="60" w:type="dxa"/>
            </w:tcMar>
            <w:vAlign w:val="center"/>
          </w:tcPr>
          <w:p>
            <w:pPr>
              <w:pStyle w:val="TableContents"/>
              <w:bidi w:val="0"/>
              <w:spacing w:before="0" w:after="283"/>
              <w:jc w:val="right"/>
              <w:rPr/>
            </w:pPr>
            <w:r>
              <w:rPr/>
              <w:t>1,538,500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1,076,950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1,076,950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6" w:type="dxa"/>
            <w:tcBorders>
              <w:bottom w:val="single" w:sz="6" w:space="0" w:color="FBDDE3"/>
            </w:tcBorders>
            <w:tcMar>
              <w:bottom w:w="60" w:type="dxa"/>
            </w:tcMar>
            <w:vAlign w:val="center"/>
          </w:tcPr>
          <w:p>
            <w:pPr>
              <w:pStyle w:val="TableContents"/>
              <w:bidi w:val="0"/>
              <w:spacing w:before="0" w:after="283"/>
              <w:jc w:val="left"/>
              <w:rPr/>
            </w:pPr>
            <w:r>
              <w:rPr/>
              <w:t> </w:t>
            </w:r>
          </w:p>
        </w:tc>
        <w:tc>
          <w:tcPr>
            <w:tcW w:w="1229" w:type="dxa"/>
            <w:tcBorders>
              <w:bottom w:val="single" w:sz="6" w:space="0" w:color="FBDDE3"/>
            </w:tcBorders>
            <w:tcMar>
              <w:bottom w:w="60" w:type="dxa"/>
            </w:tcMar>
            <w:vAlign w:val="center"/>
          </w:tcPr>
          <w:p>
            <w:pPr>
              <w:pStyle w:val="TableContents"/>
              <w:bidi w:val="0"/>
              <w:spacing w:before="0" w:after="283"/>
              <w:jc w:val="right"/>
              <w:rPr/>
            </w:pPr>
            <w:r>
              <w:rPr/>
              <w:t>2,662,112</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348" w:type="dxa"/>
            <w:tcBorders>
              <w:bottom w:val="single" w:sz="6" w:space="0" w:color="FBDDE3"/>
            </w:tcBorders>
            <w:tcMar>
              <w:bottom w:w="60" w:type="dxa"/>
            </w:tcMar>
            <w:vAlign w:val="center"/>
          </w:tcPr>
          <w:p>
            <w:pPr>
              <w:pStyle w:val="TableContents"/>
              <w:bidi w:val="0"/>
              <w:spacing w:before="0" w:after="283"/>
              <w:jc w:val="left"/>
              <w:rPr/>
            </w:pPr>
            <w:r>
              <w:rPr/>
              <w:t> </w:t>
            </w:r>
          </w:p>
        </w:tc>
        <w:tc>
          <w:tcPr>
            <w:tcW w:w="812" w:type="dxa"/>
            <w:tcBorders>
              <w:bottom w:val="single" w:sz="6" w:space="0" w:color="FBDDE3"/>
            </w:tcBorders>
            <w:tcMar>
              <w:bottom w:w="60" w:type="dxa"/>
            </w:tcMar>
            <w:vAlign w:val="center"/>
          </w:tcPr>
          <w:p>
            <w:pPr>
              <w:pStyle w:val="TableContents"/>
              <w:bidi w:val="0"/>
              <w:spacing w:before="0" w:after="283"/>
              <w:jc w:val="right"/>
              <w:rPr/>
            </w:pPr>
            <w:r>
              <w:rPr/>
              <w:t>–</w:t>
            </w:r>
          </w:p>
        </w:tc>
        <w:tc>
          <w:tcPr>
            <w:tcW w:w="76"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292" w:type="dxa"/>
            <w:tcBorders/>
            <w:vAlign w:val="center"/>
          </w:tcPr>
          <w:p>
            <w:pPr>
              <w:pStyle w:val="TableContents"/>
              <w:bidi w:val="0"/>
              <w:spacing w:before="0" w:after="283"/>
              <w:jc w:val="left"/>
              <w:rPr>
                <w:sz w:val="4"/>
                <w:szCs w:val="4"/>
              </w:rPr>
            </w:pPr>
            <w:r>
              <w:rPr>
                <w:sz w:val="4"/>
                <w:szCs w:val="4"/>
              </w:rPr>
            </w:r>
          </w:p>
        </w:tc>
        <w:tc>
          <w:tcPr>
            <w:tcW w:w="1069" w:type="dxa"/>
            <w:gridSpan w:val="4"/>
            <w:tcBorders/>
            <w:vAlign w:val="center"/>
          </w:tcPr>
          <w:p>
            <w:pPr>
              <w:pStyle w:val="TableContents"/>
              <w:bidi w:val="0"/>
              <w:spacing w:before="0" w:after="283"/>
              <w:jc w:val="left"/>
              <w:rPr>
                <w:sz w:val="4"/>
                <w:szCs w:val="4"/>
              </w:rPr>
            </w:pPr>
            <w:r>
              <w:rPr>
                <w:sz w:val="4"/>
                <w:szCs w:val="4"/>
              </w:rPr>
            </w:r>
          </w:p>
        </w:tc>
        <w:tc>
          <w:tcPr>
            <w:tcW w:w="2813"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296" w:type="dxa"/>
            <w:gridSpan w:val="4"/>
            <w:tcBorders/>
            <w:vAlign w:val="center"/>
          </w:tcPr>
          <w:p>
            <w:pPr>
              <w:pStyle w:val="TableContents"/>
              <w:bidi w:val="0"/>
              <w:spacing w:before="0" w:after="283"/>
              <w:jc w:val="left"/>
              <w:rPr>
                <w:sz w:val="4"/>
                <w:szCs w:val="4"/>
              </w:rPr>
            </w:pPr>
            <w:r>
              <w:rPr>
                <w:sz w:val="4"/>
                <w:szCs w:val="4"/>
              </w:rPr>
            </w:r>
          </w:p>
        </w:tc>
      </w:tr>
      <w:tr>
        <w:trPr/>
        <w:tc>
          <w:tcPr>
            <w:tcW w:w="1292"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Long-Term Incentive Awards(4)</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257" w:type="dxa"/>
            <w:tcBorders>
              <w:bottom w:val="single" w:sz="6" w:space="0" w:color="FBDDE3"/>
            </w:tcBorders>
            <w:tcMar>
              <w:bottom w:w="60" w:type="dxa"/>
            </w:tcMar>
            <w:vAlign w:val="center"/>
          </w:tcPr>
          <w:p>
            <w:pPr>
              <w:pStyle w:val="TableContents"/>
              <w:bidi w:val="0"/>
              <w:spacing w:before="0" w:after="283"/>
              <w:jc w:val="left"/>
              <w:rPr/>
            </w:pPr>
            <w:r>
              <w:rPr/>
              <w:t> </w:t>
            </w:r>
          </w:p>
        </w:tc>
        <w:tc>
          <w:tcPr>
            <w:tcW w:w="603" w:type="dxa"/>
            <w:tcBorders>
              <w:bottom w:val="single" w:sz="6" w:space="0" w:color="FBDDE3"/>
            </w:tcBorders>
            <w:tcMar>
              <w:bottom w:w="60" w:type="dxa"/>
            </w:tcMar>
            <w:vAlign w:val="center"/>
          </w:tcPr>
          <w:p>
            <w:pPr>
              <w:pStyle w:val="TableContents"/>
              <w:bidi w:val="0"/>
              <w:spacing w:before="0" w:after="283"/>
              <w:jc w:val="right"/>
              <w:rPr/>
            </w:pPr>
            <w:r>
              <w:rPr/>
              <w:t>–</w:t>
            </w:r>
          </w:p>
        </w:tc>
        <w:tc>
          <w:tcPr>
            <w:tcW w:w="149" w:type="dxa"/>
            <w:tcBorders>
              <w:bottom w:val="single" w:sz="6" w:space="0" w:color="FBDDE3"/>
            </w:tcBorders>
            <w:tcMar>
              <w:bottom w:w="60" w:type="dxa"/>
            </w:tcMar>
            <w:vAlign w:val="center"/>
          </w:tcPr>
          <w:p>
            <w:pPr>
              <w:pStyle w:val="TableContents"/>
              <w:bidi w:val="0"/>
              <w:spacing w:before="0" w:after="283"/>
              <w:jc w:val="left"/>
              <w:rPr/>
            </w:pPr>
            <w:r>
              <w:rPr/>
              <w:t> </w:t>
            </w:r>
          </w:p>
        </w:tc>
        <w:tc>
          <w:tcPr>
            <w:tcW w:w="149" w:type="dxa"/>
            <w:tcBorders>
              <w:bottom w:val="single" w:sz="6" w:space="0" w:color="FBDDE3"/>
            </w:tcBorders>
            <w:tcMar>
              <w:bottom w:w="28" w:type="dxa"/>
            </w:tcMar>
            <w:vAlign w:val="center"/>
          </w:tcPr>
          <w:p>
            <w:pPr>
              <w:pStyle w:val="TableContents"/>
              <w:bidi w:val="0"/>
              <w:spacing w:before="0" w:after="283"/>
              <w:jc w:val="left"/>
              <w:rPr/>
            </w:pPr>
            <w:r>
              <w:rPr/>
              <w:t> </w:t>
            </w:r>
          </w:p>
        </w:tc>
        <w:tc>
          <w:tcPr>
            <w:tcW w:w="149" w:type="dxa"/>
            <w:tcBorders>
              <w:bottom w:val="single" w:sz="6" w:space="0" w:color="FBDDE3"/>
            </w:tcBorders>
            <w:tcMar>
              <w:bottom w:w="60" w:type="dxa"/>
            </w:tcMar>
            <w:vAlign w:val="center"/>
          </w:tcPr>
          <w:p>
            <w:pPr>
              <w:pStyle w:val="TableContents"/>
              <w:bidi w:val="0"/>
              <w:spacing w:before="0" w:after="283"/>
              <w:jc w:val="left"/>
              <w:rPr/>
            </w:pPr>
            <w:r>
              <w:rPr/>
              <w:t> </w:t>
            </w:r>
          </w:p>
        </w:tc>
        <w:tc>
          <w:tcPr>
            <w:tcW w:w="2455" w:type="dxa"/>
            <w:tcBorders>
              <w:bottom w:val="single" w:sz="6" w:space="0" w:color="FBDDE3"/>
            </w:tcBorders>
            <w:tcMar>
              <w:bottom w:w="60" w:type="dxa"/>
            </w:tcMar>
            <w:vAlign w:val="center"/>
          </w:tcPr>
          <w:p>
            <w:pPr>
              <w:pStyle w:val="TableContents"/>
              <w:bidi w:val="0"/>
              <w:spacing w:before="0" w:after="283"/>
              <w:jc w:val="right"/>
              <w:rPr/>
            </w:pPr>
            <w:r>
              <w:rPr/>
              <w:t>1,819,122</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5,079,355</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5,079,355</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6" w:type="dxa"/>
            <w:tcBorders>
              <w:bottom w:val="single" w:sz="6" w:space="0" w:color="FBDDE3"/>
            </w:tcBorders>
            <w:tcMar>
              <w:bottom w:w="60" w:type="dxa"/>
            </w:tcMar>
            <w:vAlign w:val="center"/>
          </w:tcPr>
          <w:p>
            <w:pPr>
              <w:pStyle w:val="TableContents"/>
              <w:bidi w:val="0"/>
              <w:spacing w:before="0" w:after="283"/>
              <w:jc w:val="left"/>
              <w:rPr/>
            </w:pPr>
            <w:r>
              <w:rPr/>
              <w:t> </w:t>
            </w:r>
          </w:p>
        </w:tc>
        <w:tc>
          <w:tcPr>
            <w:tcW w:w="1229" w:type="dxa"/>
            <w:tcBorders>
              <w:bottom w:val="single" w:sz="6" w:space="0" w:color="FBDDE3"/>
            </w:tcBorders>
            <w:tcMar>
              <w:bottom w:w="60" w:type="dxa"/>
            </w:tcMar>
            <w:vAlign w:val="center"/>
          </w:tcPr>
          <w:p>
            <w:pPr>
              <w:pStyle w:val="TableContents"/>
              <w:bidi w:val="0"/>
              <w:spacing w:before="0" w:after="283"/>
              <w:jc w:val="right"/>
              <w:rPr/>
            </w:pPr>
            <w:r>
              <w:rPr/>
              <w:t>6,325,544</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348" w:type="dxa"/>
            <w:tcBorders>
              <w:bottom w:val="single" w:sz="6" w:space="0" w:color="FBDDE3"/>
            </w:tcBorders>
            <w:tcMar>
              <w:bottom w:w="60" w:type="dxa"/>
            </w:tcMar>
            <w:vAlign w:val="center"/>
          </w:tcPr>
          <w:p>
            <w:pPr>
              <w:pStyle w:val="TableContents"/>
              <w:bidi w:val="0"/>
              <w:spacing w:before="0" w:after="283"/>
              <w:jc w:val="left"/>
              <w:rPr/>
            </w:pPr>
            <w:r>
              <w:rPr/>
              <w:t> </w:t>
            </w:r>
          </w:p>
        </w:tc>
        <w:tc>
          <w:tcPr>
            <w:tcW w:w="812" w:type="dxa"/>
            <w:tcBorders>
              <w:bottom w:val="single" w:sz="6" w:space="0" w:color="FBDDE3"/>
            </w:tcBorders>
            <w:tcMar>
              <w:bottom w:w="60" w:type="dxa"/>
            </w:tcMar>
            <w:vAlign w:val="center"/>
          </w:tcPr>
          <w:p>
            <w:pPr>
              <w:pStyle w:val="TableContents"/>
              <w:bidi w:val="0"/>
              <w:spacing w:before="0" w:after="283"/>
              <w:jc w:val="right"/>
              <w:rPr/>
            </w:pPr>
            <w:r>
              <w:rPr/>
              <w:t>–</w:t>
            </w:r>
          </w:p>
        </w:tc>
        <w:tc>
          <w:tcPr>
            <w:tcW w:w="76"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292" w:type="dxa"/>
            <w:tcBorders/>
            <w:vAlign w:val="center"/>
          </w:tcPr>
          <w:p>
            <w:pPr>
              <w:pStyle w:val="TableContents"/>
              <w:bidi w:val="0"/>
              <w:spacing w:before="0" w:after="283"/>
              <w:jc w:val="left"/>
              <w:rPr>
                <w:sz w:val="4"/>
                <w:szCs w:val="4"/>
              </w:rPr>
            </w:pPr>
            <w:r>
              <w:rPr>
                <w:sz w:val="4"/>
                <w:szCs w:val="4"/>
              </w:rPr>
            </w:r>
          </w:p>
        </w:tc>
        <w:tc>
          <w:tcPr>
            <w:tcW w:w="1069" w:type="dxa"/>
            <w:gridSpan w:val="4"/>
            <w:tcBorders/>
            <w:vAlign w:val="center"/>
          </w:tcPr>
          <w:p>
            <w:pPr>
              <w:pStyle w:val="TableContents"/>
              <w:bidi w:val="0"/>
              <w:spacing w:before="0" w:after="283"/>
              <w:jc w:val="left"/>
              <w:rPr>
                <w:sz w:val="4"/>
                <w:szCs w:val="4"/>
              </w:rPr>
            </w:pPr>
            <w:r>
              <w:rPr>
                <w:sz w:val="4"/>
                <w:szCs w:val="4"/>
              </w:rPr>
            </w:r>
          </w:p>
        </w:tc>
        <w:tc>
          <w:tcPr>
            <w:tcW w:w="2813"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296" w:type="dxa"/>
            <w:gridSpan w:val="4"/>
            <w:tcBorders/>
            <w:vAlign w:val="center"/>
          </w:tcPr>
          <w:p>
            <w:pPr>
              <w:pStyle w:val="TableContents"/>
              <w:bidi w:val="0"/>
              <w:spacing w:before="0" w:after="283"/>
              <w:jc w:val="left"/>
              <w:rPr>
                <w:sz w:val="4"/>
                <w:szCs w:val="4"/>
              </w:rPr>
            </w:pPr>
            <w:r>
              <w:rPr>
                <w:sz w:val="4"/>
                <w:szCs w:val="4"/>
              </w:rPr>
            </w:r>
          </w:p>
        </w:tc>
      </w:tr>
      <w:tr>
        <w:trPr/>
        <w:tc>
          <w:tcPr>
            <w:tcW w:w="1292"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Benefits(5)</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257" w:type="dxa"/>
            <w:tcBorders>
              <w:bottom w:val="single" w:sz="6" w:space="0" w:color="FBDDE3"/>
            </w:tcBorders>
            <w:tcMar>
              <w:bottom w:w="60" w:type="dxa"/>
            </w:tcMar>
            <w:vAlign w:val="center"/>
          </w:tcPr>
          <w:p>
            <w:pPr>
              <w:pStyle w:val="TableContents"/>
              <w:bidi w:val="0"/>
              <w:spacing w:before="0" w:after="283"/>
              <w:jc w:val="left"/>
              <w:rPr/>
            </w:pPr>
            <w:r>
              <w:rPr/>
              <w:t> </w:t>
            </w:r>
          </w:p>
        </w:tc>
        <w:tc>
          <w:tcPr>
            <w:tcW w:w="603" w:type="dxa"/>
            <w:tcBorders>
              <w:bottom w:val="single" w:sz="6" w:space="0" w:color="FBDDE3"/>
            </w:tcBorders>
            <w:tcMar>
              <w:bottom w:w="60" w:type="dxa"/>
            </w:tcMar>
            <w:vAlign w:val="center"/>
          </w:tcPr>
          <w:p>
            <w:pPr>
              <w:pStyle w:val="TableContents"/>
              <w:bidi w:val="0"/>
              <w:spacing w:before="0" w:after="283"/>
              <w:jc w:val="right"/>
              <w:rPr/>
            </w:pPr>
            <w:r>
              <w:rPr/>
              <w:t>–</w:t>
            </w:r>
          </w:p>
        </w:tc>
        <w:tc>
          <w:tcPr>
            <w:tcW w:w="149" w:type="dxa"/>
            <w:tcBorders>
              <w:bottom w:val="single" w:sz="6" w:space="0" w:color="FBDDE3"/>
            </w:tcBorders>
            <w:tcMar>
              <w:bottom w:w="60" w:type="dxa"/>
            </w:tcMar>
            <w:vAlign w:val="center"/>
          </w:tcPr>
          <w:p>
            <w:pPr>
              <w:pStyle w:val="TableContents"/>
              <w:bidi w:val="0"/>
              <w:spacing w:before="0" w:after="283"/>
              <w:jc w:val="left"/>
              <w:rPr/>
            </w:pPr>
            <w:r>
              <w:rPr/>
              <w:t> </w:t>
            </w:r>
          </w:p>
        </w:tc>
        <w:tc>
          <w:tcPr>
            <w:tcW w:w="149" w:type="dxa"/>
            <w:tcBorders>
              <w:bottom w:val="single" w:sz="6" w:space="0" w:color="FBDDE3"/>
            </w:tcBorders>
            <w:tcMar>
              <w:bottom w:w="28" w:type="dxa"/>
            </w:tcMar>
            <w:vAlign w:val="center"/>
          </w:tcPr>
          <w:p>
            <w:pPr>
              <w:pStyle w:val="TableContents"/>
              <w:bidi w:val="0"/>
              <w:spacing w:before="0" w:after="283"/>
              <w:jc w:val="left"/>
              <w:rPr/>
            </w:pPr>
            <w:r>
              <w:rPr/>
              <w:t> </w:t>
            </w:r>
          </w:p>
        </w:tc>
        <w:tc>
          <w:tcPr>
            <w:tcW w:w="149" w:type="dxa"/>
            <w:tcBorders>
              <w:bottom w:val="single" w:sz="6" w:space="0" w:color="FBDDE3"/>
            </w:tcBorders>
            <w:tcMar>
              <w:bottom w:w="60" w:type="dxa"/>
            </w:tcMar>
            <w:vAlign w:val="center"/>
          </w:tcPr>
          <w:p>
            <w:pPr>
              <w:pStyle w:val="TableContents"/>
              <w:bidi w:val="0"/>
              <w:spacing w:before="0" w:after="283"/>
              <w:jc w:val="left"/>
              <w:rPr/>
            </w:pPr>
            <w:r>
              <w:rPr/>
              <w:t> </w:t>
            </w:r>
          </w:p>
        </w:tc>
        <w:tc>
          <w:tcPr>
            <w:tcW w:w="2455" w:type="dxa"/>
            <w:tcBorders>
              <w:bottom w:val="single" w:sz="6" w:space="0" w:color="FBDDE3"/>
            </w:tcBorders>
            <w:tcMar>
              <w:bottom w:w="60" w:type="dxa"/>
            </w:tcMar>
            <w:vAlign w:val="center"/>
          </w:tcPr>
          <w:p>
            <w:pPr>
              <w:pStyle w:val="TableContents"/>
              <w:bidi w:val="0"/>
              <w:spacing w:before="0" w:after="283"/>
              <w:jc w:val="right"/>
              <w:rPr/>
            </w:pPr>
            <w:r>
              <w:rPr/>
              <w:t>28,060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2,000,000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6" w:type="dxa"/>
            <w:tcBorders>
              <w:bottom w:val="single" w:sz="6" w:space="0" w:color="FBDDE3"/>
            </w:tcBorders>
            <w:tcMar>
              <w:bottom w:w="60" w:type="dxa"/>
            </w:tcMar>
            <w:vAlign w:val="center"/>
          </w:tcPr>
          <w:p>
            <w:pPr>
              <w:pStyle w:val="TableContents"/>
              <w:bidi w:val="0"/>
              <w:spacing w:before="0" w:after="283"/>
              <w:jc w:val="left"/>
              <w:rPr/>
            </w:pPr>
            <w:r>
              <w:rPr/>
              <w:t> </w:t>
            </w:r>
          </w:p>
        </w:tc>
        <w:tc>
          <w:tcPr>
            <w:tcW w:w="1229" w:type="dxa"/>
            <w:tcBorders>
              <w:bottom w:val="single" w:sz="6" w:space="0" w:color="FBDDE3"/>
            </w:tcBorders>
            <w:tcMar>
              <w:bottom w:w="60" w:type="dxa"/>
            </w:tcMar>
            <w:vAlign w:val="center"/>
          </w:tcPr>
          <w:p>
            <w:pPr>
              <w:pStyle w:val="TableContents"/>
              <w:bidi w:val="0"/>
              <w:spacing w:before="0" w:after="283"/>
              <w:jc w:val="right"/>
              <w:rPr/>
            </w:pPr>
            <w:r>
              <w:rPr/>
              <w:t>28,060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348" w:type="dxa"/>
            <w:tcBorders>
              <w:bottom w:val="single" w:sz="6" w:space="0" w:color="FBDDE3"/>
            </w:tcBorders>
            <w:tcMar>
              <w:bottom w:w="60" w:type="dxa"/>
            </w:tcMar>
            <w:vAlign w:val="center"/>
          </w:tcPr>
          <w:p>
            <w:pPr>
              <w:pStyle w:val="TableContents"/>
              <w:bidi w:val="0"/>
              <w:spacing w:before="0" w:after="283"/>
              <w:jc w:val="left"/>
              <w:rPr/>
            </w:pPr>
            <w:r>
              <w:rPr/>
              <w:t> </w:t>
            </w:r>
          </w:p>
        </w:tc>
        <w:tc>
          <w:tcPr>
            <w:tcW w:w="812" w:type="dxa"/>
            <w:tcBorders>
              <w:bottom w:val="single" w:sz="6" w:space="0" w:color="FBDDE3"/>
            </w:tcBorders>
            <w:tcMar>
              <w:bottom w:w="60" w:type="dxa"/>
            </w:tcMar>
            <w:vAlign w:val="center"/>
          </w:tcPr>
          <w:p>
            <w:pPr>
              <w:pStyle w:val="TableContents"/>
              <w:bidi w:val="0"/>
              <w:spacing w:before="0" w:after="283"/>
              <w:jc w:val="right"/>
              <w:rPr/>
            </w:pPr>
            <w:r>
              <w:rPr/>
              <w:t>–</w:t>
            </w:r>
          </w:p>
        </w:tc>
        <w:tc>
          <w:tcPr>
            <w:tcW w:w="76"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1292" w:type="dxa"/>
            <w:tcBorders/>
            <w:vAlign w:val="center"/>
          </w:tcPr>
          <w:p>
            <w:pPr>
              <w:pStyle w:val="TableContents"/>
              <w:bidi w:val="0"/>
              <w:spacing w:before="0" w:after="283"/>
              <w:jc w:val="left"/>
              <w:rPr>
                <w:sz w:val="4"/>
                <w:szCs w:val="4"/>
              </w:rPr>
            </w:pPr>
            <w:r>
              <w:rPr>
                <w:sz w:val="4"/>
                <w:szCs w:val="4"/>
              </w:rPr>
            </w:r>
          </w:p>
        </w:tc>
        <w:tc>
          <w:tcPr>
            <w:tcW w:w="1069" w:type="dxa"/>
            <w:gridSpan w:val="4"/>
            <w:tcBorders/>
            <w:vAlign w:val="center"/>
          </w:tcPr>
          <w:p>
            <w:pPr>
              <w:pStyle w:val="TableContents"/>
              <w:bidi w:val="0"/>
              <w:spacing w:before="0" w:after="283"/>
              <w:jc w:val="left"/>
              <w:rPr>
                <w:sz w:val="4"/>
                <w:szCs w:val="4"/>
              </w:rPr>
            </w:pPr>
            <w:r>
              <w:rPr>
                <w:sz w:val="4"/>
                <w:szCs w:val="4"/>
              </w:rPr>
            </w:r>
          </w:p>
        </w:tc>
        <w:tc>
          <w:tcPr>
            <w:tcW w:w="2813"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296" w:type="dxa"/>
            <w:gridSpan w:val="4"/>
            <w:tcBorders/>
            <w:vAlign w:val="center"/>
          </w:tcPr>
          <w:p>
            <w:pPr>
              <w:pStyle w:val="TableContents"/>
              <w:bidi w:val="0"/>
              <w:spacing w:before="0" w:after="283"/>
              <w:jc w:val="left"/>
              <w:rPr>
                <w:sz w:val="4"/>
                <w:szCs w:val="4"/>
              </w:rPr>
            </w:pPr>
            <w:r>
              <w:rPr>
                <w:sz w:val="4"/>
                <w:szCs w:val="4"/>
              </w:rPr>
            </w:r>
          </w:p>
        </w:tc>
      </w:tr>
      <w:tr>
        <w:trPr/>
        <w:tc>
          <w:tcPr>
            <w:tcW w:w="1292" w:type="dxa"/>
            <w:tcBorders>
              <w:bottom w:val="single" w:sz="8" w:space="0" w:color="F7ACBA"/>
            </w:tcBorders>
            <w:tcMar>
              <w:bottom w:w="80" w:type="dxa"/>
            </w:tcMar>
            <w:vAlign w:val="center"/>
          </w:tcPr>
          <w:p>
            <w:pPr>
              <w:pStyle w:val="TableContents"/>
              <w:bidi w:val="0"/>
              <w:spacing w:before="0" w:after="0"/>
              <w:jc w:val="left"/>
              <w:rPr>
                <w:rFonts w:ascii="arial" w:hAnsi="arial"/>
                <w:b/>
                <w:sz w:val="18"/>
              </w:rPr>
            </w:pPr>
            <w:r>
              <w:rPr>
                <w:rFonts w:ascii="arial" w:hAnsi="arial"/>
                <w:b/>
                <w:sz w:val="18"/>
              </w:rPr>
              <w:t>Total</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257" w:type="dxa"/>
            <w:tcBorders>
              <w:bottom w:val="single" w:sz="8" w:space="0" w:color="F7ACBA"/>
            </w:tcBorders>
            <w:tcMar>
              <w:bottom w:w="80" w:type="dxa"/>
            </w:tcMar>
            <w:vAlign w:val="center"/>
          </w:tcPr>
          <w:p>
            <w:pPr>
              <w:pStyle w:val="TableContents"/>
              <w:bidi w:val="0"/>
              <w:spacing w:before="0" w:after="283"/>
              <w:jc w:val="left"/>
              <w:rPr/>
            </w:pPr>
            <w:r>
              <w:rPr/>
              <w:t> </w:t>
            </w:r>
          </w:p>
        </w:tc>
        <w:tc>
          <w:tcPr>
            <w:tcW w:w="603" w:type="dxa"/>
            <w:tcBorders>
              <w:bottom w:val="single" w:sz="8" w:space="0" w:color="F7ACBA"/>
            </w:tcBorders>
            <w:tcMar>
              <w:bottom w:w="80" w:type="dxa"/>
            </w:tcMar>
            <w:vAlign w:val="center"/>
          </w:tcPr>
          <w:p>
            <w:pPr>
              <w:pStyle w:val="TableContents"/>
              <w:bidi w:val="0"/>
              <w:spacing w:before="0" w:after="283"/>
              <w:jc w:val="right"/>
              <w:rPr/>
            </w:pPr>
            <w:r>
              <w:rPr/>
              <w:t>–</w:t>
            </w:r>
          </w:p>
        </w:tc>
        <w:tc>
          <w:tcPr>
            <w:tcW w:w="149" w:type="dxa"/>
            <w:tcBorders>
              <w:bottom w:val="single" w:sz="8" w:space="0" w:color="F7ACBA"/>
            </w:tcBorders>
            <w:tcMar>
              <w:bottom w:w="80" w:type="dxa"/>
            </w:tcMar>
            <w:vAlign w:val="center"/>
          </w:tcPr>
          <w:p>
            <w:pPr>
              <w:pStyle w:val="TableContents"/>
              <w:bidi w:val="0"/>
              <w:spacing w:before="0" w:after="283"/>
              <w:jc w:val="left"/>
              <w:rPr/>
            </w:pPr>
            <w:r>
              <w:rPr/>
              <w:t> </w:t>
            </w:r>
          </w:p>
        </w:tc>
        <w:tc>
          <w:tcPr>
            <w:tcW w:w="149" w:type="dxa"/>
            <w:tcBorders>
              <w:bottom w:val="single" w:sz="8" w:space="0" w:color="F7ACBA"/>
            </w:tcBorders>
            <w:tcMar>
              <w:bottom w:w="28" w:type="dxa"/>
            </w:tcMar>
            <w:vAlign w:val="center"/>
          </w:tcPr>
          <w:p>
            <w:pPr>
              <w:pStyle w:val="TableContents"/>
              <w:bidi w:val="0"/>
              <w:spacing w:before="0" w:after="283"/>
              <w:jc w:val="left"/>
              <w:rPr/>
            </w:pPr>
            <w:r>
              <w:rPr/>
              <w:t> </w:t>
            </w:r>
          </w:p>
        </w:tc>
        <w:tc>
          <w:tcPr>
            <w:tcW w:w="149" w:type="dxa"/>
            <w:tcBorders>
              <w:bottom w:val="single" w:sz="8" w:space="0" w:color="F7ACBA"/>
            </w:tcBorders>
            <w:tcMar>
              <w:bottom w:w="80" w:type="dxa"/>
            </w:tcMar>
            <w:vAlign w:val="center"/>
          </w:tcPr>
          <w:p>
            <w:pPr>
              <w:pStyle w:val="TableContents"/>
              <w:bidi w:val="0"/>
              <w:spacing w:before="0" w:after="283"/>
              <w:jc w:val="left"/>
              <w:rPr/>
            </w:pPr>
            <w:r>
              <w:rPr/>
              <w:t> </w:t>
            </w:r>
          </w:p>
        </w:tc>
        <w:tc>
          <w:tcPr>
            <w:tcW w:w="2455" w:type="dxa"/>
            <w:tcBorders>
              <w:bottom w:val="single" w:sz="8" w:space="0" w:color="F7ACBA"/>
            </w:tcBorders>
            <w:tcMar>
              <w:bottom w:w="80" w:type="dxa"/>
            </w:tcMar>
            <w:vAlign w:val="center"/>
          </w:tcPr>
          <w:p>
            <w:pPr>
              <w:pStyle w:val="TableContents"/>
              <w:bidi w:val="0"/>
              <w:spacing w:before="0" w:after="283"/>
              <w:jc w:val="right"/>
              <w:rPr>
                <w:b/>
              </w:rPr>
            </w:pPr>
            <w:r>
              <w:rPr>
                <w:b/>
              </w:rPr>
              <w:t>5,195,682</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980" w:type="dxa"/>
            <w:tcBorders>
              <w:bottom w:val="single" w:sz="8" w:space="0" w:color="F7ACBA"/>
            </w:tcBorders>
            <w:tcMar>
              <w:bottom w:w="80" w:type="dxa"/>
            </w:tcMar>
            <w:vAlign w:val="center"/>
          </w:tcPr>
          <w:p>
            <w:pPr>
              <w:pStyle w:val="TableContents"/>
              <w:bidi w:val="0"/>
              <w:spacing w:before="0" w:after="283"/>
              <w:jc w:val="right"/>
              <w:rPr>
                <w:b/>
              </w:rPr>
            </w:pPr>
            <w:r>
              <w:rPr>
                <w:b/>
              </w:rPr>
              <w:t>8,156,305</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980" w:type="dxa"/>
            <w:tcBorders>
              <w:bottom w:val="single" w:sz="8" w:space="0" w:color="F7ACBA"/>
            </w:tcBorders>
            <w:tcMar>
              <w:bottom w:w="80" w:type="dxa"/>
            </w:tcMar>
            <w:vAlign w:val="center"/>
          </w:tcPr>
          <w:p>
            <w:pPr>
              <w:pStyle w:val="TableContents"/>
              <w:bidi w:val="0"/>
              <w:spacing w:before="0" w:after="283"/>
              <w:jc w:val="right"/>
              <w:rPr>
                <w:b/>
              </w:rPr>
            </w:pPr>
            <w:r>
              <w:rPr>
                <w:b/>
              </w:rPr>
              <w:t>6,682,555</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6" w:type="dxa"/>
            <w:tcBorders>
              <w:bottom w:val="single" w:sz="8" w:space="0" w:color="F7ACBA"/>
            </w:tcBorders>
            <w:tcMar>
              <w:bottom w:w="80" w:type="dxa"/>
            </w:tcMar>
            <w:vAlign w:val="center"/>
          </w:tcPr>
          <w:p>
            <w:pPr>
              <w:pStyle w:val="TableContents"/>
              <w:bidi w:val="0"/>
              <w:spacing w:before="0" w:after="283"/>
              <w:jc w:val="left"/>
              <w:rPr/>
            </w:pPr>
            <w:r>
              <w:rPr/>
              <w:t> </w:t>
            </w:r>
          </w:p>
        </w:tc>
        <w:tc>
          <w:tcPr>
            <w:tcW w:w="1229" w:type="dxa"/>
            <w:tcBorders>
              <w:bottom w:val="single" w:sz="8" w:space="0" w:color="F7ACBA"/>
            </w:tcBorders>
            <w:tcMar>
              <w:bottom w:w="80" w:type="dxa"/>
            </w:tcMar>
            <w:vAlign w:val="center"/>
          </w:tcPr>
          <w:p>
            <w:pPr>
              <w:pStyle w:val="TableContents"/>
              <w:bidi w:val="0"/>
              <w:spacing w:before="0" w:after="283"/>
              <w:jc w:val="right"/>
              <w:rPr>
                <w:b/>
              </w:rPr>
            </w:pPr>
            <w:r>
              <w:rPr>
                <w:b/>
              </w:rPr>
              <w:t>10,825,716</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348" w:type="dxa"/>
            <w:tcBorders>
              <w:bottom w:val="single" w:sz="8" w:space="0" w:color="F7ACBA"/>
            </w:tcBorders>
            <w:tcMar>
              <w:bottom w:w="80" w:type="dxa"/>
            </w:tcMar>
            <w:vAlign w:val="center"/>
          </w:tcPr>
          <w:p>
            <w:pPr>
              <w:pStyle w:val="TableContents"/>
              <w:bidi w:val="0"/>
              <w:spacing w:before="0" w:after="283"/>
              <w:jc w:val="left"/>
              <w:rPr/>
            </w:pPr>
            <w:r>
              <w:rPr/>
              <w:t> </w:t>
            </w:r>
          </w:p>
        </w:tc>
        <w:tc>
          <w:tcPr>
            <w:tcW w:w="812" w:type="dxa"/>
            <w:tcBorders>
              <w:bottom w:val="single" w:sz="8" w:space="0" w:color="F7ACBA"/>
            </w:tcBorders>
            <w:tcMar>
              <w:bottom w:w="80" w:type="dxa"/>
            </w:tcMar>
            <w:vAlign w:val="center"/>
          </w:tcPr>
          <w:p>
            <w:pPr>
              <w:pStyle w:val="TableContents"/>
              <w:bidi w:val="0"/>
              <w:spacing w:before="0" w:after="283"/>
              <w:jc w:val="right"/>
              <w:rPr/>
            </w:pPr>
            <w:r>
              <w:rPr/>
              <w:t>–</w:t>
            </w:r>
          </w:p>
        </w:tc>
        <w:tc>
          <w:tcPr>
            <w:tcW w:w="76" w:type="dxa"/>
            <w:tcBorders>
              <w:bottom w:val="single" w:sz="8" w:space="0" w:color="F7ACBA"/>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pPr>
            <w:r>
              <w:rPr/>
              <w:t>(1)</w:t>
            </w:r>
          </w:p>
        </w:tc>
        <w:tc>
          <w:tcPr>
            <w:tcW w:w="9906" w:type="dxa"/>
            <w:tcBorders/>
            <w:vAlign w:val="center"/>
          </w:tcPr>
          <w:p>
            <w:pPr>
              <w:pStyle w:val="TableContents"/>
              <w:bidi w:val="0"/>
              <w:spacing w:before="0" w:after="0"/>
              <w:jc w:val="left"/>
              <w:rPr>
                <w:rFonts w:ascii="arial" w:hAnsi="arial"/>
                <w:sz w:val="14"/>
              </w:rPr>
            </w:pPr>
            <w:r>
              <w:rPr>
                <w:rFonts w:ascii="arial" w:hAnsi="arial"/>
                <w:sz w:val="14"/>
              </w:rPr>
              <w:t xml:space="preserve">Generally, in the event of an NEO’s death, subject to the achievement of any underlying performance conditions, any time-based vesting conditions are deemed satisfied.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(2)</w:t>
            </w:r>
          </w:p>
        </w:tc>
        <w:tc>
          <w:tcPr>
            <w:tcW w:w="9948" w:type="dxa"/>
            <w:tcBorders/>
            <w:vAlign w:val="center"/>
          </w:tcPr>
          <w:p>
            <w:pPr>
              <w:pStyle w:val="TableContents"/>
              <w:bidi w:val="0"/>
              <w:spacing w:before="0" w:after="0"/>
              <w:jc w:val="left"/>
              <w:rPr>
                <w:rFonts w:ascii="arial" w:hAnsi="arial"/>
                <w:sz w:val="14"/>
              </w:rPr>
            </w:pPr>
            <w:r>
              <w:rPr>
                <w:rFonts w:ascii="arial" w:hAnsi="arial"/>
                <w:sz w:val="14"/>
              </w:rPr>
              <w:t xml:space="preserve">Mr. Waters and Mr. Johnson are eligible for the “vest into retirement” provision of the fiscal 2022 PSU award. PSUs may vest into retirement if the termination occurs more that one year from the grant date, provided the executive has met the 55 years of age and 7 years of service requirement. The fiscal 2022 PSU award will vest and settle in March 2025 based on VS&amp;Co’s achievement of goals for the 3-year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(3)</w:t>
            </w:r>
          </w:p>
        </w:tc>
        <w:tc>
          <w:tcPr>
            <w:tcW w:w="9961" w:type="dxa"/>
            <w:tcBorders/>
            <w:vAlign w:val="center"/>
          </w:tcPr>
          <w:p>
            <w:pPr>
              <w:pStyle w:val="TableContents"/>
              <w:bidi w:val="0"/>
              <w:spacing w:before="0" w:after="0"/>
              <w:jc w:val="left"/>
              <w:rPr>
                <w:rFonts w:ascii="arial" w:hAnsi="arial"/>
                <w:sz w:val="14"/>
              </w:rPr>
            </w:pPr>
            <w:r>
              <w:rPr>
                <w:rFonts w:ascii="arial" w:hAnsi="arial"/>
                <w:sz w:val="14"/>
              </w:rPr>
              <w:t xml:space="preserve">Bonus amounts assumed at target. Under ‘‘Involuntary without Cause or Voluntary with Good Reason’’ termination scenarios, actual bonus payments would be equal to the bonus payment the NEO would have received if he or she had remained employed with VS&amp;Co for a period of one year after the termination date of February 3, 2024. Under a ‘‘Termination following Change in Control’’ scenario, Mr. Waters will receive a bonus payment equal to three times his annual target plus a prorated amount for the season in which his employment is terminated; Mr. Johnson, Ms. McAfee, Ms. Rupp and Mr. Unis will receive bonus payments equal to the sum of the last four seasonal bonus payments received plus a prorated amount for the season in which her or his employment is terminated.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(4)</w:t>
            </w:r>
          </w:p>
        </w:tc>
        <w:tc>
          <w:tcPr>
            <w:tcW w:w="9952" w:type="dxa"/>
            <w:tcBorders/>
            <w:vAlign w:val="center"/>
          </w:tcPr>
          <w:p>
            <w:pPr>
              <w:pStyle w:val="TableContents"/>
              <w:bidi w:val="0"/>
              <w:spacing w:before="0" w:after="0"/>
              <w:jc w:val="left"/>
              <w:rPr>
                <w:rFonts w:ascii="arial" w:hAnsi="arial"/>
                <w:sz w:val="14"/>
              </w:rPr>
            </w:pPr>
            <w:r>
              <w:rPr>
                <w:rFonts w:ascii="arial" w:hAnsi="arial"/>
                <w:sz w:val="14"/>
              </w:rPr>
              <w:t xml:space="preserve">Reflects the value of unvested RSUs, PSUs and stock options that, subject to achievement of pre-established performance conditions, if applicable, would become vested based on the $27.02 fair market value of a share of VS&amp;Co common stock on the last trading day of the fiscal year (February 2, 2024). PSUs are presented in the table using the same payout assumptions as noted in footnote 2 to the Outstanding Equity Awards at Fiscal Year-End for Fiscal 2023 table. </w:t>
            </w:r>
          </w:p>
        </w:tc>
      </w:tr>
    </w:tbl>
    <w:p>
      <w:pPr>
        <w:pStyle w:val="TextBody"/>
        <w:bidi w:val="0"/>
        <w:spacing w:before="0" w:after="0"/>
        <w:jc w:val="left"/>
        <w:rPr/>
      </w:pPr>
      <w:r>
        <w:rPr/>
        <w:t> </w:t>
      </w:r>
    </w:p>
    <w:tbl>
      <w:tblPr>
        <w:tblW w:w="6835" w:type="dxa"/>
        <w:jc w:val="left"/>
        <w:tblInd w:w="0" w:type="dxa"/>
        <w:tblLayout w:type="fixed"/>
        <w:tblCellMar>
          <w:top w:w="0" w:type="dxa"/>
          <w:left w:w="0" w:type="dxa"/>
          <w:bottom w:w="0" w:type="dxa"/>
          <w:right w:w="0" w:type="dxa"/>
        </w:tblCellMar>
      </w:tblPr>
      <w:tblGrid>
        <w:gridCol w:w="305"/>
        <w:gridCol w:w="6530"/>
      </w:tblGrid>
      <w:tr>
        <w:trPr/>
        <w:tc>
          <w:tcPr>
            <w:tcW w:w="305" w:type="dxa"/>
            <w:tcBorders/>
            <w:vAlign w:val="center"/>
          </w:tcPr>
          <w:p>
            <w:pPr>
              <w:pStyle w:val="TableContents"/>
              <w:bidi w:val="0"/>
              <w:spacing w:before="0" w:after="283"/>
              <w:jc w:val="left"/>
              <w:rPr/>
            </w:pPr>
            <w:r>
              <w:rPr/>
              <w:t>(5)</w:t>
            </w:r>
          </w:p>
        </w:tc>
        <w:tc>
          <w:tcPr>
            <w:tcW w:w="6530" w:type="dxa"/>
            <w:tcBorders/>
            <w:vAlign w:val="center"/>
          </w:tcPr>
          <w:p>
            <w:pPr>
              <w:pStyle w:val="TableContents"/>
              <w:bidi w:val="0"/>
              <w:spacing w:before="0" w:after="0"/>
              <w:jc w:val="left"/>
              <w:rPr>
                <w:rFonts w:ascii="arial" w:hAnsi="arial"/>
                <w:sz w:val="14"/>
              </w:rPr>
            </w:pPr>
            <w:r>
              <w:rPr>
                <w:rFonts w:ascii="arial" w:hAnsi="arial"/>
                <w:sz w:val="14"/>
              </w:rPr>
              <w:t xml:space="preserve">Includes the continuation of medical and dental benefits or life insurance payment in the event of death. </w:t>
            </w:r>
          </w:p>
        </w:tc>
      </w:tr>
    </w:tbl>
    <w:p>
      <w:pPr>
        <w:pStyle w:val="TextBody"/>
        <w:bidi w:val="0"/>
        <w:spacing w:before="240" w:after="0"/>
        <w:jc w:val="left"/>
        <w:rPr>
          <w:rFonts w:ascii="arial" w:hAnsi="arial"/>
          <w:b/>
          <w:color w:val="F7ACBA"/>
          <w:sz w:val="24"/>
        </w:rPr>
      </w:pPr>
      <w:r>
        <w:rPr>
          <w:rFonts w:ascii="arial" w:hAnsi="arial"/>
          <w:b/>
          <w:color w:val="F7ACBA"/>
          <w:sz w:val="24"/>
        </w:rPr>
        <w:t xml:space="preserve">Mr. Waters’ Employment Agreement </w:t>
      </w:r>
    </w:p>
    <w:p>
      <w:pPr>
        <w:pStyle w:val="TextBody"/>
        <w:bidi w:val="0"/>
        <w:spacing w:before="60" w:after="0"/>
        <w:jc w:val="left"/>
        <w:rPr>
          <w:rFonts w:ascii="Times New Roman" w:hAnsi="Times New Roman"/>
          <w:i/>
          <w:sz w:val="24"/>
        </w:rPr>
      </w:pPr>
      <w:r>
        <w:rPr>
          <w:rFonts w:ascii="Times New Roman" w:hAnsi="Times New Roman"/>
          <w:i/>
          <w:sz w:val="24"/>
        </w:rPr>
        <w:t xml:space="preserve">Involuntary Termination </w:t>
      </w:r>
    </w:p>
    <w:p>
      <w:pPr>
        <w:pStyle w:val="TextBody"/>
        <w:bidi w:val="0"/>
        <w:spacing w:before="60" w:after="0"/>
        <w:jc w:val="left"/>
        <w:rPr>
          <w:rFonts w:ascii="arial" w:hAnsi="arial"/>
          <w:sz w:val="18"/>
        </w:rPr>
      </w:pPr>
      <w:r>
        <w:rPr>
          <w:rFonts w:ascii="arial" w:hAnsi="arial"/>
          <w:sz w:val="18"/>
        </w:rPr>
        <w:t xml:space="preserve">Pursuant to Mr. Waters’ employment agreement effective as of May 2021, in the event of a termination of Mr. Waters’ employment by VS&amp;Co other than for “cause” or by Mr. Waters for “good reason,” other than during the 24-month period following a “change in control” or within the three months preceding or 24 months following a sale or spinoff of VS&amp;Co, VS&amp;Co will provide for a period up to 12 months from the termination date (i) continued payment of his base salary and (ii) medical and dental benefits substantially similar in the aggregate to those provided to Mr. Waters prior to the date of his termination of employment. </w:t>
      </w:r>
    </w:p>
    <w:p>
      <w:pPr>
        <w:pStyle w:val="TextBody"/>
        <w:bidi w:val="0"/>
        <w:spacing w:before="120" w:after="0"/>
        <w:jc w:val="left"/>
        <w:rPr>
          <w:rFonts w:ascii="arial" w:hAnsi="arial"/>
          <w:sz w:val="18"/>
        </w:rPr>
      </w:pPr>
      <w:r>
        <w:rPr>
          <w:rFonts w:ascii="arial" w:hAnsi="arial"/>
          <w:sz w:val="18"/>
        </w:rPr>
        <w:t xml:space="preserve">If Mr. Waters executes and does not revoke a general waiver and release of claims, he will be entitled to receive: </w:t>
      </w:r>
    </w:p>
    <w:p>
      <w:pPr>
        <w:pStyle w:val="TextBody"/>
        <w:bidi w:val="0"/>
        <w:spacing w:before="0" w:after="0"/>
        <w:jc w:val="left"/>
        <w:rPr/>
      </w:pPr>
      <w:r>
        <w:rPr/>
        <w:t> </w:t>
      </w:r>
    </w:p>
    <w:tbl>
      <w:tblPr>
        <w:tblW w:w="6985" w:type="dxa"/>
        <w:jc w:val="left"/>
        <w:tblInd w:w="0" w:type="dxa"/>
        <w:tblLayout w:type="fixed"/>
        <w:tblCellMar>
          <w:top w:w="0" w:type="dxa"/>
          <w:left w:w="0" w:type="dxa"/>
          <w:bottom w:w="0" w:type="dxa"/>
          <w:right w:w="0" w:type="dxa"/>
        </w:tblCellMar>
      </w:tblPr>
      <w:tblGrid>
        <w:gridCol w:w="125"/>
        <w:gridCol w:w="60"/>
        <w:gridCol w:w="680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6800" w:type="dxa"/>
            <w:tcBorders/>
            <w:vAlign w:val="center"/>
          </w:tcPr>
          <w:p>
            <w:pPr>
              <w:pStyle w:val="TableContents"/>
              <w:bidi w:val="0"/>
              <w:spacing w:before="0" w:after="0"/>
              <w:jc w:val="left"/>
              <w:rPr>
                <w:rFonts w:ascii="arial" w:hAnsi="arial"/>
                <w:sz w:val="18"/>
              </w:rPr>
            </w:pPr>
            <w:r>
              <w:rPr>
                <w:rFonts w:ascii="arial" w:hAnsi="arial"/>
                <w:sz w:val="18"/>
              </w:rPr>
              <w:t xml:space="preserve">Continued payment of his base salary for 24 months following the termination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The incentive compensation he would have received if he had remained an associate of VS&amp;Co for one year following the termination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A pro-rated portion of any outstanding unvested equity awards held by him as of the termination date, vesting according to the original vesting schedule;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For a period of up to 24 months following the termination of employment, Mr. Waters and his beneficiaries will be entitled to receive medical and dental benefits substantially similar in the aggregate to those provided prior to the date of his termination of employment. </w:t>
            </w:r>
          </w:p>
        </w:tc>
      </w:tr>
    </w:tbl>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22"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1" descr=""/>
                          <pic:cNvPicPr>
                            <a:picLocks noChangeAspect="1" noChangeArrowheads="1"/>
                          </pic:cNvPicPr>
                        </pic:nvPicPr>
                        <pic:blipFill>
                          <a:blip r:embed="rId112"/>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67 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COMPENSATION DISCUSSION AND ANALYSIS </w:t>
      </w:r>
    </w:p>
    <w:p>
      <w:pPr>
        <w:pStyle w:val="TextBody"/>
        <w:bidi w:val="0"/>
        <w:spacing w:before="0" w:after="0"/>
        <w:jc w:val="left"/>
        <w:rPr/>
      </w:pPr>
      <w:r>
        <w:rPr/>
        <w:t> </w:t>
      </w:r>
    </w:p>
    <w:p>
      <w:pPr>
        <w:pStyle w:val="TextBody"/>
        <w:bidi w:val="0"/>
        <w:spacing w:before="0" w:after="0"/>
        <w:jc w:val="left"/>
        <w:rPr>
          <w:rFonts w:ascii="Times New Roman" w:hAnsi="Times New Roman"/>
          <w:i/>
          <w:sz w:val="24"/>
        </w:rPr>
      </w:pPr>
      <w:r>
        <w:rPr>
          <w:rFonts w:ascii="Times New Roman" w:hAnsi="Times New Roman"/>
          <w:i/>
          <w:sz w:val="24"/>
        </w:rPr>
        <w:t xml:space="preserve">Death or Disability </w:t>
      </w:r>
    </w:p>
    <w:p>
      <w:pPr>
        <w:pStyle w:val="TextBody"/>
        <w:bidi w:val="0"/>
        <w:spacing w:before="60" w:after="0"/>
        <w:jc w:val="left"/>
        <w:rPr>
          <w:rFonts w:ascii="arial" w:hAnsi="arial"/>
          <w:sz w:val="18"/>
        </w:rPr>
      </w:pPr>
      <w:r>
        <w:rPr>
          <w:rFonts w:ascii="arial" w:hAnsi="arial"/>
          <w:sz w:val="18"/>
        </w:rPr>
        <w:t xml:space="preserve">In the event of a termination due to death or disability, the post-termination benefits generally consist of: </w:t>
      </w:r>
    </w:p>
    <w:p>
      <w:pPr>
        <w:pStyle w:val="TextBody"/>
        <w:bidi w:val="0"/>
        <w:spacing w:before="0" w:after="0"/>
        <w:jc w:val="left"/>
        <w:rPr/>
      </w:pPr>
      <w:r>
        <w:rPr/>
        <w:t> </w:t>
      </w:r>
    </w:p>
    <w:tbl>
      <w:tblPr>
        <w:tblW w:w="5485" w:type="dxa"/>
        <w:jc w:val="left"/>
        <w:tblInd w:w="0" w:type="dxa"/>
        <w:tblLayout w:type="fixed"/>
        <w:tblCellMar>
          <w:top w:w="0" w:type="dxa"/>
          <w:left w:w="0" w:type="dxa"/>
          <w:bottom w:w="0" w:type="dxa"/>
          <w:right w:w="0" w:type="dxa"/>
        </w:tblCellMar>
      </w:tblPr>
      <w:tblGrid>
        <w:gridCol w:w="125"/>
        <w:gridCol w:w="60"/>
        <w:gridCol w:w="530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0"/>
              <w:jc w:val="left"/>
              <w:rPr>
                <w:rFonts w:ascii="arial" w:hAnsi="arial"/>
                <w:sz w:val="18"/>
              </w:rPr>
            </w:pPr>
            <w:r>
              <w:rPr>
                <w:rFonts w:ascii="arial" w:hAnsi="arial"/>
                <w:sz w:val="18"/>
              </w:rPr>
              <w:t xml:space="preserve">Pro-rated incentive compensation based on actual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Accelerated vesting of stock options and RSUs in the event of death or stock options and RSUs vesting according to the original vesting schedule in the event of termination due to disability, and outstanding stock options remain exercisable within one year of termination, but in no case later than the date of expiration of the original term; and </w:t>
            </w:r>
          </w:p>
        </w:tc>
      </w:tr>
    </w:tbl>
    <w:p>
      <w:pPr>
        <w:pStyle w:val="TextBody"/>
        <w:bidi w:val="0"/>
        <w:spacing w:before="0" w:after="0"/>
        <w:jc w:val="left"/>
        <w:rPr/>
      </w:pPr>
      <w:r>
        <w:rPr/>
        <w:t> </w:t>
      </w:r>
    </w:p>
    <w:tbl>
      <w:tblPr>
        <w:tblW w:w="5830" w:type="dxa"/>
        <w:jc w:val="left"/>
        <w:tblInd w:w="0" w:type="dxa"/>
        <w:tblLayout w:type="fixed"/>
        <w:tblCellMar>
          <w:top w:w="0" w:type="dxa"/>
          <w:left w:w="0" w:type="dxa"/>
          <w:bottom w:w="0" w:type="dxa"/>
          <w:right w:w="0" w:type="dxa"/>
        </w:tblCellMar>
      </w:tblPr>
      <w:tblGrid>
        <w:gridCol w:w="125"/>
        <w:gridCol w:w="60"/>
        <w:gridCol w:w="5645"/>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0"/>
              <w:jc w:val="left"/>
              <w:rPr>
                <w:rFonts w:ascii="arial" w:hAnsi="arial"/>
                <w:sz w:val="18"/>
              </w:rPr>
            </w:pPr>
            <w:r>
              <w:rPr>
                <w:rFonts w:ascii="arial" w:hAnsi="arial"/>
                <w:sz w:val="18"/>
              </w:rPr>
              <w:t xml:space="preserve">PSUs vest on the original vesting date based on actual performance. </w:t>
            </w:r>
          </w:p>
        </w:tc>
      </w:tr>
    </w:tbl>
    <w:p>
      <w:pPr>
        <w:pStyle w:val="TextBody"/>
        <w:bidi w:val="0"/>
        <w:spacing w:before="240" w:after="0"/>
        <w:jc w:val="left"/>
        <w:rPr>
          <w:rFonts w:ascii="Times New Roman" w:hAnsi="Times New Roman"/>
          <w:i/>
          <w:sz w:val="24"/>
        </w:rPr>
      </w:pPr>
      <w:r>
        <w:rPr>
          <w:rFonts w:ascii="Times New Roman" w:hAnsi="Times New Roman"/>
          <w:i/>
          <w:sz w:val="24"/>
        </w:rPr>
        <w:t xml:space="preserve">Change of Control </w:t>
      </w:r>
    </w:p>
    <w:p>
      <w:pPr>
        <w:pStyle w:val="TextBody"/>
        <w:bidi w:val="0"/>
        <w:spacing w:before="60" w:after="0"/>
        <w:jc w:val="left"/>
        <w:rPr>
          <w:rFonts w:ascii="arial" w:hAnsi="arial"/>
          <w:sz w:val="18"/>
        </w:rPr>
      </w:pPr>
      <w:r>
        <w:rPr>
          <w:rFonts w:ascii="arial" w:hAnsi="arial"/>
          <w:sz w:val="18"/>
        </w:rPr>
        <w:t xml:space="preserve">If such termination of Mr. Waters’ employment occurs within the 24-month period following a “change in control” or within the three months preceding or 24 months following a sale or spinoff of VS&amp;Co, subject to Mr. Waters’ execution and nonrevocation of a general waiver and release of claims, he will be entitled to receive: </w:t>
      </w:r>
    </w:p>
    <w:p>
      <w:pPr>
        <w:pStyle w:val="TextBody"/>
        <w:bidi w:val="0"/>
        <w:spacing w:before="0" w:after="0"/>
        <w:jc w:val="left"/>
        <w:rPr/>
      </w:pPr>
      <w:r>
        <w:rPr/>
        <w:t> </w:t>
      </w:r>
    </w:p>
    <w:tbl>
      <w:tblPr>
        <w:tblW w:w="4120" w:type="dxa"/>
        <w:jc w:val="left"/>
        <w:tblInd w:w="0" w:type="dxa"/>
        <w:tblLayout w:type="fixed"/>
        <w:tblCellMar>
          <w:top w:w="0" w:type="dxa"/>
          <w:left w:w="0" w:type="dxa"/>
          <w:bottom w:w="0" w:type="dxa"/>
          <w:right w:w="0" w:type="dxa"/>
        </w:tblCellMar>
      </w:tblPr>
      <w:tblGrid>
        <w:gridCol w:w="125"/>
        <w:gridCol w:w="60"/>
        <w:gridCol w:w="3935"/>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0"/>
              <w:jc w:val="left"/>
              <w:rPr>
                <w:rFonts w:ascii="arial" w:hAnsi="arial"/>
                <w:sz w:val="18"/>
              </w:rPr>
            </w:pPr>
            <w:r>
              <w:rPr>
                <w:rFonts w:ascii="arial" w:hAnsi="arial"/>
                <w:sz w:val="18"/>
              </w:rPr>
              <w:t xml:space="preserve">An amount equal to three times his base salary;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An amount equal to three times his target incentive compensation plus a pro-rated amount for the season in which the termination occurred based on actual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Accelerated vesting of any outstanding unvested equity awards held by him as of the termination date; performance goals will be deemed to be achieved at target levels if less than one-third of the applicable performance period has lapsed, otherwise performance goals will be deemed achieved at maximum levels;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For a period of 36 months following the termination of employment (or earlier if Mr. Waters becomes subsequently employed), Mr. Waters and his beneficiaries will be entitled to receive medical and dental benefits substantially similar in the aggregate to those provided prior to the date of his termination of employment. </w:t>
            </w:r>
          </w:p>
        </w:tc>
      </w:tr>
    </w:tbl>
    <w:p>
      <w:pPr>
        <w:pStyle w:val="TextBody"/>
        <w:bidi w:val="0"/>
        <w:spacing w:before="240" w:after="0"/>
        <w:jc w:val="left"/>
        <w:rPr>
          <w:rFonts w:ascii="arial" w:hAnsi="arial"/>
          <w:b/>
          <w:color w:val="F7ACBA"/>
          <w:sz w:val="24"/>
        </w:rPr>
      </w:pPr>
      <w:r>
        <w:rPr>
          <w:rFonts w:ascii="arial" w:hAnsi="arial"/>
          <w:b/>
          <w:color w:val="F7ACBA"/>
          <w:sz w:val="24"/>
        </w:rPr>
        <w:t xml:space="preserve">Messrs. Johnson and Unis and Mses. McAfee and Rupp’s Employment Agreements </w:t>
      </w:r>
    </w:p>
    <w:p>
      <w:pPr>
        <w:pStyle w:val="TextBody"/>
        <w:bidi w:val="0"/>
        <w:spacing w:before="60" w:after="0"/>
        <w:jc w:val="left"/>
        <w:rPr>
          <w:rFonts w:ascii="Times New Roman" w:hAnsi="Times New Roman"/>
          <w:i/>
          <w:sz w:val="24"/>
        </w:rPr>
      </w:pPr>
      <w:r>
        <w:rPr>
          <w:rFonts w:ascii="Times New Roman" w:hAnsi="Times New Roman"/>
          <w:i/>
          <w:sz w:val="24"/>
        </w:rPr>
        <w:t xml:space="preserve">Involuntary Termination </w:t>
      </w:r>
    </w:p>
    <w:p>
      <w:pPr>
        <w:pStyle w:val="TextBody"/>
        <w:bidi w:val="0"/>
        <w:spacing w:before="60" w:after="0"/>
        <w:jc w:val="left"/>
        <w:rPr>
          <w:rFonts w:ascii="arial" w:hAnsi="arial"/>
          <w:sz w:val="18"/>
        </w:rPr>
      </w:pPr>
      <w:r>
        <w:rPr>
          <w:rFonts w:ascii="arial" w:hAnsi="arial"/>
          <w:sz w:val="18"/>
        </w:rPr>
        <w:t xml:space="preserve">Pursuant to Messrs. Johnson and Unis and Mses. McAfee and Rupp’s employment agreements, in the event of a termination of employment by VS&amp;Co other than for “cause” or by the executive for “good reason,” other than during the 24-month period following a “change in control” or within the three months preceding or 24 months following a sale or spinoff of VS&amp;Co, subject to the executive’s execution and nonrevocation of a general waiver and release of claims, the executive will be entitled to receive: </w:t>
      </w:r>
    </w:p>
    <w:p>
      <w:pPr>
        <w:pStyle w:val="TextBody"/>
        <w:bidi w:val="0"/>
        <w:spacing w:before="0" w:after="0"/>
        <w:jc w:val="left"/>
        <w:rPr/>
      </w:pPr>
      <w:r>
        <w:rPr/>
        <w:t> </w:t>
      </w:r>
    </w:p>
    <w:tbl>
      <w:tblPr>
        <w:tblW w:w="7960" w:type="dxa"/>
        <w:jc w:val="left"/>
        <w:tblInd w:w="0" w:type="dxa"/>
        <w:tblLayout w:type="fixed"/>
        <w:tblCellMar>
          <w:top w:w="0" w:type="dxa"/>
          <w:left w:w="0" w:type="dxa"/>
          <w:bottom w:w="0" w:type="dxa"/>
          <w:right w:w="0" w:type="dxa"/>
        </w:tblCellMar>
      </w:tblPr>
      <w:tblGrid>
        <w:gridCol w:w="125"/>
        <w:gridCol w:w="60"/>
        <w:gridCol w:w="7775"/>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7775" w:type="dxa"/>
            <w:tcBorders/>
            <w:vAlign w:val="center"/>
          </w:tcPr>
          <w:p>
            <w:pPr>
              <w:pStyle w:val="TableContents"/>
              <w:bidi w:val="0"/>
              <w:spacing w:before="0" w:after="0"/>
              <w:jc w:val="left"/>
              <w:rPr>
                <w:rFonts w:ascii="arial" w:hAnsi="arial"/>
                <w:sz w:val="18"/>
              </w:rPr>
            </w:pPr>
            <w:r>
              <w:rPr>
                <w:rFonts w:ascii="arial" w:hAnsi="arial"/>
                <w:sz w:val="18"/>
              </w:rPr>
              <w:t xml:space="preserve">Continued payment of the executive’s base salary for 24 months following the termination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The incentive compensation the executive would have received if he or she had remained an associate of VS&amp;Co for one year following the termination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A pro-rated portion of any outstanding unvested equity awards held by the executive as of the termination date, vesting according to the original vesting schedule;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For a period of up to 24 months following the termination of employment, the executive and his or her beneficiaries will be entitled to receive medical and dental benefits substantially similar in the aggregate to those provided to the executive prior to the date of his or her termination of employment. </w:t>
            </w:r>
          </w:p>
        </w:tc>
      </w:tr>
    </w:tbl>
    <w:p>
      <w:pPr>
        <w:pStyle w:val="TextBody"/>
        <w:bidi w:val="0"/>
        <w:spacing w:before="240" w:after="0"/>
        <w:jc w:val="left"/>
        <w:rPr>
          <w:rFonts w:ascii="Times New Roman" w:hAnsi="Times New Roman"/>
          <w:i/>
          <w:sz w:val="24"/>
        </w:rPr>
      </w:pPr>
      <w:r>
        <w:rPr>
          <w:rFonts w:ascii="Times New Roman" w:hAnsi="Times New Roman"/>
          <w:i/>
          <w:sz w:val="24"/>
        </w:rPr>
        <w:t xml:space="preserve">Death or Disability </w:t>
      </w:r>
    </w:p>
    <w:p>
      <w:pPr>
        <w:pStyle w:val="TextBody"/>
        <w:bidi w:val="0"/>
        <w:spacing w:before="60" w:after="0"/>
        <w:jc w:val="left"/>
        <w:rPr>
          <w:rFonts w:ascii="arial" w:hAnsi="arial"/>
          <w:sz w:val="18"/>
        </w:rPr>
      </w:pPr>
      <w:r>
        <w:rPr>
          <w:rFonts w:ascii="arial" w:hAnsi="arial"/>
          <w:sz w:val="18"/>
        </w:rPr>
        <w:t xml:space="preserve">In the event of a termination due to death or disability, the post-termination benefits generally consist of: </w:t>
      </w:r>
    </w:p>
    <w:p>
      <w:pPr>
        <w:pStyle w:val="TextBody"/>
        <w:bidi w:val="0"/>
        <w:spacing w:before="0" w:after="0"/>
        <w:jc w:val="left"/>
        <w:rPr/>
      </w:pPr>
      <w:r>
        <w:rPr/>
        <w:t> </w:t>
      </w:r>
    </w:p>
    <w:tbl>
      <w:tblPr>
        <w:tblW w:w="5485" w:type="dxa"/>
        <w:jc w:val="left"/>
        <w:tblInd w:w="0" w:type="dxa"/>
        <w:tblLayout w:type="fixed"/>
        <w:tblCellMar>
          <w:top w:w="0" w:type="dxa"/>
          <w:left w:w="0" w:type="dxa"/>
          <w:bottom w:w="0" w:type="dxa"/>
          <w:right w:w="0" w:type="dxa"/>
        </w:tblCellMar>
      </w:tblPr>
      <w:tblGrid>
        <w:gridCol w:w="125"/>
        <w:gridCol w:w="60"/>
        <w:gridCol w:w="530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0"/>
              <w:jc w:val="left"/>
              <w:rPr>
                <w:rFonts w:ascii="arial" w:hAnsi="arial"/>
                <w:sz w:val="18"/>
              </w:rPr>
            </w:pPr>
            <w:r>
              <w:rPr>
                <w:rFonts w:ascii="arial" w:hAnsi="arial"/>
                <w:sz w:val="18"/>
              </w:rPr>
              <w:t xml:space="preserve">Pro-rated incentive compensation based on actual performance; </w:t>
            </w:r>
          </w:p>
        </w:tc>
      </w:tr>
    </w:tbl>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23"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12" descr=""/>
                          <pic:cNvPicPr>
                            <a:picLocks noChangeAspect="1" noChangeArrowheads="1"/>
                          </pic:cNvPicPr>
                        </pic:nvPicPr>
                        <pic:blipFill>
                          <a:blip r:embed="rId113"/>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68 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COMPENSATION DISCUSSION AND ANALYSIS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Accelerated vesting of stock options and RSUs in the event of death or stock options and RSUs vesting according to the original vesting schedule in the event of termination due to disability, and outstanding stock options remain exercisable within one year of termination, but in no case later than the date of expiration of the original term; and </w:t>
            </w:r>
          </w:p>
        </w:tc>
      </w:tr>
    </w:tbl>
    <w:p>
      <w:pPr>
        <w:pStyle w:val="TextBody"/>
        <w:bidi w:val="0"/>
        <w:spacing w:before="0" w:after="0"/>
        <w:jc w:val="left"/>
        <w:rPr/>
      </w:pPr>
      <w:r>
        <w:rPr/>
        <w:t> </w:t>
      </w:r>
    </w:p>
    <w:tbl>
      <w:tblPr>
        <w:tblW w:w="5830" w:type="dxa"/>
        <w:jc w:val="left"/>
        <w:tblInd w:w="0" w:type="dxa"/>
        <w:tblLayout w:type="fixed"/>
        <w:tblCellMar>
          <w:top w:w="0" w:type="dxa"/>
          <w:left w:w="0" w:type="dxa"/>
          <w:bottom w:w="0" w:type="dxa"/>
          <w:right w:w="0" w:type="dxa"/>
        </w:tblCellMar>
      </w:tblPr>
      <w:tblGrid>
        <w:gridCol w:w="125"/>
        <w:gridCol w:w="60"/>
        <w:gridCol w:w="5645"/>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0"/>
              <w:jc w:val="left"/>
              <w:rPr>
                <w:rFonts w:ascii="arial" w:hAnsi="arial"/>
                <w:sz w:val="18"/>
              </w:rPr>
            </w:pPr>
            <w:r>
              <w:rPr>
                <w:rFonts w:ascii="arial" w:hAnsi="arial"/>
                <w:sz w:val="18"/>
              </w:rPr>
              <w:t xml:space="preserve">PSUs vest on the original vesting date based on actual performance. </w:t>
            </w:r>
          </w:p>
        </w:tc>
      </w:tr>
    </w:tbl>
    <w:p>
      <w:pPr>
        <w:pStyle w:val="TextBody"/>
        <w:bidi w:val="0"/>
        <w:spacing w:before="240" w:after="0"/>
        <w:jc w:val="left"/>
        <w:rPr>
          <w:rFonts w:ascii="Times New Roman" w:hAnsi="Times New Roman"/>
          <w:i/>
          <w:sz w:val="24"/>
        </w:rPr>
      </w:pPr>
      <w:r>
        <w:rPr>
          <w:rFonts w:ascii="Times New Roman" w:hAnsi="Times New Roman"/>
          <w:i/>
          <w:sz w:val="24"/>
        </w:rPr>
        <w:t xml:space="preserve">Change of Control </w:t>
      </w:r>
    </w:p>
    <w:p>
      <w:pPr>
        <w:pStyle w:val="TextBody"/>
        <w:bidi w:val="0"/>
        <w:spacing w:before="60" w:after="0"/>
        <w:jc w:val="left"/>
        <w:rPr>
          <w:rFonts w:ascii="arial" w:hAnsi="arial"/>
          <w:sz w:val="18"/>
        </w:rPr>
      </w:pPr>
      <w:r>
        <w:rPr>
          <w:rFonts w:ascii="arial" w:hAnsi="arial"/>
          <w:sz w:val="18"/>
        </w:rPr>
        <w:t xml:space="preserve">If such termination of the executive’s employment occurs within the 24-month period following a “change in control” or within the three months preceding or 24 months following a sale or spinoff of VS&amp;Co, subject to the executive’s execution and nonrevocation of a general waiver and release of claims, the executive will be entitled to receive: </w:t>
      </w:r>
    </w:p>
    <w:p>
      <w:pPr>
        <w:pStyle w:val="TextBody"/>
        <w:bidi w:val="0"/>
        <w:spacing w:before="0" w:after="0"/>
        <w:jc w:val="left"/>
        <w:rPr/>
      </w:pPr>
      <w:r>
        <w:rPr/>
        <w:t> </w:t>
      </w:r>
    </w:p>
    <w:tbl>
      <w:tblPr>
        <w:tblW w:w="4510" w:type="dxa"/>
        <w:jc w:val="left"/>
        <w:tblInd w:w="0" w:type="dxa"/>
        <w:tblLayout w:type="fixed"/>
        <w:tblCellMar>
          <w:top w:w="0" w:type="dxa"/>
          <w:left w:w="0" w:type="dxa"/>
          <w:bottom w:w="0" w:type="dxa"/>
          <w:right w:w="0" w:type="dxa"/>
        </w:tblCellMar>
      </w:tblPr>
      <w:tblGrid>
        <w:gridCol w:w="125"/>
        <w:gridCol w:w="60"/>
        <w:gridCol w:w="4325"/>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0"/>
              <w:jc w:val="left"/>
              <w:rPr>
                <w:rFonts w:ascii="arial" w:hAnsi="arial"/>
                <w:sz w:val="18"/>
              </w:rPr>
            </w:pPr>
            <w:r>
              <w:rPr>
                <w:rFonts w:ascii="arial" w:hAnsi="arial"/>
                <w:sz w:val="18"/>
              </w:rPr>
              <w:t xml:space="preserve">An amount equal to two times his or her base salary;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An amount equal to the sum of the last four bonus payments plus a prorated amount for the season in which his or her employment is terminated, based on actual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Accelerated vesting of any outstanding unvested equity awards held by the executive as of the termination date; performance goals will be deemed to be achieved at target levels if less than one-third of the applicable performance period has lapsed, otherwise performance goals will be deemed achieved at maximum levels;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For a period of 24 months following the termination of employment (or earlier if the executive becomes subsequently employed), the executive and his beneficiaries will be entitled to receive medical and dental benefits substantially similar in the aggregate to those provided prior to the date of his or her termination of employment. </w:t>
            </w:r>
          </w:p>
        </w:tc>
      </w:tr>
    </w:tbl>
    <w:p>
      <w:pPr>
        <w:pStyle w:val="TextBody"/>
        <w:bidi w:val="0"/>
        <w:spacing w:before="240" w:after="0"/>
        <w:jc w:val="left"/>
        <w:rPr>
          <w:rFonts w:ascii="Times New Roman" w:hAnsi="Times New Roman"/>
          <w:i/>
          <w:sz w:val="24"/>
        </w:rPr>
      </w:pPr>
      <w:r>
        <w:rPr>
          <w:rFonts w:ascii="Times New Roman" w:hAnsi="Times New Roman"/>
          <w:i/>
          <w:sz w:val="24"/>
        </w:rPr>
        <w:t xml:space="preserve">Definitions of “Cause” and “Good Reason” </w:t>
      </w:r>
    </w:p>
    <w:p>
      <w:pPr>
        <w:pStyle w:val="TextBody"/>
        <w:bidi w:val="0"/>
        <w:spacing w:before="60" w:after="0"/>
        <w:jc w:val="left"/>
        <w:rPr>
          <w:rFonts w:ascii="arial" w:hAnsi="arial"/>
          <w:sz w:val="18"/>
        </w:rPr>
      </w:pPr>
      <w:r>
        <w:rPr>
          <w:rFonts w:ascii="arial" w:hAnsi="arial"/>
          <w:sz w:val="18"/>
        </w:rPr>
        <w:t xml:space="preserve">The agreements described above contain customary definitions of “cause” and “good reason.” “Cause” generally means that (i) the NEO was grossly negligent in the performance of his or her duties with the company (other than a failure resulting from the NEO’s incapacity due to physical or mental illness); (ii) the NEO has pled “guilty” or “no contest” to or has been convicted of an act which is defined as a felony under federal or state law; or (iii) the NEO engaged in misconduct in bad faith which could reasonably be expected to materially harm VS&amp;Co’s business or its reputation. </w:t>
      </w:r>
    </w:p>
    <w:p>
      <w:pPr>
        <w:pStyle w:val="TextBody"/>
        <w:bidi w:val="0"/>
        <w:spacing w:before="120" w:after="0"/>
        <w:jc w:val="left"/>
        <w:rPr>
          <w:rFonts w:ascii="arial" w:hAnsi="arial"/>
          <w:sz w:val="18"/>
        </w:rPr>
      </w:pPr>
      <w:r>
        <w:rPr>
          <w:rFonts w:ascii="arial" w:hAnsi="arial"/>
          <w:sz w:val="18"/>
        </w:rPr>
        <w:t xml:space="preserve">In addition, the NEO has the right to resign for “good reason” in case of certain events. “Good Reason” generally means (i) the NEO’s failure to continue in a capacity originally contemplated in the NEO’s agreement; (ii) the assignment to the NEO of any duties materially inconsistent with the NEO’s position, duties, authority, responsibilities or reporting requirements, as set out in his or her agreement; (iii) a material reduction of or a delay in payment of the NEO’s total cash compensation and benefits from those required to be provided; (iv) the failure by VS&amp;Co to obtain the assumption in writing of its obligation to perform the agreement by a successor; or (v) for Messrs. Johnson and Unis and Mses. McAfee and Rupp, the relocation of their principal place of employment from the current location. </w:t>
      </w:r>
    </w:p>
    <w:p>
      <w:pPr>
        <w:pStyle w:val="TextBody"/>
        <w:bidi w:val="0"/>
        <w:spacing w:before="240" w:after="0"/>
        <w:jc w:val="left"/>
        <w:rPr>
          <w:rFonts w:ascii="Times New Roman" w:hAnsi="Times New Roman"/>
          <w:i/>
          <w:sz w:val="24"/>
        </w:rPr>
      </w:pPr>
      <w:r>
        <w:rPr>
          <w:rFonts w:ascii="Times New Roman" w:hAnsi="Times New Roman"/>
          <w:i/>
          <w:sz w:val="24"/>
        </w:rPr>
        <w:t xml:space="preserve">Definition of “Change in Control” </w:t>
      </w:r>
    </w:p>
    <w:p>
      <w:pPr>
        <w:pStyle w:val="TextBody"/>
        <w:bidi w:val="0"/>
        <w:spacing w:before="60" w:after="0"/>
        <w:jc w:val="left"/>
        <w:rPr>
          <w:rFonts w:ascii="arial" w:hAnsi="arial"/>
          <w:sz w:val="18"/>
        </w:rPr>
      </w:pPr>
      <w:r>
        <w:rPr>
          <w:rFonts w:ascii="arial" w:hAnsi="arial"/>
          <w:sz w:val="18"/>
        </w:rPr>
        <w:t xml:space="preserve">A “change in control” will be deemed to have occurred upon the first of any of the following events to occur: (i) the consummation of any sale of stock, merger, consolidation, spin-off or similar transaction following which L Brands no longer directly or indirectly owns at least fifty percent (50%) of the voting securities of VS&amp;Co then outstanding; (ii) any person (other than an “excluded person,” as defined in the applicable agreement) becomes the “beneficial owner” (as defined under Rule 13d-3 of the Exchange Act) of securities representing fifty percent (50%) or more of the combined voting power of VS&amp;Co common stock then outstanding other than solely as a result of a stock acquisition by VS&amp;Co; provided that a person whose beneficial ownership increases to fifty percent (50%) or more as a result of a stock acquisition by VS&amp;Co which reduces the VS&amp;Co common stock outstanding and proportionately increases the percentage ownership of the remaining stockholders will not be treated as having an acquisition solely as a result of a stock acquisition by VS&amp;Co unless or until that person later becomes the “beneficial owner” of any additional VS&amp;Co common stock at a time that the person is the “beneficial owner” of fifty percent (50%) or more of the combined voting power of the VS&amp;Co common stock then outstanding; (iii) the sale or other disposition of all or substantially all of the assets of VS&amp;Co; or (iv) the consummation of a complete liquidation or dissolution of VS&amp;Co. </w:t>
      </w:r>
    </w:p>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24"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13" descr=""/>
                          <pic:cNvPicPr>
                            <a:picLocks noChangeAspect="1" noChangeArrowheads="1"/>
                          </pic:cNvPicPr>
                        </pic:nvPicPr>
                        <pic:blipFill>
                          <a:blip r:embed="rId114"/>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69 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COMPENSATION DISCUSSION AND ANALYSIS </w:t>
      </w:r>
    </w:p>
    <w:p>
      <w:pPr>
        <w:pStyle w:val="TextBody"/>
        <w:bidi w:val="0"/>
        <w:spacing w:before="0" w:after="0"/>
        <w:jc w:val="left"/>
        <w:rPr/>
      </w:pPr>
      <w:r>
        <w:rPr/>
        <w:t> </w:t>
      </w:r>
    </w:p>
    <w:p>
      <w:pPr>
        <w:pStyle w:val="TextBody"/>
        <w:bidi w:val="0"/>
        <w:spacing w:before="0" w:after="0"/>
        <w:jc w:val="left"/>
        <w:rPr>
          <w:rFonts w:ascii="Times New Roman" w:hAnsi="Times New Roman"/>
          <w:i/>
          <w:sz w:val="24"/>
        </w:rPr>
      </w:pPr>
      <w:r>
        <w:rPr>
          <w:rFonts w:ascii="Times New Roman" w:hAnsi="Times New Roman"/>
          <w:i/>
          <w:sz w:val="24"/>
        </w:rPr>
        <w:t xml:space="preserve">No Tax Gross-ups </w:t>
      </w:r>
    </w:p>
    <w:p>
      <w:pPr>
        <w:pStyle w:val="TextBody"/>
        <w:bidi w:val="0"/>
        <w:spacing w:before="60" w:after="0"/>
        <w:jc w:val="left"/>
        <w:rPr>
          <w:rFonts w:ascii="arial" w:hAnsi="arial"/>
          <w:sz w:val="18"/>
        </w:rPr>
      </w:pPr>
      <w:r>
        <w:rPr>
          <w:rFonts w:ascii="arial" w:hAnsi="arial"/>
          <w:sz w:val="18"/>
        </w:rPr>
        <w:t xml:space="preserve">In the event of a termination following a “change in control,” none of our NEOs are entitled to reimbursement or gross-up for any excise taxes that may be imposed under Section 280G of the Internal Revenue Code. </w:t>
      </w:r>
    </w:p>
    <w:p>
      <w:pPr>
        <w:pStyle w:val="TextBody"/>
        <w:bidi w:val="0"/>
        <w:spacing w:before="360" w:after="0"/>
        <w:jc w:val="left"/>
        <w:rPr>
          <w:rFonts w:ascii="arial" w:hAnsi="arial"/>
          <w:sz w:val="30"/>
        </w:rPr>
      </w:pPr>
      <w:bookmarkStart w:id="25" w:name="toc540996_19"/>
      <w:bookmarkEnd w:id="25"/>
      <w:r>
        <w:rPr>
          <w:rFonts w:ascii="arial" w:hAnsi="arial"/>
          <w:sz w:val="30"/>
        </w:rPr>
        <w:t xml:space="preserve">CEO Pay Ratio </w:t>
      </w:r>
    </w:p>
    <w:p>
      <w:pPr>
        <w:pStyle w:val="TextBody"/>
        <w:bidi w:val="0"/>
        <w:spacing w:before="120" w:after="0"/>
        <w:jc w:val="left"/>
        <w:rPr>
          <w:rFonts w:ascii="arial" w:hAnsi="arial"/>
          <w:sz w:val="18"/>
        </w:rPr>
      </w:pPr>
      <w:r>
        <w:rPr>
          <w:rFonts w:ascii="arial" w:hAnsi="arial"/>
          <w:sz w:val="18"/>
        </w:rPr>
        <w:t xml:space="preserve">As required by the Dodd-Frank Wall Street Reform and Consumer Protection Act (the “Dodd-Frank Act”) and SEC rules, the following disclosure provides the ratio of the annual total compensation of Mr. Waters, our CEO, to the annual total compensation of our median associate. </w:t>
      </w:r>
    </w:p>
    <w:p>
      <w:pPr>
        <w:pStyle w:val="TextBody"/>
        <w:bidi w:val="0"/>
        <w:spacing w:before="120" w:after="0"/>
        <w:jc w:val="left"/>
        <w:rPr>
          <w:rFonts w:ascii="arial" w:hAnsi="arial"/>
          <w:sz w:val="18"/>
        </w:rPr>
      </w:pPr>
      <w:r>
        <w:rPr>
          <w:rFonts w:ascii="arial" w:hAnsi="arial"/>
          <w:sz w:val="18"/>
        </w:rPr>
        <w:t xml:space="preserve">For fiscal 2023, the median annual total compensation of our associates, other than the CEO, was $14,774. Mr. Waters’ annual total compensation for fiscal 2023 was $10,925,251. Based on this information, the ratio of the annual total compensation of the CEO to the median annual total compensation of all other associates was estimated to be 739 to 1. </w:t>
      </w:r>
    </w:p>
    <w:p>
      <w:pPr>
        <w:pStyle w:val="TextBody"/>
        <w:bidi w:val="0"/>
        <w:spacing w:before="120" w:after="0"/>
        <w:jc w:val="left"/>
        <w:rPr>
          <w:rFonts w:ascii="arial" w:hAnsi="arial"/>
          <w:sz w:val="18"/>
        </w:rPr>
      </w:pPr>
      <w:r>
        <w:rPr>
          <w:rFonts w:ascii="arial" w:hAnsi="arial"/>
          <w:sz w:val="18"/>
        </w:rPr>
        <w:t xml:space="preserve">Our median associate was determined based on cash compensation paid during the fiscal year for all associates active as of the last day of the fiscal year, February 3, 2024, including part-time associates. The annual total compensation was calculated for both Mr. Waters and the median associate in accordance with the SEC rules applicable to the Summary Compensation Table. </w:t>
      </w:r>
    </w:p>
    <w:p>
      <w:pPr>
        <w:pStyle w:val="TextBody"/>
        <w:bidi w:val="0"/>
        <w:spacing w:before="120" w:after="0"/>
        <w:jc w:val="left"/>
        <w:rPr>
          <w:rFonts w:ascii="arial" w:hAnsi="arial"/>
          <w:sz w:val="18"/>
        </w:rPr>
      </w:pPr>
      <w:r>
        <w:rPr>
          <w:rFonts w:ascii="arial" w:hAnsi="arial"/>
          <w:sz w:val="18"/>
        </w:rPr>
        <w:t xml:space="preserve">The SEC’s rules for identifying the median associate and calculating the pay ratio allow companies to use different methodologies, exclusions, estimates and assumptions that reflect their associate populations and compensation practices. As a result, the pay ratio reported by us may not be comparable to the pay ratio reported by other companies. </w:t>
      </w:r>
    </w:p>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25"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14" descr=""/>
                          <pic:cNvPicPr>
                            <a:picLocks noChangeAspect="1" noChangeArrowheads="1"/>
                          </pic:cNvPicPr>
                        </pic:nvPicPr>
                        <pic:blipFill>
                          <a:blip r:embed="rId115"/>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lineRule="atLeast" w:line="180" w:before="0" w:after="0"/>
              <w:jc w:val="center"/>
              <w:rPr>
                <w:color w:val="F7ACBA"/>
              </w:rPr>
            </w:pPr>
            <w:r>
              <w:rPr>
                <w:color w:val="F7ACBA"/>
              </w:rPr>
              <w:t> </w:t>
            </w:r>
            <w:r>
              <w:rPr>
                <w:rFonts w:ascii="Times New Roman" w:hAnsi="Times New Roman"/>
                <w:b/>
                <w:color w:val="F7ACBA"/>
                <w:sz w:val="24"/>
              </w:rPr>
              <w:t>70 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shd w:fill="FFFFFF" w:val="clear"/>
        </w:rPr>
      </w:pPr>
      <w:r>
        <w:rPr>
          <w:rFonts w:ascii="ARIAL" w:hAnsi="ARIAL"/>
          <w:b/>
          <w:sz w:val="14"/>
          <w:shd w:fill="FFFFFF" w:val="clear"/>
        </w:rPr>
        <w:t xml:space="preserve">COMPENSATION DISCUSSION AND ANALYSIS </w:t>
      </w:r>
    </w:p>
    <w:p>
      <w:pPr>
        <w:pStyle w:val="TextBody"/>
        <w:bidi w:val="0"/>
        <w:spacing w:before="0" w:after="0"/>
        <w:jc w:val="left"/>
        <w:rPr>
          <w:shd w:fill="FFFFFF" w:val="clear"/>
        </w:rPr>
      </w:pPr>
      <w:r>
        <w:rPr>
          <w:shd w:fill="FFFFFF" w:val="clea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sz w:val="30"/>
        </w:rPr>
      </w:pPr>
      <w:r>
        <w:rPr>
          <w:rFonts w:ascii="arial" w:hAnsi="arial"/>
          <w:sz w:val="30"/>
        </w:rPr>
        <w:t xml:space="preserve">Pay Versus Performance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jc w:val="left"/>
        <w:rPr>
          <w:rFonts w:ascii="arial" w:hAnsi="arial"/>
          <w:sz w:val="18"/>
          <w:shd w:fill="FFFFFF" w:val="clear"/>
        </w:rPr>
      </w:pPr>
      <w:r>
        <w:rPr>
          <w:rFonts w:ascii="arial" w:hAnsi="arial"/>
          <w:sz w:val="18"/>
          <w:shd w:fill="FFFFFF" w:val="clear"/>
        </w:rPr>
        <w:t xml:space="preserve">As required by the Dodd-Frank Act and SEC rules, the following disclosure provides the relationship between executive compensation actually paid (as defined by SEC rules) and the financial performance of VS&amp;Co over the applicable time period. </w:t>
      </w:r>
    </w:p>
    <w:p>
      <w:pPr>
        <w:pStyle w:val="TextBody"/>
        <w:bidi w:val="0"/>
        <w:spacing w:before="0" w:after="0"/>
        <w:jc w:val="left"/>
        <w:rPr>
          <w:shd w:fill="FFFFFF" w:val="clear"/>
        </w:rPr>
      </w:pPr>
      <w:r>
        <w:rPr>
          <w:shd w:fill="FFFFFF" w:val="clear"/>
        </w:rPr>
        <w:t> </w:t>
      </w:r>
    </w:p>
    <w:tbl>
      <w:tblPr>
        <w:tblW w:w="12773" w:type="dxa"/>
        <w:jc w:val="left"/>
        <w:tblInd w:w="0" w:type="dxa"/>
        <w:tblLayout w:type="fixed"/>
        <w:tblCellMar>
          <w:top w:w="0" w:type="dxa"/>
          <w:left w:w="0" w:type="dxa"/>
          <w:bottom w:w="0" w:type="dxa"/>
          <w:right w:w="0" w:type="dxa"/>
        </w:tblCellMar>
      </w:tblPr>
      <w:tblGrid>
        <w:gridCol w:w="455"/>
        <w:gridCol w:w="60"/>
        <w:gridCol w:w="77"/>
        <w:gridCol w:w="1413"/>
        <w:gridCol w:w="60"/>
        <w:gridCol w:w="60"/>
        <w:gridCol w:w="77"/>
        <w:gridCol w:w="1413"/>
        <w:gridCol w:w="155"/>
        <w:gridCol w:w="60"/>
        <w:gridCol w:w="85"/>
        <w:gridCol w:w="1405"/>
        <w:gridCol w:w="60"/>
        <w:gridCol w:w="60"/>
        <w:gridCol w:w="85"/>
        <w:gridCol w:w="1405"/>
        <w:gridCol w:w="60"/>
        <w:gridCol w:w="60"/>
        <w:gridCol w:w="239"/>
        <w:gridCol w:w="1041"/>
        <w:gridCol w:w="144"/>
        <w:gridCol w:w="144"/>
        <w:gridCol w:w="173"/>
        <w:gridCol w:w="1107"/>
        <w:gridCol w:w="60"/>
        <w:gridCol w:w="60"/>
        <w:gridCol w:w="60"/>
        <w:gridCol w:w="1220"/>
        <w:gridCol w:w="60"/>
        <w:gridCol w:w="60"/>
        <w:gridCol w:w="60"/>
        <w:gridCol w:w="1220"/>
        <w:gridCol w:w="75"/>
      </w:tblGrid>
      <w:tr>
        <w:trPr/>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5" w:type="dxa"/>
            <w:tcBorders/>
            <w:shd w:fill="FDEEF1" w:val="clear"/>
            <w:vAlign w:val="center"/>
          </w:tcPr>
          <w:p>
            <w:pPr>
              <w:pStyle w:val="TableContents"/>
              <w:bidi w:val="0"/>
              <w:spacing w:before="0" w:after="283"/>
              <w:jc w:val="left"/>
              <w:rPr>
                <w:sz w:val="4"/>
                <w:szCs w:val="4"/>
              </w:rPr>
            </w:pPr>
            <w:r>
              <w:rPr>
                <w:sz w:val="4"/>
                <w:szCs w:val="4"/>
              </w:rPr>
            </w:r>
          </w:p>
        </w:tc>
        <w:tc>
          <w:tcPr>
            <w:tcW w:w="1610" w:type="dxa"/>
            <w:gridSpan w:val="4"/>
            <w:tcBorders/>
            <w:shd w:fill="FDEEF1" w:val="clear"/>
            <w:vAlign w:val="center"/>
          </w:tcPr>
          <w:p>
            <w:pPr>
              <w:pStyle w:val="TableContents"/>
              <w:bidi w:val="0"/>
              <w:spacing w:before="0" w:after="283"/>
              <w:jc w:val="left"/>
              <w:rPr>
                <w:sz w:val="4"/>
                <w:szCs w:val="4"/>
              </w:rPr>
            </w:pPr>
            <w:r>
              <w:rPr>
                <w:sz w:val="4"/>
                <w:szCs w:val="4"/>
              </w:rPr>
            </w:r>
          </w:p>
        </w:tc>
        <w:tc>
          <w:tcPr>
            <w:tcW w:w="1705" w:type="dxa"/>
            <w:gridSpan w:val="4"/>
            <w:tcBorders/>
            <w:shd w:fill="FDEEF1" w:val="clear"/>
            <w:vAlign w:val="center"/>
          </w:tcPr>
          <w:p>
            <w:pPr>
              <w:pStyle w:val="TableContents"/>
              <w:bidi w:val="0"/>
              <w:spacing w:before="0" w:after="283"/>
              <w:jc w:val="left"/>
              <w:rPr>
                <w:sz w:val="4"/>
                <w:szCs w:val="4"/>
              </w:rPr>
            </w:pPr>
            <w:r>
              <w:rPr>
                <w:sz w:val="4"/>
                <w:szCs w:val="4"/>
              </w:rPr>
            </w:r>
          </w:p>
        </w:tc>
        <w:tc>
          <w:tcPr>
            <w:tcW w:w="1610" w:type="dxa"/>
            <w:gridSpan w:val="4"/>
            <w:tcBorders/>
            <w:shd w:fill="FDEEF1" w:val="clear"/>
            <w:vAlign w:val="center"/>
          </w:tcPr>
          <w:p>
            <w:pPr>
              <w:pStyle w:val="TableContents"/>
              <w:bidi w:val="0"/>
              <w:spacing w:before="0" w:after="283"/>
              <w:jc w:val="left"/>
              <w:rPr>
                <w:sz w:val="4"/>
                <w:szCs w:val="4"/>
              </w:rPr>
            </w:pPr>
            <w:r>
              <w:rPr>
                <w:sz w:val="4"/>
                <w:szCs w:val="4"/>
              </w:rPr>
            </w:r>
          </w:p>
        </w:tc>
        <w:tc>
          <w:tcPr>
            <w:tcW w:w="1610" w:type="dxa"/>
            <w:gridSpan w:val="4"/>
            <w:tcBorders/>
            <w:shd w:fill="FDEEF1" w:val="clear"/>
            <w:vAlign w:val="center"/>
          </w:tcPr>
          <w:p>
            <w:pPr>
              <w:pStyle w:val="TableContents"/>
              <w:bidi w:val="0"/>
              <w:spacing w:before="0" w:after="283"/>
              <w:jc w:val="left"/>
              <w:rPr>
                <w:sz w:val="4"/>
                <w:szCs w:val="4"/>
              </w:rPr>
            </w:pPr>
            <w:r>
              <w:rPr>
                <w:sz w:val="4"/>
                <w:szCs w:val="4"/>
              </w:rPr>
            </w:r>
          </w:p>
        </w:tc>
        <w:tc>
          <w:tcPr>
            <w:tcW w:w="2968" w:type="dxa"/>
            <w:gridSpan w:val="8"/>
            <w:tcBorders/>
            <w:shd w:fill="FDEEF1" w:val="clear"/>
            <w:vAlign w:val="center"/>
          </w:tcPr>
          <w:p>
            <w:pPr>
              <w:pStyle w:val="TableContents"/>
              <w:bidi w:val="0"/>
              <w:spacing w:before="0" w:after="283"/>
              <w:jc w:val="left"/>
              <w:rPr>
                <w:sz w:val="4"/>
                <w:szCs w:val="4"/>
              </w:rPr>
            </w:pPr>
            <w:r>
              <w:rPr>
                <w:sz w:val="4"/>
                <w:szCs w:val="4"/>
              </w:rPr>
            </w:r>
          </w:p>
        </w:tc>
        <w:tc>
          <w:tcPr>
            <w:tcW w:w="1400" w:type="dxa"/>
            <w:gridSpan w:val="4"/>
            <w:tcBorders/>
            <w:shd w:fill="FDEEF1" w:val="clear"/>
            <w:vAlign w:val="center"/>
          </w:tcPr>
          <w:p>
            <w:pPr>
              <w:pStyle w:val="TableContents"/>
              <w:bidi w:val="0"/>
              <w:spacing w:before="0" w:after="283"/>
              <w:jc w:val="left"/>
              <w:rPr>
                <w:sz w:val="4"/>
                <w:szCs w:val="4"/>
              </w:rPr>
            </w:pPr>
            <w:r>
              <w:rPr>
                <w:sz w:val="4"/>
                <w:szCs w:val="4"/>
              </w:rPr>
            </w:r>
          </w:p>
        </w:tc>
        <w:tc>
          <w:tcPr>
            <w:tcW w:w="1415" w:type="dxa"/>
            <w:gridSpan w:val="4"/>
            <w:tcBorders/>
            <w:shd w:fill="FDEEF1" w:val="clear"/>
            <w:vAlign w:val="center"/>
          </w:tcPr>
          <w:p>
            <w:pPr>
              <w:pStyle w:val="TableContents"/>
              <w:bidi w:val="0"/>
              <w:spacing w:before="0" w:after="283"/>
              <w:jc w:val="left"/>
              <w:rPr>
                <w:sz w:val="4"/>
                <w:szCs w:val="4"/>
              </w:rPr>
            </w:pPr>
            <w:r>
              <w:rPr>
                <w:sz w:val="4"/>
                <w:szCs w:val="4"/>
              </w:rPr>
            </w:r>
          </w:p>
        </w:tc>
      </w:tr>
      <w:tr>
        <w:trPr/>
        <w:tc>
          <w:tcPr>
            <w:tcW w:w="455" w:type="dxa"/>
            <w:tcBorders/>
            <w:shd w:fill="FDEEF1" w:val="clear"/>
            <w:vAlign w:val="center"/>
          </w:tcPr>
          <w:p>
            <w:pPr>
              <w:pStyle w:val="TableContents"/>
              <w:bidi w:val="0"/>
              <w:spacing w:before="0" w:after="0"/>
              <w:jc w:val="left"/>
              <w:rPr/>
            </w:pPr>
            <w:r>
              <w:rPr/>
              <w:t xml:space="preserve">  </w:t>
            </w:r>
          </w:p>
          <w:p>
            <w:pPr>
              <w:pStyle w:val="TableContents"/>
              <w:bidi w:val="0"/>
              <w:spacing w:before="0" w:after="0"/>
              <w:jc w:val="left"/>
              <w:rPr/>
            </w:pPr>
            <w:r>
              <w:rPr/>
              <w:t> </w:t>
            </w:r>
          </w:p>
        </w:tc>
        <w:tc>
          <w:tcPr>
            <w:tcW w:w="60" w:type="dxa"/>
            <w:tcBorders/>
            <w:shd w:fill="FDEEF1" w:val="clear"/>
            <w:vAlign w:val="center"/>
          </w:tcPr>
          <w:p>
            <w:pPr>
              <w:pStyle w:val="TableContents"/>
              <w:bidi w:val="0"/>
              <w:spacing w:before="0" w:after="283"/>
              <w:jc w:val="left"/>
              <w:rPr/>
            </w:pPr>
            <w:r>
              <w:rPr/>
              <w:t> </w:t>
            </w:r>
          </w:p>
        </w:tc>
        <w:tc>
          <w:tcPr>
            <w:tcW w:w="1490" w:type="dxa"/>
            <w:gridSpan w:val="2"/>
            <w:tcBorders/>
            <w:shd w:fill="FDEEF1" w:val="clear"/>
            <w:vAlign w:val="center"/>
          </w:tcPr>
          <w:p>
            <w:pPr>
              <w:pStyle w:val="TableContents"/>
              <w:bidi w:val="0"/>
              <w:spacing w:before="0" w:after="0"/>
              <w:jc w:val="left"/>
              <w:rPr/>
            </w:pPr>
            <w:r>
              <w:rPr/>
              <w:t xml:space="preserve">  </w:t>
            </w:r>
          </w:p>
          <w:p>
            <w:pPr>
              <w:pStyle w:val="TableContents"/>
              <w:bidi w:val="0"/>
              <w:spacing w:before="0" w:after="0"/>
              <w:jc w:val="left"/>
              <w:rPr/>
            </w:pPr>
            <w:r>
              <w:rPr/>
              <w:t> </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490" w:type="dxa"/>
            <w:gridSpan w:val="2"/>
            <w:tcBorders/>
            <w:shd w:fill="FDEEF1" w:val="clear"/>
            <w:vAlign w:val="center"/>
          </w:tcPr>
          <w:p>
            <w:pPr>
              <w:pStyle w:val="TableContents"/>
              <w:bidi w:val="0"/>
              <w:spacing w:before="0" w:after="0"/>
              <w:jc w:val="left"/>
              <w:rPr/>
            </w:pPr>
            <w:r>
              <w:rPr/>
              <w:t xml:space="preserve">  </w:t>
            </w:r>
          </w:p>
          <w:p>
            <w:pPr>
              <w:pStyle w:val="TableContents"/>
              <w:bidi w:val="0"/>
              <w:spacing w:before="0" w:after="0"/>
              <w:jc w:val="left"/>
              <w:rPr/>
            </w:pPr>
            <w:r>
              <w:rPr/>
              <w:t> </w:t>
            </w:r>
          </w:p>
        </w:tc>
        <w:tc>
          <w:tcPr>
            <w:tcW w:w="155"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490" w:type="dxa"/>
            <w:gridSpan w:val="2"/>
            <w:tcBorders/>
            <w:shd w:fill="FDEEF1" w:val="clear"/>
            <w:vAlign w:val="center"/>
          </w:tcPr>
          <w:p>
            <w:pPr>
              <w:pStyle w:val="TableContents"/>
              <w:bidi w:val="0"/>
              <w:spacing w:before="0" w:after="0"/>
              <w:jc w:val="left"/>
              <w:rPr/>
            </w:pPr>
            <w:r>
              <w:rPr/>
              <w:t xml:space="preserve">  </w:t>
            </w:r>
          </w:p>
          <w:p>
            <w:pPr>
              <w:pStyle w:val="TableContents"/>
              <w:bidi w:val="0"/>
              <w:spacing w:before="0" w:after="0"/>
              <w:jc w:val="left"/>
              <w:rPr/>
            </w:pPr>
            <w:r>
              <w:rPr/>
              <w:t> </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490" w:type="dxa"/>
            <w:gridSpan w:val="2"/>
            <w:tcBorders/>
            <w:shd w:fill="FDEEF1" w:val="clear"/>
            <w:vAlign w:val="center"/>
          </w:tcPr>
          <w:p>
            <w:pPr>
              <w:pStyle w:val="TableContents"/>
              <w:bidi w:val="0"/>
              <w:spacing w:before="0" w:after="0"/>
              <w:jc w:val="left"/>
              <w:rPr/>
            </w:pPr>
            <w:r>
              <w:rPr/>
              <w:t xml:space="preserve">  </w:t>
            </w:r>
          </w:p>
          <w:p>
            <w:pPr>
              <w:pStyle w:val="TableContents"/>
              <w:bidi w:val="0"/>
              <w:spacing w:before="0" w:after="0"/>
              <w:jc w:val="left"/>
              <w:rPr/>
            </w:pPr>
            <w:r>
              <w:rPr/>
              <w:t> </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2848" w:type="dxa"/>
            <w:gridSpan w:val="6"/>
            <w:tcBorders/>
            <w:shd w:fill="FDEEF1" w:val="clear"/>
            <w:vAlign w:val="center"/>
          </w:tcPr>
          <w:p>
            <w:pPr>
              <w:pStyle w:val="TableContents"/>
              <w:bidi w:val="0"/>
              <w:spacing w:before="0" w:after="0"/>
              <w:jc w:val="center"/>
              <w:rPr>
                <w:bdr w:val="single" w:sz="8" w:space="1" w:color="000000"/>
              </w:rPr>
            </w:pPr>
            <w:r>
              <w:rPr>
                <w:bdr w:val="single" w:sz="8" w:space="1" w:color="000000"/>
              </w:rPr>
              <w:t> </w:t>
            </w:r>
            <w:r>
              <w:rPr>
                <w:rFonts w:ascii="arial" w:hAnsi="arial"/>
                <w:b/>
                <w:sz w:val="16"/>
                <w:bdr w:val="single" w:sz="8" w:space="1" w:color="000000"/>
              </w:rPr>
              <w:t>Value of Initial Fixed $100 </w:t>
              <w:br/>
              <w:t>Investment Based on:</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280" w:type="dxa"/>
            <w:gridSpan w:val="2"/>
            <w:tcBorders/>
            <w:shd w:fill="FDEEF1" w:val="clear"/>
            <w:vAlign w:val="center"/>
          </w:tcPr>
          <w:p>
            <w:pPr>
              <w:pStyle w:val="TableContents"/>
              <w:bidi w:val="0"/>
              <w:spacing w:before="0" w:after="0"/>
              <w:jc w:val="left"/>
              <w:rPr/>
            </w:pPr>
            <w:r>
              <w:rPr/>
              <w:t xml:space="preserve">  </w:t>
            </w:r>
          </w:p>
          <w:p>
            <w:pPr>
              <w:pStyle w:val="TableContents"/>
              <w:bidi w:val="0"/>
              <w:spacing w:before="0" w:after="0"/>
              <w:jc w:val="left"/>
              <w:rPr/>
            </w:pPr>
            <w:r>
              <w:rPr/>
              <w:t> </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280" w:type="dxa"/>
            <w:gridSpan w:val="2"/>
            <w:tcBorders/>
            <w:shd w:fill="FDEEF1" w:val="clear"/>
            <w:vAlign w:val="center"/>
          </w:tcPr>
          <w:p>
            <w:pPr>
              <w:pStyle w:val="TableContents"/>
              <w:bidi w:val="0"/>
              <w:spacing w:before="0" w:after="0"/>
              <w:jc w:val="left"/>
              <w:rPr/>
            </w:pPr>
            <w:r>
              <w:rPr/>
              <w:t xml:space="preserve">  </w:t>
            </w:r>
          </w:p>
          <w:p>
            <w:pPr>
              <w:pStyle w:val="TableContents"/>
              <w:bidi w:val="0"/>
              <w:spacing w:before="0" w:after="0"/>
              <w:jc w:val="left"/>
              <w:rPr/>
            </w:pPr>
            <w:r>
              <w:rPr/>
              <w:t> </w:t>
            </w:r>
          </w:p>
        </w:tc>
        <w:tc>
          <w:tcPr>
            <w:tcW w:w="75" w:type="dxa"/>
            <w:tcBorders/>
            <w:shd w:fill="FDEEF1" w:val="clear"/>
            <w:vAlign w:val="center"/>
          </w:tcPr>
          <w:p>
            <w:pPr>
              <w:pStyle w:val="TableContents"/>
              <w:bidi w:val="0"/>
              <w:spacing w:before="0" w:after="283"/>
              <w:jc w:val="left"/>
              <w:rPr/>
            </w:pPr>
            <w:r>
              <w:rPr/>
              <w:t> </w:t>
            </w:r>
          </w:p>
        </w:tc>
      </w:tr>
      <w:tr>
        <w:trPr/>
        <w:tc>
          <w:tcPr>
            <w:tcW w:w="455" w:type="dxa"/>
            <w:tcBorders/>
            <w:shd w:fill="FDEEF1" w:val="clear"/>
            <w:vAlign w:val="center"/>
          </w:tcPr>
          <w:p>
            <w:pPr>
              <w:pStyle w:val="TableContents"/>
              <w:bidi w:val="0"/>
              <w:spacing w:before="0" w:after="283"/>
              <w:jc w:val="left"/>
              <w:rPr>
                <w:sz w:val="4"/>
                <w:szCs w:val="4"/>
              </w:rPr>
            </w:pPr>
            <w:r>
              <w:rPr>
                <w:sz w:val="4"/>
                <w:szCs w:val="4"/>
              </w:rPr>
            </w:r>
          </w:p>
        </w:tc>
        <w:tc>
          <w:tcPr>
            <w:tcW w:w="1610" w:type="dxa"/>
            <w:gridSpan w:val="4"/>
            <w:tcBorders/>
            <w:shd w:fill="FDEEF1" w:val="clear"/>
            <w:vAlign w:val="center"/>
          </w:tcPr>
          <w:p>
            <w:pPr>
              <w:pStyle w:val="TableContents"/>
              <w:bidi w:val="0"/>
              <w:spacing w:before="0" w:after="283"/>
              <w:jc w:val="left"/>
              <w:rPr>
                <w:sz w:val="4"/>
                <w:szCs w:val="4"/>
              </w:rPr>
            </w:pPr>
            <w:r>
              <w:rPr>
                <w:sz w:val="4"/>
                <w:szCs w:val="4"/>
              </w:rPr>
            </w:r>
          </w:p>
        </w:tc>
        <w:tc>
          <w:tcPr>
            <w:tcW w:w="1705" w:type="dxa"/>
            <w:gridSpan w:val="4"/>
            <w:tcBorders/>
            <w:shd w:fill="FDEEF1" w:val="clear"/>
            <w:vAlign w:val="center"/>
          </w:tcPr>
          <w:p>
            <w:pPr>
              <w:pStyle w:val="TableContents"/>
              <w:bidi w:val="0"/>
              <w:spacing w:before="0" w:after="283"/>
              <w:jc w:val="left"/>
              <w:rPr>
                <w:sz w:val="4"/>
                <w:szCs w:val="4"/>
              </w:rPr>
            </w:pPr>
            <w:r>
              <w:rPr>
                <w:sz w:val="4"/>
                <w:szCs w:val="4"/>
              </w:rPr>
            </w:r>
          </w:p>
        </w:tc>
        <w:tc>
          <w:tcPr>
            <w:tcW w:w="1610" w:type="dxa"/>
            <w:gridSpan w:val="4"/>
            <w:tcBorders/>
            <w:shd w:fill="FDEEF1" w:val="clear"/>
            <w:vAlign w:val="center"/>
          </w:tcPr>
          <w:p>
            <w:pPr>
              <w:pStyle w:val="TableContents"/>
              <w:bidi w:val="0"/>
              <w:spacing w:before="0" w:after="283"/>
              <w:jc w:val="left"/>
              <w:rPr>
                <w:sz w:val="4"/>
                <w:szCs w:val="4"/>
              </w:rPr>
            </w:pPr>
            <w:r>
              <w:rPr>
                <w:sz w:val="4"/>
                <w:szCs w:val="4"/>
              </w:rPr>
            </w:r>
          </w:p>
        </w:tc>
        <w:tc>
          <w:tcPr>
            <w:tcW w:w="1610" w:type="dxa"/>
            <w:gridSpan w:val="4"/>
            <w:tcBorders/>
            <w:shd w:fill="FDEEF1" w:val="clear"/>
            <w:vAlign w:val="center"/>
          </w:tcPr>
          <w:p>
            <w:pPr>
              <w:pStyle w:val="TableContents"/>
              <w:bidi w:val="0"/>
              <w:spacing w:before="0" w:after="283"/>
              <w:jc w:val="left"/>
              <w:rPr>
                <w:sz w:val="4"/>
                <w:szCs w:val="4"/>
              </w:rPr>
            </w:pPr>
            <w:r>
              <w:rPr>
                <w:sz w:val="4"/>
                <w:szCs w:val="4"/>
              </w:rPr>
            </w:r>
          </w:p>
        </w:tc>
        <w:tc>
          <w:tcPr>
            <w:tcW w:w="1484" w:type="dxa"/>
            <w:gridSpan w:val="4"/>
            <w:tcBorders/>
            <w:shd w:fill="FDEEF1" w:val="clear"/>
            <w:vAlign w:val="center"/>
          </w:tcPr>
          <w:p>
            <w:pPr>
              <w:pStyle w:val="TableContents"/>
              <w:bidi w:val="0"/>
              <w:spacing w:before="0" w:after="283"/>
              <w:jc w:val="left"/>
              <w:rPr>
                <w:sz w:val="4"/>
                <w:szCs w:val="4"/>
              </w:rPr>
            </w:pPr>
            <w:r>
              <w:rPr>
                <w:sz w:val="4"/>
                <w:szCs w:val="4"/>
              </w:rPr>
            </w:r>
          </w:p>
        </w:tc>
        <w:tc>
          <w:tcPr>
            <w:tcW w:w="1484" w:type="dxa"/>
            <w:gridSpan w:val="4"/>
            <w:tcBorders/>
            <w:shd w:fill="FDEEF1" w:val="clear"/>
            <w:vAlign w:val="center"/>
          </w:tcPr>
          <w:p>
            <w:pPr>
              <w:pStyle w:val="TableContents"/>
              <w:bidi w:val="0"/>
              <w:spacing w:before="0" w:after="283"/>
              <w:jc w:val="left"/>
              <w:rPr>
                <w:sz w:val="4"/>
                <w:szCs w:val="4"/>
              </w:rPr>
            </w:pPr>
            <w:r>
              <w:rPr>
                <w:sz w:val="4"/>
                <w:szCs w:val="4"/>
              </w:rPr>
            </w:r>
          </w:p>
        </w:tc>
        <w:tc>
          <w:tcPr>
            <w:tcW w:w="1400" w:type="dxa"/>
            <w:gridSpan w:val="4"/>
            <w:tcBorders/>
            <w:shd w:fill="FDEEF1" w:val="clear"/>
            <w:vAlign w:val="center"/>
          </w:tcPr>
          <w:p>
            <w:pPr>
              <w:pStyle w:val="TableContents"/>
              <w:bidi w:val="0"/>
              <w:spacing w:before="0" w:after="283"/>
              <w:jc w:val="left"/>
              <w:rPr>
                <w:sz w:val="4"/>
                <w:szCs w:val="4"/>
              </w:rPr>
            </w:pPr>
            <w:r>
              <w:rPr>
                <w:sz w:val="4"/>
                <w:szCs w:val="4"/>
              </w:rPr>
            </w:r>
          </w:p>
        </w:tc>
        <w:tc>
          <w:tcPr>
            <w:tcW w:w="1415" w:type="dxa"/>
            <w:gridSpan w:val="4"/>
            <w:tcBorders/>
            <w:shd w:fill="FDEEF1" w:val="clear"/>
            <w:vAlign w:val="center"/>
          </w:tcPr>
          <w:p>
            <w:pPr>
              <w:pStyle w:val="TableContents"/>
              <w:bidi w:val="0"/>
              <w:spacing w:before="0" w:after="283"/>
              <w:jc w:val="left"/>
              <w:rPr>
                <w:sz w:val="4"/>
                <w:szCs w:val="4"/>
              </w:rPr>
            </w:pPr>
            <w:r>
              <w:rPr>
                <w:sz w:val="4"/>
                <w:szCs w:val="4"/>
              </w:rPr>
            </w:r>
          </w:p>
        </w:tc>
      </w:tr>
      <w:tr>
        <w:trPr/>
        <w:tc>
          <w:tcPr>
            <w:tcW w:w="455" w:type="dxa"/>
            <w:tcBorders/>
            <w:shd w:fill="FDEEF1" w:val="clear"/>
            <w:vAlign w:val="center"/>
          </w:tcPr>
          <w:p>
            <w:pPr>
              <w:pStyle w:val="TableContents"/>
              <w:bidi w:val="0"/>
              <w:spacing w:before="0" w:after="0"/>
              <w:jc w:val="left"/>
              <w:rPr>
                <w:rFonts w:ascii="arial" w:hAnsi="arial"/>
                <w:b/>
                <w:sz w:val="16"/>
              </w:rPr>
            </w:pPr>
            <w:r>
              <w:rPr>
                <w:rFonts w:ascii="arial" w:hAnsi="arial"/>
                <w:b/>
                <w:sz w:val="16"/>
              </w:rPr>
              <w:t>Year</w:t>
            </w:r>
          </w:p>
        </w:tc>
        <w:tc>
          <w:tcPr>
            <w:tcW w:w="60" w:type="dxa"/>
            <w:tcBorders/>
            <w:shd w:fill="FDEEF1" w:val="clear"/>
            <w:vAlign w:val="center"/>
          </w:tcPr>
          <w:p>
            <w:pPr>
              <w:pStyle w:val="TableContents"/>
              <w:bidi w:val="0"/>
              <w:spacing w:before="0" w:after="283"/>
              <w:jc w:val="left"/>
              <w:rPr/>
            </w:pPr>
            <w:r>
              <w:rPr/>
              <w:t> </w:t>
            </w:r>
          </w:p>
        </w:tc>
        <w:tc>
          <w:tcPr>
            <w:tcW w:w="1490" w:type="dxa"/>
            <w:gridSpan w:val="2"/>
            <w:tcBorders/>
            <w:shd w:fill="FDEEF1" w:val="clear"/>
            <w:vAlign w:val="center"/>
          </w:tcPr>
          <w:p>
            <w:pPr>
              <w:pStyle w:val="TableContents"/>
              <w:bidi w:val="0"/>
              <w:spacing w:before="0" w:after="0"/>
              <w:jc w:val="center"/>
              <w:rPr>
                <w:b/>
                <w:spacing w:val="0"/>
              </w:rPr>
            </w:pPr>
            <w:r>
              <w:rPr>
                <w:b/>
                <w:spacing w:val="0"/>
              </w:rPr>
              <w:t>Summary</w:t>
              <w:br/>
              <w:t>Compensation</w:t>
              <w:br/>
              <w:t>Table Total</w:t>
              <w:br/>
              <w:t>for PEO</w:t>
            </w:r>
          </w:p>
          <w:p>
            <w:pPr>
              <w:pStyle w:val="TableContents"/>
              <w:bidi w:val="0"/>
              <w:spacing w:before="0" w:after="0"/>
              <w:jc w:val="center"/>
              <w:rPr>
                <w:b/>
                <w:spacing w:val="0"/>
                <w:sz w:val="9"/>
              </w:rPr>
            </w:pPr>
            <w:r>
              <w:rPr>
                <w:b/>
                <w:spacing w:val="0"/>
                <w:sz w:val="9"/>
              </w:rPr>
              <w:t>(1)</w:t>
            </w:r>
          </w:p>
          <w:p>
            <w:pPr>
              <w:pStyle w:val="TableContents"/>
              <w:bidi w:val="0"/>
              <w:spacing w:before="0" w:after="0"/>
              <w:jc w:val="center"/>
              <w:rPr>
                <w:b/>
                <w:spacing w:val="0"/>
              </w:rPr>
            </w:pPr>
            <w:r>
              <w:rPr>
                <w:b/>
                <w:spacing w:val="0"/>
              </w:rPr>
              <w:t>($)</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490" w:type="dxa"/>
            <w:gridSpan w:val="2"/>
            <w:tcBorders/>
            <w:shd w:fill="FDEEF1" w:val="clear"/>
            <w:vAlign w:val="center"/>
          </w:tcPr>
          <w:p>
            <w:pPr>
              <w:pStyle w:val="TableContents"/>
              <w:bidi w:val="0"/>
              <w:spacing w:before="0" w:after="0"/>
              <w:jc w:val="center"/>
              <w:rPr>
                <w:b/>
                <w:spacing w:val="0"/>
              </w:rPr>
            </w:pPr>
            <w:r>
              <w:rPr>
                <w:b/>
                <w:spacing w:val="0"/>
              </w:rPr>
              <w:t>Compensation</w:t>
              <w:br/>
              <w:t>Actually Paid</w:t>
              <w:br/>
              <w:t>to PEO</w:t>
            </w:r>
          </w:p>
          <w:p>
            <w:pPr>
              <w:pStyle w:val="TableContents"/>
              <w:bidi w:val="0"/>
              <w:spacing w:before="0" w:after="0"/>
              <w:jc w:val="center"/>
              <w:rPr>
                <w:b/>
                <w:spacing w:val="0"/>
                <w:sz w:val="9"/>
              </w:rPr>
            </w:pPr>
            <w:r>
              <w:rPr>
                <w:b/>
                <w:spacing w:val="0"/>
                <w:sz w:val="9"/>
              </w:rPr>
              <w:t>(2)</w:t>
            </w:r>
          </w:p>
          <w:p>
            <w:pPr>
              <w:pStyle w:val="TableContents"/>
              <w:bidi w:val="0"/>
              <w:spacing w:before="0" w:after="0"/>
              <w:jc w:val="center"/>
              <w:rPr>
                <w:b/>
                <w:spacing w:val="0"/>
              </w:rPr>
            </w:pPr>
            <w:r>
              <w:rPr>
                <w:b/>
                <w:spacing w:val="0"/>
              </w:rPr>
              <w:t>($)</w:t>
            </w:r>
          </w:p>
        </w:tc>
        <w:tc>
          <w:tcPr>
            <w:tcW w:w="155"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490" w:type="dxa"/>
            <w:gridSpan w:val="2"/>
            <w:tcBorders/>
            <w:shd w:fill="FDEEF1" w:val="clear"/>
            <w:vAlign w:val="center"/>
          </w:tcPr>
          <w:p>
            <w:pPr>
              <w:pStyle w:val="TableContents"/>
              <w:bidi w:val="0"/>
              <w:spacing w:before="0" w:after="0"/>
              <w:jc w:val="center"/>
              <w:rPr>
                <w:b/>
                <w:spacing w:val="0"/>
              </w:rPr>
            </w:pPr>
            <w:r>
              <w:rPr>
                <w:b/>
                <w:spacing w:val="0"/>
              </w:rPr>
              <w:t>Average</w:t>
              <w:br/>
              <w:t>Summary</w:t>
              <w:br/>
              <w:t>Compensation</w:t>
              <w:br/>
              <w:t>Table Total</w:t>
              <w:br/>
              <w:t xml:space="preserve">for </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w:t>
            </w:r>
          </w:p>
          <w:p>
            <w:pPr>
              <w:pStyle w:val="TableContents"/>
              <w:bidi w:val="0"/>
              <w:spacing w:before="0" w:after="0"/>
              <w:jc w:val="center"/>
              <w:rPr>
                <w:b/>
                <w:spacing w:val="0"/>
                <w:sz w:val="9"/>
              </w:rPr>
            </w:pPr>
            <w:r>
              <w:rPr>
                <w:b/>
                <w:spacing w:val="0"/>
                <w:sz w:val="9"/>
              </w:rPr>
              <w:t>(1)</w:t>
            </w:r>
          </w:p>
          <w:p>
            <w:pPr>
              <w:pStyle w:val="TableContents"/>
              <w:bidi w:val="0"/>
              <w:spacing w:before="0" w:after="0"/>
              <w:jc w:val="center"/>
              <w:rPr>
                <w:b/>
                <w:spacing w:val="0"/>
              </w:rPr>
            </w:pPr>
            <w:r>
              <w:rPr>
                <w:b/>
                <w:spacing w:val="0"/>
              </w:rPr>
              <w:t>($)</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490" w:type="dxa"/>
            <w:gridSpan w:val="2"/>
            <w:tcBorders/>
            <w:shd w:fill="FDEEF1" w:val="clear"/>
            <w:vAlign w:val="center"/>
          </w:tcPr>
          <w:p>
            <w:pPr>
              <w:pStyle w:val="TableContents"/>
              <w:bidi w:val="0"/>
              <w:spacing w:before="0" w:after="0"/>
              <w:jc w:val="center"/>
              <w:rPr>
                <w:b/>
                <w:spacing w:val="0"/>
              </w:rPr>
            </w:pPr>
            <w:r>
              <w:rPr>
                <w:b/>
                <w:spacing w:val="0"/>
              </w:rPr>
              <w:t>Average</w:t>
              <w:br/>
              <w:t>Compensation</w:t>
              <w:br/>
              <w:t>Actually Paid</w:t>
              <w:br/>
              <w:t xml:space="preserve">to </w:t>
            </w:r>
          </w:p>
          <w:p>
            <w:pPr>
              <w:pStyle w:val="TableContents"/>
              <w:bidi w:val="0"/>
              <w:spacing w:before="0" w:after="0"/>
              <w:jc w:val="center"/>
              <w:rPr>
                <w:b/>
                <w:spacing w:val="0"/>
              </w:rPr>
            </w:pPr>
            <w:r>
              <w:rPr>
                <w:b/>
                <w:spacing w:val="0"/>
              </w:rPr>
              <w:t>non-PEO</w:t>
            </w:r>
          </w:p>
          <w:p>
            <w:pPr>
              <w:pStyle w:val="TableContents"/>
              <w:bidi w:val="0"/>
              <w:spacing w:before="0" w:after="0"/>
              <w:jc w:val="center"/>
              <w:rPr>
                <w:b/>
                <w:spacing w:val="0"/>
              </w:rPr>
            </w:pPr>
            <w:r>
              <w:rPr>
                <w:b/>
                <w:spacing w:val="0"/>
              </w:rPr>
              <w:br/>
              <w:t>NEOs</w:t>
            </w:r>
          </w:p>
          <w:p>
            <w:pPr>
              <w:pStyle w:val="TableContents"/>
              <w:bidi w:val="0"/>
              <w:spacing w:before="0" w:after="0"/>
              <w:jc w:val="center"/>
              <w:rPr>
                <w:b/>
                <w:spacing w:val="0"/>
                <w:sz w:val="9"/>
              </w:rPr>
            </w:pPr>
            <w:r>
              <w:rPr>
                <w:b/>
                <w:spacing w:val="0"/>
                <w:sz w:val="9"/>
              </w:rPr>
              <w:t>(2)</w:t>
            </w:r>
          </w:p>
          <w:p>
            <w:pPr>
              <w:pStyle w:val="TableContents"/>
              <w:bidi w:val="0"/>
              <w:spacing w:before="0" w:after="0"/>
              <w:jc w:val="center"/>
              <w:rPr>
                <w:b/>
                <w:spacing w:val="0"/>
              </w:rPr>
            </w:pPr>
            <w:r>
              <w:rPr>
                <w:b/>
                <w:spacing w:val="0"/>
              </w:rPr>
              <w:t>($)</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280" w:type="dxa"/>
            <w:gridSpan w:val="2"/>
            <w:tcBorders/>
            <w:shd w:fill="FDEEF1" w:val="clear"/>
            <w:vAlign w:val="center"/>
          </w:tcPr>
          <w:p>
            <w:pPr>
              <w:pStyle w:val="TableContents"/>
              <w:bidi w:val="0"/>
              <w:spacing w:before="0" w:after="0"/>
              <w:jc w:val="center"/>
              <w:rPr>
                <w:b/>
                <w:spacing w:val="0"/>
              </w:rPr>
            </w:pPr>
            <w:r>
              <w:rPr>
                <w:b/>
                <w:spacing w:val="0"/>
              </w:rPr>
              <w:t>Total</w:t>
              <w:br/>
              <w:t>Shareholder</w:t>
              <w:br/>
              <w:t>Return</w:t>
            </w:r>
          </w:p>
          <w:p>
            <w:pPr>
              <w:pStyle w:val="TableContents"/>
              <w:bidi w:val="0"/>
              <w:spacing w:before="0" w:after="0"/>
              <w:jc w:val="center"/>
              <w:rPr>
                <w:b/>
                <w:spacing w:val="0"/>
                <w:sz w:val="9"/>
              </w:rPr>
            </w:pPr>
            <w:r>
              <w:rPr>
                <w:b/>
                <w:spacing w:val="0"/>
                <w:sz w:val="9"/>
              </w:rPr>
              <w:t>(3)</w:t>
            </w:r>
          </w:p>
          <w:p>
            <w:pPr>
              <w:pStyle w:val="TableContents"/>
              <w:bidi w:val="0"/>
              <w:spacing w:before="0" w:after="0"/>
              <w:jc w:val="center"/>
              <w:rPr>
                <w:spacing w:val="0"/>
              </w:rPr>
            </w:pPr>
            <w:r>
              <w:rPr>
                <w:spacing w:val="0"/>
              </w:rPr>
              <w:t> </w:t>
            </w:r>
            <w:r>
              <w:rPr>
                <w:b/>
                <w:spacing w:val="0"/>
              </w:rPr>
              <w:t>($)</w:t>
            </w:r>
          </w:p>
        </w:tc>
        <w:tc>
          <w:tcPr>
            <w:tcW w:w="144" w:type="dxa"/>
            <w:tcBorders/>
            <w:shd w:fill="FDEEF1" w:val="clear"/>
            <w:vAlign w:val="center"/>
          </w:tcPr>
          <w:p>
            <w:pPr>
              <w:pStyle w:val="TableContents"/>
              <w:bidi w:val="0"/>
              <w:spacing w:before="0" w:after="283"/>
              <w:jc w:val="left"/>
              <w:rPr/>
            </w:pPr>
            <w:r>
              <w:rPr/>
              <w:t> </w:t>
            </w:r>
          </w:p>
        </w:tc>
        <w:tc>
          <w:tcPr>
            <w:tcW w:w="144" w:type="dxa"/>
            <w:tcBorders/>
            <w:shd w:fill="FDEEF1" w:val="clear"/>
            <w:vAlign w:val="center"/>
          </w:tcPr>
          <w:p>
            <w:pPr>
              <w:pStyle w:val="TableContents"/>
              <w:bidi w:val="0"/>
              <w:spacing w:before="0" w:after="283"/>
              <w:jc w:val="left"/>
              <w:rPr/>
            </w:pPr>
            <w:r>
              <w:rPr/>
              <w:t> </w:t>
            </w:r>
          </w:p>
        </w:tc>
        <w:tc>
          <w:tcPr>
            <w:tcW w:w="1280" w:type="dxa"/>
            <w:gridSpan w:val="2"/>
            <w:tcBorders/>
            <w:shd w:fill="FDEEF1" w:val="clear"/>
            <w:vAlign w:val="center"/>
          </w:tcPr>
          <w:p>
            <w:pPr>
              <w:pStyle w:val="TableContents"/>
              <w:bidi w:val="0"/>
              <w:spacing w:before="0" w:after="0"/>
              <w:jc w:val="center"/>
              <w:rPr>
                <w:b/>
                <w:spacing w:val="0"/>
              </w:rPr>
            </w:pPr>
            <w:r>
              <w:rPr>
                <w:b/>
                <w:spacing w:val="0"/>
              </w:rPr>
              <w:t>Peer Group</w:t>
              <w:br/>
              <w:t>Total</w:t>
              <w:br/>
              <w:t>Shareholder</w:t>
              <w:br/>
              <w:t>Return</w:t>
            </w:r>
          </w:p>
          <w:p>
            <w:pPr>
              <w:pStyle w:val="TableContents"/>
              <w:bidi w:val="0"/>
              <w:spacing w:before="0" w:after="0"/>
              <w:jc w:val="center"/>
              <w:rPr>
                <w:b/>
                <w:spacing w:val="0"/>
                <w:sz w:val="9"/>
              </w:rPr>
            </w:pPr>
            <w:r>
              <w:rPr>
                <w:b/>
                <w:spacing w:val="0"/>
                <w:sz w:val="9"/>
              </w:rPr>
              <w:t>(3)</w:t>
            </w:r>
          </w:p>
          <w:p>
            <w:pPr>
              <w:pStyle w:val="TableContents"/>
              <w:bidi w:val="0"/>
              <w:spacing w:before="0" w:after="0"/>
              <w:jc w:val="center"/>
              <w:rPr>
                <w:spacing w:val="0"/>
              </w:rPr>
            </w:pPr>
            <w:r>
              <w:rPr>
                <w:spacing w:val="0"/>
              </w:rPr>
              <w:t> </w:t>
            </w:r>
            <w:r>
              <w:rPr>
                <w:b/>
                <w:spacing w:val="0"/>
              </w:rPr>
              <w:t>($)</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280" w:type="dxa"/>
            <w:gridSpan w:val="2"/>
            <w:tcBorders/>
            <w:shd w:fill="FDEEF1" w:val="clear"/>
            <w:vAlign w:val="center"/>
          </w:tcPr>
          <w:p>
            <w:pPr>
              <w:pStyle w:val="TableContents"/>
              <w:bidi w:val="0"/>
              <w:spacing w:before="0" w:after="0"/>
              <w:jc w:val="center"/>
              <w:rPr>
                <w:b/>
                <w:spacing w:val="0"/>
              </w:rPr>
            </w:pPr>
            <w:r>
              <w:rPr>
                <w:b/>
                <w:spacing w:val="0"/>
              </w:rPr>
              <w:t>Net Income</w:t>
              <w:br/>
              <w:t>($)</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280" w:type="dxa"/>
            <w:gridSpan w:val="2"/>
            <w:tcBorders/>
            <w:shd w:fill="FDEEF1" w:val="clear"/>
            <w:vAlign w:val="center"/>
          </w:tcPr>
          <w:p>
            <w:pPr>
              <w:pStyle w:val="TableContents"/>
              <w:bidi w:val="0"/>
              <w:spacing w:before="0" w:after="0"/>
              <w:jc w:val="center"/>
              <w:rPr>
                <w:b/>
                <w:spacing w:val="0"/>
              </w:rPr>
            </w:pPr>
            <w:r>
              <w:rPr>
                <w:b/>
                <w:spacing w:val="0"/>
              </w:rPr>
              <w:t>Operating</w:t>
              <w:br/>
              <w:t>Income</w:t>
            </w:r>
          </w:p>
          <w:p>
            <w:pPr>
              <w:pStyle w:val="TableContents"/>
              <w:bidi w:val="0"/>
              <w:spacing w:before="0" w:after="0"/>
              <w:jc w:val="center"/>
              <w:rPr>
                <w:b/>
                <w:spacing w:val="0"/>
                <w:sz w:val="9"/>
              </w:rPr>
            </w:pPr>
            <w:r>
              <w:rPr>
                <w:b/>
                <w:spacing w:val="0"/>
                <w:sz w:val="9"/>
              </w:rPr>
              <w:t>(4)</w:t>
            </w:r>
          </w:p>
          <w:p>
            <w:pPr>
              <w:pStyle w:val="TableContents"/>
              <w:bidi w:val="0"/>
              <w:spacing w:before="0" w:after="0"/>
              <w:jc w:val="center"/>
              <w:rPr>
                <w:b/>
                <w:spacing w:val="0"/>
              </w:rPr>
            </w:pPr>
            <w:r>
              <w:rPr>
                <w:b/>
                <w:spacing w:val="0"/>
              </w:rPr>
              <w:br/>
              <w:t>($)</w:t>
            </w:r>
          </w:p>
        </w:tc>
        <w:tc>
          <w:tcPr>
            <w:tcW w:w="75" w:type="dxa"/>
            <w:tcBorders/>
            <w:shd w:fill="FDEEF1" w:val="clear"/>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705"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484" w:type="dxa"/>
            <w:gridSpan w:val="4"/>
            <w:tcBorders/>
            <w:vAlign w:val="center"/>
          </w:tcPr>
          <w:p>
            <w:pPr>
              <w:pStyle w:val="TableContents"/>
              <w:bidi w:val="0"/>
              <w:spacing w:before="0" w:after="283"/>
              <w:jc w:val="left"/>
              <w:rPr>
                <w:sz w:val="4"/>
                <w:szCs w:val="4"/>
              </w:rPr>
            </w:pPr>
            <w:r>
              <w:rPr>
                <w:sz w:val="4"/>
                <w:szCs w:val="4"/>
              </w:rPr>
            </w:r>
          </w:p>
        </w:tc>
        <w:tc>
          <w:tcPr>
            <w:tcW w:w="1484"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r>
      <w:tr>
        <w:trPr/>
        <w:tc>
          <w:tcPr>
            <w:tcW w:w="455" w:type="dxa"/>
            <w:tcBorders>
              <w:bottom w:val="single" w:sz="6" w:space="0" w:color="FBDDE3"/>
            </w:tcBorders>
            <w:tcMar>
              <w:bottom w:w="60" w:type="dxa"/>
            </w:tcMar>
            <w:vAlign w:val="center"/>
          </w:tcPr>
          <w:p>
            <w:pPr>
              <w:pStyle w:val="TableContents"/>
              <w:bidi w:val="0"/>
              <w:spacing w:before="0" w:after="0"/>
              <w:jc w:val="left"/>
              <w:rPr>
                <w:rFonts w:ascii="arial" w:hAnsi="arial"/>
                <w:b/>
                <w:sz w:val="18"/>
              </w:rPr>
            </w:pPr>
            <w:r>
              <w:rPr>
                <w:rFonts w:ascii="arial" w:hAnsi="arial"/>
                <w:b/>
                <w:sz w:val="18"/>
              </w:rPr>
              <w:t>2023</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7" w:type="dxa"/>
            <w:tcBorders>
              <w:bottom w:val="single" w:sz="6" w:space="0" w:color="FBDDE3"/>
            </w:tcBorders>
            <w:tcMar>
              <w:bottom w:w="60" w:type="dxa"/>
            </w:tcMar>
            <w:vAlign w:val="center"/>
          </w:tcPr>
          <w:p>
            <w:pPr>
              <w:pStyle w:val="TableContents"/>
              <w:bidi w:val="0"/>
              <w:spacing w:before="0" w:after="283"/>
              <w:jc w:val="left"/>
              <w:rPr/>
            </w:pPr>
            <w:r>
              <w:rPr/>
              <w:t> </w:t>
            </w:r>
          </w:p>
        </w:tc>
        <w:tc>
          <w:tcPr>
            <w:tcW w:w="1413" w:type="dxa"/>
            <w:tcBorders>
              <w:bottom w:val="single" w:sz="6" w:space="0" w:color="FBDDE3"/>
            </w:tcBorders>
            <w:tcMar>
              <w:bottom w:w="60" w:type="dxa"/>
            </w:tcMar>
            <w:vAlign w:val="center"/>
          </w:tcPr>
          <w:p>
            <w:pPr>
              <w:pStyle w:val="TableContents"/>
              <w:bidi w:val="0"/>
              <w:spacing w:before="0" w:after="283"/>
              <w:jc w:val="right"/>
              <w:rPr/>
            </w:pPr>
            <w:r>
              <w:rPr/>
              <w:t>10,925,251</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7" w:type="dxa"/>
            <w:tcBorders>
              <w:bottom w:val="single" w:sz="6" w:space="0" w:color="FBDDE3"/>
            </w:tcBorders>
            <w:tcMar>
              <w:bottom w:w="60" w:type="dxa"/>
            </w:tcMar>
            <w:vAlign w:val="center"/>
          </w:tcPr>
          <w:p>
            <w:pPr>
              <w:pStyle w:val="TableContents"/>
              <w:bidi w:val="0"/>
              <w:spacing w:before="0" w:after="283"/>
              <w:jc w:val="left"/>
              <w:rPr/>
            </w:pPr>
            <w:r>
              <w:rPr/>
              <w:t> </w:t>
            </w:r>
          </w:p>
        </w:tc>
        <w:tc>
          <w:tcPr>
            <w:tcW w:w="1413" w:type="dxa"/>
            <w:tcBorders>
              <w:bottom w:val="single" w:sz="6" w:space="0" w:color="FBDDE3"/>
            </w:tcBorders>
            <w:tcMar>
              <w:bottom w:w="60" w:type="dxa"/>
            </w:tcMar>
            <w:vAlign w:val="center"/>
          </w:tcPr>
          <w:p>
            <w:pPr>
              <w:pStyle w:val="TableContents"/>
              <w:bidi w:val="0"/>
              <w:spacing w:before="0" w:after="283"/>
              <w:jc w:val="right"/>
              <w:rPr/>
            </w:pPr>
            <w:r>
              <w:rPr/>
              <w:t>1,626,259</w:t>
            </w:r>
          </w:p>
        </w:tc>
        <w:tc>
          <w:tcPr>
            <w:tcW w:w="155"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5" w:type="dxa"/>
            <w:tcBorders>
              <w:bottom w:val="single" w:sz="6" w:space="0" w:color="FBDDE3"/>
            </w:tcBorders>
            <w:tcMar>
              <w:bottom w:w="60" w:type="dxa"/>
            </w:tcMar>
            <w:vAlign w:val="center"/>
          </w:tcPr>
          <w:p>
            <w:pPr>
              <w:pStyle w:val="TableContents"/>
              <w:bidi w:val="0"/>
              <w:spacing w:before="0" w:after="283"/>
              <w:jc w:val="left"/>
              <w:rPr/>
            </w:pPr>
            <w:r>
              <w:rPr/>
              <w:t> </w:t>
            </w:r>
          </w:p>
        </w:tc>
        <w:tc>
          <w:tcPr>
            <w:tcW w:w="1405" w:type="dxa"/>
            <w:tcBorders>
              <w:bottom w:val="single" w:sz="6" w:space="0" w:color="FBDDE3"/>
            </w:tcBorders>
            <w:tcMar>
              <w:bottom w:w="60" w:type="dxa"/>
            </w:tcMar>
            <w:vAlign w:val="center"/>
          </w:tcPr>
          <w:p>
            <w:pPr>
              <w:pStyle w:val="TableContents"/>
              <w:bidi w:val="0"/>
              <w:spacing w:before="0" w:after="283"/>
              <w:jc w:val="right"/>
              <w:rPr/>
            </w:pPr>
            <w:r>
              <w:rPr/>
              <w:t>3,823,312</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5" w:type="dxa"/>
            <w:tcBorders>
              <w:bottom w:val="single" w:sz="6" w:space="0" w:color="FBDDE3"/>
            </w:tcBorders>
            <w:tcMar>
              <w:bottom w:w="60" w:type="dxa"/>
            </w:tcMar>
            <w:vAlign w:val="center"/>
          </w:tcPr>
          <w:p>
            <w:pPr>
              <w:pStyle w:val="TableContents"/>
              <w:bidi w:val="0"/>
              <w:spacing w:before="0" w:after="283"/>
              <w:jc w:val="left"/>
              <w:rPr/>
            </w:pPr>
            <w:r>
              <w:rPr/>
              <w:t> </w:t>
            </w:r>
          </w:p>
        </w:tc>
        <w:tc>
          <w:tcPr>
            <w:tcW w:w="1405" w:type="dxa"/>
            <w:tcBorders>
              <w:bottom w:val="single" w:sz="6" w:space="0" w:color="FBDDE3"/>
            </w:tcBorders>
            <w:tcMar>
              <w:bottom w:w="60" w:type="dxa"/>
            </w:tcMar>
            <w:vAlign w:val="center"/>
          </w:tcPr>
          <w:p>
            <w:pPr>
              <w:pStyle w:val="TableContents"/>
              <w:bidi w:val="0"/>
              <w:spacing w:before="0" w:after="283"/>
              <w:jc w:val="right"/>
              <w:rPr/>
            </w:pPr>
            <w:r>
              <w:rPr/>
              <w:t>1,696,135</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239" w:type="dxa"/>
            <w:tcBorders>
              <w:bottom w:val="single" w:sz="6" w:space="0" w:color="FBDDE3"/>
            </w:tcBorders>
            <w:tcMar>
              <w:bottom w:w="60" w:type="dxa"/>
            </w:tcMar>
            <w:vAlign w:val="center"/>
          </w:tcPr>
          <w:p>
            <w:pPr>
              <w:pStyle w:val="TableContents"/>
              <w:bidi w:val="0"/>
              <w:spacing w:before="0" w:after="283"/>
              <w:jc w:val="left"/>
              <w:rPr/>
            </w:pPr>
            <w:r>
              <w:rPr/>
              <w:t> </w:t>
            </w:r>
          </w:p>
        </w:tc>
        <w:tc>
          <w:tcPr>
            <w:tcW w:w="1041" w:type="dxa"/>
            <w:tcBorders>
              <w:bottom w:val="single" w:sz="6" w:space="0" w:color="FBDDE3"/>
            </w:tcBorders>
            <w:tcMar>
              <w:bottom w:w="60" w:type="dxa"/>
            </w:tcMar>
            <w:vAlign w:val="center"/>
          </w:tcPr>
          <w:p>
            <w:pPr>
              <w:pStyle w:val="TableContents"/>
              <w:bidi w:val="0"/>
              <w:spacing w:before="0" w:after="283"/>
              <w:jc w:val="right"/>
              <w:rPr/>
            </w:pPr>
            <w:r>
              <w:rPr/>
              <w:t>46</w:t>
            </w:r>
          </w:p>
        </w:tc>
        <w:tc>
          <w:tcPr>
            <w:tcW w:w="144" w:type="dxa"/>
            <w:tcBorders>
              <w:bottom w:val="single" w:sz="6" w:space="0" w:color="FBDDE3"/>
            </w:tcBorders>
            <w:tcMar>
              <w:bottom w:w="60" w:type="dxa"/>
            </w:tcMar>
            <w:vAlign w:val="center"/>
          </w:tcPr>
          <w:p>
            <w:pPr>
              <w:pStyle w:val="TableContents"/>
              <w:bidi w:val="0"/>
              <w:spacing w:before="0" w:after="283"/>
              <w:jc w:val="left"/>
              <w:rPr/>
            </w:pPr>
            <w:r>
              <w:rPr/>
              <w:t> </w:t>
            </w:r>
          </w:p>
        </w:tc>
        <w:tc>
          <w:tcPr>
            <w:tcW w:w="144" w:type="dxa"/>
            <w:tcBorders>
              <w:bottom w:val="single" w:sz="6" w:space="0" w:color="FBDDE3"/>
            </w:tcBorders>
            <w:tcMar>
              <w:bottom w:w="28" w:type="dxa"/>
            </w:tcMar>
            <w:vAlign w:val="center"/>
          </w:tcPr>
          <w:p>
            <w:pPr>
              <w:pStyle w:val="TableContents"/>
              <w:bidi w:val="0"/>
              <w:spacing w:before="0" w:after="283"/>
              <w:jc w:val="left"/>
              <w:rPr/>
            </w:pPr>
            <w:r>
              <w:rPr/>
              <w:t> </w:t>
            </w:r>
          </w:p>
        </w:tc>
        <w:tc>
          <w:tcPr>
            <w:tcW w:w="173" w:type="dxa"/>
            <w:tcBorders>
              <w:bottom w:val="single" w:sz="6" w:space="0" w:color="FBDDE3"/>
            </w:tcBorders>
            <w:tcMar>
              <w:bottom w:w="60" w:type="dxa"/>
            </w:tcMar>
            <w:vAlign w:val="center"/>
          </w:tcPr>
          <w:p>
            <w:pPr>
              <w:pStyle w:val="TableContents"/>
              <w:bidi w:val="0"/>
              <w:spacing w:before="0" w:after="283"/>
              <w:jc w:val="left"/>
              <w:rPr/>
            </w:pPr>
            <w:r>
              <w:rPr/>
              <w:t> </w:t>
            </w:r>
          </w:p>
        </w:tc>
        <w:tc>
          <w:tcPr>
            <w:tcW w:w="1107" w:type="dxa"/>
            <w:tcBorders>
              <w:bottom w:val="single" w:sz="6" w:space="0" w:color="FBDDE3"/>
            </w:tcBorders>
            <w:tcMar>
              <w:bottom w:w="60" w:type="dxa"/>
            </w:tcMar>
            <w:vAlign w:val="center"/>
          </w:tcPr>
          <w:p>
            <w:pPr>
              <w:pStyle w:val="TableContents"/>
              <w:bidi w:val="0"/>
              <w:spacing w:before="0" w:after="283"/>
              <w:jc w:val="right"/>
              <w:rPr/>
            </w:pPr>
            <w:r>
              <w:rPr/>
              <w:t>108</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20" w:type="dxa"/>
            <w:tcBorders>
              <w:bottom w:val="single" w:sz="6" w:space="0" w:color="FBDDE3"/>
            </w:tcBorders>
            <w:tcMar>
              <w:bottom w:w="60" w:type="dxa"/>
            </w:tcMar>
            <w:vAlign w:val="center"/>
          </w:tcPr>
          <w:p>
            <w:pPr>
              <w:pStyle w:val="TableContents"/>
              <w:bidi w:val="0"/>
              <w:spacing w:before="0" w:after="283"/>
              <w:jc w:val="right"/>
              <w:rPr/>
            </w:pPr>
            <w:r>
              <w:rPr/>
              <w:t>116,000,000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20" w:type="dxa"/>
            <w:tcBorders>
              <w:bottom w:val="single" w:sz="6" w:space="0" w:color="FBDDE3"/>
            </w:tcBorders>
            <w:tcMar>
              <w:bottom w:w="60" w:type="dxa"/>
            </w:tcMar>
            <w:vAlign w:val="center"/>
          </w:tcPr>
          <w:p>
            <w:pPr>
              <w:pStyle w:val="TableContents"/>
              <w:bidi w:val="0"/>
              <w:spacing w:before="0" w:after="283"/>
              <w:jc w:val="right"/>
              <w:rPr/>
            </w:pPr>
            <w:r>
              <w:rPr/>
              <w:t>246,000,000</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705"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484" w:type="dxa"/>
            <w:gridSpan w:val="4"/>
            <w:tcBorders/>
            <w:vAlign w:val="center"/>
          </w:tcPr>
          <w:p>
            <w:pPr>
              <w:pStyle w:val="TableContents"/>
              <w:bidi w:val="0"/>
              <w:spacing w:before="0" w:after="283"/>
              <w:jc w:val="left"/>
              <w:rPr>
                <w:sz w:val="4"/>
                <w:szCs w:val="4"/>
              </w:rPr>
            </w:pPr>
            <w:r>
              <w:rPr>
                <w:sz w:val="4"/>
                <w:szCs w:val="4"/>
              </w:rPr>
            </w:r>
          </w:p>
        </w:tc>
        <w:tc>
          <w:tcPr>
            <w:tcW w:w="1484"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r>
      <w:tr>
        <w:trPr/>
        <w:tc>
          <w:tcPr>
            <w:tcW w:w="455" w:type="dxa"/>
            <w:tcBorders>
              <w:bottom w:val="single" w:sz="6" w:space="0" w:color="FBDDE3"/>
            </w:tcBorders>
            <w:tcMar>
              <w:bottom w:w="60" w:type="dxa"/>
            </w:tcMar>
            <w:vAlign w:val="center"/>
          </w:tcPr>
          <w:p>
            <w:pPr>
              <w:pStyle w:val="TableContents"/>
              <w:bidi w:val="0"/>
              <w:spacing w:before="0" w:after="0"/>
              <w:jc w:val="left"/>
              <w:rPr>
                <w:rFonts w:ascii="arial" w:hAnsi="arial"/>
                <w:b/>
                <w:sz w:val="18"/>
              </w:rPr>
            </w:pPr>
            <w:r>
              <w:rPr>
                <w:rFonts w:ascii="arial" w:hAnsi="arial"/>
                <w:b/>
                <w:sz w:val="18"/>
              </w:rPr>
              <w:t>2022</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7" w:type="dxa"/>
            <w:tcBorders>
              <w:bottom w:val="single" w:sz="6" w:space="0" w:color="FBDDE3"/>
            </w:tcBorders>
            <w:tcMar>
              <w:bottom w:w="60" w:type="dxa"/>
            </w:tcMar>
            <w:vAlign w:val="center"/>
          </w:tcPr>
          <w:p>
            <w:pPr>
              <w:pStyle w:val="TableContents"/>
              <w:bidi w:val="0"/>
              <w:spacing w:before="0" w:after="283"/>
              <w:jc w:val="left"/>
              <w:rPr/>
            </w:pPr>
            <w:r>
              <w:rPr/>
              <w:t> </w:t>
            </w:r>
          </w:p>
        </w:tc>
        <w:tc>
          <w:tcPr>
            <w:tcW w:w="1413" w:type="dxa"/>
            <w:tcBorders>
              <w:bottom w:val="single" w:sz="6" w:space="0" w:color="FBDDE3"/>
            </w:tcBorders>
            <w:tcMar>
              <w:bottom w:w="60" w:type="dxa"/>
            </w:tcMar>
            <w:vAlign w:val="center"/>
          </w:tcPr>
          <w:p>
            <w:pPr>
              <w:pStyle w:val="TableContents"/>
              <w:bidi w:val="0"/>
              <w:spacing w:before="0" w:after="283"/>
              <w:jc w:val="right"/>
              <w:rPr/>
            </w:pPr>
            <w:r>
              <w:rPr/>
              <w:t>12,519,912</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77" w:type="dxa"/>
            <w:tcBorders>
              <w:bottom w:val="single" w:sz="6" w:space="0" w:color="FBDDE3"/>
            </w:tcBorders>
            <w:tcMar>
              <w:bottom w:w="60" w:type="dxa"/>
            </w:tcMar>
            <w:vAlign w:val="center"/>
          </w:tcPr>
          <w:p>
            <w:pPr>
              <w:pStyle w:val="TableContents"/>
              <w:bidi w:val="0"/>
              <w:spacing w:before="0" w:after="283"/>
              <w:jc w:val="left"/>
              <w:rPr/>
            </w:pPr>
            <w:r>
              <w:rPr/>
              <w:t> </w:t>
            </w:r>
          </w:p>
        </w:tc>
        <w:tc>
          <w:tcPr>
            <w:tcW w:w="1413" w:type="dxa"/>
            <w:tcBorders>
              <w:bottom w:val="single" w:sz="6" w:space="0" w:color="FBDDE3"/>
            </w:tcBorders>
            <w:tcMar>
              <w:bottom w:w="60" w:type="dxa"/>
            </w:tcMar>
            <w:vAlign w:val="center"/>
          </w:tcPr>
          <w:p>
            <w:pPr>
              <w:pStyle w:val="TableContents"/>
              <w:bidi w:val="0"/>
              <w:spacing w:before="0" w:after="283"/>
              <w:jc w:val="right"/>
              <w:rPr/>
            </w:pPr>
            <w:r>
              <w:rPr/>
              <w:t>(3,313,155</w:t>
            </w:r>
          </w:p>
        </w:tc>
        <w:tc>
          <w:tcPr>
            <w:tcW w:w="155"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5" w:type="dxa"/>
            <w:tcBorders>
              <w:bottom w:val="single" w:sz="6" w:space="0" w:color="FBDDE3"/>
            </w:tcBorders>
            <w:tcMar>
              <w:bottom w:w="60" w:type="dxa"/>
            </w:tcMar>
            <w:vAlign w:val="center"/>
          </w:tcPr>
          <w:p>
            <w:pPr>
              <w:pStyle w:val="TableContents"/>
              <w:bidi w:val="0"/>
              <w:spacing w:before="0" w:after="283"/>
              <w:jc w:val="left"/>
              <w:rPr/>
            </w:pPr>
            <w:r>
              <w:rPr/>
              <w:t> </w:t>
            </w:r>
          </w:p>
        </w:tc>
        <w:tc>
          <w:tcPr>
            <w:tcW w:w="1405" w:type="dxa"/>
            <w:tcBorders>
              <w:bottom w:val="single" w:sz="6" w:space="0" w:color="FBDDE3"/>
            </w:tcBorders>
            <w:tcMar>
              <w:bottom w:w="60" w:type="dxa"/>
            </w:tcMar>
            <w:vAlign w:val="center"/>
          </w:tcPr>
          <w:p>
            <w:pPr>
              <w:pStyle w:val="TableContents"/>
              <w:bidi w:val="0"/>
              <w:spacing w:before="0" w:after="283"/>
              <w:jc w:val="right"/>
              <w:rPr/>
            </w:pPr>
            <w:r>
              <w:rPr/>
              <w:t>4,884,890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5" w:type="dxa"/>
            <w:tcBorders>
              <w:bottom w:val="single" w:sz="6" w:space="0" w:color="FBDDE3"/>
            </w:tcBorders>
            <w:tcMar>
              <w:bottom w:w="60" w:type="dxa"/>
            </w:tcMar>
            <w:vAlign w:val="center"/>
          </w:tcPr>
          <w:p>
            <w:pPr>
              <w:pStyle w:val="TableContents"/>
              <w:bidi w:val="0"/>
              <w:spacing w:before="0" w:after="283"/>
              <w:jc w:val="left"/>
              <w:rPr/>
            </w:pPr>
            <w:r>
              <w:rPr/>
              <w:t> </w:t>
            </w:r>
          </w:p>
        </w:tc>
        <w:tc>
          <w:tcPr>
            <w:tcW w:w="1405" w:type="dxa"/>
            <w:tcBorders>
              <w:bottom w:val="single" w:sz="6" w:space="0" w:color="FBDDE3"/>
            </w:tcBorders>
            <w:tcMar>
              <w:bottom w:w="60" w:type="dxa"/>
            </w:tcMar>
            <w:vAlign w:val="center"/>
          </w:tcPr>
          <w:p>
            <w:pPr>
              <w:pStyle w:val="TableContents"/>
              <w:bidi w:val="0"/>
              <w:spacing w:before="0" w:after="283"/>
              <w:jc w:val="right"/>
              <w:rPr/>
            </w:pPr>
            <w:r>
              <w:rPr/>
              <w:t>2,915,978</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239" w:type="dxa"/>
            <w:tcBorders>
              <w:bottom w:val="single" w:sz="6" w:space="0" w:color="FBDDE3"/>
            </w:tcBorders>
            <w:tcMar>
              <w:bottom w:w="60" w:type="dxa"/>
            </w:tcMar>
            <w:vAlign w:val="center"/>
          </w:tcPr>
          <w:p>
            <w:pPr>
              <w:pStyle w:val="TableContents"/>
              <w:bidi w:val="0"/>
              <w:spacing w:before="0" w:after="283"/>
              <w:jc w:val="left"/>
              <w:rPr/>
            </w:pPr>
            <w:r>
              <w:rPr/>
              <w:t> </w:t>
            </w:r>
          </w:p>
        </w:tc>
        <w:tc>
          <w:tcPr>
            <w:tcW w:w="1041" w:type="dxa"/>
            <w:tcBorders>
              <w:bottom w:val="single" w:sz="6" w:space="0" w:color="FBDDE3"/>
            </w:tcBorders>
            <w:tcMar>
              <w:bottom w:w="60" w:type="dxa"/>
            </w:tcMar>
            <w:vAlign w:val="center"/>
          </w:tcPr>
          <w:p>
            <w:pPr>
              <w:pStyle w:val="TableContents"/>
              <w:bidi w:val="0"/>
              <w:spacing w:before="0" w:after="283"/>
              <w:jc w:val="right"/>
              <w:rPr/>
            </w:pPr>
            <w:r>
              <w:rPr/>
              <w:t>67</w:t>
            </w:r>
          </w:p>
        </w:tc>
        <w:tc>
          <w:tcPr>
            <w:tcW w:w="144" w:type="dxa"/>
            <w:tcBorders>
              <w:bottom w:val="single" w:sz="6" w:space="0" w:color="FBDDE3"/>
            </w:tcBorders>
            <w:tcMar>
              <w:bottom w:w="60" w:type="dxa"/>
            </w:tcMar>
            <w:vAlign w:val="center"/>
          </w:tcPr>
          <w:p>
            <w:pPr>
              <w:pStyle w:val="TableContents"/>
              <w:bidi w:val="0"/>
              <w:spacing w:before="0" w:after="283"/>
              <w:jc w:val="left"/>
              <w:rPr/>
            </w:pPr>
            <w:r>
              <w:rPr/>
              <w:t> </w:t>
            </w:r>
          </w:p>
        </w:tc>
        <w:tc>
          <w:tcPr>
            <w:tcW w:w="144" w:type="dxa"/>
            <w:tcBorders>
              <w:bottom w:val="single" w:sz="6" w:space="0" w:color="FBDDE3"/>
            </w:tcBorders>
            <w:tcMar>
              <w:bottom w:w="28" w:type="dxa"/>
            </w:tcMar>
            <w:vAlign w:val="center"/>
          </w:tcPr>
          <w:p>
            <w:pPr>
              <w:pStyle w:val="TableContents"/>
              <w:bidi w:val="0"/>
              <w:spacing w:before="0" w:after="283"/>
              <w:jc w:val="left"/>
              <w:rPr/>
            </w:pPr>
            <w:r>
              <w:rPr/>
              <w:t> </w:t>
            </w:r>
          </w:p>
        </w:tc>
        <w:tc>
          <w:tcPr>
            <w:tcW w:w="173" w:type="dxa"/>
            <w:tcBorders>
              <w:bottom w:val="single" w:sz="6" w:space="0" w:color="FBDDE3"/>
            </w:tcBorders>
            <w:tcMar>
              <w:bottom w:w="60" w:type="dxa"/>
            </w:tcMar>
            <w:vAlign w:val="center"/>
          </w:tcPr>
          <w:p>
            <w:pPr>
              <w:pStyle w:val="TableContents"/>
              <w:bidi w:val="0"/>
              <w:spacing w:before="0" w:after="283"/>
              <w:jc w:val="left"/>
              <w:rPr/>
            </w:pPr>
            <w:r>
              <w:rPr/>
              <w:t> </w:t>
            </w:r>
          </w:p>
        </w:tc>
        <w:tc>
          <w:tcPr>
            <w:tcW w:w="1107" w:type="dxa"/>
            <w:tcBorders>
              <w:bottom w:val="single" w:sz="6" w:space="0" w:color="FBDDE3"/>
            </w:tcBorders>
            <w:tcMar>
              <w:bottom w:w="60" w:type="dxa"/>
            </w:tcMar>
            <w:vAlign w:val="center"/>
          </w:tcPr>
          <w:p>
            <w:pPr>
              <w:pStyle w:val="TableContents"/>
              <w:bidi w:val="0"/>
              <w:spacing w:before="0" w:after="283"/>
              <w:jc w:val="right"/>
              <w:rPr/>
            </w:pPr>
            <w:r>
              <w:rPr/>
              <w:t>77</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20" w:type="dxa"/>
            <w:tcBorders>
              <w:bottom w:val="single" w:sz="6" w:space="0" w:color="FBDDE3"/>
            </w:tcBorders>
            <w:tcMar>
              <w:bottom w:w="60" w:type="dxa"/>
            </w:tcMar>
            <w:vAlign w:val="center"/>
          </w:tcPr>
          <w:p>
            <w:pPr>
              <w:pStyle w:val="TableContents"/>
              <w:bidi w:val="0"/>
              <w:spacing w:before="0" w:after="283"/>
              <w:jc w:val="right"/>
              <w:rPr/>
            </w:pPr>
            <w:r>
              <w:rPr/>
              <w:t>338,000,000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20" w:type="dxa"/>
            <w:tcBorders>
              <w:bottom w:val="single" w:sz="6" w:space="0" w:color="FBDDE3"/>
            </w:tcBorders>
            <w:tcMar>
              <w:bottom w:w="60" w:type="dxa"/>
            </w:tcMar>
            <w:vAlign w:val="center"/>
          </w:tcPr>
          <w:p>
            <w:pPr>
              <w:pStyle w:val="TableContents"/>
              <w:bidi w:val="0"/>
              <w:spacing w:before="0" w:after="283"/>
              <w:jc w:val="right"/>
              <w:rPr/>
            </w:pPr>
            <w:r>
              <w:rPr/>
              <w:t>478,000,000</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705"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484" w:type="dxa"/>
            <w:gridSpan w:val="4"/>
            <w:tcBorders/>
            <w:vAlign w:val="center"/>
          </w:tcPr>
          <w:p>
            <w:pPr>
              <w:pStyle w:val="TableContents"/>
              <w:bidi w:val="0"/>
              <w:spacing w:before="0" w:after="283"/>
              <w:jc w:val="left"/>
              <w:rPr>
                <w:sz w:val="4"/>
                <w:szCs w:val="4"/>
              </w:rPr>
            </w:pPr>
            <w:r>
              <w:rPr>
                <w:sz w:val="4"/>
                <w:szCs w:val="4"/>
              </w:rPr>
            </w:r>
          </w:p>
        </w:tc>
        <w:tc>
          <w:tcPr>
            <w:tcW w:w="1484" w:type="dxa"/>
            <w:gridSpan w:val="4"/>
            <w:tcBorders/>
            <w:vAlign w:val="center"/>
          </w:tcPr>
          <w:p>
            <w:pPr>
              <w:pStyle w:val="TableContents"/>
              <w:bidi w:val="0"/>
              <w:spacing w:before="0" w:after="283"/>
              <w:jc w:val="left"/>
              <w:rPr>
                <w:sz w:val="4"/>
                <w:szCs w:val="4"/>
              </w:rPr>
            </w:pPr>
            <w:r>
              <w:rPr>
                <w:sz w:val="4"/>
                <w:szCs w:val="4"/>
              </w:rPr>
            </w:r>
          </w:p>
        </w:tc>
        <w:tc>
          <w:tcPr>
            <w:tcW w:w="1400" w:type="dxa"/>
            <w:gridSpan w:val="4"/>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r>
      <w:tr>
        <w:trPr/>
        <w:tc>
          <w:tcPr>
            <w:tcW w:w="455" w:type="dxa"/>
            <w:tcBorders>
              <w:bottom w:val="single" w:sz="8" w:space="0" w:color="F7ACBA"/>
            </w:tcBorders>
            <w:tcMar>
              <w:bottom w:w="80" w:type="dxa"/>
            </w:tcMar>
            <w:vAlign w:val="center"/>
          </w:tcPr>
          <w:p>
            <w:pPr>
              <w:pStyle w:val="TableContents"/>
              <w:bidi w:val="0"/>
              <w:spacing w:before="0" w:after="0"/>
              <w:jc w:val="left"/>
              <w:rPr>
                <w:rFonts w:ascii="arial" w:hAnsi="arial"/>
                <w:b/>
                <w:sz w:val="18"/>
              </w:rPr>
            </w:pPr>
            <w:r>
              <w:rPr>
                <w:rFonts w:ascii="arial" w:hAnsi="arial"/>
                <w:b/>
                <w:sz w:val="18"/>
              </w:rPr>
              <w:t>2021</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77" w:type="dxa"/>
            <w:tcBorders>
              <w:bottom w:val="single" w:sz="8" w:space="0" w:color="F7ACBA"/>
            </w:tcBorders>
            <w:tcMar>
              <w:bottom w:w="80" w:type="dxa"/>
            </w:tcMar>
            <w:vAlign w:val="center"/>
          </w:tcPr>
          <w:p>
            <w:pPr>
              <w:pStyle w:val="TableContents"/>
              <w:bidi w:val="0"/>
              <w:spacing w:before="0" w:after="283"/>
              <w:jc w:val="left"/>
              <w:rPr/>
            </w:pPr>
            <w:r>
              <w:rPr/>
              <w:t> </w:t>
            </w:r>
          </w:p>
        </w:tc>
        <w:tc>
          <w:tcPr>
            <w:tcW w:w="1413" w:type="dxa"/>
            <w:tcBorders>
              <w:bottom w:val="single" w:sz="8" w:space="0" w:color="F7ACBA"/>
            </w:tcBorders>
            <w:tcMar>
              <w:bottom w:w="80" w:type="dxa"/>
            </w:tcMar>
            <w:vAlign w:val="center"/>
          </w:tcPr>
          <w:p>
            <w:pPr>
              <w:pStyle w:val="TableContents"/>
              <w:bidi w:val="0"/>
              <w:spacing w:before="0" w:after="283"/>
              <w:jc w:val="right"/>
              <w:rPr/>
            </w:pPr>
            <w:r>
              <w:rPr/>
              <w:t>12,905,231</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77" w:type="dxa"/>
            <w:tcBorders>
              <w:bottom w:val="single" w:sz="8" w:space="0" w:color="F7ACBA"/>
            </w:tcBorders>
            <w:tcMar>
              <w:bottom w:w="80" w:type="dxa"/>
            </w:tcMar>
            <w:vAlign w:val="center"/>
          </w:tcPr>
          <w:p>
            <w:pPr>
              <w:pStyle w:val="TableContents"/>
              <w:bidi w:val="0"/>
              <w:spacing w:before="0" w:after="283"/>
              <w:jc w:val="left"/>
              <w:rPr/>
            </w:pPr>
            <w:r>
              <w:rPr/>
              <w:t> </w:t>
            </w:r>
          </w:p>
        </w:tc>
        <w:tc>
          <w:tcPr>
            <w:tcW w:w="1413" w:type="dxa"/>
            <w:tcBorders>
              <w:bottom w:val="single" w:sz="8" w:space="0" w:color="F7ACBA"/>
            </w:tcBorders>
            <w:tcMar>
              <w:bottom w:w="80" w:type="dxa"/>
            </w:tcMar>
            <w:vAlign w:val="center"/>
          </w:tcPr>
          <w:p>
            <w:pPr>
              <w:pStyle w:val="TableContents"/>
              <w:bidi w:val="0"/>
              <w:spacing w:before="0" w:after="283"/>
              <w:jc w:val="right"/>
              <w:rPr/>
            </w:pPr>
            <w:r>
              <w:rPr/>
              <w:t>27,852,235</w:t>
            </w:r>
          </w:p>
        </w:tc>
        <w:tc>
          <w:tcPr>
            <w:tcW w:w="155"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85" w:type="dxa"/>
            <w:tcBorders>
              <w:bottom w:val="single" w:sz="8" w:space="0" w:color="F7ACBA"/>
            </w:tcBorders>
            <w:tcMar>
              <w:bottom w:w="80" w:type="dxa"/>
            </w:tcMar>
            <w:vAlign w:val="center"/>
          </w:tcPr>
          <w:p>
            <w:pPr>
              <w:pStyle w:val="TableContents"/>
              <w:bidi w:val="0"/>
              <w:spacing w:before="0" w:after="283"/>
              <w:jc w:val="left"/>
              <w:rPr/>
            </w:pPr>
            <w:r>
              <w:rPr/>
              <w:t> </w:t>
            </w:r>
          </w:p>
        </w:tc>
        <w:tc>
          <w:tcPr>
            <w:tcW w:w="1405" w:type="dxa"/>
            <w:tcBorders>
              <w:bottom w:val="single" w:sz="8" w:space="0" w:color="F7ACBA"/>
            </w:tcBorders>
            <w:tcMar>
              <w:bottom w:w="80" w:type="dxa"/>
            </w:tcMar>
            <w:vAlign w:val="center"/>
          </w:tcPr>
          <w:p>
            <w:pPr>
              <w:pStyle w:val="TableContents"/>
              <w:bidi w:val="0"/>
              <w:spacing w:before="0" w:after="283"/>
              <w:jc w:val="right"/>
              <w:rPr/>
            </w:pPr>
            <w:r>
              <w:rPr/>
              <w:t>4,601,134</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85" w:type="dxa"/>
            <w:tcBorders>
              <w:bottom w:val="single" w:sz="8" w:space="0" w:color="F7ACBA"/>
            </w:tcBorders>
            <w:tcMar>
              <w:bottom w:w="80" w:type="dxa"/>
            </w:tcMar>
            <w:vAlign w:val="center"/>
          </w:tcPr>
          <w:p>
            <w:pPr>
              <w:pStyle w:val="TableContents"/>
              <w:bidi w:val="0"/>
              <w:spacing w:before="0" w:after="283"/>
              <w:jc w:val="left"/>
              <w:rPr/>
            </w:pPr>
            <w:r>
              <w:rPr/>
              <w:t> </w:t>
            </w:r>
          </w:p>
        </w:tc>
        <w:tc>
          <w:tcPr>
            <w:tcW w:w="1405" w:type="dxa"/>
            <w:tcBorders>
              <w:bottom w:val="single" w:sz="8" w:space="0" w:color="F7ACBA"/>
            </w:tcBorders>
            <w:tcMar>
              <w:bottom w:w="80" w:type="dxa"/>
            </w:tcMar>
            <w:vAlign w:val="center"/>
          </w:tcPr>
          <w:p>
            <w:pPr>
              <w:pStyle w:val="TableContents"/>
              <w:bidi w:val="0"/>
              <w:spacing w:before="0" w:after="283"/>
              <w:jc w:val="right"/>
              <w:rPr/>
            </w:pPr>
            <w:r>
              <w:rPr/>
              <w:t>9,248,185</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239" w:type="dxa"/>
            <w:tcBorders>
              <w:bottom w:val="single" w:sz="8" w:space="0" w:color="F7ACBA"/>
            </w:tcBorders>
            <w:tcMar>
              <w:bottom w:w="80" w:type="dxa"/>
            </w:tcMar>
            <w:vAlign w:val="center"/>
          </w:tcPr>
          <w:p>
            <w:pPr>
              <w:pStyle w:val="TableContents"/>
              <w:bidi w:val="0"/>
              <w:spacing w:before="0" w:after="283"/>
              <w:jc w:val="left"/>
              <w:rPr/>
            </w:pPr>
            <w:r>
              <w:rPr/>
              <w:t> </w:t>
            </w:r>
          </w:p>
        </w:tc>
        <w:tc>
          <w:tcPr>
            <w:tcW w:w="1041" w:type="dxa"/>
            <w:tcBorders>
              <w:bottom w:val="single" w:sz="8" w:space="0" w:color="F7ACBA"/>
            </w:tcBorders>
            <w:tcMar>
              <w:bottom w:w="80" w:type="dxa"/>
            </w:tcMar>
            <w:vAlign w:val="center"/>
          </w:tcPr>
          <w:p>
            <w:pPr>
              <w:pStyle w:val="TableContents"/>
              <w:bidi w:val="0"/>
              <w:spacing w:before="0" w:after="283"/>
              <w:jc w:val="right"/>
              <w:rPr/>
            </w:pPr>
            <w:r>
              <w:rPr/>
              <w:t>96</w:t>
            </w:r>
          </w:p>
        </w:tc>
        <w:tc>
          <w:tcPr>
            <w:tcW w:w="144" w:type="dxa"/>
            <w:tcBorders>
              <w:bottom w:val="single" w:sz="8" w:space="0" w:color="F7ACBA"/>
            </w:tcBorders>
            <w:tcMar>
              <w:bottom w:w="80" w:type="dxa"/>
            </w:tcMar>
            <w:vAlign w:val="center"/>
          </w:tcPr>
          <w:p>
            <w:pPr>
              <w:pStyle w:val="TableContents"/>
              <w:bidi w:val="0"/>
              <w:spacing w:before="0" w:after="283"/>
              <w:jc w:val="left"/>
              <w:rPr/>
            </w:pPr>
            <w:r>
              <w:rPr/>
              <w:t> </w:t>
            </w:r>
          </w:p>
        </w:tc>
        <w:tc>
          <w:tcPr>
            <w:tcW w:w="144" w:type="dxa"/>
            <w:tcBorders>
              <w:bottom w:val="single" w:sz="8" w:space="0" w:color="F7ACBA"/>
            </w:tcBorders>
            <w:tcMar>
              <w:bottom w:w="28" w:type="dxa"/>
            </w:tcMar>
            <w:vAlign w:val="center"/>
          </w:tcPr>
          <w:p>
            <w:pPr>
              <w:pStyle w:val="TableContents"/>
              <w:bidi w:val="0"/>
              <w:spacing w:before="0" w:after="283"/>
              <w:jc w:val="left"/>
              <w:rPr/>
            </w:pPr>
            <w:r>
              <w:rPr/>
              <w:t> </w:t>
            </w:r>
          </w:p>
        </w:tc>
        <w:tc>
          <w:tcPr>
            <w:tcW w:w="173" w:type="dxa"/>
            <w:tcBorders>
              <w:bottom w:val="single" w:sz="8" w:space="0" w:color="F7ACBA"/>
            </w:tcBorders>
            <w:tcMar>
              <w:bottom w:w="80" w:type="dxa"/>
            </w:tcMar>
            <w:vAlign w:val="center"/>
          </w:tcPr>
          <w:p>
            <w:pPr>
              <w:pStyle w:val="TableContents"/>
              <w:bidi w:val="0"/>
              <w:spacing w:before="0" w:after="283"/>
              <w:jc w:val="left"/>
              <w:rPr/>
            </w:pPr>
            <w:r>
              <w:rPr/>
              <w:t> </w:t>
            </w:r>
          </w:p>
        </w:tc>
        <w:tc>
          <w:tcPr>
            <w:tcW w:w="1107" w:type="dxa"/>
            <w:tcBorders>
              <w:bottom w:val="single" w:sz="8" w:space="0" w:color="F7ACBA"/>
            </w:tcBorders>
            <w:tcMar>
              <w:bottom w:w="80" w:type="dxa"/>
            </w:tcMar>
            <w:vAlign w:val="center"/>
          </w:tcPr>
          <w:p>
            <w:pPr>
              <w:pStyle w:val="TableContents"/>
              <w:bidi w:val="0"/>
              <w:spacing w:before="0" w:after="283"/>
              <w:jc w:val="right"/>
              <w:rPr/>
            </w:pPr>
            <w:r>
              <w:rPr/>
              <w:t>93</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1220" w:type="dxa"/>
            <w:tcBorders>
              <w:bottom w:val="single" w:sz="8" w:space="0" w:color="F7ACBA"/>
            </w:tcBorders>
            <w:tcMar>
              <w:bottom w:w="80" w:type="dxa"/>
            </w:tcMar>
            <w:vAlign w:val="center"/>
          </w:tcPr>
          <w:p>
            <w:pPr>
              <w:pStyle w:val="TableContents"/>
              <w:bidi w:val="0"/>
              <w:spacing w:before="0" w:after="283"/>
              <w:jc w:val="right"/>
              <w:rPr/>
            </w:pPr>
            <w:r>
              <w:rPr/>
              <w:t>646,000,000</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1220" w:type="dxa"/>
            <w:tcBorders>
              <w:bottom w:val="single" w:sz="8" w:space="0" w:color="F7ACBA"/>
            </w:tcBorders>
            <w:tcMar>
              <w:bottom w:w="80" w:type="dxa"/>
            </w:tcMar>
            <w:vAlign w:val="center"/>
          </w:tcPr>
          <w:p>
            <w:pPr>
              <w:pStyle w:val="TableContents"/>
              <w:bidi w:val="0"/>
              <w:spacing w:before="0" w:after="283"/>
              <w:jc w:val="right"/>
              <w:rPr/>
            </w:pPr>
            <w:r>
              <w:rPr/>
              <w:t>870,000,000</w:t>
            </w:r>
          </w:p>
        </w:tc>
        <w:tc>
          <w:tcPr>
            <w:tcW w:w="75" w:type="dxa"/>
            <w:tcBorders>
              <w:bottom w:val="single" w:sz="8" w:space="0" w:color="F7ACBA"/>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(1)</w:t>
            </w:r>
          </w:p>
        </w:tc>
        <w:tc>
          <w:tcPr>
            <w:tcW w:w="9919" w:type="dxa"/>
            <w:tcBorders/>
            <w:vAlign w:val="center"/>
          </w:tcPr>
          <w:p>
            <w:pPr>
              <w:pStyle w:val="TableContents"/>
              <w:bidi w:val="0"/>
              <w:spacing w:before="0" w:after="0"/>
              <w:jc w:val="left"/>
              <w:rPr>
                <w:rFonts w:ascii="arial" w:hAnsi="arial"/>
                <w:sz w:val="14"/>
              </w:rPr>
            </w:pPr>
            <w:r>
              <w:rPr>
                <w:rFonts w:ascii="arial" w:hAnsi="arial"/>
                <w:sz w:val="14"/>
              </w:rPr>
              <w:t xml:space="preserve">Mr. Waters was the Principal Executive Officer (“PEO”) for fiscal 2023, 2022 and 2021. </w:t>
            </w:r>
          </w:p>
          <w:p>
            <w:pPr>
              <w:pStyle w:val="TableContents"/>
              <w:bidi w:val="0"/>
              <w:spacing w:before="0" w:after="0"/>
              <w:jc w:val="left"/>
              <w:rPr>
                <w:rFonts w:ascii="arial" w:hAnsi="arial"/>
                <w:spacing w:val="0"/>
                <w:sz w:val="14"/>
              </w:rPr>
            </w:pPr>
            <w:r>
              <w:rPr>
                <w:rFonts w:ascii="arial" w:hAnsi="arial"/>
                <w:spacing w:val="0"/>
                <w:sz w:val="14"/>
              </w:rPr>
              <w:t>Non-PEO</w:t>
            </w:r>
          </w:p>
          <w:p>
            <w:pPr>
              <w:pStyle w:val="TableContents"/>
              <w:bidi w:val="0"/>
              <w:spacing w:before="0" w:after="0"/>
              <w:jc w:val="left"/>
              <w:rPr>
                <w:rFonts w:ascii="arial" w:hAnsi="arial"/>
                <w:sz w:val="14"/>
              </w:rPr>
            </w:pPr>
            <w:r>
              <w:rPr>
                <w:rFonts w:ascii="arial" w:hAnsi="arial"/>
                <w:sz w:val="14"/>
              </w:rPr>
              <w:t xml:space="preserve">NEOs include Mr. Johnson, Ms. McAfee, Ms. Rupp and Mr. Unis for fiscal 2023; Mr. Johnson, Ms. Hauk, Ms. Rupp and Mr. Unis for fiscal 2022; and Mr. Johnson, Mr. Boyle, Ms. Hauk, Mr. Unis for fiscal 2021.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(2)</w:t>
            </w:r>
          </w:p>
        </w:tc>
        <w:tc>
          <w:tcPr>
            <w:tcW w:w="9904" w:type="dxa"/>
            <w:tcBorders/>
            <w:vAlign w:val="center"/>
          </w:tcPr>
          <w:p>
            <w:pPr>
              <w:pStyle w:val="TableContents"/>
              <w:bidi w:val="0"/>
              <w:spacing w:before="0" w:after="0"/>
              <w:jc w:val="left"/>
              <w:rPr>
                <w:rFonts w:ascii="arial" w:hAnsi="arial"/>
                <w:sz w:val="14"/>
              </w:rPr>
            </w:pPr>
            <w:r>
              <w:rPr>
                <w:rFonts w:ascii="arial" w:hAnsi="arial"/>
                <w:sz w:val="14"/>
              </w:rPr>
              <w:t xml:space="preserve">To calculate Compensation Actually Paid (“CAP”), the following amounts were deducted from and added to Summary Compensation Table (“SCT”) total compensation: </w:t>
            </w:r>
          </w:p>
        </w:tc>
      </w:tr>
    </w:tbl>
    <w:p>
      <w:pPr>
        <w:pStyle w:val="TextBody"/>
        <w:bidi w:val="0"/>
        <w:spacing w:before="240" w:after="0"/>
        <w:jc w:val="left"/>
        <w:rPr>
          <w:rFonts w:ascii="arial" w:hAnsi="arial"/>
          <w:b/>
          <w:color w:val="F7ACBA"/>
          <w:spacing w:val="0"/>
          <w:sz w:val="24"/>
          <w:shd w:fill="FFFFFF" w:val="clear"/>
        </w:rPr>
      </w:pPr>
      <w:r>
        <w:rPr>
          <w:rFonts w:ascii="arial" w:hAnsi="arial"/>
          <w:b/>
          <w:color w:val="F7ACBA"/>
          <w:spacing w:val="0"/>
          <w:sz w:val="24"/>
          <w:shd w:fill="FFFFFF" w:val="clear"/>
        </w:rPr>
        <w:t xml:space="preserve">PEO SCT Total to CAP Reconciliation </w:t>
      </w:r>
    </w:p>
    <w:p>
      <w:pPr>
        <w:pStyle w:val="TextBody"/>
        <w:bidi w:val="0"/>
        <w:spacing w:before="0" w:after="0"/>
        <w:jc w:val="left"/>
        <w:rPr>
          <w:shd w:fill="FFFFFF" w:val="clear"/>
        </w:rPr>
      </w:pPr>
      <w:r>
        <w:rPr>
          <w:shd w:fill="FFFFFF" w:val="clear"/>
        </w:rPr>
        <w:t> </w:t>
      </w:r>
    </w:p>
    <w:tbl>
      <w:tblPr>
        <w:tblW w:w="11415" w:type="dxa"/>
        <w:jc w:val="left"/>
        <w:tblInd w:w="0" w:type="dxa"/>
        <w:tblLayout w:type="fixed"/>
        <w:tblCellMar>
          <w:top w:w="0" w:type="dxa"/>
          <w:left w:w="0" w:type="dxa"/>
          <w:bottom w:w="0" w:type="dxa"/>
          <w:right w:w="0" w:type="dxa"/>
        </w:tblCellMar>
      </w:tblPr>
      <w:tblGrid>
        <w:gridCol w:w="455"/>
        <w:gridCol w:w="60"/>
        <w:gridCol w:w="60"/>
        <w:gridCol w:w="980"/>
        <w:gridCol w:w="60"/>
        <w:gridCol w:w="60"/>
        <w:gridCol w:w="60"/>
        <w:gridCol w:w="980"/>
        <w:gridCol w:w="60"/>
        <w:gridCol w:w="60"/>
        <w:gridCol w:w="85"/>
        <w:gridCol w:w="1405"/>
        <w:gridCol w:w="60"/>
        <w:gridCol w:w="60"/>
        <w:gridCol w:w="103"/>
        <w:gridCol w:w="1387"/>
        <w:gridCol w:w="60"/>
        <w:gridCol w:w="60"/>
        <w:gridCol w:w="60"/>
        <w:gridCol w:w="1100"/>
        <w:gridCol w:w="60"/>
        <w:gridCol w:w="60"/>
        <w:gridCol w:w="62"/>
        <w:gridCol w:w="1098"/>
        <w:gridCol w:w="155"/>
        <w:gridCol w:w="60"/>
        <w:gridCol w:w="60"/>
        <w:gridCol w:w="1100"/>
        <w:gridCol w:w="155"/>
        <w:gridCol w:w="60"/>
        <w:gridCol w:w="60"/>
        <w:gridCol w:w="1100"/>
        <w:gridCol w:w="170"/>
      </w:tblGrid>
      <w:tr>
        <w:trPr/>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55" w:type="dxa"/>
            <w:tcBorders/>
            <w:shd w:fill="FDEEF1" w:val="clear"/>
            <w:vAlign w:val="center"/>
          </w:tcPr>
          <w:p>
            <w:pPr>
              <w:pStyle w:val="TableContents"/>
              <w:bidi w:val="0"/>
              <w:spacing w:before="0" w:after="283"/>
              <w:jc w:val="left"/>
              <w:rPr>
                <w:sz w:val="4"/>
                <w:szCs w:val="4"/>
              </w:rPr>
            </w:pPr>
            <w:r>
              <w:rPr>
                <w:sz w:val="4"/>
                <w:szCs w:val="4"/>
              </w:rPr>
            </w:r>
          </w:p>
        </w:tc>
        <w:tc>
          <w:tcPr>
            <w:tcW w:w="1160" w:type="dxa"/>
            <w:gridSpan w:val="4"/>
            <w:tcBorders/>
            <w:shd w:fill="FDEEF1" w:val="clear"/>
            <w:vAlign w:val="center"/>
          </w:tcPr>
          <w:p>
            <w:pPr>
              <w:pStyle w:val="TableContents"/>
              <w:bidi w:val="0"/>
              <w:spacing w:before="0" w:after="283"/>
              <w:jc w:val="left"/>
              <w:rPr>
                <w:sz w:val="4"/>
                <w:szCs w:val="4"/>
              </w:rPr>
            </w:pPr>
            <w:r>
              <w:rPr>
                <w:sz w:val="4"/>
                <w:szCs w:val="4"/>
              </w:rPr>
            </w:r>
          </w:p>
        </w:tc>
        <w:tc>
          <w:tcPr>
            <w:tcW w:w="1160" w:type="dxa"/>
            <w:gridSpan w:val="4"/>
            <w:tcBorders/>
            <w:shd w:fill="FDEEF1" w:val="clear"/>
            <w:vAlign w:val="center"/>
          </w:tcPr>
          <w:p>
            <w:pPr>
              <w:pStyle w:val="TableContents"/>
              <w:bidi w:val="0"/>
              <w:spacing w:before="0" w:after="283"/>
              <w:jc w:val="left"/>
              <w:rPr>
                <w:sz w:val="4"/>
                <w:szCs w:val="4"/>
              </w:rPr>
            </w:pPr>
            <w:r>
              <w:rPr>
                <w:sz w:val="4"/>
                <w:szCs w:val="4"/>
              </w:rPr>
            </w:r>
          </w:p>
        </w:tc>
        <w:tc>
          <w:tcPr>
            <w:tcW w:w="1610" w:type="dxa"/>
            <w:gridSpan w:val="4"/>
            <w:tcBorders/>
            <w:shd w:fill="FDEEF1" w:val="clear"/>
            <w:vAlign w:val="center"/>
          </w:tcPr>
          <w:p>
            <w:pPr>
              <w:pStyle w:val="TableContents"/>
              <w:bidi w:val="0"/>
              <w:spacing w:before="0" w:after="283"/>
              <w:jc w:val="left"/>
              <w:rPr>
                <w:sz w:val="4"/>
                <w:szCs w:val="4"/>
              </w:rPr>
            </w:pPr>
            <w:r>
              <w:rPr>
                <w:sz w:val="4"/>
                <w:szCs w:val="4"/>
              </w:rPr>
            </w:r>
          </w:p>
        </w:tc>
        <w:tc>
          <w:tcPr>
            <w:tcW w:w="1610" w:type="dxa"/>
            <w:gridSpan w:val="4"/>
            <w:tcBorders/>
            <w:shd w:fill="FDEEF1" w:val="clear"/>
            <w:vAlign w:val="center"/>
          </w:tcPr>
          <w:p>
            <w:pPr>
              <w:pStyle w:val="TableContents"/>
              <w:bidi w:val="0"/>
              <w:spacing w:before="0" w:after="283"/>
              <w:jc w:val="left"/>
              <w:rPr>
                <w:sz w:val="4"/>
                <w:szCs w:val="4"/>
              </w:rPr>
            </w:pPr>
            <w:r>
              <w:rPr>
                <w:sz w:val="4"/>
                <w:szCs w:val="4"/>
              </w:rPr>
            </w:r>
          </w:p>
        </w:tc>
        <w:tc>
          <w:tcPr>
            <w:tcW w:w="1280" w:type="dxa"/>
            <w:gridSpan w:val="4"/>
            <w:tcBorders/>
            <w:shd w:fill="FDEEF1" w:val="clear"/>
            <w:vAlign w:val="center"/>
          </w:tcPr>
          <w:p>
            <w:pPr>
              <w:pStyle w:val="TableContents"/>
              <w:bidi w:val="0"/>
              <w:spacing w:before="0" w:after="283"/>
              <w:jc w:val="left"/>
              <w:rPr>
                <w:sz w:val="4"/>
                <w:szCs w:val="4"/>
              </w:rPr>
            </w:pPr>
            <w:r>
              <w:rPr>
                <w:sz w:val="4"/>
                <w:szCs w:val="4"/>
              </w:rPr>
            </w:r>
          </w:p>
        </w:tc>
        <w:tc>
          <w:tcPr>
            <w:tcW w:w="1375" w:type="dxa"/>
            <w:gridSpan w:val="4"/>
            <w:tcBorders/>
            <w:shd w:fill="FDEEF1" w:val="clear"/>
            <w:vAlign w:val="center"/>
          </w:tcPr>
          <w:p>
            <w:pPr>
              <w:pStyle w:val="TableContents"/>
              <w:bidi w:val="0"/>
              <w:spacing w:before="0" w:after="283"/>
              <w:jc w:val="left"/>
              <w:rPr>
                <w:sz w:val="4"/>
                <w:szCs w:val="4"/>
              </w:rPr>
            </w:pPr>
            <w:r>
              <w:rPr>
                <w:sz w:val="4"/>
                <w:szCs w:val="4"/>
              </w:rPr>
            </w:r>
          </w:p>
        </w:tc>
        <w:tc>
          <w:tcPr>
            <w:tcW w:w="1375" w:type="dxa"/>
            <w:gridSpan w:val="4"/>
            <w:tcBorders/>
            <w:shd w:fill="FDEEF1" w:val="clear"/>
            <w:vAlign w:val="center"/>
          </w:tcPr>
          <w:p>
            <w:pPr>
              <w:pStyle w:val="TableContents"/>
              <w:bidi w:val="0"/>
              <w:spacing w:before="0" w:after="283"/>
              <w:jc w:val="left"/>
              <w:rPr>
                <w:sz w:val="4"/>
                <w:szCs w:val="4"/>
              </w:rPr>
            </w:pPr>
            <w:r>
              <w:rPr>
                <w:sz w:val="4"/>
                <w:szCs w:val="4"/>
              </w:rPr>
            </w:r>
          </w:p>
        </w:tc>
        <w:tc>
          <w:tcPr>
            <w:tcW w:w="1390" w:type="dxa"/>
            <w:gridSpan w:val="4"/>
            <w:tcBorders/>
            <w:shd w:fill="FDEEF1" w:val="clear"/>
            <w:vAlign w:val="center"/>
          </w:tcPr>
          <w:p>
            <w:pPr>
              <w:pStyle w:val="TableContents"/>
              <w:bidi w:val="0"/>
              <w:spacing w:before="0" w:after="283"/>
              <w:jc w:val="left"/>
              <w:rPr>
                <w:sz w:val="4"/>
                <w:szCs w:val="4"/>
              </w:rPr>
            </w:pPr>
            <w:r>
              <w:rPr>
                <w:sz w:val="4"/>
                <w:szCs w:val="4"/>
              </w:rPr>
            </w:r>
          </w:p>
        </w:tc>
      </w:tr>
      <w:tr>
        <w:trPr/>
        <w:tc>
          <w:tcPr>
            <w:tcW w:w="455" w:type="dxa"/>
            <w:tcBorders/>
            <w:shd w:fill="FDEEF1" w:val="clear"/>
            <w:vAlign w:val="center"/>
          </w:tcPr>
          <w:p>
            <w:pPr>
              <w:pStyle w:val="TableContents"/>
              <w:bidi w:val="0"/>
              <w:spacing w:before="0" w:after="0"/>
              <w:jc w:val="left"/>
              <w:rPr>
                <w:rFonts w:ascii="arial" w:hAnsi="arial"/>
                <w:b/>
                <w:sz w:val="16"/>
              </w:rPr>
            </w:pPr>
            <w:r>
              <w:rPr>
                <w:rFonts w:ascii="arial" w:hAnsi="arial"/>
                <w:b/>
                <w:sz w:val="16"/>
              </w:rPr>
              <w:t>Year</w:t>
            </w:r>
          </w:p>
        </w:tc>
        <w:tc>
          <w:tcPr>
            <w:tcW w:w="60" w:type="dxa"/>
            <w:tcBorders/>
            <w:shd w:fill="FDEEF1" w:val="clear"/>
            <w:vAlign w:val="center"/>
          </w:tcPr>
          <w:p>
            <w:pPr>
              <w:pStyle w:val="TableContents"/>
              <w:bidi w:val="0"/>
              <w:spacing w:before="0" w:after="283"/>
              <w:jc w:val="left"/>
              <w:rPr/>
            </w:pPr>
            <w:r>
              <w:rPr/>
              <w:t> </w:t>
            </w:r>
          </w:p>
        </w:tc>
        <w:tc>
          <w:tcPr>
            <w:tcW w:w="1040" w:type="dxa"/>
            <w:gridSpan w:val="2"/>
            <w:tcBorders/>
            <w:shd w:fill="FDEEF1" w:val="clear"/>
            <w:vAlign w:val="center"/>
          </w:tcPr>
          <w:p>
            <w:pPr>
              <w:pStyle w:val="TableContents"/>
              <w:bidi w:val="0"/>
              <w:spacing w:before="0" w:after="0"/>
              <w:jc w:val="center"/>
              <w:rPr>
                <w:b/>
                <w:spacing w:val="0"/>
              </w:rPr>
            </w:pPr>
            <w:r>
              <w:rPr>
                <w:b/>
                <w:spacing w:val="0"/>
              </w:rPr>
              <w:t>Salary</w:t>
              <w:br/>
              <w:t>($)</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040" w:type="dxa"/>
            <w:gridSpan w:val="2"/>
            <w:tcBorders/>
            <w:shd w:fill="FDEEF1" w:val="clear"/>
            <w:vAlign w:val="center"/>
          </w:tcPr>
          <w:p>
            <w:pPr>
              <w:pStyle w:val="TableContents"/>
              <w:bidi w:val="0"/>
              <w:spacing w:before="0" w:after="0"/>
              <w:jc w:val="center"/>
              <w:rPr>
                <w:b/>
                <w:spacing w:val="0"/>
              </w:rPr>
            </w:pPr>
            <w:r>
              <w:rPr>
                <w:b/>
                <w:spacing w:val="0"/>
              </w:rPr>
              <w:t>Bonus</w:t>
              <w:br/>
              <w:t>($)</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490" w:type="dxa"/>
            <w:gridSpan w:val="2"/>
            <w:tcBorders/>
            <w:shd w:fill="FDEEF1" w:val="clear"/>
            <w:vAlign w:val="center"/>
          </w:tcPr>
          <w:p>
            <w:pPr>
              <w:pStyle w:val="TableContents"/>
              <w:bidi w:val="0"/>
              <w:spacing w:before="0" w:after="0"/>
              <w:jc w:val="center"/>
              <w:rPr>
                <w:b/>
                <w:spacing w:val="0"/>
              </w:rPr>
            </w:pPr>
            <w:r>
              <w:rPr>
                <w:b/>
                <w:spacing w:val="0"/>
              </w:rPr>
              <w:t>Non-Equity</w:t>
            </w:r>
          </w:p>
          <w:p>
            <w:pPr>
              <w:pStyle w:val="TableContents"/>
              <w:bidi w:val="0"/>
              <w:spacing w:before="0" w:after="0"/>
              <w:jc w:val="center"/>
              <w:rPr>
                <w:b/>
                <w:spacing w:val="0"/>
              </w:rPr>
            </w:pPr>
            <w:r>
              <w:rPr>
                <w:b/>
                <w:spacing w:val="0"/>
              </w:rPr>
              <w:br/>
              <w:t>Incentive</w:t>
              <w:br/>
              <w:t>Compensation</w:t>
              <w:br/>
              <w:t>($)</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490" w:type="dxa"/>
            <w:gridSpan w:val="2"/>
            <w:tcBorders/>
            <w:shd w:fill="FDEEF1" w:val="clear"/>
            <w:vAlign w:val="center"/>
          </w:tcPr>
          <w:p>
            <w:pPr>
              <w:pStyle w:val="TableContents"/>
              <w:bidi w:val="0"/>
              <w:spacing w:before="0" w:after="0"/>
              <w:jc w:val="center"/>
              <w:rPr>
                <w:b/>
                <w:spacing w:val="0"/>
              </w:rPr>
            </w:pPr>
            <w:r>
              <w:rPr>
                <w:b/>
                <w:spacing w:val="0"/>
              </w:rPr>
              <w:t>All Other</w:t>
              <w:br/>
              <w:t>Compensation</w:t>
              <w:br/>
              <w:t>($)</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160" w:type="dxa"/>
            <w:gridSpan w:val="2"/>
            <w:tcBorders/>
            <w:shd w:fill="FDEEF1" w:val="clear"/>
            <w:vAlign w:val="center"/>
          </w:tcPr>
          <w:p>
            <w:pPr>
              <w:pStyle w:val="TableContents"/>
              <w:bidi w:val="0"/>
              <w:spacing w:before="0" w:after="0"/>
              <w:jc w:val="center"/>
              <w:rPr>
                <w:b/>
                <w:spacing w:val="0"/>
              </w:rPr>
            </w:pPr>
            <w:r>
              <w:rPr>
                <w:b/>
                <w:spacing w:val="0"/>
              </w:rPr>
              <w:t>SCT Total</w:t>
              <w:br/>
              <w:t>($)</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160" w:type="dxa"/>
            <w:gridSpan w:val="2"/>
            <w:tcBorders/>
            <w:shd w:fill="FDEEF1" w:val="clear"/>
            <w:vAlign w:val="center"/>
          </w:tcPr>
          <w:p>
            <w:pPr>
              <w:pStyle w:val="TableContents"/>
              <w:bidi w:val="0"/>
              <w:spacing w:before="0" w:after="0"/>
              <w:jc w:val="center"/>
              <w:rPr>
                <w:b/>
                <w:spacing w:val="0"/>
              </w:rPr>
            </w:pPr>
            <w:r>
              <w:rPr>
                <w:b/>
                <w:spacing w:val="0"/>
              </w:rPr>
              <w:t>Deductions</w:t>
              <w:br/>
              <w:t>from SCT</w:t>
              <w:br/>
              <w:t>Total</w:t>
            </w:r>
          </w:p>
          <w:p>
            <w:pPr>
              <w:pStyle w:val="TableContents"/>
              <w:bidi w:val="0"/>
              <w:spacing w:before="0" w:after="0"/>
              <w:jc w:val="center"/>
              <w:rPr>
                <w:b/>
                <w:spacing w:val="0"/>
                <w:sz w:val="9"/>
              </w:rPr>
            </w:pPr>
            <w:r>
              <w:rPr>
                <w:b/>
                <w:spacing w:val="0"/>
                <w:sz w:val="9"/>
              </w:rPr>
              <w:t>(a)</w:t>
            </w:r>
          </w:p>
          <w:p>
            <w:pPr>
              <w:pStyle w:val="TableContents"/>
              <w:bidi w:val="0"/>
              <w:spacing w:before="0" w:after="0"/>
              <w:jc w:val="center"/>
              <w:rPr>
                <w:b/>
                <w:spacing w:val="0"/>
              </w:rPr>
            </w:pPr>
            <w:r>
              <w:rPr>
                <w:b/>
                <w:spacing w:val="0"/>
              </w:rPr>
              <w:t>($)</w:t>
            </w:r>
          </w:p>
        </w:tc>
        <w:tc>
          <w:tcPr>
            <w:tcW w:w="155"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160" w:type="dxa"/>
            <w:gridSpan w:val="2"/>
            <w:tcBorders/>
            <w:shd w:fill="FDEEF1" w:val="clear"/>
            <w:vAlign w:val="center"/>
          </w:tcPr>
          <w:p>
            <w:pPr>
              <w:pStyle w:val="TableContents"/>
              <w:bidi w:val="0"/>
              <w:spacing w:before="0" w:after="0"/>
              <w:jc w:val="center"/>
              <w:rPr>
                <w:b/>
                <w:spacing w:val="0"/>
              </w:rPr>
            </w:pPr>
            <w:r>
              <w:rPr>
                <w:b/>
                <w:spacing w:val="0"/>
              </w:rPr>
              <w:t>Additions</w:t>
              <w:br/>
              <w:t>to SCT</w:t>
              <w:br/>
              <w:t>Total</w:t>
            </w:r>
          </w:p>
          <w:p>
            <w:pPr>
              <w:pStyle w:val="TableContents"/>
              <w:bidi w:val="0"/>
              <w:spacing w:before="0" w:after="0"/>
              <w:jc w:val="center"/>
              <w:rPr>
                <w:b/>
                <w:spacing w:val="0"/>
                <w:sz w:val="9"/>
              </w:rPr>
            </w:pPr>
            <w:r>
              <w:rPr>
                <w:b/>
                <w:spacing w:val="0"/>
                <w:sz w:val="9"/>
              </w:rPr>
              <w:t>(b)</w:t>
            </w:r>
          </w:p>
          <w:p>
            <w:pPr>
              <w:pStyle w:val="TableContents"/>
              <w:bidi w:val="0"/>
              <w:spacing w:before="0" w:after="0"/>
              <w:jc w:val="center"/>
              <w:rPr>
                <w:b/>
                <w:spacing w:val="0"/>
              </w:rPr>
            </w:pPr>
            <w:r>
              <w:rPr>
                <w:b/>
                <w:spacing w:val="0"/>
              </w:rPr>
              <w:br/>
              <w:t>($)</w:t>
            </w:r>
          </w:p>
        </w:tc>
        <w:tc>
          <w:tcPr>
            <w:tcW w:w="155"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160" w:type="dxa"/>
            <w:gridSpan w:val="2"/>
            <w:tcBorders/>
            <w:shd w:fill="FDEEF1" w:val="clear"/>
            <w:vAlign w:val="center"/>
          </w:tcPr>
          <w:p>
            <w:pPr>
              <w:pStyle w:val="TableContents"/>
              <w:bidi w:val="0"/>
              <w:spacing w:before="0" w:after="0"/>
              <w:jc w:val="center"/>
              <w:rPr>
                <w:b/>
                <w:spacing w:val="0"/>
              </w:rPr>
            </w:pPr>
            <w:r>
              <w:rPr>
                <w:b/>
                <w:spacing w:val="0"/>
              </w:rPr>
              <w:t>CAP ($)</w:t>
            </w:r>
          </w:p>
        </w:tc>
        <w:tc>
          <w:tcPr>
            <w:tcW w:w="170" w:type="dxa"/>
            <w:tcBorders/>
            <w:shd w:fill="FDEEF1" w:val="clear"/>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90" w:type="dxa"/>
            <w:gridSpan w:val="4"/>
            <w:tcBorders/>
            <w:vAlign w:val="center"/>
          </w:tcPr>
          <w:p>
            <w:pPr>
              <w:pStyle w:val="TableContents"/>
              <w:bidi w:val="0"/>
              <w:spacing w:before="0" w:after="283"/>
              <w:jc w:val="left"/>
              <w:rPr>
                <w:sz w:val="4"/>
                <w:szCs w:val="4"/>
              </w:rPr>
            </w:pPr>
            <w:r>
              <w:rPr>
                <w:sz w:val="4"/>
                <w:szCs w:val="4"/>
              </w:rPr>
            </w:r>
          </w:p>
        </w:tc>
      </w:tr>
      <w:tr>
        <w:trPr/>
        <w:tc>
          <w:tcPr>
            <w:tcW w:w="455" w:type="dxa"/>
            <w:tcBorders>
              <w:bottom w:val="single" w:sz="6" w:space="0" w:color="FBDDE3"/>
            </w:tcBorders>
            <w:tcMar>
              <w:bottom w:w="60" w:type="dxa"/>
            </w:tcMar>
            <w:vAlign w:val="center"/>
          </w:tcPr>
          <w:p>
            <w:pPr>
              <w:pStyle w:val="TableContents"/>
              <w:bidi w:val="0"/>
              <w:spacing w:before="0" w:after="0"/>
              <w:jc w:val="left"/>
              <w:rPr>
                <w:rFonts w:ascii="arial" w:hAnsi="arial"/>
                <w:b/>
                <w:sz w:val="18"/>
              </w:rPr>
            </w:pPr>
            <w:r>
              <w:rPr>
                <w:rFonts w:ascii="arial" w:hAnsi="arial"/>
                <w:b/>
                <w:sz w:val="18"/>
              </w:rPr>
              <w:t>2023</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1,250,000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5" w:type="dxa"/>
            <w:tcBorders>
              <w:bottom w:val="single" w:sz="6" w:space="0" w:color="FBDDE3"/>
            </w:tcBorders>
            <w:tcMar>
              <w:bottom w:w="60" w:type="dxa"/>
            </w:tcMar>
            <w:vAlign w:val="center"/>
          </w:tcPr>
          <w:p>
            <w:pPr>
              <w:pStyle w:val="TableContents"/>
              <w:bidi w:val="0"/>
              <w:spacing w:before="0" w:after="283"/>
              <w:jc w:val="left"/>
              <w:rPr/>
            </w:pPr>
            <w:r>
              <w:rPr/>
              <w:t> </w:t>
            </w:r>
          </w:p>
        </w:tc>
        <w:tc>
          <w:tcPr>
            <w:tcW w:w="1405" w:type="dxa"/>
            <w:tcBorders>
              <w:bottom w:val="single" w:sz="6" w:space="0" w:color="FBDDE3"/>
            </w:tcBorders>
            <w:tcMar>
              <w:bottom w:w="60" w:type="dxa"/>
            </w:tcMar>
            <w:vAlign w:val="center"/>
          </w:tcPr>
          <w:p>
            <w:pPr>
              <w:pStyle w:val="TableContents"/>
              <w:bidi w:val="0"/>
              <w:spacing w:before="0" w:after="283"/>
              <w:jc w:val="right"/>
              <w:rPr/>
            </w:pPr>
            <w:r>
              <w:rPr/>
              <w:t>788,738</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03" w:type="dxa"/>
            <w:tcBorders>
              <w:bottom w:val="single" w:sz="6" w:space="0" w:color="FBDDE3"/>
            </w:tcBorders>
            <w:tcMar>
              <w:bottom w:w="60" w:type="dxa"/>
            </w:tcMar>
            <w:vAlign w:val="center"/>
          </w:tcPr>
          <w:p>
            <w:pPr>
              <w:pStyle w:val="TableContents"/>
              <w:bidi w:val="0"/>
              <w:spacing w:before="0" w:after="283"/>
              <w:jc w:val="left"/>
              <w:rPr/>
            </w:pPr>
            <w:r>
              <w:rPr/>
              <w:t> </w:t>
            </w:r>
          </w:p>
        </w:tc>
        <w:tc>
          <w:tcPr>
            <w:tcW w:w="1387" w:type="dxa"/>
            <w:tcBorders>
              <w:bottom w:val="single" w:sz="6" w:space="0" w:color="FBDDE3"/>
            </w:tcBorders>
            <w:tcMar>
              <w:bottom w:w="60" w:type="dxa"/>
            </w:tcMar>
            <w:vAlign w:val="center"/>
          </w:tcPr>
          <w:p>
            <w:pPr>
              <w:pStyle w:val="TableContents"/>
              <w:bidi w:val="0"/>
              <w:spacing w:before="0" w:after="283"/>
              <w:jc w:val="right"/>
              <w:rPr/>
            </w:pPr>
            <w:r>
              <w:rPr/>
              <w:t>35,315</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10,925,251</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2" w:type="dxa"/>
            <w:tcBorders>
              <w:bottom w:val="single" w:sz="6" w:space="0" w:color="FBDDE3"/>
            </w:tcBorders>
            <w:tcMar>
              <w:bottom w:w="60" w:type="dxa"/>
            </w:tcMar>
            <w:vAlign w:val="center"/>
          </w:tcPr>
          <w:p>
            <w:pPr>
              <w:pStyle w:val="TableContents"/>
              <w:bidi w:val="0"/>
              <w:spacing w:before="0" w:after="283"/>
              <w:jc w:val="left"/>
              <w:rPr/>
            </w:pPr>
            <w:r>
              <w:rPr/>
              <w:t> </w:t>
            </w:r>
          </w:p>
        </w:tc>
        <w:tc>
          <w:tcPr>
            <w:tcW w:w="1098" w:type="dxa"/>
            <w:tcBorders>
              <w:bottom w:val="single" w:sz="6" w:space="0" w:color="FBDDE3"/>
            </w:tcBorders>
            <w:tcMar>
              <w:bottom w:w="60" w:type="dxa"/>
            </w:tcMar>
            <w:vAlign w:val="center"/>
          </w:tcPr>
          <w:p>
            <w:pPr>
              <w:pStyle w:val="TableContents"/>
              <w:bidi w:val="0"/>
              <w:spacing w:before="0" w:after="283"/>
              <w:jc w:val="right"/>
              <w:rPr/>
            </w:pPr>
            <w:r>
              <w:rPr/>
              <w:t>(8,851,198</w:t>
            </w:r>
          </w:p>
        </w:tc>
        <w:tc>
          <w:tcPr>
            <w:tcW w:w="155"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(447,794</w:t>
            </w:r>
          </w:p>
        </w:tc>
        <w:tc>
          <w:tcPr>
            <w:tcW w:w="155"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1,626,259</w:t>
            </w:r>
          </w:p>
        </w:tc>
        <w:tc>
          <w:tcPr>
            <w:tcW w:w="170"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90" w:type="dxa"/>
            <w:gridSpan w:val="4"/>
            <w:tcBorders/>
            <w:vAlign w:val="center"/>
          </w:tcPr>
          <w:p>
            <w:pPr>
              <w:pStyle w:val="TableContents"/>
              <w:bidi w:val="0"/>
              <w:spacing w:before="0" w:after="283"/>
              <w:jc w:val="left"/>
              <w:rPr>
                <w:sz w:val="4"/>
                <w:szCs w:val="4"/>
              </w:rPr>
            </w:pPr>
            <w:r>
              <w:rPr>
                <w:sz w:val="4"/>
                <w:szCs w:val="4"/>
              </w:rPr>
            </w:r>
          </w:p>
        </w:tc>
      </w:tr>
      <w:tr>
        <w:trPr/>
        <w:tc>
          <w:tcPr>
            <w:tcW w:w="455" w:type="dxa"/>
            <w:tcBorders>
              <w:bottom w:val="single" w:sz="6" w:space="0" w:color="FBDDE3"/>
            </w:tcBorders>
            <w:tcMar>
              <w:bottom w:w="60" w:type="dxa"/>
            </w:tcMar>
            <w:vAlign w:val="center"/>
          </w:tcPr>
          <w:p>
            <w:pPr>
              <w:pStyle w:val="TableContents"/>
              <w:bidi w:val="0"/>
              <w:spacing w:before="0" w:after="0"/>
              <w:jc w:val="left"/>
              <w:rPr>
                <w:rFonts w:ascii="arial" w:hAnsi="arial"/>
                <w:b/>
                <w:sz w:val="18"/>
              </w:rPr>
            </w:pPr>
            <w:r>
              <w:rPr>
                <w:rFonts w:ascii="arial" w:hAnsi="arial"/>
                <w:b/>
                <w:sz w:val="18"/>
              </w:rPr>
              <w:t>2022</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1,250,000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1,000,000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5" w:type="dxa"/>
            <w:tcBorders>
              <w:bottom w:val="single" w:sz="6" w:space="0" w:color="FBDDE3"/>
            </w:tcBorders>
            <w:tcMar>
              <w:bottom w:w="60" w:type="dxa"/>
            </w:tcMar>
            <w:vAlign w:val="center"/>
          </w:tcPr>
          <w:p>
            <w:pPr>
              <w:pStyle w:val="TableContents"/>
              <w:bidi w:val="0"/>
              <w:spacing w:before="0" w:after="283"/>
              <w:jc w:val="left"/>
              <w:rPr/>
            </w:pPr>
            <w:r>
              <w:rPr/>
              <w:t> </w:t>
            </w:r>
          </w:p>
        </w:tc>
        <w:tc>
          <w:tcPr>
            <w:tcW w:w="1405" w:type="dxa"/>
            <w:tcBorders>
              <w:bottom w:val="single" w:sz="6" w:space="0" w:color="FBDDE3"/>
            </w:tcBorders>
            <w:tcMar>
              <w:bottom w:w="60" w:type="dxa"/>
            </w:tcMar>
            <w:vAlign w:val="center"/>
          </w:tcPr>
          <w:p>
            <w:pPr>
              <w:pStyle w:val="TableContents"/>
              <w:bidi w:val="0"/>
              <w:spacing w:before="0" w:after="283"/>
              <w:jc w:val="right"/>
              <w:rPr/>
            </w:pPr>
            <w:r>
              <w:rPr/>
              <w:t>788,400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03" w:type="dxa"/>
            <w:tcBorders>
              <w:bottom w:val="single" w:sz="6" w:space="0" w:color="FBDDE3"/>
            </w:tcBorders>
            <w:tcMar>
              <w:bottom w:w="60" w:type="dxa"/>
            </w:tcMar>
            <w:vAlign w:val="center"/>
          </w:tcPr>
          <w:p>
            <w:pPr>
              <w:pStyle w:val="TableContents"/>
              <w:bidi w:val="0"/>
              <w:spacing w:before="0" w:after="283"/>
              <w:jc w:val="left"/>
              <w:rPr/>
            </w:pPr>
            <w:r>
              <w:rPr/>
              <w:t> </w:t>
            </w:r>
          </w:p>
        </w:tc>
        <w:tc>
          <w:tcPr>
            <w:tcW w:w="1387" w:type="dxa"/>
            <w:tcBorders>
              <w:bottom w:val="single" w:sz="6" w:space="0" w:color="FBDDE3"/>
            </w:tcBorders>
            <w:tcMar>
              <w:bottom w:w="60" w:type="dxa"/>
            </w:tcMar>
            <w:vAlign w:val="center"/>
          </w:tcPr>
          <w:p>
            <w:pPr>
              <w:pStyle w:val="TableContents"/>
              <w:bidi w:val="0"/>
              <w:spacing w:before="0" w:after="283"/>
              <w:jc w:val="right"/>
              <w:rPr/>
            </w:pPr>
            <w:r>
              <w:rPr/>
              <w:t>31,097</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12,519,912</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2" w:type="dxa"/>
            <w:tcBorders>
              <w:bottom w:val="single" w:sz="6" w:space="0" w:color="FBDDE3"/>
            </w:tcBorders>
            <w:tcMar>
              <w:bottom w:w="60" w:type="dxa"/>
            </w:tcMar>
            <w:vAlign w:val="center"/>
          </w:tcPr>
          <w:p>
            <w:pPr>
              <w:pStyle w:val="TableContents"/>
              <w:bidi w:val="0"/>
              <w:spacing w:before="0" w:after="283"/>
              <w:jc w:val="left"/>
              <w:rPr/>
            </w:pPr>
            <w:r>
              <w:rPr/>
              <w:t> </w:t>
            </w:r>
          </w:p>
        </w:tc>
        <w:tc>
          <w:tcPr>
            <w:tcW w:w="1098" w:type="dxa"/>
            <w:tcBorders>
              <w:bottom w:val="single" w:sz="6" w:space="0" w:color="FBDDE3"/>
            </w:tcBorders>
            <w:tcMar>
              <w:bottom w:w="60" w:type="dxa"/>
            </w:tcMar>
            <w:vAlign w:val="center"/>
          </w:tcPr>
          <w:p>
            <w:pPr>
              <w:pStyle w:val="TableContents"/>
              <w:bidi w:val="0"/>
              <w:spacing w:before="0" w:after="283"/>
              <w:jc w:val="right"/>
              <w:rPr/>
            </w:pPr>
            <w:r>
              <w:rPr/>
              <w:t>(9,450,415</w:t>
            </w:r>
          </w:p>
        </w:tc>
        <w:tc>
          <w:tcPr>
            <w:tcW w:w="155"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(6,382,652</w:t>
            </w:r>
          </w:p>
        </w:tc>
        <w:tc>
          <w:tcPr>
            <w:tcW w:w="155"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(3,313,155</w:t>
            </w:r>
          </w:p>
        </w:tc>
        <w:tc>
          <w:tcPr>
            <w:tcW w:w="170"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28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390" w:type="dxa"/>
            <w:gridSpan w:val="4"/>
            <w:tcBorders/>
            <w:vAlign w:val="center"/>
          </w:tcPr>
          <w:p>
            <w:pPr>
              <w:pStyle w:val="TableContents"/>
              <w:bidi w:val="0"/>
              <w:spacing w:before="0" w:after="283"/>
              <w:jc w:val="left"/>
              <w:rPr>
                <w:sz w:val="4"/>
                <w:szCs w:val="4"/>
              </w:rPr>
            </w:pPr>
            <w:r>
              <w:rPr>
                <w:sz w:val="4"/>
                <w:szCs w:val="4"/>
              </w:rPr>
            </w:r>
          </w:p>
        </w:tc>
      </w:tr>
      <w:tr>
        <w:trPr/>
        <w:tc>
          <w:tcPr>
            <w:tcW w:w="455" w:type="dxa"/>
            <w:tcBorders>
              <w:bottom w:val="single" w:sz="8" w:space="0" w:color="F7ACBA"/>
            </w:tcBorders>
            <w:tcMar>
              <w:bottom w:w="80" w:type="dxa"/>
            </w:tcMar>
            <w:vAlign w:val="center"/>
          </w:tcPr>
          <w:p>
            <w:pPr>
              <w:pStyle w:val="TableContents"/>
              <w:bidi w:val="0"/>
              <w:spacing w:before="0" w:after="0"/>
              <w:jc w:val="left"/>
              <w:rPr>
                <w:rFonts w:ascii="arial" w:hAnsi="arial"/>
                <w:b/>
                <w:sz w:val="18"/>
              </w:rPr>
            </w:pPr>
            <w:r>
              <w:rPr>
                <w:rFonts w:ascii="arial" w:hAnsi="arial"/>
                <w:b/>
                <w:sz w:val="18"/>
              </w:rPr>
              <w:t>2021</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980" w:type="dxa"/>
            <w:tcBorders>
              <w:bottom w:val="single" w:sz="8" w:space="0" w:color="F7ACBA"/>
            </w:tcBorders>
            <w:tcMar>
              <w:bottom w:w="80" w:type="dxa"/>
            </w:tcMar>
            <w:vAlign w:val="center"/>
          </w:tcPr>
          <w:p>
            <w:pPr>
              <w:pStyle w:val="TableContents"/>
              <w:bidi w:val="0"/>
              <w:spacing w:before="0" w:after="283"/>
              <w:jc w:val="right"/>
              <w:rPr/>
            </w:pPr>
            <w:r>
              <w:rPr/>
              <w:t>1,250,000</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980" w:type="dxa"/>
            <w:tcBorders>
              <w:bottom w:val="single" w:sz="8" w:space="0" w:color="F7ACBA"/>
            </w:tcBorders>
            <w:tcMar>
              <w:bottom w:w="80" w:type="dxa"/>
            </w:tcMar>
            <w:vAlign w:val="center"/>
          </w:tcPr>
          <w:p>
            <w:pPr>
              <w:pStyle w:val="TableContents"/>
              <w:bidi w:val="0"/>
              <w:spacing w:before="0" w:after="283"/>
              <w:jc w:val="right"/>
              <w:rPr/>
            </w:pPr>
            <w:r>
              <w:rPr/>
              <w:t>1,600,000</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85" w:type="dxa"/>
            <w:tcBorders>
              <w:bottom w:val="single" w:sz="8" w:space="0" w:color="F7ACBA"/>
            </w:tcBorders>
            <w:tcMar>
              <w:bottom w:w="80" w:type="dxa"/>
            </w:tcMar>
            <w:vAlign w:val="center"/>
          </w:tcPr>
          <w:p>
            <w:pPr>
              <w:pStyle w:val="TableContents"/>
              <w:bidi w:val="0"/>
              <w:spacing w:before="0" w:after="283"/>
              <w:jc w:val="left"/>
              <w:rPr/>
            </w:pPr>
            <w:r>
              <w:rPr/>
              <w:t> </w:t>
            </w:r>
          </w:p>
        </w:tc>
        <w:tc>
          <w:tcPr>
            <w:tcW w:w="1405" w:type="dxa"/>
            <w:tcBorders>
              <w:bottom w:val="single" w:sz="8" w:space="0" w:color="F7ACBA"/>
            </w:tcBorders>
            <w:tcMar>
              <w:bottom w:w="80" w:type="dxa"/>
            </w:tcMar>
            <w:vAlign w:val="center"/>
          </w:tcPr>
          <w:p>
            <w:pPr>
              <w:pStyle w:val="TableContents"/>
              <w:bidi w:val="0"/>
              <w:spacing w:before="0" w:after="283"/>
              <w:jc w:val="right"/>
              <w:rPr/>
            </w:pPr>
            <w:r>
              <w:rPr/>
              <w:t>3,395,700</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03" w:type="dxa"/>
            <w:tcBorders>
              <w:bottom w:val="single" w:sz="8" w:space="0" w:color="F7ACBA"/>
            </w:tcBorders>
            <w:tcMar>
              <w:bottom w:w="80" w:type="dxa"/>
            </w:tcMar>
            <w:vAlign w:val="center"/>
          </w:tcPr>
          <w:p>
            <w:pPr>
              <w:pStyle w:val="TableContents"/>
              <w:bidi w:val="0"/>
              <w:spacing w:before="0" w:after="283"/>
              <w:jc w:val="left"/>
              <w:rPr/>
            </w:pPr>
            <w:r>
              <w:rPr/>
              <w:t> </w:t>
            </w:r>
          </w:p>
        </w:tc>
        <w:tc>
          <w:tcPr>
            <w:tcW w:w="1387" w:type="dxa"/>
            <w:tcBorders>
              <w:bottom w:val="single" w:sz="8" w:space="0" w:color="F7ACBA"/>
            </w:tcBorders>
            <w:tcMar>
              <w:bottom w:w="80" w:type="dxa"/>
            </w:tcMar>
            <w:vAlign w:val="center"/>
          </w:tcPr>
          <w:p>
            <w:pPr>
              <w:pStyle w:val="TableContents"/>
              <w:bidi w:val="0"/>
              <w:spacing w:before="0" w:after="283"/>
              <w:jc w:val="right"/>
              <w:rPr/>
            </w:pPr>
            <w:r>
              <w:rPr/>
              <w:t>125,956</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1100" w:type="dxa"/>
            <w:tcBorders>
              <w:bottom w:val="single" w:sz="8" w:space="0" w:color="F7ACBA"/>
            </w:tcBorders>
            <w:tcMar>
              <w:bottom w:w="80" w:type="dxa"/>
            </w:tcMar>
            <w:vAlign w:val="center"/>
          </w:tcPr>
          <w:p>
            <w:pPr>
              <w:pStyle w:val="TableContents"/>
              <w:bidi w:val="0"/>
              <w:spacing w:before="0" w:after="283"/>
              <w:jc w:val="right"/>
              <w:rPr/>
            </w:pPr>
            <w:r>
              <w:rPr/>
              <w:t>12,905,231</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2" w:type="dxa"/>
            <w:tcBorders>
              <w:bottom w:val="single" w:sz="8" w:space="0" w:color="F7ACBA"/>
            </w:tcBorders>
            <w:tcMar>
              <w:bottom w:w="80" w:type="dxa"/>
            </w:tcMar>
            <w:vAlign w:val="center"/>
          </w:tcPr>
          <w:p>
            <w:pPr>
              <w:pStyle w:val="TableContents"/>
              <w:bidi w:val="0"/>
              <w:spacing w:before="0" w:after="283"/>
              <w:jc w:val="left"/>
              <w:rPr/>
            </w:pPr>
            <w:r>
              <w:rPr/>
              <w:t> </w:t>
            </w:r>
          </w:p>
        </w:tc>
        <w:tc>
          <w:tcPr>
            <w:tcW w:w="1098" w:type="dxa"/>
            <w:tcBorders>
              <w:bottom w:val="single" w:sz="8" w:space="0" w:color="F7ACBA"/>
            </w:tcBorders>
            <w:tcMar>
              <w:bottom w:w="80" w:type="dxa"/>
            </w:tcMar>
            <w:vAlign w:val="center"/>
          </w:tcPr>
          <w:p>
            <w:pPr>
              <w:pStyle w:val="TableContents"/>
              <w:bidi w:val="0"/>
              <w:spacing w:before="0" w:after="283"/>
              <w:jc w:val="right"/>
              <w:rPr/>
            </w:pPr>
            <w:r>
              <w:rPr/>
              <w:t>(6,500,029</w:t>
            </w:r>
          </w:p>
        </w:tc>
        <w:tc>
          <w:tcPr>
            <w:tcW w:w="155"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1100" w:type="dxa"/>
            <w:tcBorders>
              <w:bottom w:val="single" w:sz="8" w:space="0" w:color="F7ACBA"/>
            </w:tcBorders>
            <w:tcMar>
              <w:bottom w:w="80" w:type="dxa"/>
            </w:tcMar>
            <w:vAlign w:val="center"/>
          </w:tcPr>
          <w:p>
            <w:pPr>
              <w:pStyle w:val="TableContents"/>
              <w:bidi w:val="0"/>
              <w:spacing w:before="0" w:after="283"/>
              <w:jc w:val="right"/>
              <w:rPr/>
            </w:pPr>
            <w:r>
              <w:rPr/>
              <w:t>21,447,033</w:t>
            </w:r>
          </w:p>
        </w:tc>
        <w:tc>
          <w:tcPr>
            <w:tcW w:w="155"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1100" w:type="dxa"/>
            <w:tcBorders>
              <w:bottom w:val="single" w:sz="8" w:space="0" w:color="F7ACBA"/>
            </w:tcBorders>
            <w:tcMar>
              <w:bottom w:w="80" w:type="dxa"/>
            </w:tcMar>
            <w:vAlign w:val="center"/>
          </w:tcPr>
          <w:p>
            <w:pPr>
              <w:pStyle w:val="TableContents"/>
              <w:bidi w:val="0"/>
              <w:spacing w:before="0" w:after="283"/>
              <w:jc w:val="right"/>
              <w:rPr/>
            </w:pPr>
            <w:r>
              <w:rPr/>
              <w:t>27,852,235</w:t>
            </w:r>
          </w:p>
        </w:tc>
        <w:tc>
          <w:tcPr>
            <w:tcW w:w="170" w:type="dxa"/>
            <w:tcBorders>
              <w:bottom w:val="single" w:sz="8" w:space="0" w:color="F7ACBA"/>
            </w:tcBorders>
            <w:tcMar>
              <w:bottom w:w="80" w:type="dxa"/>
            </w:tcMar>
            <w:vAlign w:val="center"/>
          </w:tcPr>
          <w:p>
            <w:pPr>
              <w:pStyle w:val="TableContents"/>
              <w:bidi w:val="0"/>
              <w:spacing w:before="0" w:after="283"/>
              <w:jc w:val="left"/>
              <w:rPr/>
            </w:pPr>
            <w:r>
              <w:rPr/>
              <w:t> </w:t>
            </w:r>
          </w:p>
        </w:tc>
      </w:tr>
    </w:tbl>
    <w:p>
      <w:pPr>
        <w:pStyle w:val="TextBody"/>
        <w:bidi w:val="0"/>
        <w:spacing w:before="240" w:after="0"/>
        <w:jc w:val="left"/>
        <w:rPr>
          <w:rFonts w:ascii="arial" w:hAnsi="arial"/>
          <w:b/>
          <w:color w:val="F7ACBA"/>
          <w:spacing w:val="0"/>
          <w:sz w:val="24"/>
          <w:shd w:fill="FFFFFF" w:val="clear"/>
        </w:rPr>
      </w:pPr>
      <w:r>
        <w:rPr>
          <w:rFonts w:ascii="arial" w:hAnsi="arial"/>
          <w:b/>
          <w:color w:val="F7ACBA"/>
          <w:spacing w:val="0"/>
          <w:sz w:val="24"/>
          <w:shd w:fill="FFFFFF" w:val="clear"/>
        </w:rPr>
        <w:t>Non-PEO</w:t>
      </w:r>
    </w:p>
    <w:p>
      <w:pPr>
        <w:pStyle w:val="TextBody"/>
        <w:bidi w:val="0"/>
        <w:spacing w:before="240" w:after="0"/>
        <w:jc w:val="left"/>
        <w:rPr>
          <w:rFonts w:ascii="arial" w:hAnsi="arial"/>
          <w:b/>
          <w:color w:val="F7ACBA"/>
          <w:spacing w:val="0"/>
          <w:sz w:val="24"/>
          <w:shd w:fill="FFFFFF" w:val="clear"/>
        </w:rPr>
      </w:pPr>
      <w:r>
        <w:rPr>
          <w:rFonts w:ascii="arial" w:hAnsi="arial"/>
          <w:b/>
          <w:color w:val="F7ACBA"/>
          <w:spacing w:val="0"/>
          <w:sz w:val="24"/>
          <w:shd w:fill="FFFFFF" w:val="clear"/>
        </w:rPr>
        <w:t xml:space="preserve">NEO SCT Total to CAP Reconciliation </w:t>
      </w:r>
    </w:p>
    <w:p>
      <w:pPr>
        <w:pStyle w:val="TextBody"/>
        <w:bidi w:val="0"/>
        <w:spacing w:before="0" w:after="0"/>
        <w:jc w:val="left"/>
        <w:rPr>
          <w:shd w:fill="FFFFFF" w:val="clear"/>
        </w:rPr>
      </w:pPr>
      <w:r>
        <w:rPr>
          <w:shd w:fill="FFFFFF" w:val="clear"/>
        </w:rPr>
        <w:t> </w:t>
      </w:r>
    </w:p>
    <w:tbl>
      <w:tblPr>
        <w:tblW w:w="10505" w:type="dxa"/>
        <w:jc w:val="left"/>
        <w:tblInd w:w="0" w:type="dxa"/>
        <w:tblLayout w:type="fixed"/>
        <w:tblCellMar>
          <w:top w:w="0" w:type="dxa"/>
          <w:left w:w="0" w:type="dxa"/>
          <w:bottom w:w="0" w:type="dxa"/>
          <w:right w:w="0" w:type="dxa"/>
        </w:tblCellMar>
      </w:tblPr>
      <w:tblGrid>
        <w:gridCol w:w="455"/>
        <w:gridCol w:w="60"/>
        <w:gridCol w:w="60"/>
        <w:gridCol w:w="800"/>
        <w:gridCol w:w="60"/>
        <w:gridCol w:w="60"/>
        <w:gridCol w:w="60"/>
        <w:gridCol w:w="800"/>
        <w:gridCol w:w="60"/>
        <w:gridCol w:w="60"/>
        <w:gridCol w:w="85"/>
        <w:gridCol w:w="1405"/>
        <w:gridCol w:w="60"/>
        <w:gridCol w:w="60"/>
        <w:gridCol w:w="103"/>
        <w:gridCol w:w="1387"/>
        <w:gridCol w:w="60"/>
        <w:gridCol w:w="60"/>
        <w:gridCol w:w="60"/>
        <w:gridCol w:w="980"/>
        <w:gridCol w:w="60"/>
        <w:gridCol w:w="60"/>
        <w:gridCol w:w="62"/>
        <w:gridCol w:w="1098"/>
        <w:gridCol w:w="155"/>
        <w:gridCol w:w="60"/>
        <w:gridCol w:w="60"/>
        <w:gridCol w:w="980"/>
        <w:gridCol w:w="60"/>
        <w:gridCol w:w="60"/>
        <w:gridCol w:w="60"/>
        <w:gridCol w:w="980"/>
        <w:gridCol w:w="75"/>
      </w:tblGrid>
      <w:tr>
        <w:trPr/>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55" w:type="dxa"/>
            <w:tcBorders/>
            <w:shd w:fill="FDEEF1" w:val="clear"/>
            <w:vAlign w:val="center"/>
          </w:tcPr>
          <w:p>
            <w:pPr>
              <w:pStyle w:val="TableContents"/>
              <w:bidi w:val="0"/>
              <w:spacing w:before="0" w:after="283"/>
              <w:jc w:val="left"/>
              <w:rPr>
                <w:sz w:val="4"/>
                <w:szCs w:val="4"/>
              </w:rPr>
            </w:pPr>
            <w:r>
              <w:rPr>
                <w:sz w:val="4"/>
                <w:szCs w:val="4"/>
              </w:rPr>
            </w:r>
          </w:p>
        </w:tc>
        <w:tc>
          <w:tcPr>
            <w:tcW w:w="980" w:type="dxa"/>
            <w:gridSpan w:val="4"/>
            <w:tcBorders/>
            <w:shd w:fill="FDEEF1" w:val="clear"/>
            <w:vAlign w:val="center"/>
          </w:tcPr>
          <w:p>
            <w:pPr>
              <w:pStyle w:val="TableContents"/>
              <w:bidi w:val="0"/>
              <w:spacing w:before="0" w:after="283"/>
              <w:jc w:val="left"/>
              <w:rPr>
                <w:sz w:val="4"/>
                <w:szCs w:val="4"/>
              </w:rPr>
            </w:pPr>
            <w:r>
              <w:rPr>
                <w:sz w:val="4"/>
                <w:szCs w:val="4"/>
              </w:rPr>
            </w:r>
          </w:p>
        </w:tc>
        <w:tc>
          <w:tcPr>
            <w:tcW w:w="980" w:type="dxa"/>
            <w:gridSpan w:val="4"/>
            <w:tcBorders/>
            <w:shd w:fill="FDEEF1" w:val="clear"/>
            <w:vAlign w:val="center"/>
          </w:tcPr>
          <w:p>
            <w:pPr>
              <w:pStyle w:val="TableContents"/>
              <w:bidi w:val="0"/>
              <w:spacing w:before="0" w:after="283"/>
              <w:jc w:val="left"/>
              <w:rPr>
                <w:sz w:val="4"/>
                <w:szCs w:val="4"/>
              </w:rPr>
            </w:pPr>
            <w:r>
              <w:rPr>
                <w:sz w:val="4"/>
                <w:szCs w:val="4"/>
              </w:rPr>
            </w:r>
          </w:p>
        </w:tc>
        <w:tc>
          <w:tcPr>
            <w:tcW w:w="1610" w:type="dxa"/>
            <w:gridSpan w:val="4"/>
            <w:tcBorders/>
            <w:shd w:fill="FDEEF1" w:val="clear"/>
            <w:vAlign w:val="center"/>
          </w:tcPr>
          <w:p>
            <w:pPr>
              <w:pStyle w:val="TableContents"/>
              <w:bidi w:val="0"/>
              <w:spacing w:before="0" w:after="283"/>
              <w:jc w:val="left"/>
              <w:rPr>
                <w:sz w:val="4"/>
                <w:szCs w:val="4"/>
              </w:rPr>
            </w:pPr>
            <w:r>
              <w:rPr>
                <w:sz w:val="4"/>
                <w:szCs w:val="4"/>
              </w:rPr>
            </w:r>
          </w:p>
        </w:tc>
        <w:tc>
          <w:tcPr>
            <w:tcW w:w="1610" w:type="dxa"/>
            <w:gridSpan w:val="4"/>
            <w:tcBorders/>
            <w:shd w:fill="FDEEF1" w:val="clear"/>
            <w:vAlign w:val="center"/>
          </w:tcPr>
          <w:p>
            <w:pPr>
              <w:pStyle w:val="TableContents"/>
              <w:bidi w:val="0"/>
              <w:spacing w:before="0" w:after="283"/>
              <w:jc w:val="left"/>
              <w:rPr>
                <w:sz w:val="4"/>
                <w:szCs w:val="4"/>
              </w:rPr>
            </w:pPr>
            <w:r>
              <w:rPr>
                <w:sz w:val="4"/>
                <w:szCs w:val="4"/>
              </w:rPr>
            </w:r>
          </w:p>
        </w:tc>
        <w:tc>
          <w:tcPr>
            <w:tcW w:w="1160" w:type="dxa"/>
            <w:gridSpan w:val="4"/>
            <w:tcBorders/>
            <w:shd w:fill="FDEEF1" w:val="clear"/>
            <w:vAlign w:val="center"/>
          </w:tcPr>
          <w:p>
            <w:pPr>
              <w:pStyle w:val="TableContents"/>
              <w:bidi w:val="0"/>
              <w:spacing w:before="0" w:after="283"/>
              <w:jc w:val="left"/>
              <w:rPr>
                <w:sz w:val="4"/>
                <w:szCs w:val="4"/>
              </w:rPr>
            </w:pPr>
            <w:r>
              <w:rPr>
                <w:sz w:val="4"/>
                <w:szCs w:val="4"/>
              </w:rPr>
            </w:r>
          </w:p>
        </w:tc>
        <w:tc>
          <w:tcPr>
            <w:tcW w:w="1375" w:type="dxa"/>
            <w:gridSpan w:val="4"/>
            <w:tcBorders/>
            <w:shd w:fill="FDEEF1" w:val="clear"/>
            <w:vAlign w:val="center"/>
          </w:tcPr>
          <w:p>
            <w:pPr>
              <w:pStyle w:val="TableContents"/>
              <w:bidi w:val="0"/>
              <w:spacing w:before="0" w:after="283"/>
              <w:jc w:val="left"/>
              <w:rPr>
                <w:sz w:val="4"/>
                <w:szCs w:val="4"/>
              </w:rPr>
            </w:pPr>
            <w:r>
              <w:rPr>
                <w:sz w:val="4"/>
                <w:szCs w:val="4"/>
              </w:rPr>
            </w:r>
          </w:p>
        </w:tc>
        <w:tc>
          <w:tcPr>
            <w:tcW w:w="1160" w:type="dxa"/>
            <w:gridSpan w:val="4"/>
            <w:tcBorders/>
            <w:shd w:fill="FDEEF1" w:val="clear"/>
            <w:vAlign w:val="center"/>
          </w:tcPr>
          <w:p>
            <w:pPr>
              <w:pStyle w:val="TableContents"/>
              <w:bidi w:val="0"/>
              <w:spacing w:before="0" w:after="283"/>
              <w:jc w:val="left"/>
              <w:rPr>
                <w:sz w:val="4"/>
                <w:szCs w:val="4"/>
              </w:rPr>
            </w:pPr>
            <w:r>
              <w:rPr>
                <w:sz w:val="4"/>
                <w:szCs w:val="4"/>
              </w:rPr>
            </w:r>
          </w:p>
        </w:tc>
        <w:tc>
          <w:tcPr>
            <w:tcW w:w="1175" w:type="dxa"/>
            <w:gridSpan w:val="4"/>
            <w:tcBorders/>
            <w:shd w:fill="FDEEF1" w:val="clear"/>
            <w:vAlign w:val="center"/>
          </w:tcPr>
          <w:p>
            <w:pPr>
              <w:pStyle w:val="TableContents"/>
              <w:bidi w:val="0"/>
              <w:spacing w:before="0" w:after="283"/>
              <w:jc w:val="left"/>
              <w:rPr>
                <w:sz w:val="4"/>
                <w:szCs w:val="4"/>
              </w:rPr>
            </w:pPr>
            <w:r>
              <w:rPr>
                <w:sz w:val="4"/>
                <w:szCs w:val="4"/>
              </w:rPr>
            </w:r>
          </w:p>
        </w:tc>
      </w:tr>
      <w:tr>
        <w:trPr/>
        <w:tc>
          <w:tcPr>
            <w:tcW w:w="455" w:type="dxa"/>
            <w:tcBorders/>
            <w:shd w:fill="FDEEF1" w:val="clear"/>
            <w:vAlign w:val="center"/>
          </w:tcPr>
          <w:p>
            <w:pPr>
              <w:pStyle w:val="TableContents"/>
              <w:bidi w:val="0"/>
              <w:spacing w:before="0" w:after="0"/>
              <w:jc w:val="left"/>
              <w:rPr>
                <w:rFonts w:ascii="arial" w:hAnsi="arial"/>
                <w:b/>
                <w:sz w:val="16"/>
              </w:rPr>
            </w:pPr>
            <w:r>
              <w:rPr>
                <w:rFonts w:ascii="arial" w:hAnsi="arial"/>
                <w:b/>
                <w:sz w:val="16"/>
              </w:rPr>
              <w:t>Year</w:t>
            </w:r>
          </w:p>
        </w:tc>
        <w:tc>
          <w:tcPr>
            <w:tcW w:w="60" w:type="dxa"/>
            <w:tcBorders/>
            <w:shd w:fill="FDEEF1" w:val="clear"/>
            <w:vAlign w:val="center"/>
          </w:tcPr>
          <w:p>
            <w:pPr>
              <w:pStyle w:val="TableContents"/>
              <w:bidi w:val="0"/>
              <w:spacing w:before="0" w:after="283"/>
              <w:jc w:val="left"/>
              <w:rPr/>
            </w:pPr>
            <w:r>
              <w:rPr/>
              <w:t> </w:t>
            </w:r>
          </w:p>
        </w:tc>
        <w:tc>
          <w:tcPr>
            <w:tcW w:w="860" w:type="dxa"/>
            <w:gridSpan w:val="2"/>
            <w:tcBorders/>
            <w:shd w:fill="FDEEF1" w:val="clear"/>
            <w:vAlign w:val="center"/>
          </w:tcPr>
          <w:p>
            <w:pPr>
              <w:pStyle w:val="TableContents"/>
              <w:bidi w:val="0"/>
              <w:spacing w:before="0" w:after="0"/>
              <w:jc w:val="center"/>
              <w:rPr>
                <w:b/>
                <w:spacing w:val="0"/>
              </w:rPr>
            </w:pPr>
            <w:r>
              <w:rPr>
                <w:b/>
                <w:spacing w:val="0"/>
              </w:rPr>
              <w:t>Salary</w:t>
              <w:br/>
              <w:t>($)</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860" w:type="dxa"/>
            <w:gridSpan w:val="2"/>
            <w:tcBorders/>
            <w:shd w:fill="FDEEF1" w:val="clear"/>
            <w:vAlign w:val="center"/>
          </w:tcPr>
          <w:p>
            <w:pPr>
              <w:pStyle w:val="TableContents"/>
              <w:bidi w:val="0"/>
              <w:spacing w:before="0" w:after="0"/>
              <w:jc w:val="center"/>
              <w:rPr>
                <w:b/>
                <w:spacing w:val="0"/>
              </w:rPr>
            </w:pPr>
            <w:r>
              <w:rPr>
                <w:b/>
                <w:spacing w:val="0"/>
              </w:rPr>
              <w:t>Bonus</w:t>
              <w:br/>
              <w:t>($)</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490" w:type="dxa"/>
            <w:gridSpan w:val="2"/>
            <w:tcBorders/>
            <w:shd w:fill="FDEEF1" w:val="clear"/>
            <w:vAlign w:val="center"/>
          </w:tcPr>
          <w:p>
            <w:pPr>
              <w:pStyle w:val="TableContents"/>
              <w:bidi w:val="0"/>
              <w:spacing w:before="0" w:after="0"/>
              <w:jc w:val="center"/>
              <w:rPr>
                <w:b/>
                <w:spacing w:val="0"/>
              </w:rPr>
            </w:pPr>
            <w:r>
              <w:rPr>
                <w:b/>
                <w:spacing w:val="0"/>
              </w:rPr>
              <w:t>Non-Equity</w:t>
            </w:r>
          </w:p>
          <w:p>
            <w:pPr>
              <w:pStyle w:val="TableContents"/>
              <w:bidi w:val="0"/>
              <w:spacing w:before="0" w:after="0"/>
              <w:jc w:val="center"/>
              <w:rPr>
                <w:b/>
                <w:spacing w:val="0"/>
              </w:rPr>
            </w:pPr>
            <w:r>
              <w:rPr>
                <w:b/>
                <w:spacing w:val="0"/>
              </w:rPr>
              <w:br/>
              <w:t>Incentive</w:t>
              <w:br/>
              <w:t>Compensation</w:t>
              <w:br/>
              <w:t>($)</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490" w:type="dxa"/>
            <w:gridSpan w:val="2"/>
            <w:tcBorders/>
            <w:shd w:fill="FDEEF1" w:val="clear"/>
            <w:vAlign w:val="center"/>
          </w:tcPr>
          <w:p>
            <w:pPr>
              <w:pStyle w:val="TableContents"/>
              <w:bidi w:val="0"/>
              <w:spacing w:before="0" w:after="0"/>
              <w:jc w:val="center"/>
              <w:rPr>
                <w:b/>
                <w:spacing w:val="0"/>
              </w:rPr>
            </w:pPr>
            <w:r>
              <w:rPr>
                <w:b/>
                <w:spacing w:val="0"/>
              </w:rPr>
              <w:t>All Other</w:t>
              <w:br/>
              <w:t>Compensation</w:t>
              <w:br/>
              <w:t>($)</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040" w:type="dxa"/>
            <w:gridSpan w:val="2"/>
            <w:tcBorders/>
            <w:shd w:fill="FDEEF1" w:val="clear"/>
            <w:vAlign w:val="center"/>
          </w:tcPr>
          <w:p>
            <w:pPr>
              <w:pStyle w:val="TableContents"/>
              <w:bidi w:val="0"/>
              <w:spacing w:before="0" w:after="0"/>
              <w:jc w:val="center"/>
              <w:rPr>
                <w:b/>
                <w:spacing w:val="0"/>
              </w:rPr>
            </w:pPr>
            <w:r>
              <w:rPr>
                <w:b/>
                <w:spacing w:val="0"/>
              </w:rPr>
              <w:t>SCT Total</w:t>
              <w:br/>
              <w:t>($)</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160" w:type="dxa"/>
            <w:gridSpan w:val="2"/>
            <w:tcBorders/>
            <w:shd w:fill="FDEEF1" w:val="clear"/>
            <w:vAlign w:val="center"/>
          </w:tcPr>
          <w:p>
            <w:pPr>
              <w:pStyle w:val="TableContents"/>
              <w:bidi w:val="0"/>
              <w:spacing w:before="0" w:after="0"/>
              <w:jc w:val="center"/>
              <w:rPr>
                <w:b/>
                <w:spacing w:val="0"/>
              </w:rPr>
            </w:pPr>
            <w:r>
              <w:rPr>
                <w:b/>
                <w:spacing w:val="0"/>
              </w:rPr>
              <w:t>Deductions</w:t>
              <w:br/>
              <w:t>from SCT</w:t>
              <w:br/>
              <w:t>Total</w:t>
            </w:r>
          </w:p>
          <w:p>
            <w:pPr>
              <w:pStyle w:val="TableContents"/>
              <w:bidi w:val="0"/>
              <w:spacing w:before="0" w:after="0"/>
              <w:jc w:val="center"/>
              <w:rPr>
                <w:b/>
                <w:spacing w:val="0"/>
                <w:sz w:val="9"/>
              </w:rPr>
            </w:pPr>
            <w:r>
              <w:rPr>
                <w:b/>
                <w:spacing w:val="0"/>
                <w:sz w:val="9"/>
              </w:rPr>
              <w:t>(a)</w:t>
            </w:r>
          </w:p>
          <w:p>
            <w:pPr>
              <w:pStyle w:val="TableContents"/>
              <w:bidi w:val="0"/>
              <w:spacing w:before="0" w:after="0"/>
              <w:jc w:val="center"/>
              <w:rPr>
                <w:b/>
                <w:spacing w:val="0"/>
              </w:rPr>
            </w:pPr>
            <w:r>
              <w:rPr>
                <w:b/>
                <w:spacing w:val="0"/>
              </w:rPr>
              <w:t>($)</w:t>
            </w:r>
          </w:p>
        </w:tc>
        <w:tc>
          <w:tcPr>
            <w:tcW w:w="155"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040" w:type="dxa"/>
            <w:gridSpan w:val="2"/>
            <w:tcBorders/>
            <w:shd w:fill="FDEEF1" w:val="clear"/>
            <w:vAlign w:val="center"/>
          </w:tcPr>
          <w:p>
            <w:pPr>
              <w:pStyle w:val="TableContents"/>
              <w:bidi w:val="0"/>
              <w:spacing w:before="0" w:after="0"/>
              <w:jc w:val="center"/>
              <w:rPr>
                <w:b/>
                <w:spacing w:val="0"/>
              </w:rPr>
            </w:pPr>
            <w:r>
              <w:rPr>
                <w:b/>
                <w:spacing w:val="0"/>
              </w:rPr>
              <w:t>Additions</w:t>
              <w:br/>
              <w:t>to SCT</w:t>
              <w:br/>
              <w:t>Total</w:t>
            </w:r>
          </w:p>
          <w:p>
            <w:pPr>
              <w:pStyle w:val="TableContents"/>
              <w:bidi w:val="0"/>
              <w:spacing w:before="0" w:after="0"/>
              <w:jc w:val="center"/>
              <w:rPr>
                <w:b/>
                <w:spacing w:val="0"/>
                <w:sz w:val="9"/>
              </w:rPr>
            </w:pPr>
            <w:r>
              <w:rPr>
                <w:b/>
                <w:spacing w:val="0"/>
                <w:sz w:val="9"/>
              </w:rPr>
              <w:t>(b)</w:t>
            </w:r>
          </w:p>
          <w:p>
            <w:pPr>
              <w:pStyle w:val="TableContents"/>
              <w:bidi w:val="0"/>
              <w:spacing w:before="0" w:after="0"/>
              <w:jc w:val="center"/>
              <w:rPr>
                <w:b/>
                <w:spacing w:val="0"/>
              </w:rPr>
            </w:pPr>
            <w:r>
              <w:rPr>
                <w:b/>
                <w:spacing w:val="0"/>
              </w:rPr>
              <w:br/>
              <w:t>($)</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040" w:type="dxa"/>
            <w:gridSpan w:val="2"/>
            <w:tcBorders/>
            <w:shd w:fill="FDEEF1" w:val="clear"/>
            <w:vAlign w:val="center"/>
          </w:tcPr>
          <w:p>
            <w:pPr>
              <w:pStyle w:val="TableContents"/>
              <w:bidi w:val="0"/>
              <w:spacing w:before="0" w:after="0"/>
              <w:jc w:val="center"/>
              <w:rPr>
                <w:b/>
                <w:spacing w:val="0"/>
              </w:rPr>
            </w:pPr>
            <w:r>
              <w:rPr>
                <w:b/>
                <w:spacing w:val="0"/>
              </w:rPr>
              <w:t>CAP ($)</w:t>
            </w:r>
          </w:p>
        </w:tc>
        <w:tc>
          <w:tcPr>
            <w:tcW w:w="75" w:type="dxa"/>
            <w:tcBorders/>
            <w:shd w:fill="FDEEF1" w:val="clear"/>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455" w:type="dxa"/>
            <w:tcBorders>
              <w:bottom w:val="single" w:sz="6" w:space="0" w:color="FBDDE3"/>
            </w:tcBorders>
            <w:tcMar>
              <w:bottom w:w="60" w:type="dxa"/>
            </w:tcMar>
            <w:vAlign w:val="center"/>
          </w:tcPr>
          <w:p>
            <w:pPr>
              <w:pStyle w:val="TableContents"/>
              <w:bidi w:val="0"/>
              <w:spacing w:before="0" w:after="0"/>
              <w:jc w:val="left"/>
              <w:rPr>
                <w:rFonts w:ascii="arial" w:hAnsi="arial"/>
                <w:b/>
                <w:sz w:val="18"/>
              </w:rPr>
            </w:pPr>
            <w:r>
              <w:rPr>
                <w:rFonts w:ascii="arial" w:hAnsi="arial"/>
                <w:b/>
                <w:sz w:val="18"/>
              </w:rPr>
              <w:t>2023</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873,656</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240,000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5" w:type="dxa"/>
            <w:tcBorders>
              <w:bottom w:val="single" w:sz="6" w:space="0" w:color="FBDDE3"/>
            </w:tcBorders>
            <w:tcMar>
              <w:bottom w:w="60" w:type="dxa"/>
            </w:tcMar>
            <w:vAlign w:val="center"/>
          </w:tcPr>
          <w:p>
            <w:pPr>
              <w:pStyle w:val="TableContents"/>
              <w:bidi w:val="0"/>
              <w:spacing w:before="0" w:after="283"/>
              <w:jc w:val="left"/>
              <w:rPr/>
            </w:pPr>
            <w:r>
              <w:rPr/>
              <w:t> </w:t>
            </w:r>
          </w:p>
        </w:tc>
        <w:tc>
          <w:tcPr>
            <w:tcW w:w="1405" w:type="dxa"/>
            <w:tcBorders>
              <w:bottom w:val="single" w:sz="6" w:space="0" w:color="FBDDE3"/>
            </w:tcBorders>
            <w:tcMar>
              <w:bottom w:w="60" w:type="dxa"/>
            </w:tcMar>
            <w:vAlign w:val="center"/>
          </w:tcPr>
          <w:p>
            <w:pPr>
              <w:pStyle w:val="TableContents"/>
              <w:bidi w:val="0"/>
              <w:spacing w:before="0" w:after="283"/>
              <w:jc w:val="right"/>
              <w:rPr/>
            </w:pPr>
            <w:r>
              <w:rPr/>
              <w:t>439,064</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03" w:type="dxa"/>
            <w:tcBorders>
              <w:bottom w:val="single" w:sz="6" w:space="0" w:color="FBDDE3"/>
            </w:tcBorders>
            <w:tcMar>
              <w:bottom w:w="60" w:type="dxa"/>
            </w:tcMar>
            <w:vAlign w:val="center"/>
          </w:tcPr>
          <w:p>
            <w:pPr>
              <w:pStyle w:val="TableContents"/>
              <w:bidi w:val="0"/>
              <w:spacing w:before="0" w:after="283"/>
              <w:jc w:val="left"/>
              <w:rPr/>
            </w:pPr>
            <w:r>
              <w:rPr/>
              <w:t> </w:t>
            </w:r>
          </w:p>
        </w:tc>
        <w:tc>
          <w:tcPr>
            <w:tcW w:w="1387" w:type="dxa"/>
            <w:tcBorders>
              <w:bottom w:val="single" w:sz="6" w:space="0" w:color="FBDDE3"/>
            </w:tcBorders>
            <w:tcMar>
              <w:bottom w:w="60" w:type="dxa"/>
            </w:tcMar>
            <w:vAlign w:val="center"/>
          </w:tcPr>
          <w:p>
            <w:pPr>
              <w:pStyle w:val="TableContents"/>
              <w:bidi w:val="0"/>
              <w:spacing w:before="0" w:after="283"/>
              <w:jc w:val="right"/>
              <w:rPr/>
            </w:pPr>
            <w:r>
              <w:rPr/>
              <w:t>29,836</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3,823,312</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2" w:type="dxa"/>
            <w:tcBorders>
              <w:bottom w:val="single" w:sz="6" w:space="0" w:color="FBDDE3"/>
            </w:tcBorders>
            <w:tcMar>
              <w:bottom w:w="60" w:type="dxa"/>
            </w:tcMar>
            <w:vAlign w:val="center"/>
          </w:tcPr>
          <w:p>
            <w:pPr>
              <w:pStyle w:val="TableContents"/>
              <w:bidi w:val="0"/>
              <w:spacing w:before="0" w:after="283"/>
              <w:jc w:val="left"/>
              <w:rPr/>
            </w:pPr>
            <w:r>
              <w:rPr/>
              <w:t> </w:t>
            </w:r>
          </w:p>
        </w:tc>
        <w:tc>
          <w:tcPr>
            <w:tcW w:w="1098" w:type="dxa"/>
            <w:tcBorders>
              <w:bottom w:val="single" w:sz="6" w:space="0" w:color="FBDDE3"/>
            </w:tcBorders>
            <w:tcMar>
              <w:bottom w:w="60" w:type="dxa"/>
            </w:tcMar>
            <w:vAlign w:val="center"/>
          </w:tcPr>
          <w:p>
            <w:pPr>
              <w:pStyle w:val="TableContents"/>
              <w:bidi w:val="0"/>
              <w:spacing w:before="0" w:after="283"/>
              <w:jc w:val="right"/>
              <w:rPr/>
            </w:pPr>
            <w:r>
              <w:rPr/>
              <w:t>(2,240,756</w:t>
            </w:r>
          </w:p>
        </w:tc>
        <w:tc>
          <w:tcPr>
            <w:tcW w:w="155"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113,579</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1,696,135</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455" w:type="dxa"/>
            <w:tcBorders>
              <w:bottom w:val="single" w:sz="6" w:space="0" w:color="FBDDE3"/>
            </w:tcBorders>
            <w:tcMar>
              <w:bottom w:w="60" w:type="dxa"/>
            </w:tcMar>
            <w:vAlign w:val="center"/>
          </w:tcPr>
          <w:p>
            <w:pPr>
              <w:pStyle w:val="TableContents"/>
              <w:bidi w:val="0"/>
              <w:spacing w:before="0" w:after="0"/>
              <w:jc w:val="left"/>
              <w:rPr>
                <w:rFonts w:ascii="arial" w:hAnsi="arial"/>
                <w:b/>
                <w:sz w:val="18"/>
              </w:rPr>
            </w:pPr>
            <w:r>
              <w:rPr>
                <w:rFonts w:ascii="arial" w:hAnsi="arial"/>
                <w:b/>
                <w:sz w:val="18"/>
              </w:rPr>
              <w:t>2022</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758,032</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375,000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85" w:type="dxa"/>
            <w:tcBorders>
              <w:bottom w:val="single" w:sz="6" w:space="0" w:color="FBDDE3"/>
            </w:tcBorders>
            <w:tcMar>
              <w:bottom w:w="60" w:type="dxa"/>
            </w:tcMar>
            <w:vAlign w:val="center"/>
          </w:tcPr>
          <w:p>
            <w:pPr>
              <w:pStyle w:val="TableContents"/>
              <w:bidi w:val="0"/>
              <w:spacing w:before="0" w:after="283"/>
              <w:jc w:val="left"/>
              <w:rPr/>
            </w:pPr>
            <w:r>
              <w:rPr/>
              <w:t> </w:t>
            </w:r>
          </w:p>
        </w:tc>
        <w:tc>
          <w:tcPr>
            <w:tcW w:w="1405" w:type="dxa"/>
            <w:tcBorders>
              <w:bottom w:val="single" w:sz="6" w:space="0" w:color="FBDDE3"/>
            </w:tcBorders>
            <w:tcMar>
              <w:bottom w:w="60" w:type="dxa"/>
            </w:tcMar>
            <w:vAlign w:val="center"/>
          </w:tcPr>
          <w:p>
            <w:pPr>
              <w:pStyle w:val="TableContents"/>
              <w:bidi w:val="0"/>
              <w:spacing w:before="0" w:after="283"/>
              <w:jc w:val="right"/>
              <w:rPr/>
            </w:pPr>
            <w:r>
              <w:rPr/>
              <w:t>466,226</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03" w:type="dxa"/>
            <w:tcBorders>
              <w:bottom w:val="single" w:sz="6" w:space="0" w:color="FBDDE3"/>
            </w:tcBorders>
            <w:tcMar>
              <w:bottom w:w="60" w:type="dxa"/>
            </w:tcMar>
            <w:vAlign w:val="center"/>
          </w:tcPr>
          <w:p>
            <w:pPr>
              <w:pStyle w:val="TableContents"/>
              <w:bidi w:val="0"/>
              <w:spacing w:before="0" w:after="283"/>
              <w:jc w:val="left"/>
              <w:rPr/>
            </w:pPr>
            <w:r>
              <w:rPr/>
              <w:t> </w:t>
            </w:r>
          </w:p>
        </w:tc>
        <w:tc>
          <w:tcPr>
            <w:tcW w:w="1387" w:type="dxa"/>
            <w:tcBorders>
              <w:bottom w:val="single" w:sz="6" w:space="0" w:color="FBDDE3"/>
            </w:tcBorders>
            <w:tcMar>
              <w:bottom w:w="60" w:type="dxa"/>
            </w:tcMar>
            <w:vAlign w:val="center"/>
          </w:tcPr>
          <w:p>
            <w:pPr>
              <w:pStyle w:val="TableContents"/>
              <w:bidi w:val="0"/>
              <w:spacing w:before="0" w:after="283"/>
              <w:jc w:val="right"/>
              <w:rPr/>
            </w:pPr>
            <w:r>
              <w:rPr/>
              <w:t>165,169</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4,884,890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2" w:type="dxa"/>
            <w:tcBorders>
              <w:bottom w:val="single" w:sz="6" w:space="0" w:color="FBDDE3"/>
            </w:tcBorders>
            <w:tcMar>
              <w:bottom w:w="60" w:type="dxa"/>
            </w:tcMar>
            <w:vAlign w:val="center"/>
          </w:tcPr>
          <w:p>
            <w:pPr>
              <w:pStyle w:val="TableContents"/>
              <w:bidi w:val="0"/>
              <w:spacing w:before="0" w:after="283"/>
              <w:jc w:val="left"/>
              <w:rPr/>
            </w:pPr>
            <w:r>
              <w:rPr/>
              <w:t> </w:t>
            </w:r>
          </w:p>
        </w:tc>
        <w:tc>
          <w:tcPr>
            <w:tcW w:w="1098" w:type="dxa"/>
            <w:tcBorders>
              <w:bottom w:val="single" w:sz="6" w:space="0" w:color="FBDDE3"/>
            </w:tcBorders>
            <w:tcMar>
              <w:bottom w:w="60" w:type="dxa"/>
            </w:tcMar>
            <w:vAlign w:val="center"/>
          </w:tcPr>
          <w:p>
            <w:pPr>
              <w:pStyle w:val="TableContents"/>
              <w:bidi w:val="0"/>
              <w:spacing w:before="0" w:after="283"/>
              <w:jc w:val="right"/>
              <w:rPr/>
            </w:pPr>
            <w:r>
              <w:rPr/>
              <w:t>(3,119,912</w:t>
            </w:r>
          </w:p>
        </w:tc>
        <w:tc>
          <w:tcPr>
            <w:tcW w:w="155"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1,151,000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980" w:type="dxa"/>
            <w:tcBorders>
              <w:bottom w:val="single" w:sz="6" w:space="0" w:color="FBDDE3"/>
            </w:tcBorders>
            <w:tcMar>
              <w:bottom w:w="60" w:type="dxa"/>
            </w:tcMar>
            <w:vAlign w:val="center"/>
          </w:tcPr>
          <w:p>
            <w:pPr>
              <w:pStyle w:val="TableContents"/>
              <w:bidi w:val="0"/>
              <w:spacing w:before="0" w:after="283"/>
              <w:jc w:val="right"/>
              <w:rPr/>
            </w:pPr>
            <w:r>
              <w:rPr/>
              <w:t>2,915,978</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r>
      <w:tr>
        <w:trPr/>
        <w:tc>
          <w:tcPr>
            <w:tcW w:w="455" w:type="dxa"/>
            <w:tcBorders>
              <w:bottom w:val="single" w:sz="8" w:space="0" w:color="F7ACBA"/>
            </w:tcBorders>
            <w:tcMar>
              <w:bottom w:w="80" w:type="dxa"/>
            </w:tcMar>
            <w:vAlign w:val="center"/>
          </w:tcPr>
          <w:p>
            <w:pPr>
              <w:pStyle w:val="TableContents"/>
              <w:bidi w:val="0"/>
              <w:spacing w:before="0" w:after="0"/>
              <w:jc w:val="left"/>
              <w:rPr>
                <w:rFonts w:ascii="arial" w:hAnsi="arial"/>
                <w:b/>
                <w:sz w:val="18"/>
              </w:rPr>
            </w:pPr>
            <w:r>
              <w:rPr>
                <w:rFonts w:ascii="arial" w:hAnsi="arial"/>
                <w:b/>
                <w:sz w:val="18"/>
              </w:rPr>
              <w:t>2021</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800" w:type="dxa"/>
            <w:tcBorders>
              <w:bottom w:val="single" w:sz="8" w:space="0" w:color="F7ACBA"/>
            </w:tcBorders>
            <w:tcMar>
              <w:bottom w:w="80" w:type="dxa"/>
            </w:tcMar>
            <w:vAlign w:val="center"/>
          </w:tcPr>
          <w:p>
            <w:pPr>
              <w:pStyle w:val="TableContents"/>
              <w:bidi w:val="0"/>
              <w:spacing w:before="0" w:after="283"/>
              <w:jc w:val="right"/>
              <w:rPr/>
            </w:pPr>
            <w:r>
              <w:rPr/>
              <w:t>785,979</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800" w:type="dxa"/>
            <w:tcBorders>
              <w:bottom w:val="single" w:sz="8" w:space="0" w:color="F7ACBA"/>
            </w:tcBorders>
            <w:tcMar>
              <w:bottom w:w="80" w:type="dxa"/>
            </w:tcMar>
            <w:vAlign w:val="center"/>
          </w:tcPr>
          <w:p>
            <w:pPr>
              <w:pStyle w:val="TableContents"/>
              <w:bidi w:val="0"/>
              <w:spacing w:before="0" w:after="283"/>
              <w:jc w:val="right"/>
              <w:rPr/>
            </w:pPr>
            <w:r>
              <w:rPr/>
              <w:t>950,000</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85" w:type="dxa"/>
            <w:tcBorders>
              <w:bottom w:val="single" w:sz="8" w:space="0" w:color="F7ACBA"/>
            </w:tcBorders>
            <w:tcMar>
              <w:bottom w:w="80" w:type="dxa"/>
            </w:tcMar>
            <w:vAlign w:val="center"/>
          </w:tcPr>
          <w:p>
            <w:pPr>
              <w:pStyle w:val="TableContents"/>
              <w:bidi w:val="0"/>
              <w:spacing w:before="0" w:after="283"/>
              <w:jc w:val="left"/>
              <w:rPr/>
            </w:pPr>
            <w:r>
              <w:rPr/>
              <w:t> </w:t>
            </w:r>
          </w:p>
        </w:tc>
        <w:tc>
          <w:tcPr>
            <w:tcW w:w="1405" w:type="dxa"/>
            <w:tcBorders>
              <w:bottom w:val="single" w:sz="8" w:space="0" w:color="F7ACBA"/>
            </w:tcBorders>
            <w:tcMar>
              <w:bottom w:w="80" w:type="dxa"/>
            </w:tcMar>
            <w:vAlign w:val="center"/>
          </w:tcPr>
          <w:p>
            <w:pPr>
              <w:pStyle w:val="TableContents"/>
              <w:bidi w:val="0"/>
              <w:spacing w:before="0" w:after="283"/>
              <w:jc w:val="right"/>
              <w:rPr/>
            </w:pPr>
            <w:r>
              <w:rPr/>
              <w:t>1,731,110</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03" w:type="dxa"/>
            <w:tcBorders>
              <w:bottom w:val="single" w:sz="8" w:space="0" w:color="F7ACBA"/>
            </w:tcBorders>
            <w:tcMar>
              <w:bottom w:w="80" w:type="dxa"/>
            </w:tcMar>
            <w:vAlign w:val="center"/>
          </w:tcPr>
          <w:p>
            <w:pPr>
              <w:pStyle w:val="TableContents"/>
              <w:bidi w:val="0"/>
              <w:spacing w:before="0" w:after="283"/>
              <w:jc w:val="left"/>
              <w:rPr/>
            </w:pPr>
            <w:r>
              <w:rPr/>
              <w:t> </w:t>
            </w:r>
          </w:p>
        </w:tc>
        <w:tc>
          <w:tcPr>
            <w:tcW w:w="1387" w:type="dxa"/>
            <w:tcBorders>
              <w:bottom w:val="single" w:sz="8" w:space="0" w:color="F7ACBA"/>
            </w:tcBorders>
            <w:tcMar>
              <w:bottom w:w="80" w:type="dxa"/>
            </w:tcMar>
            <w:vAlign w:val="center"/>
          </w:tcPr>
          <w:p>
            <w:pPr>
              <w:pStyle w:val="TableContents"/>
              <w:bidi w:val="0"/>
              <w:spacing w:before="0" w:after="283"/>
              <w:jc w:val="right"/>
              <w:rPr/>
            </w:pPr>
            <w:r>
              <w:rPr/>
              <w:t>79,702</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980" w:type="dxa"/>
            <w:tcBorders>
              <w:bottom w:val="single" w:sz="8" w:space="0" w:color="F7ACBA"/>
            </w:tcBorders>
            <w:tcMar>
              <w:bottom w:w="80" w:type="dxa"/>
            </w:tcMar>
            <w:vAlign w:val="center"/>
          </w:tcPr>
          <w:p>
            <w:pPr>
              <w:pStyle w:val="TableContents"/>
              <w:bidi w:val="0"/>
              <w:spacing w:before="0" w:after="283"/>
              <w:jc w:val="right"/>
              <w:rPr/>
            </w:pPr>
            <w:r>
              <w:rPr/>
              <w:t>4,601,134</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2" w:type="dxa"/>
            <w:tcBorders>
              <w:bottom w:val="single" w:sz="8" w:space="0" w:color="F7ACBA"/>
            </w:tcBorders>
            <w:tcMar>
              <w:bottom w:w="80" w:type="dxa"/>
            </w:tcMar>
            <w:vAlign w:val="center"/>
          </w:tcPr>
          <w:p>
            <w:pPr>
              <w:pStyle w:val="TableContents"/>
              <w:bidi w:val="0"/>
              <w:spacing w:before="0" w:after="283"/>
              <w:jc w:val="left"/>
              <w:rPr/>
            </w:pPr>
            <w:r>
              <w:rPr/>
              <w:t> </w:t>
            </w:r>
          </w:p>
        </w:tc>
        <w:tc>
          <w:tcPr>
            <w:tcW w:w="1098" w:type="dxa"/>
            <w:tcBorders>
              <w:bottom w:val="single" w:sz="8" w:space="0" w:color="F7ACBA"/>
            </w:tcBorders>
            <w:tcMar>
              <w:bottom w:w="80" w:type="dxa"/>
            </w:tcMar>
            <w:vAlign w:val="center"/>
          </w:tcPr>
          <w:p>
            <w:pPr>
              <w:pStyle w:val="TableContents"/>
              <w:bidi w:val="0"/>
              <w:spacing w:before="0" w:after="283"/>
              <w:jc w:val="right"/>
              <w:rPr/>
            </w:pPr>
            <w:r>
              <w:rPr/>
              <w:t>(1,040,000</w:t>
            </w:r>
          </w:p>
        </w:tc>
        <w:tc>
          <w:tcPr>
            <w:tcW w:w="155"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980" w:type="dxa"/>
            <w:tcBorders>
              <w:bottom w:val="single" w:sz="8" w:space="0" w:color="F7ACBA"/>
            </w:tcBorders>
            <w:tcMar>
              <w:bottom w:w="80" w:type="dxa"/>
            </w:tcMar>
            <w:vAlign w:val="center"/>
          </w:tcPr>
          <w:p>
            <w:pPr>
              <w:pStyle w:val="TableContents"/>
              <w:bidi w:val="0"/>
              <w:spacing w:before="0" w:after="283"/>
              <w:jc w:val="right"/>
              <w:rPr/>
            </w:pPr>
            <w:r>
              <w:rPr/>
              <w:t>5,687,051</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980" w:type="dxa"/>
            <w:tcBorders>
              <w:bottom w:val="single" w:sz="8" w:space="0" w:color="F7ACBA"/>
            </w:tcBorders>
            <w:tcMar>
              <w:bottom w:w="80" w:type="dxa"/>
            </w:tcMar>
            <w:vAlign w:val="center"/>
          </w:tcPr>
          <w:p>
            <w:pPr>
              <w:pStyle w:val="TableContents"/>
              <w:bidi w:val="0"/>
              <w:spacing w:before="0" w:after="283"/>
              <w:jc w:val="right"/>
              <w:rPr/>
            </w:pPr>
            <w:r>
              <w:rPr/>
              <w:t>9,248,185</w:t>
            </w:r>
          </w:p>
        </w:tc>
        <w:tc>
          <w:tcPr>
            <w:tcW w:w="75" w:type="dxa"/>
            <w:tcBorders>
              <w:bottom w:val="single" w:sz="8" w:space="0" w:color="F7ACBA"/>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5305" w:type="dxa"/>
        <w:jc w:val="left"/>
        <w:tblInd w:w="0" w:type="dxa"/>
        <w:tblLayout w:type="fixed"/>
        <w:tblCellMar>
          <w:top w:w="0" w:type="dxa"/>
          <w:left w:w="0" w:type="dxa"/>
          <w:bottom w:w="0" w:type="dxa"/>
          <w:right w:w="0" w:type="dxa"/>
        </w:tblCellMar>
      </w:tblPr>
      <w:tblGrid>
        <w:gridCol w:w="290"/>
        <w:gridCol w:w="5015"/>
      </w:tblGrid>
      <w:tr>
        <w:trPr/>
        <w:tc>
          <w:tcPr>
            <w:tcW w:w="290" w:type="dxa"/>
            <w:tcBorders/>
            <w:vAlign w:val="center"/>
          </w:tcPr>
          <w:p>
            <w:pPr>
              <w:pStyle w:val="TableContents"/>
              <w:bidi w:val="0"/>
              <w:spacing w:before="0" w:after="283"/>
              <w:jc w:val="left"/>
              <w:rPr/>
            </w:pPr>
            <w:r>
              <w:rPr/>
              <w:t>(a)</w:t>
            </w:r>
          </w:p>
        </w:tc>
        <w:tc>
          <w:tcPr>
            <w:tcW w:w="5015" w:type="dxa"/>
            <w:tcBorders/>
            <w:vAlign w:val="center"/>
          </w:tcPr>
          <w:p>
            <w:pPr>
              <w:pStyle w:val="TableContents"/>
              <w:bidi w:val="0"/>
              <w:spacing w:before="0" w:after="0"/>
              <w:jc w:val="left"/>
              <w:rPr>
                <w:rFonts w:ascii="arial" w:hAnsi="arial"/>
                <w:sz w:val="14"/>
              </w:rPr>
            </w:pPr>
            <w:r>
              <w:rPr>
                <w:rFonts w:ascii="arial" w:hAnsi="arial"/>
                <w:sz w:val="14"/>
              </w:rPr>
              <w:t xml:space="preserve">Represents the grant date fair value of equity-based awards granted each year.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0"/>
              <w:jc w:val="left"/>
              <w:rPr>
                <w:rFonts w:ascii="arial" w:hAnsi="arial"/>
                <w:sz w:val="14"/>
              </w:rPr>
            </w:pPr>
            <w:r>
              <w:rPr>
                <w:rFonts w:ascii="arial" w:hAnsi="arial"/>
                <w:sz w:val="14"/>
              </w:rPr>
              <w:t xml:space="preserve">Reflects the value of equity calculated in accordance with the SEC methodology for determining CAP for each year shown. The equity component of CAP for fiscal 2023, 2022 and 2021 is further detailed in the tables below. “FYE” means fiscal year end. </w:t>
            </w:r>
          </w:p>
        </w:tc>
      </w:tr>
    </w:tbl>
    <w:p>
      <w:pPr>
        <w:pStyle w:val="TextBody"/>
        <w:bidi w:val="0"/>
        <w:spacing w:before="0" w:after="0"/>
        <w:jc w:val="left"/>
        <w:rPr>
          <w:shd w:fill="FFFFFF" w:val="clear"/>
        </w:rPr>
      </w:pPr>
      <w:r>
        <w:rPr>
          <w:shd w:fill="FFFFFF" w:val="clea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26"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15" descr=""/>
                          <pic:cNvPicPr>
                            <a:picLocks noChangeAspect="1" noChangeArrowheads="1"/>
                          </pic:cNvPicPr>
                        </pic:nvPicPr>
                        <pic:blipFill>
                          <a:blip r:embed="rId116"/>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jc w:val="center"/>
              <w:rPr>
                <w:color w:val="F7ACBA"/>
                <w:spacing w:val="0"/>
              </w:rPr>
            </w:pPr>
            <w:r>
              <w:rPr>
                <w:color w:val="F7ACBA"/>
                <w:spacing w:val="0"/>
              </w:rPr>
              <w:t> </w:t>
            </w:r>
            <w:r>
              <w:rPr>
                <w:b/>
                <w:color w:val="F7ACBA"/>
                <w:spacing w:val="0"/>
              </w:rPr>
              <w:t>71 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0"/>
              <w:jc w:val="left"/>
              <w:rPr>
                <w:rFonts w:ascii="arial" w:hAnsi="arial"/>
                <w:spacing w:val="0"/>
                <w:sz w:val="16"/>
              </w:rPr>
            </w:pPr>
            <w:r>
              <w:rPr>
                <w:rFonts w:ascii="arial" w:hAnsi="arial"/>
                <w:spacing w:val="0"/>
                <w:sz w:val="16"/>
              </w:rPr>
              <w:t>2024 PROXY STATEMENT</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ARIAL" w:hAnsi="ARIAL"/>
          <w:b/>
          <w:sz w:val="14"/>
          <w:shd w:fill="FFFFFF" w:val="clear"/>
        </w:rPr>
      </w:pPr>
      <w:r>
        <w:rPr>
          <w:rFonts w:ascii="ARIAL" w:hAnsi="ARIAL"/>
          <w:b/>
          <w:sz w:val="14"/>
          <w:shd w:fill="FFFFFF" w:val="clear"/>
        </w:rPr>
        <w:t xml:space="preserve">COMPENSATION DISCUSSION AND ANALYSIS </w:t>
      </w:r>
    </w:p>
    <w:p>
      <w:pPr>
        <w:pStyle w:val="TextBody"/>
        <w:bidi w:val="0"/>
        <w:spacing w:before="0" w:after="0"/>
        <w:jc w:val="left"/>
        <w:rPr>
          <w:shd w:fill="FFFFFF" w:val="clear"/>
        </w:rPr>
      </w:pPr>
      <w:r>
        <w:rPr>
          <w:shd w:fill="FFFFFF" w:val="clear"/>
        </w:rPr>
        <w:t> </w:t>
      </w:r>
    </w:p>
    <w:tbl>
      <w:tblPr>
        <w:tblW w:w="12815" w:type="dxa"/>
        <w:jc w:val="left"/>
        <w:tblInd w:w="0" w:type="dxa"/>
        <w:tblLayout w:type="fixed"/>
        <w:tblCellMar>
          <w:top w:w="0" w:type="dxa"/>
          <w:left w:w="0" w:type="dxa"/>
          <w:bottom w:w="0" w:type="dxa"/>
          <w:right w:w="0" w:type="dxa"/>
        </w:tblCellMar>
      </w:tblPr>
      <w:tblGrid>
        <w:gridCol w:w="815"/>
        <w:gridCol w:w="60"/>
        <w:gridCol w:w="105"/>
        <w:gridCol w:w="1730"/>
        <w:gridCol w:w="60"/>
        <w:gridCol w:w="60"/>
        <w:gridCol w:w="474"/>
        <w:gridCol w:w="1106"/>
        <w:gridCol w:w="60"/>
        <w:gridCol w:w="60"/>
        <w:gridCol w:w="107"/>
        <w:gridCol w:w="1893"/>
        <w:gridCol w:w="155"/>
        <w:gridCol w:w="60"/>
        <w:gridCol w:w="128"/>
        <w:gridCol w:w="1872"/>
        <w:gridCol w:w="155"/>
        <w:gridCol w:w="60"/>
        <w:gridCol w:w="546"/>
        <w:gridCol w:w="1274"/>
        <w:gridCol w:w="60"/>
        <w:gridCol w:w="60"/>
        <w:gridCol w:w="111"/>
        <w:gridCol w:w="1634"/>
        <w:gridCol w:w="170"/>
      </w:tblGrid>
      <w:tr>
        <w:trPr/>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815" w:type="dxa"/>
            <w:tcBorders/>
            <w:shd w:fill="FDEEF1" w:val="clear"/>
            <w:vAlign w:val="center"/>
          </w:tcPr>
          <w:p>
            <w:pPr>
              <w:pStyle w:val="TableContents"/>
              <w:bidi w:val="0"/>
              <w:spacing w:before="0" w:after="283"/>
              <w:jc w:val="left"/>
              <w:rPr>
                <w:sz w:val="4"/>
                <w:szCs w:val="4"/>
              </w:rPr>
            </w:pPr>
            <w:r>
              <w:rPr>
                <w:sz w:val="4"/>
                <w:szCs w:val="4"/>
              </w:rPr>
            </w:r>
          </w:p>
        </w:tc>
        <w:tc>
          <w:tcPr>
            <w:tcW w:w="1955" w:type="dxa"/>
            <w:gridSpan w:val="4"/>
            <w:tcBorders/>
            <w:shd w:fill="FDEEF1" w:val="clear"/>
            <w:vAlign w:val="center"/>
          </w:tcPr>
          <w:p>
            <w:pPr>
              <w:pStyle w:val="TableContents"/>
              <w:bidi w:val="0"/>
              <w:spacing w:before="0" w:after="283"/>
              <w:jc w:val="left"/>
              <w:rPr>
                <w:sz w:val="4"/>
                <w:szCs w:val="4"/>
              </w:rPr>
            </w:pPr>
            <w:r>
              <w:rPr>
                <w:sz w:val="4"/>
                <w:szCs w:val="4"/>
              </w:rPr>
            </w:r>
          </w:p>
        </w:tc>
        <w:tc>
          <w:tcPr>
            <w:tcW w:w="1700" w:type="dxa"/>
            <w:gridSpan w:val="4"/>
            <w:tcBorders/>
            <w:shd w:fill="FDEEF1" w:val="clear"/>
            <w:vAlign w:val="center"/>
          </w:tcPr>
          <w:p>
            <w:pPr>
              <w:pStyle w:val="TableContents"/>
              <w:bidi w:val="0"/>
              <w:spacing w:before="0" w:after="283"/>
              <w:jc w:val="left"/>
              <w:rPr>
                <w:sz w:val="4"/>
                <w:szCs w:val="4"/>
              </w:rPr>
            </w:pPr>
            <w:r>
              <w:rPr>
                <w:sz w:val="4"/>
                <w:szCs w:val="4"/>
              </w:rPr>
            </w:r>
          </w:p>
        </w:tc>
        <w:tc>
          <w:tcPr>
            <w:tcW w:w="2215" w:type="dxa"/>
            <w:gridSpan w:val="4"/>
            <w:tcBorders/>
            <w:shd w:fill="FDEEF1" w:val="clear"/>
            <w:vAlign w:val="center"/>
          </w:tcPr>
          <w:p>
            <w:pPr>
              <w:pStyle w:val="TableContents"/>
              <w:bidi w:val="0"/>
              <w:spacing w:before="0" w:after="283"/>
              <w:jc w:val="left"/>
              <w:rPr>
                <w:sz w:val="4"/>
                <w:szCs w:val="4"/>
              </w:rPr>
            </w:pPr>
            <w:r>
              <w:rPr>
                <w:sz w:val="4"/>
                <w:szCs w:val="4"/>
              </w:rPr>
            </w:r>
          </w:p>
        </w:tc>
        <w:tc>
          <w:tcPr>
            <w:tcW w:w="2215" w:type="dxa"/>
            <w:gridSpan w:val="4"/>
            <w:tcBorders/>
            <w:shd w:fill="FDEEF1" w:val="clear"/>
            <w:vAlign w:val="center"/>
          </w:tcPr>
          <w:p>
            <w:pPr>
              <w:pStyle w:val="TableContents"/>
              <w:bidi w:val="0"/>
              <w:spacing w:before="0" w:after="283"/>
              <w:jc w:val="left"/>
              <w:rPr>
                <w:sz w:val="4"/>
                <w:szCs w:val="4"/>
              </w:rPr>
            </w:pPr>
            <w:r>
              <w:rPr>
                <w:sz w:val="4"/>
                <w:szCs w:val="4"/>
              </w:rPr>
            </w:r>
          </w:p>
        </w:tc>
        <w:tc>
          <w:tcPr>
            <w:tcW w:w="1940" w:type="dxa"/>
            <w:gridSpan w:val="4"/>
            <w:tcBorders/>
            <w:shd w:fill="FDEEF1" w:val="clear"/>
            <w:vAlign w:val="center"/>
          </w:tcPr>
          <w:p>
            <w:pPr>
              <w:pStyle w:val="TableContents"/>
              <w:bidi w:val="0"/>
              <w:spacing w:before="0" w:after="283"/>
              <w:jc w:val="left"/>
              <w:rPr>
                <w:sz w:val="4"/>
                <w:szCs w:val="4"/>
              </w:rPr>
            </w:pPr>
            <w:r>
              <w:rPr>
                <w:sz w:val="4"/>
                <w:szCs w:val="4"/>
              </w:rPr>
            </w:r>
          </w:p>
        </w:tc>
        <w:tc>
          <w:tcPr>
            <w:tcW w:w="1975" w:type="dxa"/>
            <w:gridSpan w:val="4"/>
            <w:tcBorders/>
            <w:shd w:fill="FDEEF1" w:val="clear"/>
            <w:vAlign w:val="center"/>
          </w:tcPr>
          <w:p>
            <w:pPr>
              <w:pStyle w:val="TableContents"/>
              <w:bidi w:val="0"/>
              <w:spacing w:before="0" w:after="283"/>
              <w:jc w:val="left"/>
              <w:rPr>
                <w:sz w:val="4"/>
                <w:szCs w:val="4"/>
              </w:rPr>
            </w:pPr>
            <w:r>
              <w:rPr>
                <w:sz w:val="4"/>
                <w:szCs w:val="4"/>
              </w:rPr>
            </w:r>
          </w:p>
        </w:tc>
      </w:tr>
      <w:tr>
        <w:trPr/>
        <w:tc>
          <w:tcPr>
            <w:tcW w:w="815" w:type="dxa"/>
            <w:tcBorders/>
            <w:shd w:fill="FDEEF1" w:val="clear"/>
            <w:vAlign w:val="center"/>
          </w:tcPr>
          <w:p>
            <w:pPr>
              <w:pStyle w:val="TableContents"/>
              <w:bidi w:val="0"/>
              <w:spacing w:before="0" w:after="0"/>
              <w:jc w:val="left"/>
              <w:rPr>
                <w:rFonts w:ascii="arial" w:hAnsi="arial"/>
                <w:b/>
                <w:sz w:val="16"/>
              </w:rPr>
            </w:pPr>
            <w:r>
              <w:rPr>
                <w:rFonts w:ascii="arial" w:hAnsi="arial"/>
                <w:b/>
                <w:sz w:val="16"/>
              </w:rPr>
              <w:t>2023</w:t>
            </w:r>
          </w:p>
        </w:tc>
        <w:tc>
          <w:tcPr>
            <w:tcW w:w="60" w:type="dxa"/>
            <w:tcBorders/>
            <w:shd w:fill="FDEEF1" w:val="clear"/>
            <w:vAlign w:val="center"/>
          </w:tcPr>
          <w:p>
            <w:pPr>
              <w:pStyle w:val="TableContents"/>
              <w:bidi w:val="0"/>
              <w:spacing w:before="0" w:after="283"/>
              <w:jc w:val="left"/>
              <w:rPr/>
            </w:pPr>
            <w:r>
              <w:rPr/>
              <w:t> </w:t>
            </w:r>
          </w:p>
        </w:tc>
        <w:tc>
          <w:tcPr>
            <w:tcW w:w="1835" w:type="dxa"/>
            <w:gridSpan w:val="2"/>
            <w:tcBorders/>
            <w:shd w:fill="FDEEF1" w:val="clear"/>
            <w:vAlign w:val="center"/>
          </w:tcPr>
          <w:p>
            <w:pPr>
              <w:pStyle w:val="TableContents"/>
              <w:bidi w:val="0"/>
              <w:spacing w:before="0" w:after="0"/>
              <w:jc w:val="center"/>
              <w:rPr>
                <w:b/>
              </w:rPr>
            </w:pPr>
            <w:r>
              <w:rPr>
                <w:b/>
              </w:rPr>
              <w:t>Fair Value of</w:t>
              <w:br/>
              <w:t>Current Year</w:t>
              <w:br/>
              <w:t>Equity Awards at</w:t>
              <w:br/>
              <w:t>FYE</w:t>
            </w:r>
          </w:p>
          <w:p>
            <w:pPr>
              <w:pStyle w:val="TableContents"/>
              <w:bidi w:val="0"/>
              <w:spacing w:before="0" w:after="0"/>
              <w:jc w:val="center"/>
              <w:rPr>
                <w:b/>
                <w:sz w:val="9"/>
              </w:rPr>
            </w:pPr>
            <w:r>
              <w:rPr>
                <w:b/>
                <w:sz w:val="9"/>
              </w:rPr>
              <w:t>(i)</w:t>
            </w:r>
          </w:p>
          <w:p>
            <w:pPr>
              <w:pStyle w:val="TableContents"/>
              <w:bidi w:val="0"/>
              <w:spacing w:before="0" w:after="0"/>
              <w:jc w:val="center"/>
              <w:rPr>
                <w:b/>
              </w:rPr>
            </w:pPr>
            <w:r>
              <w:rPr>
                <w:b/>
              </w:rPr>
              <w:t>($)</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580" w:type="dxa"/>
            <w:gridSpan w:val="2"/>
            <w:tcBorders/>
            <w:shd w:fill="FDEEF1" w:val="clear"/>
            <w:vAlign w:val="center"/>
          </w:tcPr>
          <w:p>
            <w:pPr>
              <w:pStyle w:val="TableContents"/>
              <w:bidi w:val="0"/>
              <w:spacing w:before="0" w:after="0"/>
              <w:jc w:val="center"/>
              <w:rPr>
                <w:b/>
              </w:rPr>
            </w:pPr>
            <w:r>
              <w:rPr>
                <w:b/>
              </w:rPr>
              <w:t>Fair Value of</w:t>
              <w:br/>
              <w:t>Current Year</w:t>
              <w:br/>
              <w:t>Equity Awards</w:t>
              <w:br/>
              <w:t>that Vested in</w:t>
              <w:br/>
              <w:t>2023 ($)</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2000" w:type="dxa"/>
            <w:gridSpan w:val="2"/>
            <w:tcBorders/>
            <w:shd w:fill="FDEEF1" w:val="clear"/>
            <w:vAlign w:val="center"/>
          </w:tcPr>
          <w:p>
            <w:pPr>
              <w:pStyle w:val="TableContents"/>
              <w:bidi w:val="0"/>
              <w:spacing w:before="0" w:after="0"/>
              <w:jc w:val="center"/>
              <w:rPr>
                <w:b/>
              </w:rPr>
            </w:pPr>
            <w:r>
              <w:rPr>
                <w:b/>
              </w:rPr>
              <w:t>Change in Value of</w:t>
              <w:br/>
              <w:t>Prior Year Awards</w:t>
              <w:br/>
              <w:t>Unvested at FYE</w:t>
            </w:r>
          </w:p>
          <w:p>
            <w:pPr>
              <w:pStyle w:val="TableContents"/>
              <w:bidi w:val="0"/>
              <w:spacing w:before="0" w:after="0"/>
              <w:jc w:val="center"/>
              <w:rPr>
                <w:b/>
                <w:sz w:val="9"/>
              </w:rPr>
            </w:pPr>
            <w:r>
              <w:rPr>
                <w:b/>
                <w:sz w:val="9"/>
              </w:rPr>
              <w:t>(i)</w:t>
            </w:r>
          </w:p>
          <w:p>
            <w:pPr>
              <w:pStyle w:val="TableContents"/>
              <w:bidi w:val="0"/>
              <w:spacing w:before="0" w:after="0"/>
              <w:jc w:val="center"/>
              <w:rPr>
                <w:b/>
              </w:rPr>
            </w:pPr>
            <w:r>
              <w:rPr>
                <w:b/>
              </w:rPr>
              <w:br/>
              <w:t>($)</w:t>
            </w:r>
          </w:p>
        </w:tc>
        <w:tc>
          <w:tcPr>
            <w:tcW w:w="155"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2000" w:type="dxa"/>
            <w:gridSpan w:val="2"/>
            <w:tcBorders/>
            <w:shd w:fill="FDEEF1" w:val="clear"/>
            <w:vAlign w:val="center"/>
          </w:tcPr>
          <w:p>
            <w:pPr>
              <w:pStyle w:val="TableContents"/>
              <w:bidi w:val="0"/>
              <w:spacing w:before="0" w:after="0"/>
              <w:jc w:val="center"/>
              <w:rPr>
                <w:b/>
              </w:rPr>
            </w:pPr>
            <w:r>
              <w:rPr>
                <w:b/>
              </w:rPr>
              <w:t>Change in Value of</w:t>
              <w:br/>
              <w:t>Prior Year Awards</w:t>
              <w:br/>
              <w:t>that Vested in</w:t>
              <w:br/>
              <w:t>2023</w:t>
            </w:r>
          </w:p>
          <w:p>
            <w:pPr>
              <w:pStyle w:val="TableContents"/>
              <w:bidi w:val="0"/>
              <w:spacing w:before="0" w:after="0"/>
              <w:jc w:val="center"/>
              <w:rPr>
                <w:b/>
                <w:sz w:val="9"/>
              </w:rPr>
            </w:pPr>
            <w:r>
              <w:rPr>
                <w:b/>
                <w:sz w:val="9"/>
              </w:rPr>
              <w:t>(i)</w:t>
            </w:r>
          </w:p>
          <w:p>
            <w:pPr>
              <w:pStyle w:val="TableContents"/>
              <w:bidi w:val="0"/>
              <w:spacing w:before="0" w:after="0"/>
              <w:jc w:val="center"/>
              <w:rPr>
                <w:b/>
              </w:rPr>
            </w:pPr>
            <w:r>
              <w:rPr>
                <w:b/>
              </w:rPr>
              <w:t>($)</w:t>
            </w:r>
          </w:p>
        </w:tc>
        <w:tc>
          <w:tcPr>
            <w:tcW w:w="155"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820" w:type="dxa"/>
            <w:gridSpan w:val="2"/>
            <w:tcBorders/>
            <w:shd w:fill="FDEEF1" w:val="clear"/>
            <w:vAlign w:val="center"/>
          </w:tcPr>
          <w:p>
            <w:pPr>
              <w:pStyle w:val="TableContents"/>
              <w:bidi w:val="0"/>
              <w:spacing w:before="0" w:after="0"/>
              <w:jc w:val="center"/>
              <w:rPr>
                <w:b/>
              </w:rPr>
            </w:pPr>
            <w:r>
              <w:rPr>
                <w:b/>
              </w:rPr>
              <w:t>Fair Value of</w:t>
              <w:br/>
              <w:t>Awards Forfeited</w:t>
              <w:br/>
              <w:t>in 2023 ($)</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745" w:type="dxa"/>
            <w:gridSpan w:val="2"/>
            <w:tcBorders/>
            <w:shd w:fill="FDEEF1" w:val="clear"/>
            <w:vAlign w:val="center"/>
          </w:tcPr>
          <w:p>
            <w:pPr>
              <w:pStyle w:val="TableContents"/>
              <w:bidi w:val="0"/>
              <w:spacing w:before="0" w:after="0"/>
              <w:jc w:val="center"/>
              <w:rPr>
                <w:b/>
              </w:rPr>
            </w:pPr>
            <w:r>
              <w:rPr>
                <w:b/>
              </w:rPr>
              <w:t>Equity Value</w:t>
              <w:br/>
              <w:t>Included in CAP</w:t>
            </w:r>
          </w:p>
          <w:p>
            <w:pPr>
              <w:pStyle w:val="TableContents"/>
              <w:bidi w:val="0"/>
              <w:spacing w:before="0" w:after="0"/>
              <w:jc w:val="center"/>
              <w:rPr>
                <w:b/>
                <w:sz w:val="9"/>
              </w:rPr>
            </w:pPr>
            <w:r>
              <w:rPr>
                <w:b/>
                <w:sz w:val="9"/>
              </w:rPr>
              <w:t>(i)</w:t>
            </w:r>
          </w:p>
          <w:p>
            <w:pPr>
              <w:pStyle w:val="TableContents"/>
              <w:bidi w:val="0"/>
              <w:spacing w:before="0" w:after="0"/>
              <w:jc w:val="center"/>
              <w:rPr>
                <w:b/>
              </w:rPr>
            </w:pPr>
            <w:r>
              <w:rPr>
                <w:b/>
              </w:rPr>
              <w:br/>
              <w:t>($)</w:t>
            </w:r>
          </w:p>
        </w:tc>
        <w:tc>
          <w:tcPr>
            <w:tcW w:w="170" w:type="dxa"/>
            <w:tcBorders/>
            <w:shd w:fill="FDEEF1" w:val="clear"/>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jc w:val="left"/>
              <w:rPr>
                <w:sz w:val="4"/>
                <w:szCs w:val="4"/>
              </w:rPr>
            </w:pPr>
            <w:r>
              <w:rPr>
                <w:sz w:val="4"/>
                <w:szCs w:val="4"/>
              </w:rPr>
            </w:r>
          </w:p>
        </w:tc>
        <w:tc>
          <w:tcPr>
            <w:tcW w:w="1955" w:type="dxa"/>
            <w:gridSpan w:val="4"/>
            <w:tcBorders/>
            <w:vAlign w:val="center"/>
          </w:tcPr>
          <w:p>
            <w:pPr>
              <w:pStyle w:val="TableContents"/>
              <w:bidi w:val="0"/>
              <w:spacing w:before="0" w:after="283"/>
              <w:jc w:val="left"/>
              <w:rPr>
                <w:sz w:val="4"/>
                <w:szCs w:val="4"/>
              </w:rPr>
            </w:pPr>
            <w:r>
              <w:rPr>
                <w:sz w:val="4"/>
                <w:szCs w:val="4"/>
              </w:rPr>
            </w:r>
          </w:p>
        </w:tc>
        <w:tc>
          <w:tcPr>
            <w:tcW w:w="1700" w:type="dxa"/>
            <w:gridSpan w:val="4"/>
            <w:tcBorders/>
            <w:vAlign w:val="center"/>
          </w:tcPr>
          <w:p>
            <w:pPr>
              <w:pStyle w:val="TableContents"/>
              <w:bidi w:val="0"/>
              <w:spacing w:before="0" w:after="283"/>
              <w:jc w:val="left"/>
              <w:rPr>
                <w:sz w:val="4"/>
                <w:szCs w:val="4"/>
              </w:rPr>
            </w:pPr>
            <w:r>
              <w:rPr>
                <w:sz w:val="4"/>
                <w:szCs w:val="4"/>
              </w:rPr>
            </w:r>
          </w:p>
        </w:tc>
        <w:tc>
          <w:tcPr>
            <w:tcW w:w="2215" w:type="dxa"/>
            <w:gridSpan w:val="4"/>
            <w:tcBorders/>
            <w:vAlign w:val="center"/>
          </w:tcPr>
          <w:p>
            <w:pPr>
              <w:pStyle w:val="TableContents"/>
              <w:bidi w:val="0"/>
              <w:spacing w:before="0" w:after="283"/>
              <w:jc w:val="left"/>
              <w:rPr>
                <w:sz w:val="4"/>
                <w:szCs w:val="4"/>
              </w:rPr>
            </w:pPr>
            <w:r>
              <w:rPr>
                <w:sz w:val="4"/>
                <w:szCs w:val="4"/>
              </w:rPr>
            </w:r>
          </w:p>
        </w:tc>
        <w:tc>
          <w:tcPr>
            <w:tcW w:w="2215" w:type="dxa"/>
            <w:gridSpan w:val="4"/>
            <w:tcBorders/>
            <w:vAlign w:val="center"/>
          </w:tcPr>
          <w:p>
            <w:pPr>
              <w:pStyle w:val="TableContents"/>
              <w:bidi w:val="0"/>
              <w:spacing w:before="0" w:after="283"/>
              <w:jc w:val="left"/>
              <w:rPr>
                <w:sz w:val="4"/>
                <w:szCs w:val="4"/>
              </w:rPr>
            </w:pPr>
            <w:r>
              <w:rPr>
                <w:sz w:val="4"/>
                <w:szCs w:val="4"/>
              </w:rPr>
            </w:r>
          </w:p>
        </w:tc>
        <w:tc>
          <w:tcPr>
            <w:tcW w:w="1940" w:type="dxa"/>
            <w:gridSpan w:val="4"/>
            <w:tcBorders/>
            <w:vAlign w:val="center"/>
          </w:tcPr>
          <w:p>
            <w:pPr>
              <w:pStyle w:val="TableContents"/>
              <w:bidi w:val="0"/>
              <w:spacing w:before="0" w:after="283"/>
              <w:jc w:val="left"/>
              <w:rPr>
                <w:sz w:val="4"/>
                <w:szCs w:val="4"/>
              </w:rPr>
            </w:pPr>
            <w:r>
              <w:rPr>
                <w:sz w:val="4"/>
                <w:szCs w:val="4"/>
              </w:rPr>
            </w:r>
          </w:p>
        </w:tc>
        <w:tc>
          <w:tcPr>
            <w:tcW w:w="1975" w:type="dxa"/>
            <w:gridSpan w:val="4"/>
            <w:tcBorders/>
            <w:vAlign w:val="center"/>
          </w:tcPr>
          <w:p>
            <w:pPr>
              <w:pStyle w:val="TableContents"/>
              <w:bidi w:val="0"/>
              <w:spacing w:before="0" w:after="283"/>
              <w:jc w:val="left"/>
              <w:rPr>
                <w:sz w:val="4"/>
                <w:szCs w:val="4"/>
              </w:rPr>
            </w:pPr>
            <w:r>
              <w:rPr>
                <w:sz w:val="4"/>
                <w:szCs w:val="4"/>
              </w:rPr>
            </w:r>
          </w:p>
        </w:tc>
      </w:tr>
      <w:tr>
        <w:trPr/>
        <w:tc>
          <w:tcPr>
            <w:tcW w:w="815"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PEO</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05" w:type="dxa"/>
            <w:tcBorders>
              <w:bottom w:val="single" w:sz="6" w:space="0" w:color="FBDDE3"/>
            </w:tcBorders>
            <w:tcMar>
              <w:bottom w:w="60" w:type="dxa"/>
            </w:tcMar>
            <w:vAlign w:val="center"/>
          </w:tcPr>
          <w:p>
            <w:pPr>
              <w:pStyle w:val="TableContents"/>
              <w:bidi w:val="0"/>
              <w:spacing w:before="0" w:after="283"/>
              <w:jc w:val="left"/>
              <w:rPr/>
            </w:pPr>
            <w:r>
              <w:rPr/>
              <w:t> </w:t>
            </w:r>
          </w:p>
        </w:tc>
        <w:tc>
          <w:tcPr>
            <w:tcW w:w="1730" w:type="dxa"/>
            <w:tcBorders>
              <w:bottom w:val="single" w:sz="6" w:space="0" w:color="FBDDE3"/>
            </w:tcBorders>
            <w:tcMar>
              <w:bottom w:w="60" w:type="dxa"/>
            </w:tcMar>
            <w:vAlign w:val="center"/>
          </w:tcPr>
          <w:p>
            <w:pPr>
              <w:pStyle w:val="TableContents"/>
              <w:bidi w:val="0"/>
              <w:spacing w:before="0" w:after="283"/>
              <w:jc w:val="right"/>
              <w:rPr/>
            </w:pPr>
            <w:r>
              <w:rPr/>
              <w:t>4,395,585</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474" w:type="dxa"/>
            <w:tcBorders>
              <w:bottom w:val="single" w:sz="6" w:space="0" w:color="FBDDE3"/>
            </w:tcBorders>
            <w:tcMar>
              <w:bottom w:w="60" w:type="dxa"/>
            </w:tcMar>
            <w:vAlign w:val="center"/>
          </w:tcPr>
          <w:p>
            <w:pPr>
              <w:pStyle w:val="TableContents"/>
              <w:bidi w:val="0"/>
              <w:spacing w:before="0" w:after="283"/>
              <w:jc w:val="left"/>
              <w:rPr/>
            </w:pPr>
            <w:r>
              <w:rPr/>
              <w:t> </w:t>
            </w:r>
          </w:p>
        </w:tc>
        <w:tc>
          <w:tcPr>
            <w:tcW w:w="1106" w:type="dxa"/>
            <w:tcBorders>
              <w:bottom w:val="single" w:sz="6" w:space="0" w:color="FBDDE3"/>
            </w:tcBorders>
            <w:tcMar>
              <w:bottom w:w="60" w:type="dxa"/>
            </w:tcMar>
            <w:vAlign w:val="center"/>
          </w:tcPr>
          <w:p>
            <w:pPr>
              <w:pStyle w:val="TableContents"/>
              <w:bidi w:val="0"/>
              <w:spacing w:before="0" w:after="283"/>
              <w:jc w:val="right"/>
              <w:rPr/>
            </w:pPr>
            <w:r>
              <w:rPr/>
              <w:t>–</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07" w:type="dxa"/>
            <w:tcBorders>
              <w:bottom w:val="single" w:sz="6" w:space="0" w:color="FBDDE3"/>
            </w:tcBorders>
            <w:tcMar>
              <w:bottom w:w="60" w:type="dxa"/>
            </w:tcMar>
            <w:vAlign w:val="center"/>
          </w:tcPr>
          <w:p>
            <w:pPr>
              <w:pStyle w:val="TableContents"/>
              <w:bidi w:val="0"/>
              <w:spacing w:before="0" w:after="283"/>
              <w:jc w:val="left"/>
              <w:rPr/>
            </w:pPr>
            <w:r>
              <w:rPr/>
              <w:t> </w:t>
            </w:r>
          </w:p>
        </w:tc>
        <w:tc>
          <w:tcPr>
            <w:tcW w:w="1893" w:type="dxa"/>
            <w:tcBorders>
              <w:bottom w:val="single" w:sz="6" w:space="0" w:color="FBDDE3"/>
            </w:tcBorders>
            <w:tcMar>
              <w:bottom w:w="60" w:type="dxa"/>
            </w:tcMar>
            <w:vAlign w:val="center"/>
          </w:tcPr>
          <w:p>
            <w:pPr>
              <w:pStyle w:val="TableContents"/>
              <w:bidi w:val="0"/>
              <w:spacing w:before="0" w:after="283"/>
              <w:jc w:val="right"/>
              <w:rPr/>
            </w:pPr>
            <w:r>
              <w:rPr/>
              <w:t>(3,969,929</w:t>
            </w:r>
          </w:p>
        </w:tc>
        <w:tc>
          <w:tcPr>
            <w:tcW w:w="155"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8" w:type="dxa"/>
            <w:tcBorders>
              <w:bottom w:val="single" w:sz="6" w:space="0" w:color="FBDDE3"/>
            </w:tcBorders>
            <w:tcMar>
              <w:bottom w:w="60" w:type="dxa"/>
            </w:tcMar>
            <w:vAlign w:val="center"/>
          </w:tcPr>
          <w:p>
            <w:pPr>
              <w:pStyle w:val="TableContents"/>
              <w:bidi w:val="0"/>
              <w:spacing w:before="0" w:after="283"/>
              <w:jc w:val="left"/>
              <w:rPr/>
            </w:pPr>
            <w:r>
              <w:rPr/>
              <w:t> </w:t>
            </w:r>
          </w:p>
        </w:tc>
        <w:tc>
          <w:tcPr>
            <w:tcW w:w="1872" w:type="dxa"/>
            <w:tcBorders>
              <w:bottom w:val="single" w:sz="6" w:space="0" w:color="FBDDE3"/>
            </w:tcBorders>
            <w:tcMar>
              <w:bottom w:w="60" w:type="dxa"/>
            </w:tcMar>
            <w:vAlign w:val="center"/>
          </w:tcPr>
          <w:p>
            <w:pPr>
              <w:pStyle w:val="TableContents"/>
              <w:bidi w:val="0"/>
              <w:spacing w:before="0" w:after="283"/>
              <w:jc w:val="right"/>
              <w:rPr/>
            </w:pPr>
            <w:r>
              <w:rPr/>
              <w:t>(873,450</w:t>
            </w:r>
          </w:p>
        </w:tc>
        <w:tc>
          <w:tcPr>
            <w:tcW w:w="155"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546" w:type="dxa"/>
            <w:tcBorders>
              <w:bottom w:val="single" w:sz="6" w:space="0" w:color="FBDDE3"/>
            </w:tcBorders>
            <w:tcMar>
              <w:bottom w:w="60" w:type="dxa"/>
            </w:tcMar>
            <w:vAlign w:val="center"/>
          </w:tcPr>
          <w:p>
            <w:pPr>
              <w:pStyle w:val="TableContents"/>
              <w:bidi w:val="0"/>
              <w:spacing w:before="0" w:after="283"/>
              <w:jc w:val="left"/>
              <w:rPr/>
            </w:pPr>
            <w:r>
              <w:rPr/>
              <w:t> </w:t>
            </w:r>
          </w:p>
        </w:tc>
        <w:tc>
          <w:tcPr>
            <w:tcW w:w="1274" w:type="dxa"/>
            <w:tcBorders>
              <w:bottom w:val="single" w:sz="6" w:space="0" w:color="FBDDE3"/>
            </w:tcBorders>
            <w:tcMar>
              <w:bottom w:w="60" w:type="dxa"/>
            </w:tcMar>
            <w:vAlign w:val="center"/>
          </w:tcPr>
          <w:p>
            <w:pPr>
              <w:pStyle w:val="TableContents"/>
              <w:bidi w:val="0"/>
              <w:spacing w:before="0" w:after="283"/>
              <w:jc w:val="right"/>
              <w:rPr/>
            </w:pPr>
            <w:r>
              <w:rPr/>
              <w:t>–</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11" w:type="dxa"/>
            <w:tcBorders>
              <w:bottom w:val="single" w:sz="6" w:space="0" w:color="FBDDE3"/>
            </w:tcBorders>
            <w:tcMar>
              <w:bottom w:w="60" w:type="dxa"/>
            </w:tcMar>
            <w:vAlign w:val="center"/>
          </w:tcPr>
          <w:p>
            <w:pPr>
              <w:pStyle w:val="TableContents"/>
              <w:bidi w:val="0"/>
              <w:spacing w:before="0" w:after="283"/>
              <w:jc w:val="left"/>
              <w:rPr/>
            </w:pPr>
            <w:r>
              <w:rPr/>
              <w:t> </w:t>
            </w:r>
          </w:p>
        </w:tc>
        <w:tc>
          <w:tcPr>
            <w:tcW w:w="1634" w:type="dxa"/>
            <w:tcBorders>
              <w:bottom w:val="single" w:sz="6" w:space="0" w:color="FBDDE3"/>
            </w:tcBorders>
            <w:tcMar>
              <w:bottom w:w="60" w:type="dxa"/>
            </w:tcMar>
            <w:vAlign w:val="center"/>
          </w:tcPr>
          <w:p>
            <w:pPr>
              <w:pStyle w:val="TableContents"/>
              <w:bidi w:val="0"/>
              <w:spacing w:before="0" w:after="283"/>
              <w:jc w:val="right"/>
              <w:rPr/>
            </w:pPr>
            <w:r>
              <w:rPr/>
              <w:t>(447,794</w:t>
            </w:r>
          </w:p>
        </w:tc>
        <w:tc>
          <w:tcPr>
            <w:tcW w:w="170"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jc w:val="left"/>
              <w:rPr>
                <w:sz w:val="4"/>
                <w:szCs w:val="4"/>
              </w:rPr>
            </w:pPr>
            <w:r>
              <w:rPr>
                <w:sz w:val="4"/>
                <w:szCs w:val="4"/>
              </w:rPr>
            </w:r>
          </w:p>
        </w:tc>
        <w:tc>
          <w:tcPr>
            <w:tcW w:w="1955" w:type="dxa"/>
            <w:gridSpan w:val="4"/>
            <w:tcBorders/>
            <w:vAlign w:val="center"/>
          </w:tcPr>
          <w:p>
            <w:pPr>
              <w:pStyle w:val="TableContents"/>
              <w:bidi w:val="0"/>
              <w:spacing w:before="0" w:after="283"/>
              <w:jc w:val="left"/>
              <w:rPr>
                <w:sz w:val="4"/>
                <w:szCs w:val="4"/>
              </w:rPr>
            </w:pPr>
            <w:r>
              <w:rPr>
                <w:sz w:val="4"/>
                <w:szCs w:val="4"/>
              </w:rPr>
            </w:r>
          </w:p>
        </w:tc>
        <w:tc>
          <w:tcPr>
            <w:tcW w:w="1700" w:type="dxa"/>
            <w:gridSpan w:val="4"/>
            <w:tcBorders/>
            <w:vAlign w:val="center"/>
          </w:tcPr>
          <w:p>
            <w:pPr>
              <w:pStyle w:val="TableContents"/>
              <w:bidi w:val="0"/>
              <w:spacing w:before="0" w:after="283"/>
              <w:jc w:val="left"/>
              <w:rPr>
                <w:sz w:val="4"/>
                <w:szCs w:val="4"/>
              </w:rPr>
            </w:pPr>
            <w:r>
              <w:rPr>
                <w:sz w:val="4"/>
                <w:szCs w:val="4"/>
              </w:rPr>
            </w:r>
          </w:p>
        </w:tc>
        <w:tc>
          <w:tcPr>
            <w:tcW w:w="2215" w:type="dxa"/>
            <w:gridSpan w:val="4"/>
            <w:tcBorders/>
            <w:vAlign w:val="center"/>
          </w:tcPr>
          <w:p>
            <w:pPr>
              <w:pStyle w:val="TableContents"/>
              <w:bidi w:val="0"/>
              <w:spacing w:before="0" w:after="283"/>
              <w:jc w:val="left"/>
              <w:rPr>
                <w:sz w:val="4"/>
                <w:szCs w:val="4"/>
              </w:rPr>
            </w:pPr>
            <w:r>
              <w:rPr>
                <w:sz w:val="4"/>
                <w:szCs w:val="4"/>
              </w:rPr>
            </w:r>
          </w:p>
        </w:tc>
        <w:tc>
          <w:tcPr>
            <w:tcW w:w="2215" w:type="dxa"/>
            <w:gridSpan w:val="4"/>
            <w:tcBorders/>
            <w:vAlign w:val="center"/>
          </w:tcPr>
          <w:p>
            <w:pPr>
              <w:pStyle w:val="TableContents"/>
              <w:bidi w:val="0"/>
              <w:spacing w:before="0" w:after="283"/>
              <w:jc w:val="left"/>
              <w:rPr>
                <w:sz w:val="4"/>
                <w:szCs w:val="4"/>
              </w:rPr>
            </w:pPr>
            <w:r>
              <w:rPr>
                <w:sz w:val="4"/>
                <w:szCs w:val="4"/>
              </w:rPr>
            </w:r>
          </w:p>
        </w:tc>
        <w:tc>
          <w:tcPr>
            <w:tcW w:w="1940" w:type="dxa"/>
            <w:gridSpan w:val="4"/>
            <w:tcBorders/>
            <w:vAlign w:val="center"/>
          </w:tcPr>
          <w:p>
            <w:pPr>
              <w:pStyle w:val="TableContents"/>
              <w:bidi w:val="0"/>
              <w:spacing w:before="0" w:after="283"/>
              <w:jc w:val="left"/>
              <w:rPr>
                <w:sz w:val="4"/>
                <w:szCs w:val="4"/>
              </w:rPr>
            </w:pPr>
            <w:r>
              <w:rPr>
                <w:sz w:val="4"/>
                <w:szCs w:val="4"/>
              </w:rPr>
            </w:r>
          </w:p>
        </w:tc>
        <w:tc>
          <w:tcPr>
            <w:tcW w:w="1975" w:type="dxa"/>
            <w:gridSpan w:val="4"/>
            <w:tcBorders/>
            <w:vAlign w:val="center"/>
          </w:tcPr>
          <w:p>
            <w:pPr>
              <w:pStyle w:val="TableContents"/>
              <w:bidi w:val="0"/>
              <w:spacing w:before="0" w:after="283"/>
              <w:jc w:val="left"/>
              <w:rPr>
                <w:sz w:val="4"/>
                <w:szCs w:val="4"/>
              </w:rPr>
            </w:pPr>
            <w:r>
              <w:rPr>
                <w:sz w:val="4"/>
                <w:szCs w:val="4"/>
              </w:rPr>
            </w:r>
          </w:p>
        </w:tc>
      </w:tr>
      <w:tr>
        <w:trPr/>
        <w:tc>
          <w:tcPr>
            <w:tcW w:w="815" w:type="dxa"/>
            <w:tcBorders>
              <w:bottom w:val="single" w:sz="8" w:space="0" w:color="F7ACBA"/>
            </w:tcBorders>
            <w:tcMar>
              <w:bottom w:w="80" w:type="dxa"/>
            </w:tcMar>
            <w:vAlign w:val="center"/>
          </w:tcPr>
          <w:p>
            <w:pPr>
              <w:pStyle w:val="TableContents"/>
              <w:bidi w:val="0"/>
              <w:spacing w:before="0" w:after="0"/>
              <w:jc w:val="left"/>
              <w:rPr>
                <w:rFonts w:ascii="arial" w:hAnsi="arial"/>
                <w:spacing w:val="0"/>
                <w:sz w:val="18"/>
              </w:rPr>
            </w:pPr>
            <w:r>
              <w:rPr>
                <w:rFonts w:ascii="arial" w:hAnsi="arial"/>
                <w:spacing w:val="0"/>
                <w:sz w:val="18"/>
              </w:rPr>
              <w:t>Non-PEO</w:t>
            </w:r>
          </w:p>
          <w:p>
            <w:pPr>
              <w:pStyle w:val="TableContents"/>
              <w:bidi w:val="0"/>
              <w:spacing w:before="0" w:after="0"/>
              <w:jc w:val="left"/>
              <w:rPr>
                <w:rFonts w:ascii="arial" w:hAnsi="arial"/>
                <w:sz w:val="18"/>
              </w:rPr>
            </w:pPr>
            <w:r>
              <w:rPr>
                <w:rFonts w:ascii="arial" w:hAnsi="arial"/>
                <w:sz w:val="18"/>
              </w:rPr>
              <w:t>NEOs</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05" w:type="dxa"/>
            <w:tcBorders>
              <w:bottom w:val="single" w:sz="8" w:space="0" w:color="F7ACBA"/>
            </w:tcBorders>
            <w:tcMar>
              <w:bottom w:w="80" w:type="dxa"/>
            </w:tcMar>
            <w:vAlign w:val="center"/>
          </w:tcPr>
          <w:p>
            <w:pPr>
              <w:pStyle w:val="TableContents"/>
              <w:bidi w:val="0"/>
              <w:spacing w:before="0" w:after="283"/>
              <w:jc w:val="left"/>
              <w:rPr/>
            </w:pPr>
            <w:r>
              <w:rPr/>
              <w:t> </w:t>
            </w:r>
          </w:p>
        </w:tc>
        <w:tc>
          <w:tcPr>
            <w:tcW w:w="1730" w:type="dxa"/>
            <w:tcBorders>
              <w:bottom w:val="single" w:sz="8" w:space="0" w:color="F7ACBA"/>
            </w:tcBorders>
            <w:tcMar>
              <w:bottom w:w="80" w:type="dxa"/>
            </w:tcMar>
            <w:vAlign w:val="center"/>
          </w:tcPr>
          <w:p>
            <w:pPr>
              <w:pStyle w:val="TableContents"/>
              <w:bidi w:val="0"/>
              <w:spacing w:before="0" w:after="283"/>
              <w:jc w:val="right"/>
              <w:rPr/>
            </w:pPr>
            <w:r>
              <w:rPr/>
              <w:t>1,512,258</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474" w:type="dxa"/>
            <w:tcBorders>
              <w:bottom w:val="single" w:sz="8" w:space="0" w:color="F7ACBA"/>
            </w:tcBorders>
            <w:tcMar>
              <w:bottom w:w="80" w:type="dxa"/>
            </w:tcMar>
            <w:vAlign w:val="center"/>
          </w:tcPr>
          <w:p>
            <w:pPr>
              <w:pStyle w:val="TableContents"/>
              <w:bidi w:val="0"/>
              <w:spacing w:before="0" w:after="283"/>
              <w:jc w:val="left"/>
              <w:rPr/>
            </w:pPr>
            <w:r>
              <w:rPr/>
              <w:t> </w:t>
            </w:r>
          </w:p>
        </w:tc>
        <w:tc>
          <w:tcPr>
            <w:tcW w:w="1106" w:type="dxa"/>
            <w:tcBorders>
              <w:bottom w:val="single" w:sz="8" w:space="0" w:color="F7ACBA"/>
            </w:tcBorders>
            <w:tcMar>
              <w:bottom w:w="80" w:type="dxa"/>
            </w:tcMar>
            <w:vAlign w:val="center"/>
          </w:tcPr>
          <w:p>
            <w:pPr>
              <w:pStyle w:val="TableContents"/>
              <w:bidi w:val="0"/>
              <w:spacing w:before="0" w:after="283"/>
              <w:jc w:val="right"/>
              <w:rPr/>
            </w:pPr>
            <w:r>
              <w:rPr/>
              <w:t>–</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07" w:type="dxa"/>
            <w:tcBorders>
              <w:bottom w:val="single" w:sz="8" w:space="0" w:color="F7ACBA"/>
            </w:tcBorders>
            <w:tcMar>
              <w:bottom w:w="80" w:type="dxa"/>
            </w:tcMar>
            <w:vAlign w:val="center"/>
          </w:tcPr>
          <w:p>
            <w:pPr>
              <w:pStyle w:val="TableContents"/>
              <w:bidi w:val="0"/>
              <w:spacing w:before="0" w:after="283"/>
              <w:jc w:val="left"/>
              <w:rPr/>
            </w:pPr>
            <w:r>
              <w:rPr/>
              <w:t> </w:t>
            </w:r>
          </w:p>
        </w:tc>
        <w:tc>
          <w:tcPr>
            <w:tcW w:w="1893" w:type="dxa"/>
            <w:tcBorders>
              <w:bottom w:val="single" w:sz="8" w:space="0" w:color="F7ACBA"/>
            </w:tcBorders>
            <w:tcMar>
              <w:bottom w:w="80" w:type="dxa"/>
            </w:tcMar>
            <w:vAlign w:val="center"/>
          </w:tcPr>
          <w:p>
            <w:pPr>
              <w:pStyle w:val="TableContents"/>
              <w:bidi w:val="0"/>
              <w:spacing w:before="0" w:after="283"/>
              <w:jc w:val="right"/>
              <w:rPr/>
            </w:pPr>
            <w:r>
              <w:rPr/>
              <w:t>(1,006,822</w:t>
            </w:r>
          </w:p>
        </w:tc>
        <w:tc>
          <w:tcPr>
            <w:tcW w:w="155"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28" w:type="dxa"/>
            <w:tcBorders>
              <w:bottom w:val="single" w:sz="8" w:space="0" w:color="F7ACBA"/>
            </w:tcBorders>
            <w:tcMar>
              <w:bottom w:w="80" w:type="dxa"/>
            </w:tcMar>
            <w:vAlign w:val="center"/>
          </w:tcPr>
          <w:p>
            <w:pPr>
              <w:pStyle w:val="TableContents"/>
              <w:bidi w:val="0"/>
              <w:spacing w:before="0" w:after="283"/>
              <w:jc w:val="left"/>
              <w:rPr/>
            </w:pPr>
            <w:r>
              <w:rPr/>
              <w:t> </w:t>
            </w:r>
          </w:p>
        </w:tc>
        <w:tc>
          <w:tcPr>
            <w:tcW w:w="1872" w:type="dxa"/>
            <w:tcBorders>
              <w:bottom w:val="single" w:sz="8" w:space="0" w:color="F7ACBA"/>
            </w:tcBorders>
            <w:tcMar>
              <w:bottom w:w="80" w:type="dxa"/>
            </w:tcMar>
            <w:vAlign w:val="center"/>
          </w:tcPr>
          <w:p>
            <w:pPr>
              <w:pStyle w:val="TableContents"/>
              <w:bidi w:val="0"/>
              <w:spacing w:before="0" w:after="283"/>
              <w:jc w:val="right"/>
              <w:rPr/>
            </w:pPr>
            <w:r>
              <w:rPr/>
              <w:t>(391,857</w:t>
            </w:r>
          </w:p>
        </w:tc>
        <w:tc>
          <w:tcPr>
            <w:tcW w:w="155"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546" w:type="dxa"/>
            <w:tcBorders>
              <w:bottom w:val="single" w:sz="8" w:space="0" w:color="F7ACBA"/>
            </w:tcBorders>
            <w:tcMar>
              <w:bottom w:w="80" w:type="dxa"/>
            </w:tcMar>
            <w:vAlign w:val="center"/>
          </w:tcPr>
          <w:p>
            <w:pPr>
              <w:pStyle w:val="TableContents"/>
              <w:bidi w:val="0"/>
              <w:spacing w:before="0" w:after="283"/>
              <w:jc w:val="left"/>
              <w:rPr/>
            </w:pPr>
            <w:r>
              <w:rPr/>
              <w:t> </w:t>
            </w:r>
          </w:p>
        </w:tc>
        <w:tc>
          <w:tcPr>
            <w:tcW w:w="1274" w:type="dxa"/>
            <w:tcBorders>
              <w:bottom w:val="single" w:sz="8" w:space="0" w:color="F7ACBA"/>
            </w:tcBorders>
            <w:tcMar>
              <w:bottom w:w="80" w:type="dxa"/>
            </w:tcMar>
            <w:vAlign w:val="center"/>
          </w:tcPr>
          <w:p>
            <w:pPr>
              <w:pStyle w:val="TableContents"/>
              <w:bidi w:val="0"/>
              <w:spacing w:before="0" w:after="283"/>
              <w:jc w:val="right"/>
              <w:rPr/>
            </w:pPr>
            <w:r>
              <w:rPr/>
              <w:t>–</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11" w:type="dxa"/>
            <w:tcBorders>
              <w:bottom w:val="single" w:sz="8" w:space="0" w:color="F7ACBA"/>
            </w:tcBorders>
            <w:tcMar>
              <w:bottom w:w="80" w:type="dxa"/>
            </w:tcMar>
            <w:vAlign w:val="center"/>
          </w:tcPr>
          <w:p>
            <w:pPr>
              <w:pStyle w:val="TableContents"/>
              <w:bidi w:val="0"/>
              <w:spacing w:before="0" w:after="283"/>
              <w:jc w:val="left"/>
              <w:rPr/>
            </w:pPr>
            <w:r>
              <w:rPr/>
              <w:t> </w:t>
            </w:r>
          </w:p>
        </w:tc>
        <w:tc>
          <w:tcPr>
            <w:tcW w:w="1634" w:type="dxa"/>
            <w:tcBorders>
              <w:bottom w:val="single" w:sz="8" w:space="0" w:color="F7ACBA"/>
            </w:tcBorders>
            <w:tcMar>
              <w:bottom w:w="80" w:type="dxa"/>
            </w:tcMar>
            <w:vAlign w:val="center"/>
          </w:tcPr>
          <w:p>
            <w:pPr>
              <w:pStyle w:val="TableContents"/>
              <w:bidi w:val="0"/>
              <w:spacing w:before="0" w:after="283"/>
              <w:jc w:val="right"/>
              <w:rPr/>
            </w:pPr>
            <w:r>
              <w:rPr/>
              <w:t>113,579</w:t>
            </w:r>
          </w:p>
        </w:tc>
        <w:tc>
          <w:tcPr>
            <w:tcW w:w="170" w:type="dxa"/>
            <w:tcBorders>
              <w:bottom w:val="single" w:sz="8" w:space="0" w:color="F7ACBA"/>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12815" w:type="dxa"/>
        <w:jc w:val="left"/>
        <w:tblInd w:w="0" w:type="dxa"/>
        <w:tblLayout w:type="fixed"/>
        <w:tblCellMar>
          <w:top w:w="0" w:type="dxa"/>
          <w:left w:w="0" w:type="dxa"/>
          <w:bottom w:w="0" w:type="dxa"/>
          <w:right w:w="0" w:type="dxa"/>
        </w:tblCellMar>
      </w:tblPr>
      <w:tblGrid>
        <w:gridCol w:w="815"/>
        <w:gridCol w:w="60"/>
        <w:gridCol w:w="105"/>
        <w:gridCol w:w="1730"/>
        <w:gridCol w:w="60"/>
        <w:gridCol w:w="60"/>
        <w:gridCol w:w="474"/>
        <w:gridCol w:w="1106"/>
        <w:gridCol w:w="60"/>
        <w:gridCol w:w="60"/>
        <w:gridCol w:w="97"/>
        <w:gridCol w:w="1903"/>
        <w:gridCol w:w="155"/>
        <w:gridCol w:w="60"/>
        <w:gridCol w:w="128"/>
        <w:gridCol w:w="1872"/>
        <w:gridCol w:w="155"/>
        <w:gridCol w:w="60"/>
        <w:gridCol w:w="546"/>
        <w:gridCol w:w="1274"/>
        <w:gridCol w:w="60"/>
        <w:gridCol w:w="60"/>
        <w:gridCol w:w="93"/>
        <w:gridCol w:w="1652"/>
        <w:gridCol w:w="170"/>
      </w:tblGrid>
      <w:tr>
        <w:trPr/>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815" w:type="dxa"/>
            <w:tcBorders/>
            <w:shd w:fill="FDEEF1" w:val="clear"/>
            <w:vAlign w:val="center"/>
          </w:tcPr>
          <w:p>
            <w:pPr>
              <w:pStyle w:val="TableContents"/>
              <w:bidi w:val="0"/>
              <w:spacing w:before="0" w:after="283"/>
              <w:jc w:val="left"/>
              <w:rPr>
                <w:sz w:val="4"/>
                <w:szCs w:val="4"/>
              </w:rPr>
            </w:pPr>
            <w:r>
              <w:rPr>
                <w:sz w:val="4"/>
                <w:szCs w:val="4"/>
              </w:rPr>
            </w:r>
          </w:p>
        </w:tc>
        <w:tc>
          <w:tcPr>
            <w:tcW w:w="1955" w:type="dxa"/>
            <w:gridSpan w:val="4"/>
            <w:tcBorders/>
            <w:shd w:fill="FDEEF1" w:val="clear"/>
            <w:vAlign w:val="center"/>
          </w:tcPr>
          <w:p>
            <w:pPr>
              <w:pStyle w:val="TableContents"/>
              <w:bidi w:val="0"/>
              <w:spacing w:before="0" w:after="283"/>
              <w:jc w:val="left"/>
              <w:rPr>
                <w:sz w:val="4"/>
                <w:szCs w:val="4"/>
              </w:rPr>
            </w:pPr>
            <w:r>
              <w:rPr>
                <w:sz w:val="4"/>
                <w:szCs w:val="4"/>
              </w:rPr>
            </w:r>
          </w:p>
        </w:tc>
        <w:tc>
          <w:tcPr>
            <w:tcW w:w="1700" w:type="dxa"/>
            <w:gridSpan w:val="4"/>
            <w:tcBorders/>
            <w:shd w:fill="FDEEF1" w:val="clear"/>
            <w:vAlign w:val="center"/>
          </w:tcPr>
          <w:p>
            <w:pPr>
              <w:pStyle w:val="TableContents"/>
              <w:bidi w:val="0"/>
              <w:spacing w:before="0" w:after="283"/>
              <w:jc w:val="left"/>
              <w:rPr>
                <w:sz w:val="4"/>
                <w:szCs w:val="4"/>
              </w:rPr>
            </w:pPr>
            <w:r>
              <w:rPr>
                <w:sz w:val="4"/>
                <w:szCs w:val="4"/>
              </w:rPr>
            </w:r>
          </w:p>
        </w:tc>
        <w:tc>
          <w:tcPr>
            <w:tcW w:w="2215" w:type="dxa"/>
            <w:gridSpan w:val="4"/>
            <w:tcBorders/>
            <w:shd w:fill="FDEEF1" w:val="clear"/>
            <w:vAlign w:val="center"/>
          </w:tcPr>
          <w:p>
            <w:pPr>
              <w:pStyle w:val="TableContents"/>
              <w:bidi w:val="0"/>
              <w:spacing w:before="0" w:after="283"/>
              <w:jc w:val="left"/>
              <w:rPr>
                <w:sz w:val="4"/>
                <w:szCs w:val="4"/>
              </w:rPr>
            </w:pPr>
            <w:r>
              <w:rPr>
                <w:sz w:val="4"/>
                <w:szCs w:val="4"/>
              </w:rPr>
            </w:r>
          </w:p>
        </w:tc>
        <w:tc>
          <w:tcPr>
            <w:tcW w:w="2215" w:type="dxa"/>
            <w:gridSpan w:val="4"/>
            <w:tcBorders/>
            <w:shd w:fill="FDEEF1" w:val="clear"/>
            <w:vAlign w:val="center"/>
          </w:tcPr>
          <w:p>
            <w:pPr>
              <w:pStyle w:val="TableContents"/>
              <w:bidi w:val="0"/>
              <w:spacing w:before="0" w:after="283"/>
              <w:jc w:val="left"/>
              <w:rPr>
                <w:sz w:val="4"/>
                <w:szCs w:val="4"/>
              </w:rPr>
            </w:pPr>
            <w:r>
              <w:rPr>
                <w:sz w:val="4"/>
                <w:szCs w:val="4"/>
              </w:rPr>
            </w:r>
          </w:p>
        </w:tc>
        <w:tc>
          <w:tcPr>
            <w:tcW w:w="1940" w:type="dxa"/>
            <w:gridSpan w:val="4"/>
            <w:tcBorders/>
            <w:shd w:fill="FDEEF1" w:val="clear"/>
            <w:vAlign w:val="center"/>
          </w:tcPr>
          <w:p>
            <w:pPr>
              <w:pStyle w:val="TableContents"/>
              <w:bidi w:val="0"/>
              <w:spacing w:before="0" w:after="283"/>
              <w:jc w:val="left"/>
              <w:rPr>
                <w:sz w:val="4"/>
                <w:szCs w:val="4"/>
              </w:rPr>
            </w:pPr>
            <w:r>
              <w:rPr>
                <w:sz w:val="4"/>
                <w:szCs w:val="4"/>
              </w:rPr>
            </w:r>
          </w:p>
        </w:tc>
        <w:tc>
          <w:tcPr>
            <w:tcW w:w="1975" w:type="dxa"/>
            <w:gridSpan w:val="4"/>
            <w:tcBorders/>
            <w:shd w:fill="FDEEF1" w:val="clear"/>
            <w:vAlign w:val="center"/>
          </w:tcPr>
          <w:p>
            <w:pPr>
              <w:pStyle w:val="TableContents"/>
              <w:bidi w:val="0"/>
              <w:spacing w:before="0" w:after="283"/>
              <w:jc w:val="left"/>
              <w:rPr>
                <w:sz w:val="4"/>
                <w:szCs w:val="4"/>
              </w:rPr>
            </w:pPr>
            <w:r>
              <w:rPr>
                <w:sz w:val="4"/>
                <w:szCs w:val="4"/>
              </w:rPr>
            </w:r>
          </w:p>
        </w:tc>
      </w:tr>
      <w:tr>
        <w:trPr/>
        <w:tc>
          <w:tcPr>
            <w:tcW w:w="815" w:type="dxa"/>
            <w:tcBorders/>
            <w:shd w:fill="FDEEF1" w:val="clear"/>
            <w:vAlign w:val="center"/>
          </w:tcPr>
          <w:p>
            <w:pPr>
              <w:pStyle w:val="TableContents"/>
              <w:bidi w:val="0"/>
              <w:spacing w:before="0" w:after="0"/>
              <w:jc w:val="left"/>
              <w:rPr>
                <w:rFonts w:ascii="arial" w:hAnsi="arial"/>
                <w:b/>
                <w:sz w:val="16"/>
              </w:rPr>
            </w:pPr>
            <w:r>
              <w:rPr>
                <w:rFonts w:ascii="arial" w:hAnsi="arial"/>
                <w:b/>
                <w:sz w:val="16"/>
              </w:rPr>
              <w:t>2022</w:t>
            </w:r>
          </w:p>
        </w:tc>
        <w:tc>
          <w:tcPr>
            <w:tcW w:w="60" w:type="dxa"/>
            <w:tcBorders/>
            <w:shd w:fill="FDEEF1" w:val="clear"/>
            <w:vAlign w:val="center"/>
          </w:tcPr>
          <w:p>
            <w:pPr>
              <w:pStyle w:val="TableContents"/>
              <w:bidi w:val="0"/>
              <w:spacing w:before="0" w:after="283"/>
              <w:jc w:val="left"/>
              <w:rPr/>
            </w:pPr>
            <w:r>
              <w:rPr/>
              <w:t> </w:t>
            </w:r>
          </w:p>
        </w:tc>
        <w:tc>
          <w:tcPr>
            <w:tcW w:w="1835" w:type="dxa"/>
            <w:gridSpan w:val="2"/>
            <w:tcBorders/>
            <w:shd w:fill="FDEEF1" w:val="clear"/>
            <w:vAlign w:val="center"/>
          </w:tcPr>
          <w:p>
            <w:pPr>
              <w:pStyle w:val="TableContents"/>
              <w:bidi w:val="0"/>
              <w:spacing w:before="0" w:after="0"/>
              <w:jc w:val="center"/>
              <w:rPr>
                <w:b/>
              </w:rPr>
            </w:pPr>
            <w:r>
              <w:rPr>
                <w:b/>
              </w:rPr>
              <w:t>Fair Value of</w:t>
              <w:br/>
              <w:t>2022</w:t>
              <w:br/>
              <w:t>Equity Awards at</w:t>
              <w:br/>
              <w:t>FYE</w:t>
            </w:r>
          </w:p>
          <w:p>
            <w:pPr>
              <w:pStyle w:val="TableContents"/>
              <w:bidi w:val="0"/>
              <w:spacing w:before="0" w:after="0"/>
              <w:jc w:val="center"/>
              <w:rPr>
                <w:b/>
                <w:sz w:val="9"/>
              </w:rPr>
            </w:pPr>
            <w:r>
              <w:rPr>
                <w:b/>
                <w:sz w:val="9"/>
              </w:rPr>
              <w:t>(i)</w:t>
            </w:r>
          </w:p>
          <w:p>
            <w:pPr>
              <w:pStyle w:val="TableContents"/>
              <w:bidi w:val="0"/>
              <w:spacing w:before="0" w:after="0"/>
              <w:jc w:val="center"/>
              <w:rPr/>
            </w:pPr>
            <w:r>
              <w:rPr/>
              <w:t> </w:t>
            </w:r>
            <w:r>
              <w:rPr>
                <w:b/>
              </w:rPr>
              <w:t>($)</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580" w:type="dxa"/>
            <w:gridSpan w:val="2"/>
            <w:tcBorders/>
            <w:shd w:fill="FDEEF1" w:val="clear"/>
            <w:vAlign w:val="center"/>
          </w:tcPr>
          <w:p>
            <w:pPr>
              <w:pStyle w:val="TableContents"/>
              <w:bidi w:val="0"/>
              <w:spacing w:before="0" w:after="0"/>
              <w:jc w:val="center"/>
              <w:rPr>
                <w:b/>
              </w:rPr>
            </w:pPr>
            <w:r>
              <w:rPr>
                <w:b/>
              </w:rPr>
              <w:t>Fair Value of</w:t>
              <w:br/>
              <w:t>2022</w:t>
              <w:br/>
              <w:t>Equity Awards</w:t>
              <w:br/>
              <w:t>that Vested in</w:t>
              <w:br/>
              <w:t>2022 ($)</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2000" w:type="dxa"/>
            <w:gridSpan w:val="2"/>
            <w:tcBorders/>
            <w:shd w:fill="FDEEF1" w:val="clear"/>
            <w:vAlign w:val="center"/>
          </w:tcPr>
          <w:p>
            <w:pPr>
              <w:pStyle w:val="TableContents"/>
              <w:bidi w:val="0"/>
              <w:spacing w:before="0" w:after="0"/>
              <w:jc w:val="center"/>
              <w:rPr>
                <w:b/>
              </w:rPr>
            </w:pPr>
            <w:r>
              <w:rPr>
                <w:b/>
              </w:rPr>
              <w:t>Change in Value of</w:t>
              <w:br/>
              <w:t>Prior Year Awards</w:t>
              <w:br/>
              <w:t>Unvested at FYE</w:t>
            </w:r>
          </w:p>
          <w:p>
            <w:pPr>
              <w:pStyle w:val="TableContents"/>
              <w:bidi w:val="0"/>
              <w:spacing w:before="0" w:after="0"/>
              <w:jc w:val="center"/>
              <w:rPr>
                <w:b/>
                <w:sz w:val="9"/>
              </w:rPr>
            </w:pPr>
            <w:r>
              <w:rPr>
                <w:b/>
                <w:sz w:val="9"/>
              </w:rPr>
              <w:t>(i)</w:t>
            </w:r>
          </w:p>
          <w:p>
            <w:pPr>
              <w:pStyle w:val="TableContents"/>
              <w:bidi w:val="0"/>
              <w:spacing w:before="0" w:after="0"/>
              <w:jc w:val="center"/>
              <w:rPr>
                <w:b/>
              </w:rPr>
            </w:pPr>
            <w:r>
              <w:rPr>
                <w:b/>
              </w:rPr>
              <w:br/>
              <w:t>($)</w:t>
            </w:r>
          </w:p>
        </w:tc>
        <w:tc>
          <w:tcPr>
            <w:tcW w:w="155"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2000" w:type="dxa"/>
            <w:gridSpan w:val="2"/>
            <w:tcBorders/>
            <w:shd w:fill="FDEEF1" w:val="clear"/>
            <w:vAlign w:val="center"/>
          </w:tcPr>
          <w:p>
            <w:pPr>
              <w:pStyle w:val="TableContents"/>
              <w:bidi w:val="0"/>
              <w:spacing w:before="0" w:after="0"/>
              <w:jc w:val="center"/>
              <w:rPr>
                <w:b/>
              </w:rPr>
            </w:pPr>
            <w:r>
              <w:rPr>
                <w:b/>
              </w:rPr>
              <w:t>Change in Value of</w:t>
              <w:br/>
              <w:t>Prior Year Awards</w:t>
              <w:br/>
              <w:t>that Vested in</w:t>
              <w:br/>
              <w:t>2022</w:t>
            </w:r>
          </w:p>
          <w:p>
            <w:pPr>
              <w:pStyle w:val="TableContents"/>
              <w:bidi w:val="0"/>
              <w:spacing w:before="0" w:after="0"/>
              <w:jc w:val="center"/>
              <w:rPr>
                <w:b/>
                <w:sz w:val="9"/>
              </w:rPr>
            </w:pPr>
            <w:r>
              <w:rPr>
                <w:b/>
                <w:sz w:val="9"/>
              </w:rPr>
              <w:t>(i)</w:t>
            </w:r>
          </w:p>
          <w:p>
            <w:pPr>
              <w:pStyle w:val="TableContents"/>
              <w:bidi w:val="0"/>
              <w:spacing w:before="0" w:after="0"/>
              <w:jc w:val="center"/>
              <w:rPr/>
            </w:pPr>
            <w:r>
              <w:rPr/>
              <w:t> </w:t>
            </w:r>
            <w:r>
              <w:rPr>
                <w:b/>
              </w:rPr>
              <w:t>($)</w:t>
            </w:r>
          </w:p>
        </w:tc>
        <w:tc>
          <w:tcPr>
            <w:tcW w:w="155"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820" w:type="dxa"/>
            <w:gridSpan w:val="2"/>
            <w:tcBorders/>
            <w:shd w:fill="FDEEF1" w:val="clear"/>
            <w:vAlign w:val="center"/>
          </w:tcPr>
          <w:p>
            <w:pPr>
              <w:pStyle w:val="TableContents"/>
              <w:bidi w:val="0"/>
              <w:spacing w:before="0" w:after="0"/>
              <w:jc w:val="center"/>
              <w:rPr>
                <w:b/>
              </w:rPr>
            </w:pPr>
            <w:r>
              <w:rPr>
                <w:b/>
              </w:rPr>
              <w:t>Fair Value of</w:t>
              <w:br/>
              <w:t>Awards Forfeited</w:t>
              <w:br/>
              <w:t>in 2022 ($)</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745" w:type="dxa"/>
            <w:gridSpan w:val="2"/>
            <w:tcBorders/>
            <w:shd w:fill="FDEEF1" w:val="clear"/>
            <w:vAlign w:val="center"/>
          </w:tcPr>
          <w:p>
            <w:pPr>
              <w:pStyle w:val="TableContents"/>
              <w:bidi w:val="0"/>
              <w:spacing w:before="0" w:after="0"/>
              <w:jc w:val="center"/>
              <w:rPr>
                <w:b/>
              </w:rPr>
            </w:pPr>
            <w:r>
              <w:rPr>
                <w:b/>
              </w:rPr>
              <w:t>Equity Value</w:t>
              <w:br/>
              <w:t>Included in CAP</w:t>
            </w:r>
          </w:p>
          <w:p>
            <w:pPr>
              <w:pStyle w:val="TableContents"/>
              <w:bidi w:val="0"/>
              <w:spacing w:before="0" w:after="0"/>
              <w:jc w:val="center"/>
              <w:rPr>
                <w:b/>
                <w:sz w:val="9"/>
              </w:rPr>
            </w:pPr>
            <w:r>
              <w:rPr>
                <w:b/>
                <w:sz w:val="9"/>
              </w:rPr>
              <w:t>(i)</w:t>
            </w:r>
          </w:p>
          <w:p>
            <w:pPr>
              <w:pStyle w:val="TableContents"/>
              <w:bidi w:val="0"/>
              <w:spacing w:before="0" w:after="0"/>
              <w:jc w:val="center"/>
              <w:rPr>
                <w:b/>
              </w:rPr>
            </w:pPr>
            <w:r>
              <w:rPr>
                <w:b/>
              </w:rPr>
              <w:br/>
              <w:t>($)</w:t>
            </w:r>
          </w:p>
        </w:tc>
        <w:tc>
          <w:tcPr>
            <w:tcW w:w="170" w:type="dxa"/>
            <w:tcBorders/>
            <w:shd w:fill="FDEEF1" w:val="clear"/>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jc w:val="left"/>
              <w:rPr>
                <w:sz w:val="4"/>
                <w:szCs w:val="4"/>
              </w:rPr>
            </w:pPr>
            <w:r>
              <w:rPr>
                <w:sz w:val="4"/>
                <w:szCs w:val="4"/>
              </w:rPr>
            </w:r>
          </w:p>
        </w:tc>
        <w:tc>
          <w:tcPr>
            <w:tcW w:w="1955" w:type="dxa"/>
            <w:gridSpan w:val="4"/>
            <w:tcBorders/>
            <w:vAlign w:val="center"/>
          </w:tcPr>
          <w:p>
            <w:pPr>
              <w:pStyle w:val="TableContents"/>
              <w:bidi w:val="0"/>
              <w:spacing w:before="0" w:after="283"/>
              <w:jc w:val="left"/>
              <w:rPr>
                <w:sz w:val="4"/>
                <w:szCs w:val="4"/>
              </w:rPr>
            </w:pPr>
            <w:r>
              <w:rPr>
                <w:sz w:val="4"/>
                <w:szCs w:val="4"/>
              </w:rPr>
            </w:r>
          </w:p>
        </w:tc>
        <w:tc>
          <w:tcPr>
            <w:tcW w:w="1700" w:type="dxa"/>
            <w:gridSpan w:val="4"/>
            <w:tcBorders/>
            <w:vAlign w:val="center"/>
          </w:tcPr>
          <w:p>
            <w:pPr>
              <w:pStyle w:val="TableContents"/>
              <w:bidi w:val="0"/>
              <w:spacing w:before="0" w:after="283"/>
              <w:jc w:val="left"/>
              <w:rPr>
                <w:sz w:val="4"/>
                <w:szCs w:val="4"/>
              </w:rPr>
            </w:pPr>
            <w:r>
              <w:rPr>
                <w:sz w:val="4"/>
                <w:szCs w:val="4"/>
              </w:rPr>
            </w:r>
          </w:p>
        </w:tc>
        <w:tc>
          <w:tcPr>
            <w:tcW w:w="2215" w:type="dxa"/>
            <w:gridSpan w:val="4"/>
            <w:tcBorders/>
            <w:vAlign w:val="center"/>
          </w:tcPr>
          <w:p>
            <w:pPr>
              <w:pStyle w:val="TableContents"/>
              <w:bidi w:val="0"/>
              <w:spacing w:before="0" w:after="283"/>
              <w:jc w:val="left"/>
              <w:rPr>
                <w:sz w:val="4"/>
                <w:szCs w:val="4"/>
              </w:rPr>
            </w:pPr>
            <w:r>
              <w:rPr>
                <w:sz w:val="4"/>
                <w:szCs w:val="4"/>
              </w:rPr>
            </w:r>
          </w:p>
        </w:tc>
        <w:tc>
          <w:tcPr>
            <w:tcW w:w="2215" w:type="dxa"/>
            <w:gridSpan w:val="4"/>
            <w:tcBorders/>
            <w:vAlign w:val="center"/>
          </w:tcPr>
          <w:p>
            <w:pPr>
              <w:pStyle w:val="TableContents"/>
              <w:bidi w:val="0"/>
              <w:spacing w:before="0" w:after="283"/>
              <w:jc w:val="left"/>
              <w:rPr>
                <w:sz w:val="4"/>
                <w:szCs w:val="4"/>
              </w:rPr>
            </w:pPr>
            <w:r>
              <w:rPr>
                <w:sz w:val="4"/>
                <w:szCs w:val="4"/>
              </w:rPr>
            </w:r>
          </w:p>
        </w:tc>
        <w:tc>
          <w:tcPr>
            <w:tcW w:w="1940" w:type="dxa"/>
            <w:gridSpan w:val="4"/>
            <w:tcBorders/>
            <w:vAlign w:val="center"/>
          </w:tcPr>
          <w:p>
            <w:pPr>
              <w:pStyle w:val="TableContents"/>
              <w:bidi w:val="0"/>
              <w:spacing w:before="0" w:after="283"/>
              <w:jc w:val="left"/>
              <w:rPr>
                <w:sz w:val="4"/>
                <w:szCs w:val="4"/>
              </w:rPr>
            </w:pPr>
            <w:r>
              <w:rPr>
                <w:sz w:val="4"/>
                <w:szCs w:val="4"/>
              </w:rPr>
            </w:r>
          </w:p>
        </w:tc>
        <w:tc>
          <w:tcPr>
            <w:tcW w:w="1975" w:type="dxa"/>
            <w:gridSpan w:val="4"/>
            <w:tcBorders/>
            <w:vAlign w:val="center"/>
          </w:tcPr>
          <w:p>
            <w:pPr>
              <w:pStyle w:val="TableContents"/>
              <w:bidi w:val="0"/>
              <w:spacing w:before="0" w:after="283"/>
              <w:jc w:val="left"/>
              <w:rPr>
                <w:sz w:val="4"/>
                <w:szCs w:val="4"/>
              </w:rPr>
            </w:pPr>
            <w:r>
              <w:rPr>
                <w:sz w:val="4"/>
                <w:szCs w:val="4"/>
              </w:rPr>
            </w:r>
          </w:p>
        </w:tc>
      </w:tr>
      <w:tr>
        <w:trPr/>
        <w:tc>
          <w:tcPr>
            <w:tcW w:w="815"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PEO</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05" w:type="dxa"/>
            <w:tcBorders>
              <w:bottom w:val="single" w:sz="6" w:space="0" w:color="FBDDE3"/>
            </w:tcBorders>
            <w:tcMar>
              <w:bottom w:w="60" w:type="dxa"/>
            </w:tcMar>
            <w:vAlign w:val="center"/>
          </w:tcPr>
          <w:p>
            <w:pPr>
              <w:pStyle w:val="TableContents"/>
              <w:bidi w:val="0"/>
              <w:spacing w:before="0" w:after="283"/>
              <w:jc w:val="left"/>
              <w:rPr/>
            </w:pPr>
            <w:r>
              <w:rPr/>
              <w:t> </w:t>
            </w:r>
          </w:p>
        </w:tc>
        <w:tc>
          <w:tcPr>
            <w:tcW w:w="1730" w:type="dxa"/>
            <w:tcBorders>
              <w:bottom w:val="single" w:sz="6" w:space="0" w:color="FBDDE3"/>
            </w:tcBorders>
            <w:tcMar>
              <w:bottom w:w="60" w:type="dxa"/>
            </w:tcMar>
            <w:vAlign w:val="center"/>
          </w:tcPr>
          <w:p>
            <w:pPr>
              <w:pStyle w:val="TableContents"/>
              <w:bidi w:val="0"/>
              <w:spacing w:before="0" w:after="283"/>
              <w:jc w:val="right"/>
              <w:rPr/>
            </w:pPr>
            <w:r>
              <w:rPr/>
              <w:t>4,435,401</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474" w:type="dxa"/>
            <w:tcBorders>
              <w:bottom w:val="single" w:sz="6" w:space="0" w:color="FBDDE3"/>
            </w:tcBorders>
            <w:tcMar>
              <w:bottom w:w="60" w:type="dxa"/>
            </w:tcMar>
            <w:vAlign w:val="center"/>
          </w:tcPr>
          <w:p>
            <w:pPr>
              <w:pStyle w:val="TableContents"/>
              <w:bidi w:val="0"/>
              <w:spacing w:before="0" w:after="283"/>
              <w:jc w:val="left"/>
              <w:rPr/>
            </w:pPr>
            <w:r>
              <w:rPr/>
              <w:t> </w:t>
            </w:r>
          </w:p>
        </w:tc>
        <w:tc>
          <w:tcPr>
            <w:tcW w:w="1106" w:type="dxa"/>
            <w:tcBorders>
              <w:bottom w:val="single" w:sz="6" w:space="0" w:color="FBDDE3"/>
            </w:tcBorders>
            <w:tcMar>
              <w:bottom w:w="60" w:type="dxa"/>
            </w:tcMar>
            <w:vAlign w:val="center"/>
          </w:tcPr>
          <w:p>
            <w:pPr>
              <w:pStyle w:val="TableContents"/>
              <w:bidi w:val="0"/>
              <w:spacing w:before="0" w:after="283"/>
              <w:jc w:val="right"/>
              <w:rPr/>
            </w:pPr>
            <w:r>
              <w:rPr/>
              <w:t>–</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97" w:type="dxa"/>
            <w:tcBorders>
              <w:bottom w:val="single" w:sz="6" w:space="0" w:color="FBDDE3"/>
            </w:tcBorders>
            <w:tcMar>
              <w:bottom w:w="60" w:type="dxa"/>
            </w:tcMar>
            <w:vAlign w:val="center"/>
          </w:tcPr>
          <w:p>
            <w:pPr>
              <w:pStyle w:val="TableContents"/>
              <w:bidi w:val="0"/>
              <w:spacing w:before="0" w:after="283"/>
              <w:jc w:val="left"/>
              <w:rPr/>
            </w:pPr>
            <w:r>
              <w:rPr/>
              <w:t> </w:t>
            </w:r>
          </w:p>
        </w:tc>
        <w:tc>
          <w:tcPr>
            <w:tcW w:w="1903" w:type="dxa"/>
            <w:tcBorders>
              <w:bottom w:val="single" w:sz="6" w:space="0" w:color="FBDDE3"/>
            </w:tcBorders>
            <w:tcMar>
              <w:bottom w:w="60" w:type="dxa"/>
            </w:tcMar>
            <w:vAlign w:val="center"/>
          </w:tcPr>
          <w:p>
            <w:pPr>
              <w:pStyle w:val="TableContents"/>
              <w:bidi w:val="0"/>
              <w:spacing w:before="0" w:after="283"/>
              <w:jc w:val="right"/>
              <w:rPr/>
            </w:pPr>
            <w:r>
              <w:rPr/>
              <w:t>(10,211,635</w:t>
            </w:r>
          </w:p>
        </w:tc>
        <w:tc>
          <w:tcPr>
            <w:tcW w:w="155"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8" w:type="dxa"/>
            <w:tcBorders>
              <w:bottom w:val="single" w:sz="6" w:space="0" w:color="FBDDE3"/>
            </w:tcBorders>
            <w:tcMar>
              <w:bottom w:w="60" w:type="dxa"/>
            </w:tcMar>
            <w:vAlign w:val="center"/>
          </w:tcPr>
          <w:p>
            <w:pPr>
              <w:pStyle w:val="TableContents"/>
              <w:bidi w:val="0"/>
              <w:spacing w:before="0" w:after="283"/>
              <w:jc w:val="left"/>
              <w:rPr/>
            </w:pPr>
            <w:r>
              <w:rPr/>
              <w:t> </w:t>
            </w:r>
          </w:p>
        </w:tc>
        <w:tc>
          <w:tcPr>
            <w:tcW w:w="1872" w:type="dxa"/>
            <w:tcBorders>
              <w:bottom w:val="single" w:sz="6" w:space="0" w:color="FBDDE3"/>
            </w:tcBorders>
            <w:tcMar>
              <w:bottom w:w="60" w:type="dxa"/>
            </w:tcMar>
            <w:vAlign w:val="center"/>
          </w:tcPr>
          <w:p>
            <w:pPr>
              <w:pStyle w:val="TableContents"/>
              <w:bidi w:val="0"/>
              <w:spacing w:before="0" w:after="283"/>
              <w:jc w:val="right"/>
              <w:rPr/>
            </w:pPr>
            <w:r>
              <w:rPr/>
              <w:t>(606,418</w:t>
            </w:r>
          </w:p>
        </w:tc>
        <w:tc>
          <w:tcPr>
            <w:tcW w:w="155"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546" w:type="dxa"/>
            <w:tcBorders>
              <w:bottom w:val="single" w:sz="6" w:space="0" w:color="FBDDE3"/>
            </w:tcBorders>
            <w:tcMar>
              <w:bottom w:w="60" w:type="dxa"/>
            </w:tcMar>
            <w:vAlign w:val="center"/>
          </w:tcPr>
          <w:p>
            <w:pPr>
              <w:pStyle w:val="TableContents"/>
              <w:bidi w:val="0"/>
              <w:spacing w:before="0" w:after="283"/>
              <w:jc w:val="left"/>
              <w:rPr/>
            </w:pPr>
            <w:r>
              <w:rPr/>
              <w:t> </w:t>
            </w:r>
          </w:p>
        </w:tc>
        <w:tc>
          <w:tcPr>
            <w:tcW w:w="1274" w:type="dxa"/>
            <w:tcBorders>
              <w:bottom w:val="single" w:sz="6" w:space="0" w:color="FBDDE3"/>
            </w:tcBorders>
            <w:tcMar>
              <w:bottom w:w="60" w:type="dxa"/>
            </w:tcMar>
            <w:vAlign w:val="center"/>
          </w:tcPr>
          <w:p>
            <w:pPr>
              <w:pStyle w:val="TableContents"/>
              <w:bidi w:val="0"/>
              <w:spacing w:before="0" w:after="283"/>
              <w:jc w:val="right"/>
              <w:rPr/>
            </w:pPr>
            <w:r>
              <w:rPr/>
              <w:t>–</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93" w:type="dxa"/>
            <w:tcBorders>
              <w:bottom w:val="single" w:sz="6" w:space="0" w:color="FBDDE3"/>
            </w:tcBorders>
            <w:tcMar>
              <w:bottom w:w="60" w:type="dxa"/>
            </w:tcMar>
            <w:vAlign w:val="center"/>
          </w:tcPr>
          <w:p>
            <w:pPr>
              <w:pStyle w:val="TableContents"/>
              <w:bidi w:val="0"/>
              <w:spacing w:before="0" w:after="283"/>
              <w:jc w:val="left"/>
              <w:rPr/>
            </w:pPr>
            <w:r>
              <w:rPr/>
              <w:t> </w:t>
            </w:r>
          </w:p>
        </w:tc>
        <w:tc>
          <w:tcPr>
            <w:tcW w:w="1652" w:type="dxa"/>
            <w:tcBorders>
              <w:bottom w:val="single" w:sz="6" w:space="0" w:color="FBDDE3"/>
            </w:tcBorders>
            <w:tcMar>
              <w:bottom w:w="60" w:type="dxa"/>
            </w:tcMar>
            <w:vAlign w:val="center"/>
          </w:tcPr>
          <w:p>
            <w:pPr>
              <w:pStyle w:val="TableContents"/>
              <w:bidi w:val="0"/>
              <w:spacing w:before="0" w:after="283"/>
              <w:jc w:val="right"/>
              <w:rPr/>
            </w:pPr>
            <w:r>
              <w:rPr/>
              <w:t>(6,382,652</w:t>
            </w:r>
          </w:p>
        </w:tc>
        <w:tc>
          <w:tcPr>
            <w:tcW w:w="170"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jc w:val="left"/>
              <w:rPr>
                <w:sz w:val="4"/>
                <w:szCs w:val="4"/>
              </w:rPr>
            </w:pPr>
            <w:r>
              <w:rPr>
                <w:sz w:val="4"/>
                <w:szCs w:val="4"/>
              </w:rPr>
            </w:r>
          </w:p>
        </w:tc>
        <w:tc>
          <w:tcPr>
            <w:tcW w:w="1955" w:type="dxa"/>
            <w:gridSpan w:val="4"/>
            <w:tcBorders/>
            <w:vAlign w:val="center"/>
          </w:tcPr>
          <w:p>
            <w:pPr>
              <w:pStyle w:val="TableContents"/>
              <w:bidi w:val="0"/>
              <w:spacing w:before="0" w:after="283"/>
              <w:jc w:val="left"/>
              <w:rPr>
                <w:sz w:val="4"/>
                <w:szCs w:val="4"/>
              </w:rPr>
            </w:pPr>
            <w:r>
              <w:rPr>
                <w:sz w:val="4"/>
                <w:szCs w:val="4"/>
              </w:rPr>
            </w:r>
          </w:p>
        </w:tc>
        <w:tc>
          <w:tcPr>
            <w:tcW w:w="1700" w:type="dxa"/>
            <w:gridSpan w:val="4"/>
            <w:tcBorders/>
            <w:vAlign w:val="center"/>
          </w:tcPr>
          <w:p>
            <w:pPr>
              <w:pStyle w:val="TableContents"/>
              <w:bidi w:val="0"/>
              <w:spacing w:before="0" w:after="283"/>
              <w:jc w:val="left"/>
              <w:rPr>
                <w:sz w:val="4"/>
                <w:szCs w:val="4"/>
              </w:rPr>
            </w:pPr>
            <w:r>
              <w:rPr>
                <w:sz w:val="4"/>
                <w:szCs w:val="4"/>
              </w:rPr>
            </w:r>
          </w:p>
        </w:tc>
        <w:tc>
          <w:tcPr>
            <w:tcW w:w="2215" w:type="dxa"/>
            <w:gridSpan w:val="4"/>
            <w:tcBorders/>
            <w:vAlign w:val="center"/>
          </w:tcPr>
          <w:p>
            <w:pPr>
              <w:pStyle w:val="TableContents"/>
              <w:bidi w:val="0"/>
              <w:spacing w:before="0" w:after="283"/>
              <w:jc w:val="left"/>
              <w:rPr>
                <w:sz w:val="4"/>
                <w:szCs w:val="4"/>
              </w:rPr>
            </w:pPr>
            <w:r>
              <w:rPr>
                <w:sz w:val="4"/>
                <w:szCs w:val="4"/>
              </w:rPr>
            </w:r>
          </w:p>
        </w:tc>
        <w:tc>
          <w:tcPr>
            <w:tcW w:w="2215" w:type="dxa"/>
            <w:gridSpan w:val="4"/>
            <w:tcBorders/>
            <w:vAlign w:val="center"/>
          </w:tcPr>
          <w:p>
            <w:pPr>
              <w:pStyle w:val="TableContents"/>
              <w:bidi w:val="0"/>
              <w:spacing w:before="0" w:after="283"/>
              <w:jc w:val="left"/>
              <w:rPr>
                <w:sz w:val="4"/>
                <w:szCs w:val="4"/>
              </w:rPr>
            </w:pPr>
            <w:r>
              <w:rPr>
                <w:sz w:val="4"/>
                <w:szCs w:val="4"/>
              </w:rPr>
            </w:r>
          </w:p>
        </w:tc>
        <w:tc>
          <w:tcPr>
            <w:tcW w:w="1940" w:type="dxa"/>
            <w:gridSpan w:val="4"/>
            <w:tcBorders/>
            <w:vAlign w:val="center"/>
          </w:tcPr>
          <w:p>
            <w:pPr>
              <w:pStyle w:val="TableContents"/>
              <w:bidi w:val="0"/>
              <w:spacing w:before="0" w:after="283"/>
              <w:jc w:val="left"/>
              <w:rPr>
                <w:sz w:val="4"/>
                <w:szCs w:val="4"/>
              </w:rPr>
            </w:pPr>
            <w:r>
              <w:rPr>
                <w:sz w:val="4"/>
                <w:szCs w:val="4"/>
              </w:rPr>
            </w:r>
          </w:p>
        </w:tc>
        <w:tc>
          <w:tcPr>
            <w:tcW w:w="1975" w:type="dxa"/>
            <w:gridSpan w:val="4"/>
            <w:tcBorders/>
            <w:vAlign w:val="center"/>
          </w:tcPr>
          <w:p>
            <w:pPr>
              <w:pStyle w:val="TableContents"/>
              <w:bidi w:val="0"/>
              <w:spacing w:before="0" w:after="283"/>
              <w:jc w:val="left"/>
              <w:rPr>
                <w:sz w:val="4"/>
                <w:szCs w:val="4"/>
              </w:rPr>
            </w:pPr>
            <w:r>
              <w:rPr>
                <w:sz w:val="4"/>
                <w:szCs w:val="4"/>
              </w:rPr>
            </w:r>
          </w:p>
        </w:tc>
      </w:tr>
      <w:tr>
        <w:trPr/>
        <w:tc>
          <w:tcPr>
            <w:tcW w:w="815" w:type="dxa"/>
            <w:tcBorders>
              <w:bottom w:val="single" w:sz="8" w:space="0" w:color="F7ACBA"/>
            </w:tcBorders>
            <w:tcMar>
              <w:bottom w:w="80" w:type="dxa"/>
            </w:tcMar>
            <w:vAlign w:val="center"/>
          </w:tcPr>
          <w:p>
            <w:pPr>
              <w:pStyle w:val="TableContents"/>
              <w:bidi w:val="0"/>
              <w:spacing w:before="0" w:after="0"/>
              <w:jc w:val="left"/>
              <w:rPr>
                <w:rFonts w:ascii="arial" w:hAnsi="arial"/>
                <w:spacing w:val="0"/>
                <w:sz w:val="18"/>
              </w:rPr>
            </w:pPr>
            <w:r>
              <w:rPr>
                <w:rFonts w:ascii="arial" w:hAnsi="arial"/>
                <w:spacing w:val="0"/>
                <w:sz w:val="18"/>
              </w:rPr>
              <w:t>Non-PEO</w:t>
            </w:r>
          </w:p>
          <w:p>
            <w:pPr>
              <w:pStyle w:val="TableContents"/>
              <w:bidi w:val="0"/>
              <w:spacing w:before="0" w:after="0"/>
              <w:jc w:val="left"/>
              <w:rPr>
                <w:rFonts w:ascii="arial" w:hAnsi="arial"/>
                <w:sz w:val="18"/>
              </w:rPr>
            </w:pPr>
            <w:r>
              <w:rPr>
                <w:rFonts w:ascii="arial" w:hAnsi="arial"/>
                <w:sz w:val="18"/>
              </w:rPr>
              <w:t>NEOs</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05" w:type="dxa"/>
            <w:tcBorders>
              <w:bottom w:val="single" w:sz="8" w:space="0" w:color="F7ACBA"/>
            </w:tcBorders>
            <w:tcMar>
              <w:bottom w:w="80" w:type="dxa"/>
            </w:tcMar>
            <w:vAlign w:val="center"/>
          </w:tcPr>
          <w:p>
            <w:pPr>
              <w:pStyle w:val="TableContents"/>
              <w:bidi w:val="0"/>
              <w:spacing w:before="0" w:after="283"/>
              <w:jc w:val="left"/>
              <w:rPr/>
            </w:pPr>
            <w:r>
              <w:rPr/>
              <w:t> </w:t>
            </w:r>
          </w:p>
        </w:tc>
        <w:tc>
          <w:tcPr>
            <w:tcW w:w="1730" w:type="dxa"/>
            <w:tcBorders>
              <w:bottom w:val="single" w:sz="8" w:space="0" w:color="F7ACBA"/>
            </w:tcBorders>
            <w:tcMar>
              <w:bottom w:w="80" w:type="dxa"/>
            </w:tcMar>
            <w:vAlign w:val="center"/>
          </w:tcPr>
          <w:p>
            <w:pPr>
              <w:pStyle w:val="TableContents"/>
              <w:bidi w:val="0"/>
              <w:spacing w:before="0" w:after="283"/>
              <w:jc w:val="right"/>
              <w:rPr/>
            </w:pPr>
            <w:r>
              <w:rPr/>
              <w:t>2,034,300</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474" w:type="dxa"/>
            <w:tcBorders>
              <w:bottom w:val="single" w:sz="8" w:space="0" w:color="F7ACBA"/>
            </w:tcBorders>
            <w:tcMar>
              <w:bottom w:w="80" w:type="dxa"/>
            </w:tcMar>
            <w:vAlign w:val="center"/>
          </w:tcPr>
          <w:p>
            <w:pPr>
              <w:pStyle w:val="TableContents"/>
              <w:bidi w:val="0"/>
              <w:spacing w:before="0" w:after="283"/>
              <w:jc w:val="left"/>
              <w:rPr/>
            </w:pPr>
            <w:r>
              <w:rPr/>
              <w:t> </w:t>
            </w:r>
          </w:p>
        </w:tc>
        <w:tc>
          <w:tcPr>
            <w:tcW w:w="1106" w:type="dxa"/>
            <w:tcBorders>
              <w:bottom w:val="single" w:sz="8" w:space="0" w:color="F7ACBA"/>
            </w:tcBorders>
            <w:tcMar>
              <w:bottom w:w="80" w:type="dxa"/>
            </w:tcMar>
            <w:vAlign w:val="center"/>
          </w:tcPr>
          <w:p>
            <w:pPr>
              <w:pStyle w:val="TableContents"/>
              <w:bidi w:val="0"/>
              <w:spacing w:before="0" w:after="283"/>
              <w:jc w:val="right"/>
              <w:rPr/>
            </w:pPr>
            <w:r>
              <w:rPr/>
              <w:t>–</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97" w:type="dxa"/>
            <w:tcBorders>
              <w:bottom w:val="single" w:sz="8" w:space="0" w:color="F7ACBA"/>
            </w:tcBorders>
            <w:tcMar>
              <w:bottom w:w="80" w:type="dxa"/>
            </w:tcMar>
            <w:vAlign w:val="center"/>
          </w:tcPr>
          <w:p>
            <w:pPr>
              <w:pStyle w:val="TableContents"/>
              <w:bidi w:val="0"/>
              <w:spacing w:before="0" w:after="283"/>
              <w:jc w:val="left"/>
              <w:rPr/>
            </w:pPr>
            <w:r>
              <w:rPr/>
              <w:t> </w:t>
            </w:r>
          </w:p>
        </w:tc>
        <w:tc>
          <w:tcPr>
            <w:tcW w:w="1903" w:type="dxa"/>
            <w:tcBorders>
              <w:bottom w:val="single" w:sz="8" w:space="0" w:color="F7ACBA"/>
            </w:tcBorders>
            <w:tcMar>
              <w:bottom w:w="80" w:type="dxa"/>
            </w:tcMar>
            <w:vAlign w:val="center"/>
          </w:tcPr>
          <w:p>
            <w:pPr>
              <w:pStyle w:val="TableContents"/>
              <w:bidi w:val="0"/>
              <w:spacing w:before="0" w:after="283"/>
              <w:jc w:val="right"/>
              <w:rPr/>
            </w:pPr>
            <w:r>
              <w:rPr/>
              <w:t>(642,337</w:t>
            </w:r>
          </w:p>
        </w:tc>
        <w:tc>
          <w:tcPr>
            <w:tcW w:w="155"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28" w:type="dxa"/>
            <w:tcBorders>
              <w:bottom w:val="single" w:sz="8" w:space="0" w:color="F7ACBA"/>
            </w:tcBorders>
            <w:tcMar>
              <w:bottom w:w="80" w:type="dxa"/>
            </w:tcMar>
            <w:vAlign w:val="center"/>
          </w:tcPr>
          <w:p>
            <w:pPr>
              <w:pStyle w:val="TableContents"/>
              <w:bidi w:val="0"/>
              <w:spacing w:before="0" w:after="283"/>
              <w:jc w:val="left"/>
              <w:rPr/>
            </w:pPr>
            <w:r>
              <w:rPr/>
              <w:t> </w:t>
            </w:r>
          </w:p>
        </w:tc>
        <w:tc>
          <w:tcPr>
            <w:tcW w:w="1872" w:type="dxa"/>
            <w:tcBorders>
              <w:bottom w:val="single" w:sz="8" w:space="0" w:color="F7ACBA"/>
            </w:tcBorders>
            <w:tcMar>
              <w:bottom w:w="80" w:type="dxa"/>
            </w:tcMar>
            <w:vAlign w:val="center"/>
          </w:tcPr>
          <w:p>
            <w:pPr>
              <w:pStyle w:val="TableContents"/>
              <w:bidi w:val="0"/>
              <w:spacing w:before="0" w:after="283"/>
              <w:jc w:val="right"/>
              <w:rPr/>
            </w:pPr>
            <w:r>
              <w:rPr/>
              <w:t>(240,963</w:t>
            </w:r>
          </w:p>
        </w:tc>
        <w:tc>
          <w:tcPr>
            <w:tcW w:w="155"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546" w:type="dxa"/>
            <w:tcBorders>
              <w:bottom w:val="single" w:sz="8" w:space="0" w:color="F7ACBA"/>
            </w:tcBorders>
            <w:tcMar>
              <w:bottom w:w="80" w:type="dxa"/>
            </w:tcMar>
            <w:vAlign w:val="center"/>
          </w:tcPr>
          <w:p>
            <w:pPr>
              <w:pStyle w:val="TableContents"/>
              <w:bidi w:val="0"/>
              <w:spacing w:before="0" w:after="283"/>
              <w:jc w:val="left"/>
              <w:rPr/>
            </w:pPr>
            <w:r>
              <w:rPr/>
              <w:t> </w:t>
            </w:r>
          </w:p>
        </w:tc>
        <w:tc>
          <w:tcPr>
            <w:tcW w:w="1274" w:type="dxa"/>
            <w:tcBorders>
              <w:bottom w:val="single" w:sz="8" w:space="0" w:color="F7ACBA"/>
            </w:tcBorders>
            <w:tcMar>
              <w:bottom w:w="80" w:type="dxa"/>
            </w:tcMar>
            <w:vAlign w:val="center"/>
          </w:tcPr>
          <w:p>
            <w:pPr>
              <w:pStyle w:val="TableContents"/>
              <w:bidi w:val="0"/>
              <w:spacing w:before="0" w:after="283"/>
              <w:jc w:val="right"/>
              <w:rPr/>
            </w:pPr>
            <w:r>
              <w:rPr/>
              <w:t>–</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93" w:type="dxa"/>
            <w:tcBorders>
              <w:bottom w:val="single" w:sz="8" w:space="0" w:color="F7ACBA"/>
            </w:tcBorders>
            <w:tcMar>
              <w:bottom w:w="80" w:type="dxa"/>
            </w:tcMar>
            <w:vAlign w:val="center"/>
          </w:tcPr>
          <w:p>
            <w:pPr>
              <w:pStyle w:val="TableContents"/>
              <w:bidi w:val="0"/>
              <w:spacing w:before="0" w:after="283"/>
              <w:jc w:val="left"/>
              <w:rPr/>
            </w:pPr>
            <w:r>
              <w:rPr/>
              <w:t> </w:t>
            </w:r>
          </w:p>
        </w:tc>
        <w:tc>
          <w:tcPr>
            <w:tcW w:w="1652" w:type="dxa"/>
            <w:tcBorders>
              <w:bottom w:val="single" w:sz="8" w:space="0" w:color="F7ACBA"/>
            </w:tcBorders>
            <w:tcMar>
              <w:bottom w:w="80" w:type="dxa"/>
            </w:tcMar>
            <w:vAlign w:val="center"/>
          </w:tcPr>
          <w:p>
            <w:pPr>
              <w:pStyle w:val="TableContents"/>
              <w:bidi w:val="0"/>
              <w:spacing w:before="0" w:after="283"/>
              <w:jc w:val="right"/>
              <w:rPr/>
            </w:pPr>
            <w:r>
              <w:rPr/>
              <w:t>1,151,000</w:t>
            </w:r>
          </w:p>
        </w:tc>
        <w:tc>
          <w:tcPr>
            <w:tcW w:w="170" w:type="dxa"/>
            <w:tcBorders>
              <w:bottom w:val="single" w:sz="8" w:space="0" w:color="F7ACBA"/>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12530" w:type="dxa"/>
        <w:jc w:val="left"/>
        <w:tblInd w:w="0" w:type="dxa"/>
        <w:tblLayout w:type="fixed"/>
        <w:tblCellMar>
          <w:top w:w="0" w:type="dxa"/>
          <w:left w:w="0" w:type="dxa"/>
          <w:bottom w:w="0" w:type="dxa"/>
          <w:right w:w="0" w:type="dxa"/>
        </w:tblCellMar>
      </w:tblPr>
      <w:tblGrid>
        <w:gridCol w:w="815"/>
        <w:gridCol w:w="60"/>
        <w:gridCol w:w="94"/>
        <w:gridCol w:w="1741"/>
        <w:gridCol w:w="60"/>
        <w:gridCol w:w="60"/>
        <w:gridCol w:w="474"/>
        <w:gridCol w:w="1106"/>
        <w:gridCol w:w="60"/>
        <w:gridCol w:w="60"/>
        <w:gridCol w:w="115"/>
        <w:gridCol w:w="1885"/>
        <w:gridCol w:w="60"/>
        <w:gridCol w:w="60"/>
        <w:gridCol w:w="115"/>
        <w:gridCol w:w="1885"/>
        <w:gridCol w:w="60"/>
        <w:gridCol w:w="60"/>
        <w:gridCol w:w="546"/>
        <w:gridCol w:w="1274"/>
        <w:gridCol w:w="60"/>
        <w:gridCol w:w="60"/>
        <w:gridCol w:w="90"/>
        <w:gridCol w:w="1655"/>
        <w:gridCol w:w="75"/>
      </w:tblGrid>
      <w:tr>
        <w:trPr/>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15" w:type="dxa"/>
            <w:tcBorders/>
            <w:shd w:fill="FDEEF1" w:val="clear"/>
            <w:vAlign w:val="center"/>
          </w:tcPr>
          <w:p>
            <w:pPr>
              <w:pStyle w:val="TableContents"/>
              <w:bidi w:val="0"/>
              <w:spacing w:before="0" w:after="283"/>
              <w:jc w:val="left"/>
              <w:rPr>
                <w:sz w:val="4"/>
                <w:szCs w:val="4"/>
              </w:rPr>
            </w:pPr>
            <w:r>
              <w:rPr>
                <w:sz w:val="4"/>
                <w:szCs w:val="4"/>
              </w:rPr>
            </w:r>
          </w:p>
        </w:tc>
        <w:tc>
          <w:tcPr>
            <w:tcW w:w="1955" w:type="dxa"/>
            <w:gridSpan w:val="4"/>
            <w:tcBorders/>
            <w:shd w:fill="FDEEF1" w:val="clear"/>
            <w:vAlign w:val="center"/>
          </w:tcPr>
          <w:p>
            <w:pPr>
              <w:pStyle w:val="TableContents"/>
              <w:bidi w:val="0"/>
              <w:spacing w:before="0" w:after="283"/>
              <w:jc w:val="left"/>
              <w:rPr>
                <w:sz w:val="4"/>
                <w:szCs w:val="4"/>
              </w:rPr>
            </w:pPr>
            <w:r>
              <w:rPr>
                <w:sz w:val="4"/>
                <w:szCs w:val="4"/>
              </w:rPr>
            </w:r>
          </w:p>
        </w:tc>
        <w:tc>
          <w:tcPr>
            <w:tcW w:w="1700" w:type="dxa"/>
            <w:gridSpan w:val="4"/>
            <w:tcBorders/>
            <w:shd w:fill="FDEEF1" w:val="clear"/>
            <w:vAlign w:val="center"/>
          </w:tcPr>
          <w:p>
            <w:pPr>
              <w:pStyle w:val="TableContents"/>
              <w:bidi w:val="0"/>
              <w:spacing w:before="0" w:after="283"/>
              <w:jc w:val="left"/>
              <w:rPr>
                <w:sz w:val="4"/>
                <w:szCs w:val="4"/>
              </w:rPr>
            </w:pPr>
            <w:r>
              <w:rPr>
                <w:sz w:val="4"/>
                <w:szCs w:val="4"/>
              </w:rPr>
            </w:r>
          </w:p>
        </w:tc>
        <w:tc>
          <w:tcPr>
            <w:tcW w:w="2120" w:type="dxa"/>
            <w:gridSpan w:val="4"/>
            <w:tcBorders/>
            <w:shd w:fill="FDEEF1" w:val="clear"/>
            <w:vAlign w:val="center"/>
          </w:tcPr>
          <w:p>
            <w:pPr>
              <w:pStyle w:val="TableContents"/>
              <w:bidi w:val="0"/>
              <w:spacing w:before="0" w:after="283"/>
              <w:jc w:val="left"/>
              <w:rPr>
                <w:sz w:val="4"/>
                <w:szCs w:val="4"/>
              </w:rPr>
            </w:pPr>
            <w:r>
              <w:rPr>
                <w:sz w:val="4"/>
                <w:szCs w:val="4"/>
              </w:rPr>
            </w:r>
          </w:p>
        </w:tc>
        <w:tc>
          <w:tcPr>
            <w:tcW w:w="2120" w:type="dxa"/>
            <w:gridSpan w:val="4"/>
            <w:tcBorders/>
            <w:shd w:fill="FDEEF1" w:val="clear"/>
            <w:vAlign w:val="center"/>
          </w:tcPr>
          <w:p>
            <w:pPr>
              <w:pStyle w:val="TableContents"/>
              <w:bidi w:val="0"/>
              <w:spacing w:before="0" w:after="283"/>
              <w:jc w:val="left"/>
              <w:rPr>
                <w:sz w:val="4"/>
                <w:szCs w:val="4"/>
              </w:rPr>
            </w:pPr>
            <w:r>
              <w:rPr>
                <w:sz w:val="4"/>
                <w:szCs w:val="4"/>
              </w:rPr>
            </w:r>
          </w:p>
        </w:tc>
        <w:tc>
          <w:tcPr>
            <w:tcW w:w="1940" w:type="dxa"/>
            <w:gridSpan w:val="4"/>
            <w:tcBorders/>
            <w:shd w:fill="FDEEF1" w:val="clear"/>
            <w:vAlign w:val="center"/>
          </w:tcPr>
          <w:p>
            <w:pPr>
              <w:pStyle w:val="TableContents"/>
              <w:bidi w:val="0"/>
              <w:spacing w:before="0" w:after="283"/>
              <w:jc w:val="left"/>
              <w:rPr>
                <w:sz w:val="4"/>
                <w:szCs w:val="4"/>
              </w:rPr>
            </w:pPr>
            <w:r>
              <w:rPr>
                <w:sz w:val="4"/>
                <w:szCs w:val="4"/>
              </w:rPr>
            </w:r>
          </w:p>
        </w:tc>
        <w:tc>
          <w:tcPr>
            <w:tcW w:w="1880" w:type="dxa"/>
            <w:gridSpan w:val="4"/>
            <w:tcBorders/>
            <w:shd w:fill="FDEEF1" w:val="clear"/>
            <w:vAlign w:val="center"/>
          </w:tcPr>
          <w:p>
            <w:pPr>
              <w:pStyle w:val="TableContents"/>
              <w:bidi w:val="0"/>
              <w:spacing w:before="0" w:after="283"/>
              <w:jc w:val="left"/>
              <w:rPr>
                <w:sz w:val="4"/>
                <w:szCs w:val="4"/>
              </w:rPr>
            </w:pPr>
            <w:r>
              <w:rPr>
                <w:sz w:val="4"/>
                <w:szCs w:val="4"/>
              </w:rPr>
            </w:r>
          </w:p>
        </w:tc>
      </w:tr>
      <w:tr>
        <w:trPr/>
        <w:tc>
          <w:tcPr>
            <w:tcW w:w="815" w:type="dxa"/>
            <w:tcBorders/>
            <w:shd w:fill="FDEEF1" w:val="clear"/>
            <w:vAlign w:val="center"/>
          </w:tcPr>
          <w:p>
            <w:pPr>
              <w:pStyle w:val="TableContents"/>
              <w:bidi w:val="0"/>
              <w:spacing w:before="0" w:after="0"/>
              <w:jc w:val="left"/>
              <w:rPr>
                <w:rFonts w:ascii="arial" w:hAnsi="arial"/>
                <w:b/>
                <w:sz w:val="16"/>
              </w:rPr>
            </w:pPr>
            <w:r>
              <w:rPr>
                <w:rFonts w:ascii="arial" w:hAnsi="arial"/>
                <w:b/>
                <w:sz w:val="16"/>
              </w:rPr>
              <w:t>2021</w:t>
            </w:r>
          </w:p>
        </w:tc>
        <w:tc>
          <w:tcPr>
            <w:tcW w:w="60" w:type="dxa"/>
            <w:tcBorders/>
            <w:shd w:fill="FDEEF1" w:val="clear"/>
            <w:vAlign w:val="center"/>
          </w:tcPr>
          <w:p>
            <w:pPr>
              <w:pStyle w:val="TableContents"/>
              <w:bidi w:val="0"/>
              <w:spacing w:before="0" w:after="283"/>
              <w:jc w:val="left"/>
              <w:rPr/>
            </w:pPr>
            <w:r>
              <w:rPr/>
              <w:t> </w:t>
            </w:r>
          </w:p>
        </w:tc>
        <w:tc>
          <w:tcPr>
            <w:tcW w:w="1835" w:type="dxa"/>
            <w:gridSpan w:val="2"/>
            <w:tcBorders/>
            <w:shd w:fill="FDEEF1" w:val="clear"/>
            <w:vAlign w:val="center"/>
          </w:tcPr>
          <w:p>
            <w:pPr>
              <w:pStyle w:val="TableContents"/>
              <w:bidi w:val="0"/>
              <w:spacing w:before="0" w:after="0"/>
              <w:jc w:val="center"/>
              <w:rPr>
                <w:b/>
              </w:rPr>
            </w:pPr>
            <w:r>
              <w:rPr>
                <w:b/>
              </w:rPr>
              <w:t>Fair Value of</w:t>
              <w:br/>
              <w:t>2021</w:t>
              <w:br/>
              <w:t>Equity Awards at</w:t>
              <w:br/>
              <w:t>FYE</w:t>
            </w:r>
          </w:p>
          <w:p>
            <w:pPr>
              <w:pStyle w:val="TableContents"/>
              <w:bidi w:val="0"/>
              <w:spacing w:before="0" w:after="0"/>
              <w:jc w:val="center"/>
              <w:rPr>
                <w:b/>
                <w:sz w:val="9"/>
              </w:rPr>
            </w:pPr>
            <w:r>
              <w:rPr>
                <w:b/>
                <w:sz w:val="9"/>
              </w:rPr>
              <w:t>(i)</w:t>
            </w:r>
          </w:p>
          <w:p>
            <w:pPr>
              <w:pStyle w:val="TableContents"/>
              <w:bidi w:val="0"/>
              <w:spacing w:before="0" w:after="0"/>
              <w:jc w:val="center"/>
              <w:rPr/>
            </w:pPr>
            <w:r>
              <w:rPr/>
              <w:t> </w:t>
            </w:r>
            <w:r>
              <w:rPr>
                <w:b/>
              </w:rPr>
              <w:t>($)</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580" w:type="dxa"/>
            <w:gridSpan w:val="2"/>
            <w:tcBorders/>
            <w:shd w:fill="FDEEF1" w:val="clear"/>
            <w:vAlign w:val="center"/>
          </w:tcPr>
          <w:p>
            <w:pPr>
              <w:pStyle w:val="TableContents"/>
              <w:bidi w:val="0"/>
              <w:spacing w:before="0" w:after="0"/>
              <w:jc w:val="center"/>
              <w:rPr>
                <w:b/>
              </w:rPr>
            </w:pPr>
            <w:r>
              <w:rPr>
                <w:b/>
              </w:rPr>
              <w:t>Fair Value of</w:t>
              <w:br/>
              <w:t>2021</w:t>
              <w:br/>
              <w:t>Equity Awards</w:t>
              <w:br/>
              <w:t>that Vested in</w:t>
              <w:br/>
              <w:t>2021 ($)</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2000" w:type="dxa"/>
            <w:gridSpan w:val="2"/>
            <w:tcBorders/>
            <w:shd w:fill="FDEEF1" w:val="clear"/>
            <w:vAlign w:val="center"/>
          </w:tcPr>
          <w:p>
            <w:pPr>
              <w:pStyle w:val="TableContents"/>
              <w:bidi w:val="0"/>
              <w:spacing w:before="0" w:after="0"/>
              <w:jc w:val="center"/>
              <w:rPr>
                <w:b/>
              </w:rPr>
            </w:pPr>
            <w:r>
              <w:rPr>
                <w:b/>
              </w:rPr>
              <w:t>Change in Value of</w:t>
              <w:br/>
              <w:t>Prior Year Awards</w:t>
              <w:br/>
              <w:t>Unvested at FYE</w:t>
            </w:r>
          </w:p>
          <w:p>
            <w:pPr>
              <w:pStyle w:val="TableContents"/>
              <w:bidi w:val="0"/>
              <w:spacing w:before="0" w:after="0"/>
              <w:jc w:val="center"/>
              <w:rPr>
                <w:b/>
                <w:sz w:val="9"/>
              </w:rPr>
            </w:pPr>
            <w:r>
              <w:rPr>
                <w:b/>
                <w:sz w:val="9"/>
              </w:rPr>
              <w:t>(i)</w:t>
            </w:r>
          </w:p>
          <w:p>
            <w:pPr>
              <w:pStyle w:val="TableContents"/>
              <w:bidi w:val="0"/>
              <w:spacing w:before="0" w:after="0"/>
              <w:jc w:val="center"/>
              <w:rPr>
                <w:b/>
              </w:rPr>
            </w:pPr>
            <w:r>
              <w:rPr>
                <w:b/>
              </w:rPr>
              <w:br/>
              <w:t>($)</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2000" w:type="dxa"/>
            <w:gridSpan w:val="2"/>
            <w:tcBorders/>
            <w:shd w:fill="FDEEF1" w:val="clear"/>
            <w:vAlign w:val="center"/>
          </w:tcPr>
          <w:p>
            <w:pPr>
              <w:pStyle w:val="TableContents"/>
              <w:bidi w:val="0"/>
              <w:spacing w:before="0" w:after="0"/>
              <w:jc w:val="center"/>
              <w:rPr>
                <w:b/>
              </w:rPr>
            </w:pPr>
            <w:r>
              <w:rPr>
                <w:b/>
              </w:rPr>
              <w:t>Change in Value of</w:t>
              <w:br/>
              <w:t>Prior Year Awards</w:t>
              <w:br/>
              <w:t>that Vested in</w:t>
              <w:br/>
              <w:t>2021</w:t>
            </w:r>
          </w:p>
          <w:p>
            <w:pPr>
              <w:pStyle w:val="TableContents"/>
              <w:bidi w:val="0"/>
              <w:spacing w:before="0" w:after="0"/>
              <w:jc w:val="center"/>
              <w:rPr>
                <w:b/>
                <w:sz w:val="9"/>
              </w:rPr>
            </w:pPr>
            <w:r>
              <w:rPr>
                <w:b/>
                <w:sz w:val="9"/>
              </w:rPr>
              <w:t>(i)</w:t>
            </w:r>
          </w:p>
          <w:p>
            <w:pPr>
              <w:pStyle w:val="TableContents"/>
              <w:bidi w:val="0"/>
              <w:spacing w:before="0" w:after="0"/>
              <w:jc w:val="center"/>
              <w:rPr>
                <w:b/>
              </w:rPr>
            </w:pPr>
            <w:r>
              <w:rPr>
                <w:b/>
              </w:rPr>
              <w:t>($)</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820" w:type="dxa"/>
            <w:gridSpan w:val="2"/>
            <w:tcBorders/>
            <w:shd w:fill="FDEEF1" w:val="clear"/>
            <w:vAlign w:val="center"/>
          </w:tcPr>
          <w:p>
            <w:pPr>
              <w:pStyle w:val="TableContents"/>
              <w:bidi w:val="0"/>
              <w:spacing w:before="0" w:after="0"/>
              <w:jc w:val="center"/>
              <w:rPr>
                <w:b/>
              </w:rPr>
            </w:pPr>
            <w:r>
              <w:rPr>
                <w:b/>
              </w:rPr>
              <w:t>Fair Value of</w:t>
              <w:br/>
              <w:t>Awards Forfeited</w:t>
              <w:br/>
              <w:t>in 2021 ($)</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1745" w:type="dxa"/>
            <w:gridSpan w:val="2"/>
            <w:tcBorders/>
            <w:shd w:fill="FDEEF1" w:val="clear"/>
            <w:vAlign w:val="center"/>
          </w:tcPr>
          <w:p>
            <w:pPr>
              <w:pStyle w:val="TableContents"/>
              <w:bidi w:val="0"/>
              <w:spacing w:before="0" w:after="0"/>
              <w:jc w:val="center"/>
              <w:rPr>
                <w:b/>
              </w:rPr>
            </w:pPr>
            <w:r>
              <w:rPr>
                <w:b/>
              </w:rPr>
              <w:t>Equity Value</w:t>
              <w:br/>
              <w:t>Included in CAP</w:t>
            </w:r>
          </w:p>
          <w:p>
            <w:pPr>
              <w:pStyle w:val="TableContents"/>
              <w:bidi w:val="0"/>
              <w:spacing w:before="0" w:after="0"/>
              <w:jc w:val="center"/>
              <w:rPr>
                <w:b/>
                <w:sz w:val="9"/>
              </w:rPr>
            </w:pPr>
            <w:r>
              <w:rPr>
                <w:b/>
                <w:sz w:val="9"/>
              </w:rPr>
              <w:t>(i)</w:t>
            </w:r>
          </w:p>
          <w:p>
            <w:pPr>
              <w:pStyle w:val="TableContents"/>
              <w:bidi w:val="0"/>
              <w:spacing w:before="0" w:after="0"/>
              <w:jc w:val="center"/>
              <w:rPr>
                <w:b/>
              </w:rPr>
            </w:pPr>
            <w:r>
              <w:rPr>
                <w:b/>
              </w:rPr>
              <w:br/>
              <w:t>($)</w:t>
            </w:r>
          </w:p>
        </w:tc>
        <w:tc>
          <w:tcPr>
            <w:tcW w:w="75" w:type="dxa"/>
            <w:tcBorders/>
            <w:shd w:fill="FDEEF1" w:val="clear"/>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jc w:val="left"/>
              <w:rPr>
                <w:sz w:val="4"/>
                <w:szCs w:val="4"/>
              </w:rPr>
            </w:pPr>
            <w:r>
              <w:rPr>
                <w:sz w:val="4"/>
                <w:szCs w:val="4"/>
              </w:rPr>
            </w:r>
          </w:p>
        </w:tc>
        <w:tc>
          <w:tcPr>
            <w:tcW w:w="1955" w:type="dxa"/>
            <w:gridSpan w:val="4"/>
            <w:tcBorders/>
            <w:vAlign w:val="center"/>
          </w:tcPr>
          <w:p>
            <w:pPr>
              <w:pStyle w:val="TableContents"/>
              <w:bidi w:val="0"/>
              <w:spacing w:before="0" w:after="283"/>
              <w:jc w:val="left"/>
              <w:rPr>
                <w:sz w:val="4"/>
                <w:szCs w:val="4"/>
              </w:rPr>
            </w:pPr>
            <w:r>
              <w:rPr>
                <w:sz w:val="4"/>
                <w:szCs w:val="4"/>
              </w:rPr>
            </w:r>
          </w:p>
        </w:tc>
        <w:tc>
          <w:tcPr>
            <w:tcW w:w="1700" w:type="dxa"/>
            <w:gridSpan w:val="4"/>
            <w:tcBorders/>
            <w:vAlign w:val="center"/>
          </w:tcPr>
          <w:p>
            <w:pPr>
              <w:pStyle w:val="TableContents"/>
              <w:bidi w:val="0"/>
              <w:spacing w:before="0" w:after="283"/>
              <w:jc w:val="left"/>
              <w:rPr>
                <w:sz w:val="4"/>
                <w:szCs w:val="4"/>
              </w:rPr>
            </w:pPr>
            <w:r>
              <w:rPr>
                <w:sz w:val="4"/>
                <w:szCs w:val="4"/>
              </w:rPr>
            </w:r>
          </w:p>
        </w:tc>
        <w:tc>
          <w:tcPr>
            <w:tcW w:w="2120" w:type="dxa"/>
            <w:gridSpan w:val="4"/>
            <w:tcBorders/>
            <w:vAlign w:val="center"/>
          </w:tcPr>
          <w:p>
            <w:pPr>
              <w:pStyle w:val="TableContents"/>
              <w:bidi w:val="0"/>
              <w:spacing w:before="0" w:after="283"/>
              <w:jc w:val="left"/>
              <w:rPr>
                <w:sz w:val="4"/>
                <w:szCs w:val="4"/>
              </w:rPr>
            </w:pPr>
            <w:r>
              <w:rPr>
                <w:sz w:val="4"/>
                <w:szCs w:val="4"/>
              </w:rPr>
            </w:r>
          </w:p>
        </w:tc>
        <w:tc>
          <w:tcPr>
            <w:tcW w:w="2120" w:type="dxa"/>
            <w:gridSpan w:val="4"/>
            <w:tcBorders/>
            <w:vAlign w:val="center"/>
          </w:tcPr>
          <w:p>
            <w:pPr>
              <w:pStyle w:val="TableContents"/>
              <w:bidi w:val="0"/>
              <w:spacing w:before="0" w:after="283"/>
              <w:jc w:val="left"/>
              <w:rPr>
                <w:sz w:val="4"/>
                <w:szCs w:val="4"/>
              </w:rPr>
            </w:pPr>
            <w:r>
              <w:rPr>
                <w:sz w:val="4"/>
                <w:szCs w:val="4"/>
              </w:rPr>
            </w:r>
          </w:p>
        </w:tc>
        <w:tc>
          <w:tcPr>
            <w:tcW w:w="1940" w:type="dxa"/>
            <w:gridSpan w:val="4"/>
            <w:tcBorders/>
            <w:vAlign w:val="center"/>
          </w:tcPr>
          <w:p>
            <w:pPr>
              <w:pStyle w:val="TableContents"/>
              <w:bidi w:val="0"/>
              <w:spacing w:before="0" w:after="283"/>
              <w:jc w:val="left"/>
              <w:rPr>
                <w:sz w:val="4"/>
                <w:szCs w:val="4"/>
              </w:rPr>
            </w:pPr>
            <w:r>
              <w:rPr>
                <w:sz w:val="4"/>
                <w:szCs w:val="4"/>
              </w:rPr>
            </w:r>
          </w:p>
        </w:tc>
        <w:tc>
          <w:tcPr>
            <w:tcW w:w="1880" w:type="dxa"/>
            <w:gridSpan w:val="4"/>
            <w:tcBorders/>
            <w:vAlign w:val="center"/>
          </w:tcPr>
          <w:p>
            <w:pPr>
              <w:pStyle w:val="TableContents"/>
              <w:bidi w:val="0"/>
              <w:spacing w:before="0" w:after="283"/>
              <w:jc w:val="left"/>
              <w:rPr>
                <w:sz w:val="4"/>
                <w:szCs w:val="4"/>
              </w:rPr>
            </w:pPr>
            <w:r>
              <w:rPr>
                <w:sz w:val="4"/>
                <w:szCs w:val="4"/>
              </w:rPr>
            </w:r>
          </w:p>
        </w:tc>
      </w:tr>
      <w:tr>
        <w:trPr/>
        <w:tc>
          <w:tcPr>
            <w:tcW w:w="815"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PEO</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94" w:type="dxa"/>
            <w:tcBorders>
              <w:bottom w:val="single" w:sz="6" w:space="0" w:color="FBDDE3"/>
            </w:tcBorders>
            <w:tcMar>
              <w:bottom w:w="60" w:type="dxa"/>
            </w:tcMar>
            <w:vAlign w:val="center"/>
          </w:tcPr>
          <w:p>
            <w:pPr>
              <w:pStyle w:val="TableContents"/>
              <w:bidi w:val="0"/>
              <w:spacing w:before="0" w:after="283"/>
              <w:jc w:val="left"/>
              <w:rPr/>
            </w:pPr>
            <w:r>
              <w:rPr/>
              <w:t> </w:t>
            </w:r>
          </w:p>
        </w:tc>
        <w:tc>
          <w:tcPr>
            <w:tcW w:w="1741" w:type="dxa"/>
            <w:tcBorders>
              <w:bottom w:val="single" w:sz="6" w:space="0" w:color="FBDDE3"/>
            </w:tcBorders>
            <w:tcMar>
              <w:bottom w:w="60" w:type="dxa"/>
            </w:tcMar>
            <w:vAlign w:val="center"/>
          </w:tcPr>
          <w:p>
            <w:pPr>
              <w:pStyle w:val="TableContents"/>
              <w:bidi w:val="0"/>
              <w:spacing w:before="0" w:after="283"/>
              <w:jc w:val="right"/>
              <w:rPr/>
            </w:pPr>
            <w:r>
              <w:rPr/>
              <w:t>17,324,891</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474" w:type="dxa"/>
            <w:tcBorders>
              <w:bottom w:val="single" w:sz="6" w:space="0" w:color="FBDDE3"/>
            </w:tcBorders>
            <w:tcMar>
              <w:bottom w:w="60" w:type="dxa"/>
            </w:tcMar>
            <w:vAlign w:val="center"/>
          </w:tcPr>
          <w:p>
            <w:pPr>
              <w:pStyle w:val="TableContents"/>
              <w:bidi w:val="0"/>
              <w:spacing w:before="0" w:after="283"/>
              <w:jc w:val="left"/>
              <w:rPr/>
            </w:pPr>
            <w:r>
              <w:rPr/>
              <w:t> </w:t>
            </w:r>
          </w:p>
        </w:tc>
        <w:tc>
          <w:tcPr>
            <w:tcW w:w="1106" w:type="dxa"/>
            <w:tcBorders>
              <w:bottom w:val="single" w:sz="6" w:space="0" w:color="FBDDE3"/>
            </w:tcBorders>
            <w:tcMar>
              <w:bottom w:w="60" w:type="dxa"/>
            </w:tcMar>
            <w:vAlign w:val="center"/>
          </w:tcPr>
          <w:p>
            <w:pPr>
              <w:pStyle w:val="TableContents"/>
              <w:bidi w:val="0"/>
              <w:spacing w:before="0" w:after="283"/>
              <w:jc w:val="right"/>
              <w:rPr/>
            </w:pPr>
            <w:r>
              <w:rPr/>
              <w:t>–</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15" w:type="dxa"/>
            <w:tcBorders>
              <w:bottom w:val="single" w:sz="6" w:space="0" w:color="FBDDE3"/>
            </w:tcBorders>
            <w:tcMar>
              <w:bottom w:w="60" w:type="dxa"/>
            </w:tcMar>
            <w:vAlign w:val="center"/>
          </w:tcPr>
          <w:p>
            <w:pPr>
              <w:pStyle w:val="TableContents"/>
              <w:bidi w:val="0"/>
              <w:spacing w:before="0" w:after="283"/>
              <w:jc w:val="left"/>
              <w:rPr/>
            </w:pPr>
            <w:r>
              <w:rPr/>
              <w:t> </w:t>
            </w:r>
          </w:p>
        </w:tc>
        <w:tc>
          <w:tcPr>
            <w:tcW w:w="1885" w:type="dxa"/>
            <w:tcBorders>
              <w:bottom w:val="single" w:sz="6" w:space="0" w:color="FBDDE3"/>
            </w:tcBorders>
            <w:tcMar>
              <w:bottom w:w="60" w:type="dxa"/>
            </w:tcMar>
            <w:vAlign w:val="center"/>
          </w:tcPr>
          <w:p>
            <w:pPr>
              <w:pStyle w:val="TableContents"/>
              <w:bidi w:val="0"/>
              <w:spacing w:before="0" w:after="283"/>
              <w:jc w:val="right"/>
              <w:rPr/>
            </w:pPr>
            <w:r>
              <w:rPr/>
              <w:t>3,395,520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15" w:type="dxa"/>
            <w:tcBorders>
              <w:bottom w:val="single" w:sz="6" w:space="0" w:color="FBDDE3"/>
            </w:tcBorders>
            <w:tcMar>
              <w:bottom w:w="60" w:type="dxa"/>
            </w:tcMar>
            <w:vAlign w:val="center"/>
          </w:tcPr>
          <w:p>
            <w:pPr>
              <w:pStyle w:val="TableContents"/>
              <w:bidi w:val="0"/>
              <w:spacing w:before="0" w:after="283"/>
              <w:jc w:val="left"/>
              <w:rPr/>
            </w:pPr>
            <w:r>
              <w:rPr/>
              <w:t> </w:t>
            </w:r>
          </w:p>
        </w:tc>
        <w:tc>
          <w:tcPr>
            <w:tcW w:w="1885" w:type="dxa"/>
            <w:tcBorders>
              <w:bottom w:val="single" w:sz="6" w:space="0" w:color="FBDDE3"/>
            </w:tcBorders>
            <w:tcMar>
              <w:bottom w:w="60" w:type="dxa"/>
            </w:tcMar>
            <w:vAlign w:val="center"/>
          </w:tcPr>
          <w:p>
            <w:pPr>
              <w:pStyle w:val="TableContents"/>
              <w:bidi w:val="0"/>
              <w:spacing w:before="0" w:after="283"/>
              <w:jc w:val="right"/>
              <w:rPr/>
            </w:pPr>
            <w:r>
              <w:rPr/>
              <w:t>726,622</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546" w:type="dxa"/>
            <w:tcBorders>
              <w:bottom w:val="single" w:sz="6" w:space="0" w:color="FBDDE3"/>
            </w:tcBorders>
            <w:tcMar>
              <w:bottom w:w="60" w:type="dxa"/>
            </w:tcMar>
            <w:vAlign w:val="center"/>
          </w:tcPr>
          <w:p>
            <w:pPr>
              <w:pStyle w:val="TableContents"/>
              <w:bidi w:val="0"/>
              <w:spacing w:before="0" w:after="283"/>
              <w:jc w:val="left"/>
              <w:rPr/>
            </w:pPr>
            <w:r>
              <w:rPr/>
              <w:t> </w:t>
            </w:r>
          </w:p>
        </w:tc>
        <w:tc>
          <w:tcPr>
            <w:tcW w:w="1274" w:type="dxa"/>
            <w:tcBorders>
              <w:bottom w:val="single" w:sz="6" w:space="0" w:color="FBDDE3"/>
            </w:tcBorders>
            <w:tcMar>
              <w:bottom w:w="60" w:type="dxa"/>
            </w:tcMar>
            <w:vAlign w:val="center"/>
          </w:tcPr>
          <w:p>
            <w:pPr>
              <w:pStyle w:val="TableContents"/>
              <w:bidi w:val="0"/>
              <w:spacing w:before="0" w:after="283"/>
              <w:jc w:val="right"/>
              <w:rPr/>
            </w:pPr>
            <w:r>
              <w:rPr/>
              <w:t>–</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90" w:type="dxa"/>
            <w:tcBorders>
              <w:bottom w:val="single" w:sz="6" w:space="0" w:color="FBDDE3"/>
            </w:tcBorders>
            <w:tcMar>
              <w:bottom w:w="60" w:type="dxa"/>
            </w:tcMar>
            <w:vAlign w:val="center"/>
          </w:tcPr>
          <w:p>
            <w:pPr>
              <w:pStyle w:val="TableContents"/>
              <w:bidi w:val="0"/>
              <w:spacing w:before="0" w:after="283"/>
              <w:jc w:val="left"/>
              <w:rPr/>
            </w:pPr>
            <w:r>
              <w:rPr/>
              <w:t> </w:t>
            </w:r>
          </w:p>
        </w:tc>
        <w:tc>
          <w:tcPr>
            <w:tcW w:w="1655" w:type="dxa"/>
            <w:tcBorders>
              <w:bottom w:val="single" w:sz="6" w:space="0" w:color="FBDDE3"/>
            </w:tcBorders>
            <w:tcMar>
              <w:bottom w:w="60" w:type="dxa"/>
            </w:tcMar>
            <w:vAlign w:val="center"/>
          </w:tcPr>
          <w:p>
            <w:pPr>
              <w:pStyle w:val="TableContents"/>
              <w:bidi w:val="0"/>
              <w:spacing w:before="0" w:after="283"/>
              <w:jc w:val="right"/>
              <w:rPr/>
            </w:pPr>
            <w:r>
              <w:rPr/>
              <w:t>21,447,033</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jc w:val="left"/>
              <w:rPr>
                <w:sz w:val="4"/>
                <w:szCs w:val="4"/>
              </w:rPr>
            </w:pPr>
            <w:r>
              <w:rPr>
                <w:sz w:val="4"/>
                <w:szCs w:val="4"/>
              </w:rPr>
            </w:r>
          </w:p>
        </w:tc>
        <w:tc>
          <w:tcPr>
            <w:tcW w:w="1955" w:type="dxa"/>
            <w:gridSpan w:val="4"/>
            <w:tcBorders/>
            <w:vAlign w:val="center"/>
          </w:tcPr>
          <w:p>
            <w:pPr>
              <w:pStyle w:val="TableContents"/>
              <w:bidi w:val="0"/>
              <w:spacing w:before="0" w:after="283"/>
              <w:jc w:val="left"/>
              <w:rPr>
                <w:sz w:val="4"/>
                <w:szCs w:val="4"/>
              </w:rPr>
            </w:pPr>
            <w:r>
              <w:rPr>
                <w:sz w:val="4"/>
                <w:szCs w:val="4"/>
              </w:rPr>
            </w:r>
          </w:p>
        </w:tc>
        <w:tc>
          <w:tcPr>
            <w:tcW w:w="1700" w:type="dxa"/>
            <w:gridSpan w:val="4"/>
            <w:tcBorders/>
            <w:vAlign w:val="center"/>
          </w:tcPr>
          <w:p>
            <w:pPr>
              <w:pStyle w:val="TableContents"/>
              <w:bidi w:val="0"/>
              <w:spacing w:before="0" w:after="283"/>
              <w:jc w:val="left"/>
              <w:rPr>
                <w:sz w:val="4"/>
                <w:szCs w:val="4"/>
              </w:rPr>
            </w:pPr>
            <w:r>
              <w:rPr>
                <w:sz w:val="4"/>
                <w:szCs w:val="4"/>
              </w:rPr>
            </w:r>
          </w:p>
        </w:tc>
        <w:tc>
          <w:tcPr>
            <w:tcW w:w="2120" w:type="dxa"/>
            <w:gridSpan w:val="4"/>
            <w:tcBorders/>
            <w:vAlign w:val="center"/>
          </w:tcPr>
          <w:p>
            <w:pPr>
              <w:pStyle w:val="TableContents"/>
              <w:bidi w:val="0"/>
              <w:spacing w:before="0" w:after="283"/>
              <w:jc w:val="left"/>
              <w:rPr>
                <w:sz w:val="4"/>
                <w:szCs w:val="4"/>
              </w:rPr>
            </w:pPr>
            <w:r>
              <w:rPr>
                <w:sz w:val="4"/>
                <w:szCs w:val="4"/>
              </w:rPr>
            </w:r>
          </w:p>
        </w:tc>
        <w:tc>
          <w:tcPr>
            <w:tcW w:w="2120" w:type="dxa"/>
            <w:gridSpan w:val="4"/>
            <w:tcBorders/>
            <w:vAlign w:val="center"/>
          </w:tcPr>
          <w:p>
            <w:pPr>
              <w:pStyle w:val="TableContents"/>
              <w:bidi w:val="0"/>
              <w:spacing w:before="0" w:after="283"/>
              <w:jc w:val="left"/>
              <w:rPr>
                <w:sz w:val="4"/>
                <w:szCs w:val="4"/>
              </w:rPr>
            </w:pPr>
            <w:r>
              <w:rPr>
                <w:sz w:val="4"/>
                <w:szCs w:val="4"/>
              </w:rPr>
            </w:r>
          </w:p>
        </w:tc>
        <w:tc>
          <w:tcPr>
            <w:tcW w:w="1940" w:type="dxa"/>
            <w:gridSpan w:val="4"/>
            <w:tcBorders/>
            <w:vAlign w:val="center"/>
          </w:tcPr>
          <w:p>
            <w:pPr>
              <w:pStyle w:val="TableContents"/>
              <w:bidi w:val="0"/>
              <w:spacing w:before="0" w:after="283"/>
              <w:jc w:val="left"/>
              <w:rPr>
                <w:sz w:val="4"/>
                <w:szCs w:val="4"/>
              </w:rPr>
            </w:pPr>
            <w:r>
              <w:rPr>
                <w:sz w:val="4"/>
                <w:szCs w:val="4"/>
              </w:rPr>
            </w:r>
          </w:p>
        </w:tc>
        <w:tc>
          <w:tcPr>
            <w:tcW w:w="1880" w:type="dxa"/>
            <w:gridSpan w:val="4"/>
            <w:tcBorders/>
            <w:vAlign w:val="center"/>
          </w:tcPr>
          <w:p>
            <w:pPr>
              <w:pStyle w:val="TableContents"/>
              <w:bidi w:val="0"/>
              <w:spacing w:before="0" w:after="283"/>
              <w:jc w:val="left"/>
              <w:rPr>
                <w:sz w:val="4"/>
                <w:szCs w:val="4"/>
              </w:rPr>
            </w:pPr>
            <w:r>
              <w:rPr>
                <w:sz w:val="4"/>
                <w:szCs w:val="4"/>
              </w:rPr>
            </w:r>
          </w:p>
        </w:tc>
      </w:tr>
      <w:tr>
        <w:trPr/>
        <w:tc>
          <w:tcPr>
            <w:tcW w:w="815" w:type="dxa"/>
            <w:tcBorders>
              <w:bottom w:val="single" w:sz="8" w:space="0" w:color="F7ACBA"/>
            </w:tcBorders>
            <w:tcMar>
              <w:bottom w:w="80" w:type="dxa"/>
            </w:tcMar>
            <w:vAlign w:val="center"/>
          </w:tcPr>
          <w:p>
            <w:pPr>
              <w:pStyle w:val="TableContents"/>
              <w:bidi w:val="0"/>
              <w:spacing w:before="0" w:after="0"/>
              <w:jc w:val="left"/>
              <w:rPr>
                <w:rFonts w:ascii="arial" w:hAnsi="arial"/>
                <w:spacing w:val="0"/>
                <w:sz w:val="18"/>
              </w:rPr>
            </w:pPr>
            <w:r>
              <w:rPr>
                <w:rFonts w:ascii="arial" w:hAnsi="arial"/>
                <w:spacing w:val="0"/>
                <w:sz w:val="18"/>
              </w:rPr>
              <w:t>Non-PEO</w:t>
            </w:r>
          </w:p>
          <w:p>
            <w:pPr>
              <w:pStyle w:val="TableContents"/>
              <w:bidi w:val="0"/>
              <w:spacing w:before="0" w:after="0"/>
              <w:jc w:val="left"/>
              <w:rPr>
                <w:rFonts w:ascii="arial" w:hAnsi="arial"/>
                <w:sz w:val="18"/>
              </w:rPr>
            </w:pPr>
            <w:r>
              <w:rPr>
                <w:rFonts w:ascii="arial" w:hAnsi="arial"/>
                <w:sz w:val="18"/>
              </w:rPr>
              <w:t>NEOs</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94" w:type="dxa"/>
            <w:tcBorders>
              <w:bottom w:val="single" w:sz="8" w:space="0" w:color="F7ACBA"/>
            </w:tcBorders>
            <w:tcMar>
              <w:bottom w:w="80" w:type="dxa"/>
            </w:tcMar>
            <w:vAlign w:val="center"/>
          </w:tcPr>
          <w:p>
            <w:pPr>
              <w:pStyle w:val="TableContents"/>
              <w:bidi w:val="0"/>
              <w:spacing w:before="0" w:after="283"/>
              <w:jc w:val="left"/>
              <w:rPr/>
            </w:pPr>
            <w:r>
              <w:rPr/>
              <w:t> </w:t>
            </w:r>
          </w:p>
        </w:tc>
        <w:tc>
          <w:tcPr>
            <w:tcW w:w="1741" w:type="dxa"/>
            <w:tcBorders>
              <w:bottom w:val="single" w:sz="8" w:space="0" w:color="F7ACBA"/>
            </w:tcBorders>
            <w:tcMar>
              <w:bottom w:w="80" w:type="dxa"/>
            </w:tcMar>
            <w:vAlign w:val="center"/>
          </w:tcPr>
          <w:p>
            <w:pPr>
              <w:pStyle w:val="TableContents"/>
              <w:bidi w:val="0"/>
              <w:spacing w:before="0" w:after="283"/>
              <w:jc w:val="right"/>
              <w:rPr/>
            </w:pPr>
            <w:r>
              <w:rPr/>
              <w:t>3,070,976</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474" w:type="dxa"/>
            <w:tcBorders>
              <w:bottom w:val="single" w:sz="8" w:space="0" w:color="F7ACBA"/>
            </w:tcBorders>
            <w:tcMar>
              <w:bottom w:w="80" w:type="dxa"/>
            </w:tcMar>
            <w:vAlign w:val="center"/>
          </w:tcPr>
          <w:p>
            <w:pPr>
              <w:pStyle w:val="TableContents"/>
              <w:bidi w:val="0"/>
              <w:spacing w:before="0" w:after="283"/>
              <w:jc w:val="left"/>
              <w:rPr/>
            </w:pPr>
            <w:r>
              <w:rPr/>
              <w:t> </w:t>
            </w:r>
          </w:p>
        </w:tc>
        <w:tc>
          <w:tcPr>
            <w:tcW w:w="1106" w:type="dxa"/>
            <w:tcBorders>
              <w:bottom w:val="single" w:sz="8" w:space="0" w:color="F7ACBA"/>
            </w:tcBorders>
            <w:tcMar>
              <w:bottom w:w="80" w:type="dxa"/>
            </w:tcMar>
            <w:vAlign w:val="center"/>
          </w:tcPr>
          <w:p>
            <w:pPr>
              <w:pStyle w:val="TableContents"/>
              <w:bidi w:val="0"/>
              <w:spacing w:before="0" w:after="283"/>
              <w:jc w:val="right"/>
              <w:rPr/>
            </w:pPr>
            <w:r>
              <w:rPr/>
              <w:t>–</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15" w:type="dxa"/>
            <w:tcBorders>
              <w:bottom w:val="single" w:sz="8" w:space="0" w:color="F7ACBA"/>
            </w:tcBorders>
            <w:tcMar>
              <w:bottom w:w="80" w:type="dxa"/>
            </w:tcMar>
            <w:vAlign w:val="center"/>
          </w:tcPr>
          <w:p>
            <w:pPr>
              <w:pStyle w:val="TableContents"/>
              <w:bidi w:val="0"/>
              <w:spacing w:before="0" w:after="283"/>
              <w:jc w:val="left"/>
              <w:rPr/>
            </w:pPr>
            <w:r>
              <w:rPr/>
              <w:t> </w:t>
            </w:r>
          </w:p>
        </w:tc>
        <w:tc>
          <w:tcPr>
            <w:tcW w:w="1885" w:type="dxa"/>
            <w:tcBorders>
              <w:bottom w:val="single" w:sz="8" w:space="0" w:color="F7ACBA"/>
            </w:tcBorders>
            <w:tcMar>
              <w:bottom w:w="80" w:type="dxa"/>
            </w:tcMar>
            <w:vAlign w:val="center"/>
          </w:tcPr>
          <w:p>
            <w:pPr>
              <w:pStyle w:val="TableContents"/>
              <w:bidi w:val="0"/>
              <w:spacing w:before="0" w:after="283"/>
              <w:jc w:val="right"/>
              <w:rPr/>
            </w:pPr>
            <w:r>
              <w:rPr/>
              <w:t>1,597,970</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15" w:type="dxa"/>
            <w:tcBorders>
              <w:bottom w:val="single" w:sz="8" w:space="0" w:color="F7ACBA"/>
            </w:tcBorders>
            <w:tcMar>
              <w:bottom w:w="80" w:type="dxa"/>
            </w:tcMar>
            <w:vAlign w:val="center"/>
          </w:tcPr>
          <w:p>
            <w:pPr>
              <w:pStyle w:val="TableContents"/>
              <w:bidi w:val="0"/>
              <w:spacing w:before="0" w:after="283"/>
              <w:jc w:val="left"/>
              <w:rPr/>
            </w:pPr>
            <w:r>
              <w:rPr/>
              <w:t> </w:t>
            </w:r>
          </w:p>
        </w:tc>
        <w:tc>
          <w:tcPr>
            <w:tcW w:w="1885" w:type="dxa"/>
            <w:tcBorders>
              <w:bottom w:val="single" w:sz="8" w:space="0" w:color="F7ACBA"/>
            </w:tcBorders>
            <w:tcMar>
              <w:bottom w:w="80" w:type="dxa"/>
            </w:tcMar>
            <w:vAlign w:val="center"/>
          </w:tcPr>
          <w:p>
            <w:pPr>
              <w:pStyle w:val="TableContents"/>
              <w:bidi w:val="0"/>
              <w:spacing w:before="0" w:after="283"/>
              <w:jc w:val="right"/>
              <w:rPr/>
            </w:pPr>
            <w:r>
              <w:rPr/>
              <w:t>1,018,106</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546" w:type="dxa"/>
            <w:tcBorders>
              <w:bottom w:val="single" w:sz="8" w:space="0" w:color="F7ACBA"/>
            </w:tcBorders>
            <w:tcMar>
              <w:bottom w:w="80" w:type="dxa"/>
            </w:tcMar>
            <w:vAlign w:val="center"/>
          </w:tcPr>
          <w:p>
            <w:pPr>
              <w:pStyle w:val="TableContents"/>
              <w:bidi w:val="0"/>
              <w:spacing w:before="0" w:after="283"/>
              <w:jc w:val="left"/>
              <w:rPr/>
            </w:pPr>
            <w:r>
              <w:rPr/>
              <w:t> </w:t>
            </w:r>
          </w:p>
        </w:tc>
        <w:tc>
          <w:tcPr>
            <w:tcW w:w="1274" w:type="dxa"/>
            <w:tcBorders>
              <w:bottom w:val="single" w:sz="8" w:space="0" w:color="F7ACBA"/>
            </w:tcBorders>
            <w:tcMar>
              <w:bottom w:w="80" w:type="dxa"/>
            </w:tcMar>
            <w:vAlign w:val="center"/>
          </w:tcPr>
          <w:p>
            <w:pPr>
              <w:pStyle w:val="TableContents"/>
              <w:bidi w:val="0"/>
              <w:spacing w:before="0" w:after="283"/>
              <w:jc w:val="right"/>
              <w:rPr/>
            </w:pPr>
            <w:r>
              <w:rPr/>
              <w:t>–</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90" w:type="dxa"/>
            <w:tcBorders>
              <w:bottom w:val="single" w:sz="8" w:space="0" w:color="F7ACBA"/>
            </w:tcBorders>
            <w:tcMar>
              <w:bottom w:w="80" w:type="dxa"/>
            </w:tcMar>
            <w:vAlign w:val="center"/>
          </w:tcPr>
          <w:p>
            <w:pPr>
              <w:pStyle w:val="TableContents"/>
              <w:bidi w:val="0"/>
              <w:spacing w:before="0" w:after="283"/>
              <w:jc w:val="left"/>
              <w:rPr/>
            </w:pPr>
            <w:r>
              <w:rPr/>
              <w:t> </w:t>
            </w:r>
          </w:p>
        </w:tc>
        <w:tc>
          <w:tcPr>
            <w:tcW w:w="1655" w:type="dxa"/>
            <w:tcBorders>
              <w:bottom w:val="single" w:sz="8" w:space="0" w:color="F7ACBA"/>
            </w:tcBorders>
            <w:tcMar>
              <w:bottom w:w="80" w:type="dxa"/>
            </w:tcMar>
            <w:vAlign w:val="center"/>
          </w:tcPr>
          <w:p>
            <w:pPr>
              <w:pStyle w:val="TableContents"/>
              <w:bidi w:val="0"/>
              <w:spacing w:before="0" w:after="283"/>
              <w:jc w:val="right"/>
              <w:rPr/>
            </w:pPr>
            <w:r>
              <w:rPr/>
              <w:t>5,687,051</w:t>
            </w:r>
          </w:p>
        </w:tc>
        <w:tc>
          <w:tcPr>
            <w:tcW w:w="75" w:type="dxa"/>
            <w:tcBorders>
              <w:bottom w:val="single" w:sz="8" w:space="0" w:color="F7ACBA"/>
            </w:tcBorders>
            <w:tcMar>
              <w:bottom w:w="80" w:type="dxa"/>
            </w:tcMar>
            <w:vAlign w:val="center"/>
          </w:tcPr>
          <w:p>
            <w:pPr>
              <w:pStyle w:val="TableContents"/>
              <w:bidi w:val="0"/>
              <w:spacing w:before="0" w:after="283"/>
              <w:jc w:val="left"/>
              <w:rPr/>
            </w:pPr>
            <w:r>
              <w:rPr/>
              <w:t> </w:t>
            </w:r>
          </w:p>
        </w:tc>
      </w:tr>
    </w:tbl>
    <w:p>
      <w:pPr>
        <w:pStyle w:val="TextBody"/>
        <w:bidi w:val="0"/>
        <w:spacing w:before="80" w:after="0"/>
        <w:jc w:val="left"/>
        <w:rPr>
          <w:rFonts w:ascii="arial" w:hAnsi="arial"/>
          <w:sz w:val="14"/>
          <w:shd w:fill="FFFFFF" w:val="clear"/>
        </w:rPr>
      </w:pPr>
      <w:r>
        <w:rPr>
          <w:rFonts w:ascii="arial" w:hAnsi="arial"/>
          <w:sz w:val="14"/>
          <w:shd w:fill="FFFFFF" w:val="clear"/>
        </w:rPr>
        <w:t xml:space="preserve">(i) PSU awards assume payout performance in alignment with accruals at each fiscal year end. Stock option volatility for Black Scholes valuations </w:t>
      </w:r>
    </w:p>
    <w:p>
      <w:pPr>
        <w:pStyle w:val="TextBody"/>
        <w:bidi w:val="0"/>
        <w:spacing w:before="80" w:after="0"/>
        <w:jc w:val="left"/>
        <w:rPr>
          <w:rFonts w:ascii="arial" w:hAnsi="arial"/>
          <w:sz w:val="14"/>
          <w:shd w:fill="FFFFFF" w:val="clear"/>
        </w:rPr>
      </w:pPr>
      <w:r>
        <w:rPr>
          <w:rFonts w:ascii="arial" w:hAnsi="arial"/>
          <w:sz w:val="14"/>
          <w:shd w:fill="FFFFFF" w:val="clear"/>
        </w:rPr>
        <w:t>pre-spinoff</w:t>
      </w:r>
    </w:p>
    <w:p>
      <w:pPr>
        <w:pStyle w:val="TextBody"/>
        <w:bidi w:val="0"/>
        <w:spacing w:before="80" w:after="0"/>
        <w:jc w:val="left"/>
        <w:rPr>
          <w:rFonts w:ascii="arial" w:hAnsi="arial"/>
          <w:sz w:val="14"/>
          <w:shd w:fill="FFFFFF" w:val="clear"/>
        </w:rPr>
      </w:pPr>
      <w:r>
        <w:rPr>
          <w:rFonts w:ascii="arial" w:hAnsi="arial"/>
          <w:sz w:val="14"/>
          <w:shd w:fill="FFFFFF" w:val="clear"/>
        </w:rPr>
        <w:t xml:space="preserve">is based on the historical L Brands volatility measured over a </w:t>
      </w:r>
    </w:p>
    <w:p>
      <w:pPr>
        <w:pStyle w:val="TextBody"/>
        <w:bidi w:val="0"/>
        <w:spacing w:before="80" w:after="0"/>
        <w:jc w:val="left"/>
        <w:rPr>
          <w:rFonts w:ascii="arial" w:hAnsi="arial"/>
          <w:sz w:val="14"/>
          <w:shd w:fill="FFFFFF" w:val="clear"/>
        </w:rPr>
      </w:pPr>
      <w:r>
        <w:rPr>
          <w:rFonts w:ascii="arial" w:hAnsi="arial"/>
          <w:sz w:val="14"/>
          <w:shd w:fill="FFFFFF" w:val="clear"/>
        </w:rPr>
        <w:t>4.7-year</w:t>
      </w:r>
    </w:p>
    <w:p>
      <w:pPr>
        <w:pStyle w:val="TextBody"/>
        <w:bidi w:val="0"/>
        <w:spacing w:before="80" w:after="0"/>
        <w:jc w:val="left"/>
        <w:rPr>
          <w:rFonts w:ascii="arial" w:hAnsi="arial"/>
          <w:sz w:val="14"/>
          <w:shd w:fill="FFFFFF" w:val="clear"/>
        </w:rPr>
      </w:pPr>
      <w:r>
        <w:rPr>
          <w:rFonts w:ascii="arial" w:hAnsi="arial"/>
          <w:sz w:val="14"/>
          <w:shd w:fill="FFFFFF" w:val="clear"/>
        </w:rPr>
        <w:t xml:space="preserve">period (expected life at grant date for the most recent options granted by L Brands). Stock option volatility for Black Scholes valuations post-spinoff is based on the average volatility of peers in the S&amp;P 1500 Specialty Retail Index using 10 years of daily historical stock price data due to the limited stock history for VS&amp;Co. Utilizes an expected life of 4.73 years from stock options granted March 16, 2021, adjusted for time elapsed from grant date to measurement date (e.g., period end date or vesting date) and adjusted for the percentage the award is </w:t>
      </w:r>
    </w:p>
    <w:p>
      <w:pPr>
        <w:pStyle w:val="TextBody"/>
        <w:bidi w:val="0"/>
        <w:spacing w:before="80" w:after="0"/>
        <w:jc w:val="left"/>
        <w:rPr>
          <w:rFonts w:ascii="arial" w:hAnsi="arial"/>
          <w:sz w:val="14"/>
          <w:shd w:fill="FFFFFF" w:val="clear"/>
        </w:rPr>
      </w:pPr>
      <w:r>
        <w:rPr>
          <w:rFonts w:ascii="arial" w:hAnsi="arial"/>
          <w:sz w:val="14"/>
          <w:shd w:fill="FFFFFF" w:val="clear"/>
        </w:rPr>
        <w:t>in-the-money</w:t>
      </w:r>
    </w:p>
    <w:p>
      <w:pPr>
        <w:pStyle w:val="TextBody"/>
        <w:bidi w:val="0"/>
        <w:spacing w:before="80" w:after="0"/>
        <w:jc w:val="left"/>
        <w:rPr>
          <w:rFonts w:ascii="arial" w:hAnsi="arial"/>
          <w:sz w:val="14"/>
          <w:shd w:fill="FFFFFF" w:val="clear"/>
        </w:rPr>
      </w:pPr>
      <w:r>
        <w:rPr>
          <w:rFonts w:ascii="arial" w:hAnsi="arial"/>
          <w:sz w:val="14"/>
          <w:shd w:fill="FFFFFF" w:val="clear"/>
        </w:rPr>
        <w:t xml:space="preserve">or </w:t>
      </w:r>
    </w:p>
    <w:p>
      <w:pPr>
        <w:pStyle w:val="TextBody"/>
        <w:bidi w:val="0"/>
        <w:spacing w:before="80" w:after="0"/>
        <w:jc w:val="left"/>
        <w:rPr>
          <w:rFonts w:ascii="arial" w:hAnsi="arial"/>
          <w:sz w:val="14"/>
          <w:shd w:fill="FFFFFF" w:val="clear"/>
        </w:rPr>
      </w:pPr>
      <w:r>
        <w:rPr>
          <w:rFonts w:ascii="arial" w:hAnsi="arial"/>
          <w:sz w:val="14"/>
          <w:shd w:fill="FFFFFF" w:val="clear"/>
        </w:rPr>
        <w:t>out-of-the-money.</w:t>
      </w:r>
    </w:p>
    <w:p>
      <w:pPr>
        <w:pStyle w:val="TextBody"/>
        <w:bidi w:val="0"/>
        <w:spacing w:before="80" w:after="0"/>
        <w:jc w:val="left"/>
        <w:rPr>
          <w:rFonts w:ascii="arial" w:hAnsi="arial"/>
          <w:sz w:val="14"/>
          <w:shd w:fill="FFFFFF" w:val="clear"/>
        </w:rPr>
      </w:pPr>
      <w:r>
        <w:rPr>
          <w:rFonts w:ascii="arial" w:hAnsi="arial"/>
          <w:sz w:val="14"/>
          <w:shd w:fill="FFFFFF" w:val="clear"/>
        </w:rPr>
        <w:t xml:space="preserve">1% dividend yield used for </w:t>
      </w:r>
    </w:p>
    <w:p>
      <w:pPr>
        <w:pStyle w:val="TextBody"/>
        <w:bidi w:val="0"/>
        <w:spacing w:before="80" w:after="0"/>
        <w:jc w:val="left"/>
        <w:rPr>
          <w:rFonts w:ascii="arial" w:hAnsi="arial"/>
          <w:sz w:val="14"/>
          <w:shd w:fill="FFFFFF" w:val="clear"/>
        </w:rPr>
      </w:pPr>
      <w:r>
        <w:rPr>
          <w:rFonts w:ascii="arial" w:hAnsi="arial"/>
          <w:sz w:val="14"/>
          <w:shd w:fill="FFFFFF" w:val="clear"/>
        </w:rPr>
        <w:t>pre-spinoff</w:t>
      </w:r>
    </w:p>
    <w:p>
      <w:pPr>
        <w:pStyle w:val="TextBody"/>
        <w:bidi w:val="0"/>
        <w:spacing w:before="80" w:after="0"/>
        <w:jc w:val="left"/>
        <w:rPr>
          <w:rFonts w:ascii="arial" w:hAnsi="arial"/>
          <w:sz w:val="14"/>
          <w:shd w:fill="FFFFFF" w:val="clear"/>
        </w:rPr>
      </w:pPr>
      <w:r>
        <w:rPr>
          <w:rFonts w:ascii="arial" w:hAnsi="arial"/>
          <w:sz w:val="14"/>
          <w:shd w:fill="FFFFFF" w:val="clear"/>
        </w:rPr>
        <w:t xml:space="preserve">measurement dates consistent with the dividend yield from the March 16, 2021 annual grant. 0% dividend yield used for measurement dates post-spinoff due to VS&amp;Co having no history of granting dividends and no plans to grant dividends in the near </w:t>
      </w:r>
    </w:p>
    <w:p>
      <w:pPr>
        <w:pStyle w:val="TextBody"/>
        <w:bidi w:val="0"/>
        <w:spacing w:before="80" w:after="0"/>
        <w:jc w:val="left"/>
        <w:rPr>
          <w:rFonts w:ascii="arial" w:hAnsi="arial"/>
          <w:sz w:val="14"/>
          <w:shd w:fill="FFFFFF" w:val="clear"/>
        </w:rPr>
      </w:pPr>
      <w:r>
        <w:rPr>
          <w:rFonts w:ascii="arial" w:hAnsi="arial"/>
          <w:sz w:val="14"/>
          <w:shd w:fill="FFFFFF" w:val="clear"/>
        </w:rPr>
        <w:t>future</w:t>
      </w:r>
    </w:p>
    <w:p>
      <w:pPr>
        <w:pStyle w:val="TextBody"/>
        <w:bidi w:val="0"/>
        <w:spacing w:before="80" w:after="0"/>
        <w:jc w:val="left"/>
        <w:rPr>
          <w:rFonts w:ascii="arial" w:hAnsi="arial"/>
          <w:sz w:val="14"/>
          <w:shd w:fill="FFFFFF" w:val="clear"/>
        </w:rPr>
      </w:pPr>
      <w:r>
        <w:rPr>
          <w:rFonts w:ascii="arial" w:hAnsi="arial"/>
          <w:sz w:val="14"/>
          <w:shd w:fill="FFFFFF" w:val="clear"/>
        </w:rPr>
        <w:t xml:space="preserve">. The risk-free rate utilized in the Black Scholes valuations is based on treasury constant maturity yields as reported in the H.15 Federal Reserve Statistical Release for the respective valuation date with a term corresponding to the expected life for the award at the measurement date.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(3)</w:t>
            </w:r>
          </w:p>
        </w:tc>
        <w:tc>
          <w:tcPr>
            <w:tcW w:w="9922" w:type="dxa"/>
            <w:tcBorders/>
            <w:vAlign w:val="center"/>
          </w:tcPr>
          <w:p>
            <w:pPr>
              <w:pStyle w:val="TableContents"/>
              <w:bidi w:val="0"/>
              <w:spacing w:before="0" w:after="0"/>
              <w:jc w:val="left"/>
              <w:rPr>
                <w:rFonts w:ascii="arial" w:hAnsi="arial"/>
                <w:sz w:val="14"/>
              </w:rPr>
            </w:pPr>
            <w:r>
              <w:rPr>
                <w:rFonts w:ascii="arial" w:hAnsi="arial"/>
                <w:sz w:val="14"/>
              </w:rPr>
              <w:t xml:space="preserve">The Company Total Shareholder Return (“TSR”) and the Peer Group </w:t>
            </w:r>
          </w:p>
          <w:p>
            <w:pPr>
              <w:pStyle w:val="TableContents"/>
              <w:bidi w:val="0"/>
              <w:spacing w:before="0" w:after="0"/>
              <w:jc w:val="left"/>
              <w:rPr>
                <w:rFonts w:ascii="arial" w:hAnsi="arial"/>
                <w:sz w:val="14"/>
              </w:rPr>
            </w:pPr>
            <w:r>
              <w:rPr>
                <w:rFonts w:ascii="arial" w:hAnsi="arial"/>
                <w:sz w:val="14"/>
              </w:rPr>
              <w:t xml:space="preserve">TSR </w:t>
            </w:r>
          </w:p>
          <w:p>
            <w:pPr>
              <w:pStyle w:val="TableContents"/>
              <w:bidi w:val="0"/>
              <w:spacing w:before="0" w:after="0"/>
              <w:jc w:val="left"/>
              <w:rPr>
                <w:rFonts w:ascii="arial" w:hAnsi="arial"/>
                <w:sz w:val="14"/>
              </w:rPr>
            </w:pPr>
            <w:r>
              <w:rPr>
                <w:rFonts w:ascii="arial" w:hAnsi="arial"/>
                <w:sz w:val="14"/>
              </w:rPr>
              <w:t xml:space="preserve">reflected in these columns for each applicable fiscal year is calculated based on a fixed investment of $100 at the applicable measurement point on the same cumulative basis as is used in Item 201(e) of Regulation </w:t>
            </w:r>
          </w:p>
          <w:p>
            <w:pPr>
              <w:pStyle w:val="TableContents"/>
              <w:bidi w:val="0"/>
              <w:spacing w:before="0" w:after="0"/>
              <w:jc w:val="left"/>
              <w:rPr>
                <w:rFonts w:ascii="arial" w:hAnsi="arial"/>
                <w:sz w:val="14"/>
              </w:rPr>
            </w:pPr>
            <w:r>
              <w:rPr>
                <w:rFonts w:ascii="arial" w:hAnsi="arial"/>
                <w:sz w:val="14"/>
              </w:rPr>
              <w:t>S-K.</w:t>
            </w:r>
          </w:p>
          <w:p>
            <w:pPr>
              <w:pStyle w:val="TableContents"/>
              <w:bidi w:val="0"/>
              <w:spacing w:before="0" w:after="0"/>
              <w:jc w:val="left"/>
              <w:rPr>
                <w:rFonts w:ascii="arial" w:hAnsi="arial"/>
                <w:sz w:val="14"/>
              </w:rPr>
            </w:pPr>
            <w:r>
              <w:rPr>
                <w:rFonts w:ascii="arial" w:hAnsi="arial"/>
                <w:sz w:val="14"/>
              </w:rPr>
              <w:t xml:space="preserve">The peer group used to determine the Peer Group TSR for each applicable fiscal year is the following published industry index, as disclosed in our 2023 Annual Report pursuant to Item 201(e) of Regulation </w:t>
            </w:r>
          </w:p>
          <w:p>
            <w:pPr>
              <w:pStyle w:val="TableContents"/>
              <w:bidi w:val="0"/>
              <w:spacing w:before="0" w:after="0"/>
              <w:jc w:val="left"/>
              <w:rPr>
                <w:rFonts w:ascii="arial" w:hAnsi="arial"/>
                <w:sz w:val="14"/>
              </w:rPr>
            </w:pPr>
            <w:r>
              <w:rPr>
                <w:rFonts w:ascii="arial" w:hAnsi="arial"/>
                <w:sz w:val="14"/>
              </w:rPr>
              <w:t>S-K:</w:t>
            </w:r>
          </w:p>
          <w:p>
            <w:pPr>
              <w:pStyle w:val="TableContents"/>
              <w:bidi w:val="0"/>
              <w:spacing w:before="0" w:after="0"/>
              <w:jc w:val="left"/>
              <w:rPr>
                <w:rFonts w:ascii="arial" w:hAnsi="arial"/>
                <w:sz w:val="14"/>
              </w:rPr>
            </w:pPr>
            <w:r>
              <w:rPr>
                <w:rFonts w:ascii="arial" w:hAnsi="arial"/>
                <w:sz w:val="14"/>
              </w:rPr>
              <w:t xml:space="preserve">the S&amp;P 500 Consumer Discretionary Distribution &amp; Retail Index.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(4)</w:t>
            </w:r>
          </w:p>
        </w:tc>
        <w:tc>
          <w:tcPr>
            <w:tcW w:w="9925" w:type="dxa"/>
            <w:tcBorders/>
            <w:vAlign w:val="center"/>
          </w:tcPr>
          <w:p>
            <w:pPr>
              <w:pStyle w:val="TableContents"/>
              <w:bidi w:val="0"/>
              <w:spacing w:before="0" w:after="0"/>
              <w:jc w:val="left"/>
              <w:rPr>
                <w:rFonts w:ascii="arial" w:hAnsi="arial"/>
                <w:sz w:val="14"/>
              </w:rPr>
            </w:pPr>
            <w:r>
              <w:rPr>
                <w:rFonts w:ascii="arial" w:hAnsi="arial"/>
                <w:sz w:val="14"/>
              </w:rPr>
              <w:t xml:space="preserve">We have selected operating income as our most important financial measure (that is not otherwise required to be disclosed in the table) used to link Compensation Actually Paid to our NEOs to company performance for fiscal 2023. </w:t>
            </w:r>
          </w:p>
        </w:tc>
      </w:tr>
    </w:tbl>
    <w:p>
      <w:pPr>
        <w:pStyle w:val="TextBody"/>
        <w:bidi w:val="0"/>
        <w:spacing w:before="0" w:after="0"/>
        <w:jc w:val="left"/>
        <w:rPr>
          <w:shd w:fill="FFFFFF" w:val="clear"/>
        </w:rPr>
      </w:pPr>
      <w:r>
        <w:rPr>
          <w:shd w:fill="FFFFFF" w:val="clea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27"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16" descr=""/>
                          <pic:cNvPicPr>
                            <a:picLocks noChangeAspect="1" noChangeArrowheads="1"/>
                          </pic:cNvPicPr>
                        </pic:nvPicPr>
                        <pic:blipFill>
                          <a:blip r:embed="rId117"/>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jc w:val="center"/>
              <w:rPr>
                <w:color w:val="F7ACBA"/>
                <w:spacing w:val="0"/>
              </w:rPr>
            </w:pPr>
            <w:r>
              <w:rPr>
                <w:color w:val="F7ACBA"/>
                <w:spacing w:val="0"/>
              </w:rPr>
              <w:t> </w:t>
            </w:r>
            <w:r>
              <w:rPr>
                <w:b/>
                <w:color w:val="F7ACBA"/>
                <w:spacing w:val="0"/>
              </w:rPr>
              <w:t>72 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0"/>
              <w:jc w:val="left"/>
              <w:rPr>
                <w:rFonts w:ascii="arial" w:hAnsi="arial"/>
                <w:spacing w:val="0"/>
                <w:sz w:val="16"/>
              </w:rPr>
            </w:pPr>
            <w:r>
              <w:rPr>
                <w:rFonts w:ascii="arial" w:hAnsi="arial"/>
                <w:spacing w:val="0"/>
                <w:sz w:val="16"/>
              </w:rPr>
              <w:t>2024 PROXY STATEMENT</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right"/>
        <w:rPr>
          <w:rFonts w:ascii="ARIAL" w:hAnsi="ARIAL"/>
          <w:b/>
          <w:sz w:val="14"/>
          <w:shd w:fill="FFFFFF" w:val="clear"/>
        </w:rPr>
      </w:pPr>
      <w:r>
        <w:rPr>
          <w:rFonts w:ascii="ARIAL" w:hAnsi="ARIAL"/>
          <w:b/>
          <w:sz w:val="14"/>
          <w:shd w:fill="FFFFFF" w:val="clear"/>
        </w:rPr>
        <w:t xml:space="preserve">COMPENSATION DISCUSSION AND ANALYSIS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arial" w:hAnsi="arial"/>
          <w:b/>
          <w:color w:val="F7ACBA"/>
          <w:spacing w:val="0"/>
          <w:sz w:val="24"/>
          <w:shd w:fill="FFFFFF" w:val="clear"/>
        </w:rPr>
      </w:pPr>
      <w:r>
        <w:rPr>
          <w:rFonts w:ascii="arial" w:hAnsi="arial"/>
          <w:b/>
          <w:color w:val="F7ACBA"/>
          <w:spacing w:val="0"/>
          <w:sz w:val="24"/>
          <w:shd w:fill="FFFFFF" w:val="clear"/>
        </w:rPr>
        <w:t xml:space="preserve">Pay Versus Performance Comparative Disclosure </w:t>
      </w:r>
    </w:p>
    <w:p>
      <w:pPr>
        <w:pStyle w:val="TextBody"/>
        <w:bidi w:val="0"/>
        <w:spacing w:before="60" w:after="0"/>
        <w:jc w:val="left"/>
        <w:rPr>
          <w:rFonts w:ascii="arial" w:hAnsi="arial"/>
          <w:sz w:val="18"/>
          <w:shd w:fill="FFFFFF" w:val="clear"/>
        </w:rPr>
      </w:pPr>
      <w:r>
        <w:rPr>
          <w:rFonts w:ascii="arial" w:hAnsi="arial"/>
          <w:sz w:val="18"/>
          <w:shd w:fill="FFFFFF" w:val="clear"/>
        </w:rPr>
        <w:t xml:space="preserve">As described in more detail in the Compensation Program section in the CD&amp;A, the Company’s executive compensation program reflects a variable </w:t>
      </w:r>
    </w:p>
    <w:p>
      <w:pPr>
        <w:pStyle w:val="TextBody"/>
        <w:bidi w:val="0"/>
        <w:spacing w:before="60" w:after="0"/>
        <w:jc w:val="left"/>
        <w:rPr>
          <w:rFonts w:ascii="arial" w:hAnsi="arial"/>
          <w:spacing w:val="0"/>
          <w:sz w:val="18"/>
          <w:shd w:fill="FFFFFF" w:val="clear"/>
        </w:rPr>
      </w:pPr>
      <w:r>
        <w:rPr>
          <w:rFonts w:ascii="arial" w:hAnsi="arial"/>
          <w:spacing w:val="0"/>
          <w:sz w:val="18"/>
          <w:shd w:fill="FFFFFF" w:val="clear"/>
        </w:rPr>
        <w:t>pay-for-performance</w:t>
      </w:r>
    </w:p>
    <w:p>
      <w:pPr>
        <w:pStyle w:val="TextBody"/>
        <w:bidi w:val="0"/>
        <w:spacing w:before="60" w:after="0"/>
        <w:jc w:val="left"/>
        <w:rPr>
          <w:rFonts w:ascii="arial" w:hAnsi="arial"/>
          <w:sz w:val="18"/>
          <w:shd w:fill="FFFFFF" w:val="clear"/>
        </w:rPr>
      </w:pPr>
      <w:r>
        <w:rPr>
          <w:rFonts w:ascii="arial" w:hAnsi="arial"/>
          <w:sz w:val="18"/>
          <w:shd w:fill="FFFFFF" w:val="clear"/>
        </w:rPr>
        <w:t xml:space="preserve">philosophy. While the Company utilizes several performance measures to align executive compensation with Company performance, all of those Company measures are not presented in the table above. Further, the Company generally seeks to incentivize long-term performance, and therefore does not specifically align the Company’s performance measures with Compensation Actually Paid for a particular year (as computed in accordance with Item 402(v) of Regulation </w:t>
      </w:r>
    </w:p>
    <w:p>
      <w:pPr>
        <w:pStyle w:val="TextBody"/>
        <w:bidi w:val="0"/>
        <w:spacing w:before="60" w:after="0"/>
        <w:jc w:val="left"/>
        <w:rPr>
          <w:rFonts w:ascii="arial" w:hAnsi="arial"/>
          <w:spacing w:val="0"/>
          <w:sz w:val="18"/>
          <w:shd w:fill="FFFFFF" w:val="clear"/>
        </w:rPr>
      </w:pPr>
      <w:r>
        <w:rPr>
          <w:rFonts w:ascii="arial" w:hAnsi="arial"/>
          <w:spacing w:val="0"/>
          <w:sz w:val="18"/>
          <w:shd w:fill="FFFFFF" w:val="clear"/>
        </w:rPr>
        <w:t>S-K).</w:t>
      </w:r>
    </w:p>
    <w:p>
      <w:pPr>
        <w:pStyle w:val="TextBody"/>
        <w:bidi w:val="0"/>
        <w:spacing w:before="120" w:after="0"/>
        <w:jc w:val="left"/>
        <w:rPr>
          <w:rFonts w:ascii="arial" w:hAnsi="arial"/>
          <w:sz w:val="18"/>
          <w:shd w:fill="FFFFFF" w:val="clear"/>
        </w:rPr>
      </w:pPr>
      <w:r>
        <w:rPr>
          <w:rFonts w:ascii="arial" w:hAnsi="arial"/>
          <w:sz w:val="18"/>
          <w:shd w:fill="FFFFFF" w:val="clear"/>
        </w:rPr>
        <w:t xml:space="preserve">In accordance with Item 402(v) of Regulation </w:t>
      </w:r>
    </w:p>
    <w:p>
      <w:pPr>
        <w:pStyle w:val="TextBody"/>
        <w:bidi w:val="0"/>
        <w:spacing w:before="120" w:after="0"/>
        <w:jc w:val="left"/>
        <w:rPr>
          <w:rFonts w:ascii="arial" w:hAnsi="arial"/>
          <w:spacing w:val="0"/>
          <w:sz w:val="18"/>
          <w:shd w:fill="FFFFFF" w:val="clear"/>
        </w:rPr>
      </w:pPr>
      <w:r>
        <w:rPr>
          <w:rFonts w:ascii="arial" w:hAnsi="arial"/>
          <w:spacing w:val="0"/>
          <w:sz w:val="18"/>
          <w:shd w:fill="FFFFFF" w:val="clear"/>
        </w:rPr>
        <w:t>S-K,</w:t>
      </w:r>
    </w:p>
    <w:p>
      <w:pPr>
        <w:pStyle w:val="TextBody"/>
        <w:bidi w:val="0"/>
        <w:spacing w:before="120" w:after="0"/>
        <w:jc w:val="left"/>
        <w:rPr>
          <w:rFonts w:ascii="arial" w:hAnsi="arial"/>
          <w:sz w:val="18"/>
          <w:shd w:fill="FFFFFF" w:val="clear"/>
        </w:rPr>
      </w:pPr>
      <w:r>
        <w:rPr>
          <w:rFonts w:ascii="arial" w:hAnsi="arial"/>
          <w:sz w:val="18"/>
          <w:shd w:fill="FFFFFF" w:val="clear"/>
        </w:rPr>
        <w:t xml:space="preserve">the Company is providing the following descriptions of the relationships between the information presented in the table above. </w:t>
      </w:r>
    </w:p>
    <w:p>
      <w:pPr>
        <w:pStyle w:val="TextBody"/>
        <w:bidi w:val="0"/>
        <w:spacing w:before="240" w:after="0"/>
        <w:jc w:val="left"/>
        <w:rPr>
          <w:rFonts w:ascii="Times New Roman" w:hAnsi="Times New Roman"/>
          <w:i/>
          <w:caps w:val="false"/>
          <w:smallCaps w:val="false"/>
          <w:spacing w:val="0"/>
          <w:sz w:val="24"/>
          <w:shd w:fill="FFFFFF" w:val="clear"/>
        </w:rPr>
      </w:pPr>
      <w:r>
        <w:rPr>
          <w:rFonts w:ascii="Times New Roman" w:hAnsi="Times New Roman"/>
          <w:i/>
          <w:caps w:val="false"/>
          <w:smallCaps w:val="false"/>
          <w:spacing w:val="0"/>
          <w:sz w:val="24"/>
          <w:shd w:fill="FFFFFF" w:val="clear"/>
        </w:rPr>
        <w:t xml:space="preserve">Company TSR and Peer Group TSR </w:t>
      </w:r>
    </w:p>
    <w:p>
      <w:pPr>
        <w:pStyle w:val="TextBody"/>
        <w:bidi w:val="0"/>
        <w:spacing w:before="60" w:after="0"/>
        <w:jc w:val="left"/>
        <w:rPr>
          <w:rFonts w:ascii="arial" w:hAnsi="arial"/>
          <w:sz w:val="18"/>
          <w:shd w:fill="FFFFFF" w:val="clear"/>
        </w:rPr>
      </w:pPr>
      <w:r>
        <w:rPr>
          <w:rFonts w:ascii="arial" w:hAnsi="arial"/>
          <w:sz w:val="18"/>
          <w:shd w:fill="FFFFFF" w:val="clear"/>
        </w:rPr>
        <w:t xml:space="preserve">The chart below compares VS&amp;Co’s TSR performance to the TSR performance of the S&amp;P 500 Consumer Discretionary Distribution &amp; Retail Index. </w:t>
      </w:r>
    </w:p>
    <w:p>
      <w:pPr>
        <w:pStyle w:val="TextBody"/>
        <w:bidi w:val="0"/>
        <w:spacing w:before="0" w:after="0"/>
        <w:jc w:val="left"/>
        <w:rPr>
          <w:shd w:fill="FFFFFF" w:val="clear"/>
        </w:rPr>
      </w:pPr>
      <w:r>
        <w:rPr>
          <w:shd w:fill="FFFFFF" w:val="clear"/>
        </w:rPr>
        <w:t> </w:t>
      </w:r>
    </w:p>
    <w:p>
      <w:pPr>
        <w:pStyle w:val="TextBody"/>
        <w:bidi w:val="0"/>
        <w:spacing w:before="0" w:after="0"/>
        <w:jc w:val="left"/>
        <w:rPr>
          <w:shd w:fill="FFFFFF" w:val="clear"/>
        </w:rPr>
      </w:pPr>
      <w:r>
        <w:rPr>
          <w:shd w:fill="FFFFFF" w:val="clear"/>
        </w:rPr>
        <w:t> </w:t>
      </w:r>
    </w:p>
    <w:p>
      <w:pPr>
        <w:pStyle w:val="TextBody"/>
        <w:bidi w:val="0"/>
        <w:spacing w:before="0" w:after="0"/>
        <w:jc w:val="center"/>
        <w:rPr>
          <w:shd w:fill="FFFFFF" w:val="clear"/>
        </w:rPr>
      </w:pPr>
      <w:r>
        <w:rPr>
          <w:shd w:fill="FFFFFF" w:val="clear"/>
        </w:rPr>
        <w:drawing>
          <wp:inline distT="0" distB="0" distL="0" distR="0">
            <wp:extent cx="339725" cy="214630"/>
            <wp:effectExtent l="0" t="0" r="0" b="0"/>
            <wp:docPr id="128"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17" descr=""/>
                    <pic:cNvPicPr>
                      <a:picLocks noChangeAspect="1" noChangeArrowheads="1"/>
                    </pic:cNvPicPr>
                  </pic:nvPicPr>
                  <pic:blipFill>
                    <a:blip r:embed="rId118"/>
                    <a:stretch>
                      <a:fillRect/>
                    </a:stretch>
                  </pic:blipFill>
                  <pic:spPr bwMode="auto">
                    <a:xfrm>
                      <a:off x="0" y="0"/>
                      <a:ext cx="339725" cy="214630"/>
                    </a:xfrm>
                    <a:prstGeom prst="rect">
                      <a:avLst/>
                    </a:prstGeom>
                  </pic:spPr>
                </pic:pic>
              </a:graphicData>
            </a:graphic>
          </wp:inline>
        </w:drawing>
      </w:r>
      <w:r>
        <w:rPr>
          <w:shd w:fill="FFFFFF" w:val="clear"/>
        </w:rPr>
        <w:t xml:space="preserve"> </w:t>
      </w:r>
    </w:p>
    <w:p>
      <w:pPr>
        <w:pStyle w:val="TextBody"/>
        <w:bidi w:val="0"/>
        <w:spacing w:before="0" w:after="0"/>
        <w:jc w:val="left"/>
        <w:rPr>
          <w:shd w:fill="FFFFFF" w:val="clear"/>
        </w:rPr>
      </w:pPr>
      <w:r>
        <w:rPr>
          <w:shd w:fill="FFFFFF" w:val="clea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29"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18" descr=""/>
                          <pic:cNvPicPr>
                            <a:picLocks noChangeAspect="1" noChangeArrowheads="1"/>
                          </pic:cNvPicPr>
                        </pic:nvPicPr>
                        <pic:blipFill>
                          <a:blip r:embed="rId119"/>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jc w:val="center"/>
              <w:rPr>
                <w:color w:val="F7ACBA"/>
                <w:spacing w:val="0"/>
              </w:rPr>
            </w:pPr>
            <w:r>
              <w:rPr>
                <w:color w:val="F7ACBA"/>
                <w:spacing w:val="0"/>
              </w:rPr>
              <w:t> </w:t>
            </w:r>
            <w:r>
              <w:rPr>
                <w:b/>
                <w:color w:val="F7ACBA"/>
                <w:spacing w:val="0"/>
              </w:rPr>
              <w:t>73 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0"/>
              <w:jc w:val="left"/>
              <w:rPr>
                <w:rFonts w:ascii="arial" w:hAnsi="arial"/>
                <w:spacing w:val="0"/>
                <w:sz w:val="16"/>
              </w:rPr>
            </w:pPr>
            <w:r>
              <w:rPr>
                <w:rFonts w:ascii="arial" w:hAnsi="arial"/>
                <w:spacing w:val="0"/>
                <w:sz w:val="16"/>
              </w:rPr>
              <w:t>2024 PROXY STATEMENT</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ARIAL" w:hAnsi="ARIAL"/>
          <w:b/>
          <w:sz w:val="14"/>
          <w:shd w:fill="FFFFFF" w:val="clear"/>
        </w:rPr>
      </w:pPr>
      <w:r>
        <w:rPr>
          <w:rFonts w:ascii="ARIAL" w:hAnsi="ARIAL"/>
          <w:b/>
          <w:sz w:val="14"/>
          <w:shd w:fill="FFFFFF" w:val="clear"/>
        </w:rPr>
        <w:t xml:space="preserve">COMPENSATION DISCUSSION AND ANALYSIS </w:t>
      </w:r>
    </w:p>
    <w:p>
      <w:pPr>
        <w:pStyle w:val="TextBody"/>
        <w:bidi w:val="0"/>
        <w:spacing w:before="0" w:after="0"/>
        <w:jc w:val="left"/>
        <w:rPr>
          <w:shd w:fill="FFFFFF" w:val="clear"/>
        </w:rPr>
      </w:pPr>
      <w:r>
        <w:rPr>
          <w:shd w:fill="FFFFFF" w:val="clear"/>
        </w:rPr>
        <w:t> </w:t>
      </w:r>
    </w:p>
    <w:p>
      <w:pPr>
        <w:pStyle w:val="TextBody"/>
        <w:bidi w:val="0"/>
        <w:spacing w:before="0" w:after="0"/>
        <w:jc w:val="left"/>
        <w:rPr>
          <w:rFonts w:ascii="Times New Roman" w:hAnsi="Times New Roman"/>
          <w:i/>
          <w:caps w:val="false"/>
          <w:smallCaps w:val="false"/>
          <w:spacing w:val="0"/>
          <w:sz w:val="24"/>
          <w:shd w:fill="FFFFFF" w:val="clear"/>
        </w:rPr>
      </w:pPr>
      <w:r>
        <w:rPr>
          <w:rFonts w:ascii="Times New Roman" w:hAnsi="Times New Roman"/>
          <w:i/>
          <w:caps w:val="false"/>
          <w:smallCaps w:val="false"/>
          <w:spacing w:val="0"/>
          <w:sz w:val="24"/>
          <w:shd w:fill="FFFFFF" w:val="clear"/>
        </w:rPr>
        <w:t xml:space="preserve">Compensation Actually Paid and Certain Financial Measures </w:t>
      </w:r>
    </w:p>
    <w:p>
      <w:pPr>
        <w:pStyle w:val="TextBody"/>
        <w:bidi w:val="0"/>
        <w:spacing w:before="60" w:after="0"/>
        <w:jc w:val="left"/>
        <w:rPr>
          <w:rFonts w:ascii="arial" w:hAnsi="arial"/>
          <w:sz w:val="18"/>
          <w:shd w:fill="FFFFFF" w:val="clear"/>
        </w:rPr>
      </w:pPr>
      <w:r>
        <w:rPr>
          <w:rFonts w:ascii="arial" w:hAnsi="arial"/>
          <w:sz w:val="18"/>
          <w:shd w:fill="FFFFFF" w:val="clear"/>
        </w:rPr>
        <w:t xml:space="preserve">As shown in the chart below, the PEO and average </w:t>
      </w:r>
    </w:p>
    <w:p>
      <w:pPr>
        <w:pStyle w:val="TextBody"/>
        <w:bidi w:val="0"/>
        <w:spacing w:before="60" w:after="0"/>
        <w:jc w:val="left"/>
        <w:rPr>
          <w:rFonts w:ascii="arial" w:hAnsi="arial"/>
          <w:spacing w:val="0"/>
          <w:sz w:val="18"/>
          <w:shd w:fill="FFFFFF" w:val="clear"/>
        </w:rPr>
      </w:pPr>
      <w:r>
        <w:rPr>
          <w:rFonts w:ascii="arial" w:hAnsi="arial"/>
          <w:spacing w:val="0"/>
          <w:sz w:val="18"/>
          <w:shd w:fill="FFFFFF" w:val="clear"/>
        </w:rPr>
        <w:t>non-PEO</w:t>
      </w:r>
    </w:p>
    <w:p>
      <w:pPr>
        <w:pStyle w:val="TextBody"/>
        <w:bidi w:val="0"/>
        <w:spacing w:before="60" w:after="0"/>
        <w:jc w:val="left"/>
        <w:rPr>
          <w:rFonts w:ascii="arial" w:hAnsi="arial"/>
          <w:sz w:val="18"/>
          <w:shd w:fill="FFFFFF" w:val="clear"/>
        </w:rPr>
      </w:pPr>
      <w:r>
        <w:rPr>
          <w:rFonts w:ascii="arial" w:hAnsi="arial"/>
          <w:sz w:val="18"/>
          <w:shd w:fill="FFFFFF" w:val="clear"/>
        </w:rPr>
        <w:t xml:space="preserve">NEO’s CAP amounts are aligned with Company TSR, net income and operating income performance. The use of long-term equity compensation is tied directly to the stock price as well as our financial performance. </w:t>
      </w:r>
    </w:p>
    <w:p>
      <w:pPr>
        <w:pStyle w:val="TextBody"/>
        <w:bidi w:val="0"/>
        <w:spacing w:before="0" w:after="0"/>
        <w:jc w:val="left"/>
        <w:rPr>
          <w:shd w:fill="FFFFFF" w:val="clear"/>
        </w:rPr>
      </w:pPr>
      <w:r>
        <w:rPr>
          <w:shd w:fill="FFFFFF" w:val="clear"/>
        </w:rPr>
        <w:t> </w:t>
      </w:r>
    </w:p>
    <w:p>
      <w:pPr>
        <w:pStyle w:val="TextBody"/>
        <w:bidi w:val="0"/>
        <w:spacing w:before="0" w:after="0"/>
        <w:jc w:val="center"/>
        <w:rPr>
          <w:shd w:fill="FFFFFF" w:val="clear"/>
        </w:rPr>
      </w:pPr>
      <w:r>
        <w:rPr>
          <w:shd w:fill="FFFFFF" w:val="clear"/>
        </w:rPr>
        <w:drawing>
          <wp:inline distT="0" distB="0" distL="0" distR="0">
            <wp:extent cx="394970" cy="278765"/>
            <wp:effectExtent l="0" t="0" r="0" b="0"/>
            <wp:docPr id="130"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19" descr=""/>
                    <pic:cNvPicPr>
                      <a:picLocks noChangeAspect="1" noChangeArrowheads="1"/>
                    </pic:cNvPicPr>
                  </pic:nvPicPr>
                  <pic:blipFill>
                    <a:blip r:embed="rId120"/>
                    <a:stretch>
                      <a:fillRect/>
                    </a:stretch>
                  </pic:blipFill>
                  <pic:spPr bwMode="auto">
                    <a:xfrm>
                      <a:off x="0" y="0"/>
                      <a:ext cx="394970" cy="278765"/>
                    </a:xfrm>
                    <a:prstGeom prst="rect">
                      <a:avLst/>
                    </a:prstGeom>
                  </pic:spPr>
                </pic:pic>
              </a:graphicData>
            </a:graphic>
          </wp:inline>
        </w:drawing>
      </w:r>
      <w:r>
        <w:rPr>
          <w:shd w:fill="FFFFFF" w:val="clear"/>
        </w:rPr>
        <w:t xml:space="preserve"> </w:t>
      </w:r>
    </w:p>
    <w:p>
      <w:pPr>
        <w:pStyle w:val="TextBody"/>
        <w:bidi w:val="0"/>
        <w:spacing w:before="240" w:after="0"/>
        <w:jc w:val="left"/>
        <w:rPr>
          <w:rFonts w:ascii="arial" w:hAnsi="arial"/>
          <w:b/>
          <w:color w:val="F7ACBA"/>
          <w:spacing w:val="0"/>
          <w:sz w:val="24"/>
          <w:shd w:fill="FFFFFF" w:val="clear"/>
        </w:rPr>
      </w:pPr>
      <w:r>
        <w:rPr>
          <w:rFonts w:ascii="arial" w:hAnsi="arial"/>
          <w:b/>
          <w:color w:val="F7ACBA"/>
          <w:spacing w:val="0"/>
          <w:sz w:val="24"/>
          <w:shd w:fill="FFFFFF" w:val="clear"/>
        </w:rPr>
        <w:t xml:space="preserve">Pay Versus Performance Tabular List </w:t>
      </w:r>
    </w:p>
    <w:p>
      <w:pPr>
        <w:pStyle w:val="TextBody"/>
        <w:bidi w:val="0"/>
        <w:spacing w:before="60" w:after="0"/>
        <w:jc w:val="left"/>
        <w:rPr>
          <w:rFonts w:ascii="arial" w:hAnsi="arial"/>
          <w:sz w:val="18"/>
          <w:shd w:fill="FFFFFF" w:val="clear"/>
        </w:rPr>
      </w:pPr>
      <w:r>
        <w:rPr>
          <w:rFonts w:ascii="arial" w:hAnsi="arial"/>
          <w:sz w:val="18"/>
          <w:shd w:fill="FFFFFF" w:val="clear"/>
        </w:rPr>
        <w:t xml:space="preserve">The three items listed below represent the most important metrics for determining pay in the previous year, as further described in the Short-Term Performance-Based Cash Incentive Compensation and Long-Term Equity Compensation sections in the CD&amp;A. The performance measures in this table are not ranked by relative importance. </w:t>
      </w:r>
    </w:p>
    <w:p>
      <w:pPr>
        <w:pStyle w:val="TextBody"/>
        <w:bidi w:val="0"/>
        <w:spacing w:before="240" w:after="0"/>
        <w:jc w:val="center"/>
        <w:rPr>
          <w:rFonts w:ascii="arial" w:hAnsi="arial"/>
          <w:b/>
          <w:spacing w:val="0"/>
          <w:sz w:val="18"/>
          <w:shd w:fill="FFFFFF" w:val="clear"/>
        </w:rPr>
      </w:pPr>
      <w:r>
        <w:rPr>
          <w:rFonts w:ascii="arial" w:hAnsi="arial"/>
          <w:b/>
          <w:spacing w:val="0"/>
          <w:sz w:val="18"/>
          <w:shd w:fill="FFFFFF" w:val="clear"/>
        </w:rPr>
        <w:t>Most Important Performance</w:t>
      </w:r>
    </w:p>
    <w:p>
      <w:pPr>
        <w:pStyle w:val="TextBody"/>
        <w:bidi w:val="0"/>
        <w:spacing w:before="0" w:after="0"/>
        <w:jc w:val="center"/>
        <w:rPr>
          <w:rFonts w:ascii="arial" w:hAnsi="arial"/>
          <w:b/>
          <w:spacing w:val="0"/>
          <w:sz w:val="18"/>
          <w:shd w:fill="FFFFFF" w:val="clear"/>
        </w:rPr>
      </w:pPr>
      <w:r>
        <w:rPr>
          <w:rFonts w:ascii="arial" w:hAnsi="arial"/>
          <w:b/>
          <w:spacing w:val="0"/>
          <w:sz w:val="18"/>
          <w:shd w:fill="FFFFFF" w:val="clear"/>
        </w:rPr>
        <w:t>Measures</w:t>
      </w:r>
    </w:p>
    <w:p>
      <w:pPr>
        <w:pStyle w:val="TextBody"/>
        <w:bidi w:val="0"/>
        <w:spacing w:before="80" w:after="0"/>
        <w:jc w:val="center"/>
        <w:rPr>
          <w:rFonts w:ascii="arial" w:hAnsi="arial"/>
          <w:sz w:val="18"/>
          <w:shd w:fill="FFFFFF" w:val="clear"/>
        </w:rPr>
      </w:pPr>
      <w:r>
        <w:rPr>
          <w:rFonts w:ascii="arial" w:hAnsi="arial"/>
          <w:sz w:val="18"/>
          <w:shd w:fill="FFFFFF" w:val="clear"/>
        </w:rPr>
        <w:t xml:space="preserve">Operating Income </w:t>
      </w:r>
    </w:p>
    <w:p>
      <w:pPr>
        <w:pStyle w:val="TextBody"/>
        <w:bidi w:val="0"/>
        <w:spacing w:before="80" w:after="0"/>
        <w:jc w:val="center"/>
        <w:rPr>
          <w:rFonts w:ascii="arial" w:hAnsi="arial"/>
          <w:sz w:val="18"/>
          <w:shd w:fill="FFFFFF" w:val="clear"/>
        </w:rPr>
      </w:pPr>
      <w:r>
        <w:rPr>
          <w:rFonts w:ascii="arial" w:hAnsi="arial"/>
          <w:sz w:val="18"/>
          <w:shd w:fill="FFFFFF" w:val="clear"/>
        </w:rPr>
        <w:t xml:space="preserve">Relative TSR </w:t>
      </w:r>
    </w:p>
    <w:p>
      <w:pPr>
        <w:pStyle w:val="TextBody"/>
        <w:bidi w:val="0"/>
        <w:spacing w:before="80" w:after="0"/>
        <w:jc w:val="center"/>
        <w:rPr>
          <w:rFonts w:ascii="arial" w:hAnsi="arial"/>
          <w:sz w:val="18"/>
          <w:shd w:fill="FFFFFF" w:val="clear"/>
        </w:rPr>
      </w:pPr>
      <w:r>
        <w:rPr>
          <w:rFonts w:ascii="arial" w:hAnsi="arial"/>
          <w:sz w:val="18"/>
          <w:shd w:fill="FFFFFF" w:val="clear"/>
        </w:rPr>
        <w:t xml:space="preserve">Revenue </w:t>
      </w:r>
    </w:p>
    <w:p>
      <w:pPr>
        <w:pStyle w:val="TextBody"/>
        <w:bidi w:val="0"/>
        <w:spacing w:before="0" w:after="0"/>
        <w:jc w:val="left"/>
        <w:rPr>
          <w:shd w:fill="FFFFFF" w:val="clear"/>
        </w:rPr>
      </w:pPr>
      <w:r>
        <w:rPr>
          <w:shd w:fill="FFFFFF" w:val="clea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31"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20" descr=""/>
                          <pic:cNvPicPr>
                            <a:picLocks noChangeAspect="1" noChangeArrowheads="1"/>
                          </pic:cNvPicPr>
                        </pic:nvPicPr>
                        <pic:blipFill>
                          <a:blip r:embed="rId121"/>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jc w:val="center"/>
              <w:rPr>
                <w:color w:val="F7ACBA"/>
                <w:spacing w:val="0"/>
              </w:rPr>
            </w:pPr>
            <w:r>
              <w:rPr>
                <w:color w:val="F7ACBA"/>
                <w:spacing w:val="0"/>
              </w:rPr>
              <w:t> </w:t>
            </w:r>
            <w:r>
              <w:rPr>
                <w:b/>
                <w:color w:val="F7ACBA"/>
                <w:spacing w:val="0"/>
              </w:rPr>
              <w:t>74 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0"/>
              <w:jc w:val="left"/>
              <w:rPr>
                <w:rFonts w:ascii="arial" w:hAnsi="arial"/>
                <w:spacing w:val="0"/>
                <w:sz w:val="16"/>
              </w:rPr>
            </w:pPr>
            <w:r>
              <w:rPr>
                <w:rFonts w:ascii="arial" w:hAnsi="arial"/>
                <w:spacing w:val="0"/>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PROPOSAL THREE: ADVISORY APPROVAL OF COMPENSATION OF NAMED EXECUTIVE OFFICERS </w:t>
      </w:r>
    </w:p>
    <w:p>
      <w:pPr>
        <w:pStyle w:val="TextBody"/>
        <w:bidi w:val="0"/>
        <w:spacing w:before="0" w:after="0"/>
        <w:jc w:val="left"/>
        <w:rPr/>
      </w:pPr>
      <w:r>
        <w:rPr/>
        <w:t> </w:t>
      </w:r>
    </w:p>
    <w:p>
      <w:pPr>
        <w:pStyle w:val="TextBody"/>
        <w:bidi w:val="0"/>
        <w:spacing w:before="0" w:after="0"/>
        <w:jc w:val="center"/>
        <w:rPr>
          <w:rFonts w:ascii="Times New Roman" w:hAnsi="Times New Roman"/>
          <w:i/>
          <w:sz w:val="36"/>
        </w:rPr>
      </w:pPr>
      <w:r>
        <w:rPr>
          <w:rFonts w:ascii="Times New Roman" w:hAnsi="Times New Roman"/>
          <w:i/>
          <w:sz w:val="36"/>
        </w:rPr>
        <w:t xml:space="preserve">Proposal Three: </w:t>
      </w:r>
    </w:p>
    <w:p>
      <w:pPr>
        <w:pStyle w:val="TextBody"/>
        <w:bidi w:val="0"/>
        <w:spacing w:before="0" w:after="0"/>
        <w:jc w:val="center"/>
        <w:rPr>
          <w:rFonts w:ascii="Times New Roman" w:hAnsi="Times New Roman"/>
          <w:b/>
          <w:sz w:val="60"/>
        </w:rPr>
      </w:pPr>
      <w:bookmarkStart w:id="26" w:name="toc540996_22"/>
      <w:bookmarkStart w:id="27" w:name="txa540996_103"/>
      <w:bookmarkEnd w:id="26"/>
      <w:bookmarkEnd w:id="27"/>
      <w:r>
        <w:rPr>
          <w:rFonts w:ascii="Times New Roman" w:hAnsi="Times New Roman"/>
          <w:b/>
          <w:sz w:val="60"/>
        </w:rPr>
        <w:t xml:space="preserve">ADVISORY APPROVAL OF COMPENSATION OF NAMED EXECUTIVE OFFICERS </w:t>
      </w:r>
    </w:p>
    <w:p>
      <w:pPr>
        <w:pStyle w:val="TextBody"/>
        <w:bidi w:val="0"/>
        <w:spacing w:before="0" w:after="0"/>
        <w:jc w:val="left"/>
        <w:rPr/>
      </w:pPr>
      <w:r>
        <w:rPr/>
        <w:t> </w:t>
      </w:r>
    </w:p>
    <w:p>
      <w:pPr>
        <w:pStyle w:val="TextBody"/>
        <w:pBdr>
          <w:bottom w:val="single" w:sz="2" w:space="1" w:color="000000"/>
        </w:pBdr>
        <w:bidi w:val="0"/>
        <w:spacing w:lineRule="atLeast" w:line="142" w:before="0" w:after="40"/>
        <w:jc w:val="center"/>
        <w:rPr/>
      </w:pPr>
      <w:r>
        <w:rPr/>
        <w:t> </w:t>
      </w:r>
    </w:p>
    <w:p>
      <w:pPr>
        <w:pStyle w:val="TextBody"/>
        <w:bidi w:val="0"/>
        <w:spacing w:before="360" w:after="0"/>
        <w:jc w:val="left"/>
        <w:rPr>
          <w:rFonts w:ascii="arial" w:hAnsi="arial"/>
          <w:sz w:val="18"/>
        </w:rPr>
      </w:pPr>
      <w:r>
        <w:rPr>
          <w:rFonts w:ascii="arial" w:hAnsi="arial"/>
          <w:sz w:val="18"/>
        </w:rPr>
        <w:t xml:space="preserve">Section 14A of the Exchange Act requires public companies to provide their stockholders with the opportunity to express their view on the compensation of their named executive officers. At our annual meeting of stockholders in 2022, a majority of our stockholders voted, consistent with the recommendation of our Board, to hold an annual stockholder advisory vote to approve the compensation of our named executive officers (commonly known as a “say-on-pay” vote), as required by SEC rules. This annual say-on-pay vote will continue unless our stockholders vote, at our annual meeting of stockholders in 2028, to approve a different frequency of say-on-pay voting. The Board believes that an annual say-on-pay vote allows our stockholders to provide us with regular, direct input on our executive compensation philosophy, policies and practices as disclosed in our annual proxy statement, and is consistent with our practice of frequent engagement with our stockholders on our performance, long-term strategy, governance, and other related topics. </w:t>
      </w:r>
    </w:p>
    <w:p>
      <w:pPr>
        <w:pStyle w:val="TextBody"/>
        <w:bidi w:val="0"/>
        <w:spacing w:before="120" w:after="0"/>
        <w:jc w:val="left"/>
        <w:rPr>
          <w:rFonts w:ascii="arial" w:hAnsi="arial"/>
          <w:sz w:val="18"/>
        </w:rPr>
      </w:pPr>
      <w:r>
        <w:rPr>
          <w:rFonts w:ascii="arial" w:hAnsi="arial"/>
          <w:sz w:val="18"/>
        </w:rPr>
        <w:t xml:space="preserve">At the 2024 Annual Meeting, the Board is asking stockholders to approve, on an advisory basis, the compensation of our named executive officers as described above in the “Compensation Discussion and Analysis” section of this Proxy Statement by voting “for” this proposal. This proposal gives our stockholders the opportunity to express their views on our executive compensation. The vote is not intended to address any specific item of compensation, but rather the overall compensation of our named executive officers and the compensation philosophy, policies and practices described in this Proxy Statement. </w:t>
      </w:r>
    </w:p>
    <w:p>
      <w:pPr>
        <w:pStyle w:val="TextBody"/>
        <w:bidi w:val="0"/>
        <w:spacing w:before="120" w:after="0"/>
        <w:jc w:val="left"/>
        <w:rPr>
          <w:rFonts w:ascii="arial" w:hAnsi="arial"/>
          <w:sz w:val="18"/>
        </w:rPr>
      </w:pPr>
      <w:r>
        <w:rPr>
          <w:rFonts w:ascii="arial" w:hAnsi="arial"/>
          <w:sz w:val="18"/>
        </w:rPr>
        <w:t xml:space="preserve">Although the vote on this proposal is advisory and non-binding, the Board and the Human Capital and Compensation Committee will carefully consider the results of this vote and, if there are a significant number of negative votes, we will seek to understand the concerns that influenced those votes and address them in making future decisions about our executive compensation program.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52"/>
        <w:gridCol w:w="120"/>
        <w:gridCol w:w="9533"/>
      </w:tblGrid>
      <w:tr>
        <w:trPr/>
        <w:tc>
          <w:tcPr>
            <w:tcW w:w="5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33" w:type="dxa"/>
            <w:tcBorders/>
            <w:vAlign w:val="center"/>
          </w:tcPr>
          <w:p>
            <w:pPr>
              <w:pStyle w:val="TableContents"/>
              <w:bidi w:val="0"/>
              <w:spacing w:before="0" w:after="283"/>
              <w:jc w:val="left"/>
              <w:rPr>
                <w:sz w:val="4"/>
                <w:szCs w:val="4"/>
              </w:rPr>
            </w:pPr>
            <w:r>
              <w:rPr>
                <w:sz w:val="4"/>
                <w:szCs w:val="4"/>
              </w:rPr>
            </w:r>
          </w:p>
        </w:tc>
      </w:tr>
      <w:tr>
        <w:trPr/>
        <w:tc>
          <w:tcPr>
            <w:tcW w:w="552" w:type="dxa"/>
            <w:tcBorders>
              <w:bottom w:val="single" w:sz="6" w:space="0" w:color="000000"/>
            </w:tcBorders>
            <w:tcMar>
              <w:bottom w:w="28" w:type="dxa"/>
            </w:tcMar>
            <w:vAlign w:val="center"/>
          </w:tcPr>
          <w:p>
            <w:pPr>
              <w:pStyle w:val="TableContents"/>
              <w:bidi w:val="0"/>
              <w:spacing w:before="0" w:after="283"/>
              <w:jc w:val="left"/>
              <w:rPr/>
            </w:pPr>
            <w:r>
              <w:rPr/>
              <w:t xml:space="preserve">   </w:t>
            </w:r>
            <w:r>
              <w:rPr/>
              <w:drawing>
                <wp:inline distT="0" distB="0" distL="0" distR="0">
                  <wp:extent cx="100330" cy="55880"/>
                  <wp:effectExtent l="0" t="0" r="0" b="0"/>
                  <wp:docPr id="132"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21" descr=""/>
                          <pic:cNvPicPr>
                            <a:picLocks noChangeAspect="1" noChangeArrowheads="1"/>
                          </pic:cNvPicPr>
                        </pic:nvPicPr>
                        <pic:blipFill>
                          <a:blip r:embed="rId122"/>
                          <a:stretch>
                            <a:fillRect/>
                          </a:stretch>
                        </pic:blipFill>
                        <pic:spPr bwMode="auto">
                          <a:xfrm>
                            <a:off x="0" y="0"/>
                            <a:ext cx="100330" cy="55880"/>
                          </a:xfrm>
                          <a:prstGeom prst="rect">
                            <a:avLst/>
                          </a:prstGeom>
                        </pic:spPr>
                      </pic:pic>
                    </a:graphicData>
                  </a:graphic>
                </wp:inline>
              </w:drawing>
            </w:r>
            <w:r>
              <w:rPr/>
              <w:t xml:space="preserve">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533" w:type="dxa"/>
            <w:tcBorders>
              <w:bottom w:val="single" w:sz="6" w:space="0" w:color="000000"/>
            </w:tcBorders>
            <w:tcMar>
              <w:bottom w:w="28" w:type="dxa"/>
            </w:tcMar>
            <w:vAlign w:val="center"/>
          </w:tcPr>
          <w:p>
            <w:pPr>
              <w:pStyle w:val="TableContents"/>
              <w:bidi w:val="0"/>
              <w:spacing w:before="0" w:after="0"/>
              <w:jc w:val="left"/>
              <w:rPr>
                <w:rFonts w:ascii="Times New Roman" w:hAnsi="Times New Roman"/>
                <w:i/>
                <w:sz w:val="28"/>
              </w:rPr>
            </w:pPr>
            <w:r>
              <w:rPr>
                <w:rFonts w:ascii="Times New Roman" w:hAnsi="Times New Roman"/>
                <w:i/>
                <w:sz w:val="28"/>
              </w:rPr>
              <w:t>The Board unanimously recommends a vote “FOR” the approval, on an advisory basis, of the compensation of our named executive officers.</w:t>
            </w:r>
          </w:p>
          <w:p>
            <w:pPr>
              <w:pStyle w:val="TableContents"/>
              <w:bidi w:val="0"/>
              <w:spacing w:before="0" w:after="20"/>
              <w:jc w:val="left"/>
              <w:rPr/>
            </w:pPr>
            <w:r>
              <w:rPr/>
              <w:t> </w:t>
            </w:r>
          </w:p>
        </w:tc>
      </w:tr>
    </w:tbl>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33"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22" descr=""/>
                          <pic:cNvPicPr>
                            <a:picLocks noChangeAspect="1" noChangeArrowheads="1"/>
                          </pic:cNvPicPr>
                        </pic:nvPicPr>
                        <pic:blipFill>
                          <a:blip r:embed="rId123"/>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75 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PROPOSAL FOUR: AMENDMENT TO VS 2021 STOCK PLAN </w:t>
      </w:r>
    </w:p>
    <w:p>
      <w:pPr>
        <w:pStyle w:val="TextBody"/>
        <w:bidi w:val="0"/>
        <w:spacing w:before="0" w:after="0"/>
        <w:jc w:val="left"/>
        <w:rPr/>
      </w:pPr>
      <w:r>
        <w:rPr/>
        <w:t> </w:t>
      </w:r>
    </w:p>
    <w:p>
      <w:pPr>
        <w:pStyle w:val="TextBody"/>
        <w:bidi w:val="0"/>
        <w:spacing w:before="0" w:after="0"/>
        <w:jc w:val="center"/>
        <w:rPr>
          <w:rFonts w:ascii="Times New Roman" w:hAnsi="Times New Roman"/>
          <w:i/>
          <w:sz w:val="36"/>
        </w:rPr>
      </w:pPr>
      <w:bookmarkStart w:id="28" w:name="toc540996_22a"/>
      <w:bookmarkEnd w:id="28"/>
      <w:r>
        <w:rPr>
          <w:rFonts w:ascii="Times New Roman" w:hAnsi="Times New Roman"/>
          <w:i/>
          <w:sz w:val="36"/>
        </w:rPr>
        <w:t xml:space="preserve">Proposal Four: </w:t>
      </w:r>
    </w:p>
    <w:p>
      <w:pPr>
        <w:pStyle w:val="TextBody"/>
        <w:bidi w:val="0"/>
        <w:spacing w:before="0" w:after="0"/>
        <w:jc w:val="center"/>
        <w:rPr>
          <w:rFonts w:ascii="Times New Roman" w:hAnsi="Times New Roman"/>
          <w:b/>
          <w:sz w:val="60"/>
        </w:rPr>
      </w:pPr>
      <w:bookmarkStart w:id="29" w:name="txa540996_104"/>
      <w:bookmarkEnd w:id="29"/>
      <w:r>
        <w:rPr>
          <w:rFonts w:ascii="Times New Roman" w:hAnsi="Times New Roman"/>
          <w:b/>
          <w:sz w:val="60"/>
        </w:rPr>
        <w:t xml:space="preserve">AMENDMENT TO VS 2021 STOCK PLAN </w:t>
      </w:r>
    </w:p>
    <w:p>
      <w:pPr>
        <w:pStyle w:val="TextBody"/>
        <w:bidi w:val="0"/>
        <w:spacing w:before="0" w:after="0"/>
        <w:jc w:val="left"/>
        <w:rPr/>
      </w:pPr>
      <w:r>
        <w:rPr/>
        <w:t> </w:t>
      </w:r>
    </w:p>
    <w:p>
      <w:pPr>
        <w:pStyle w:val="TextBody"/>
        <w:pBdr>
          <w:bottom w:val="single" w:sz="2" w:space="1" w:color="000000"/>
        </w:pBdr>
        <w:bidi w:val="0"/>
        <w:spacing w:lineRule="atLeast" w:line="142" w:before="0" w:after="40"/>
        <w:jc w:val="center"/>
        <w:rPr/>
      </w:pPr>
      <w:r>
        <w:rPr/>
        <w:t> </w:t>
      </w:r>
    </w:p>
    <w:p>
      <w:pPr>
        <w:pStyle w:val="TextBody"/>
        <w:bidi w:val="0"/>
        <w:spacing w:before="360" w:after="0"/>
        <w:jc w:val="left"/>
        <w:rPr>
          <w:rFonts w:ascii="arial" w:hAnsi="arial"/>
          <w:sz w:val="30"/>
        </w:rPr>
      </w:pPr>
      <w:r>
        <w:rPr>
          <w:rFonts w:ascii="arial" w:hAnsi="arial"/>
          <w:sz w:val="30"/>
        </w:rPr>
        <w:t xml:space="preserve">Introduction and Background of the VS 2021 Stock Plan </w:t>
      </w:r>
    </w:p>
    <w:p>
      <w:pPr>
        <w:pStyle w:val="TextBody"/>
        <w:bidi w:val="0"/>
        <w:spacing w:before="120" w:after="0"/>
        <w:jc w:val="left"/>
        <w:rPr>
          <w:rFonts w:ascii="arial" w:hAnsi="arial"/>
          <w:sz w:val="18"/>
        </w:rPr>
      </w:pPr>
      <w:r>
        <w:rPr>
          <w:rFonts w:ascii="arial" w:hAnsi="arial"/>
          <w:sz w:val="18"/>
        </w:rPr>
        <w:t xml:space="preserve">The purpose of the Victoria’s Secret &amp; Co. 2021 Stock Option and Performance Incentive Plan (the “VS 2021 Stock Plan”) is to attract and retain the best available key executives and other employees for VS&amp;Co and to encourage the highest level of performance by such key executives and other employees, thereby enhancing the value of VS&amp;Co for the benefit of its stockholders. </w:t>
      </w:r>
    </w:p>
    <w:p>
      <w:pPr>
        <w:pStyle w:val="TextBody"/>
        <w:bidi w:val="0"/>
        <w:spacing w:before="120" w:after="0"/>
        <w:jc w:val="left"/>
        <w:rPr>
          <w:rFonts w:ascii="arial" w:hAnsi="arial"/>
          <w:sz w:val="18"/>
        </w:rPr>
      </w:pPr>
      <w:r>
        <w:rPr>
          <w:rFonts w:ascii="arial" w:hAnsi="arial"/>
          <w:sz w:val="18"/>
        </w:rPr>
        <w:t xml:space="preserve">The VS 2021 Stock Plan serves these purposes by making equity-based awards available for grant to eligible participants in any of the following forms, subject to such terms, conditions and provisions as the HCCC may determine to be necessary or desirable: (i) incentive stock options (“ISOs”), (ii) nonstatutory stock options (“NSOs”), (iii) stock appreciation rights (“SARs”) (on a tandem or stand-alone basis), (iv) restricted shares, (v) restricted share units (“RSUs”), (vi) performance share units (“PSUs”), (vii) deferred restricted share units (“DSUs”), (viii) unrestricted common stock, (ix) converted awards, (x) replacement awards and (xi) substitute awards. </w:t>
      </w:r>
    </w:p>
    <w:p>
      <w:pPr>
        <w:pStyle w:val="TextBody"/>
        <w:bidi w:val="0"/>
        <w:spacing w:before="120" w:after="0"/>
        <w:jc w:val="left"/>
        <w:rPr>
          <w:rFonts w:ascii="arial" w:hAnsi="arial"/>
          <w:sz w:val="18"/>
        </w:rPr>
      </w:pPr>
      <w:r>
        <w:rPr>
          <w:rFonts w:ascii="arial" w:hAnsi="arial"/>
          <w:sz w:val="18"/>
        </w:rPr>
        <w:t xml:space="preserve">At the 2024 Annual Meeting, we are asking our stockholders to approve an amendment to the VS 2021 Stock Plan to increase the number of shares authorized for issuance under the plan by 4,800,000 shares and to allow non-employee directors to defer all or part of their cash retainer into deferred shares (the “Proposed Amendment”). </w:t>
      </w:r>
    </w:p>
    <w:p>
      <w:pPr>
        <w:pStyle w:val="TextBody"/>
        <w:bidi w:val="0"/>
        <w:spacing w:before="120" w:after="0"/>
        <w:jc w:val="left"/>
        <w:rPr>
          <w:rFonts w:ascii="arial" w:hAnsi="arial"/>
          <w:sz w:val="18"/>
        </w:rPr>
      </w:pPr>
      <w:r>
        <w:rPr>
          <w:rFonts w:ascii="arial" w:hAnsi="arial"/>
          <w:sz w:val="18"/>
        </w:rPr>
        <w:t xml:space="preserve">The VS 2021 Stock Plan is designed to reinforce alignment between equity compensation for key executives and other employees with the interests of our stockholders, and includes a number of provisions that we believe reflect best practices and protect the interests of our stockholders. These provisions include: </w:t>
      </w:r>
    </w:p>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125"/>
        <w:gridCol w:w="60"/>
        <w:gridCol w:w="668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6680" w:type="dxa"/>
            <w:tcBorders/>
            <w:vAlign w:val="center"/>
          </w:tcPr>
          <w:p>
            <w:pPr>
              <w:pStyle w:val="TableContents"/>
              <w:bidi w:val="0"/>
              <w:spacing w:before="0" w:after="0"/>
              <w:jc w:val="left"/>
              <w:rPr>
                <w:rFonts w:ascii="arial" w:hAnsi="arial"/>
                <w:sz w:val="18"/>
              </w:rPr>
            </w:pPr>
            <w:r>
              <w:rPr>
                <w:rFonts w:ascii="arial" w:hAnsi="arial"/>
                <w:sz w:val="18"/>
              </w:rPr>
              <w:t xml:space="preserve">Minimum vesting period of at least one year (subject to certain limited exceptions) </w:t>
            </w:r>
          </w:p>
        </w:tc>
      </w:tr>
    </w:tbl>
    <w:p>
      <w:pPr>
        <w:pStyle w:val="TextBody"/>
        <w:bidi w:val="0"/>
        <w:spacing w:before="0" w:after="0"/>
        <w:jc w:val="left"/>
        <w:rPr/>
      </w:pPr>
      <w:r>
        <w:rPr/>
        <w:t> </w:t>
      </w:r>
    </w:p>
    <w:tbl>
      <w:tblPr>
        <w:tblW w:w="3730" w:type="dxa"/>
        <w:jc w:val="left"/>
        <w:tblInd w:w="0" w:type="dxa"/>
        <w:tblLayout w:type="fixed"/>
        <w:tblCellMar>
          <w:top w:w="0" w:type="dxa"/>
          <w:left w:w="0" w:type="dxa"/>
          <w:bottom w:w="0" w:type="dxa"/>
          <w:right w:w="0" w:type="dxa"/>
        </w:tblCellMar>
      </w:tblPr>
      <w:tblGrid>
        <w:gridCol w:w="125"/>
        <w:gridCol w:w="60"/>
        <w:gridCol w:w="3545"/>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0"/>
              <w:jc w:val="left"/>
              <w:rPr>
                <w:rFonts w:ascii="arial" w:hAnsi="arial"/>
                <w:sz w:val="18"/>
              </w:rPr>
            </w:pPr>
            <w:r>
              <w:rPr>
                <w:rFonts w:ascii="arial" w:hAnsi="arial"/>
                <w:sz w:val="18"/>
              </w:rPr>
              <w:t xml:space="preserve">Awards are subject to our Clawback Policy </w:t>
            </w:r>
          </w:p>
        </w:tc>
      </w:tr>
    </w:tbl>
    <w:p>
      <w:pPr>
        <w:pStyle w:val="TextBody"/>
        <w:bidi w:val="0"/>
        <w:spacing w:before="0" w:after="0"/>
        <w:jc w:val="left"/>
        <w:rPr/>
      </w:pPr>
      <w:r>
        <w:rPr/>
        <w:t> </w:t>
      </w:r>
    </w:p>
    <w:tbl>
      <w:tblPr>
        <w:tblW w:w="5860" w:type="dxa"/>
        <w:jc w:val="left"/>
        <w:tblInd w:w="0" w:type="dxa"/>
        <w:tblLayout w:type="fixed"/>
        <w:tblCellMar>
          <w:top w:w="0" w:type="dxa"/>
          <w:left w:w="0" w:type="dxa"/>
          <w:bottom w:w="0" w:type="dxa"/>
          <w:right w:w="0" w:type="dxa"/>
        </w:tblCellMar>
      </w:tblPr>
      <w:tblGrid>
        <w:gridCol w:w="125"/>
        <w:gridCol w:w="60"/>
        <w:gridCol w:w="5675"/>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5675" w:type="dxa"/>
            <w:tcBorders/>
            <w:vAlign w:val="center"/>
          </w:tcPr>
          <w:p>
            <w:pPr>
              <w:pStyle w:val="TableContents"/>
              <w:bidi w:val="0"/>
              <w:spacing w:before="0" w:after="0"/>
              <w:jc w:val="left"/>
              <w:rPr>
                <w:rFonts w:ascii="arial" w:hAnsi="arial"/>
                <w:sz w:val="18"/>
              </w:rPr>
            </w:pPr>
            <w:r>
              <w:rPr>
                <w:rFonts w:ascii="arial" w:hAnsi="arial"/>
                <w:sz w:val="18"/>
              </w:rPr>
              <w:t xml:space="preserve">Repricing options or SARs is prohibited without stockholder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A specific maximum share limitation and no “evergreen” provision providing for automatic increases in the number of shares available for future awards </w:t>
            </w:r>
          </w:p>
        </w:tc>
      </w:tr>
    </w:tbl>
    <w:p>
      <w:pPr>
        <w:pStyle w:val="TextBody"/>
        <w:bidi w:val="0"/>
        <w:spacing w:before="0" w:after="0"/>
        <w:jc w:val="left"/>
        <w:rPr/>
      </w:pPr>
      <w:r>
        <w:rPr/>
        <w:t> </w:t>
      </w:r>
    </w:p>
    <w:tbl>
      <w:tblPr>
        <w:tblW w:w="7315" w:type="dxa"/>
        <w:jc w:val="left"/>
        <w:tblInd w:w="0" w:type="dxa"/>
        <w:tblLayout w:type="fixed"/>
        <w:tblCellMar>
          <w:top w:w="0" w:type="dxa"/>
          <w:left w:w="0" w:type="dxa"/>
          <w:bottom w:w="0" w:type="dxa"/>
          <w:right w:w="0" w:type="dxa"/>
        </w:tblCellMar>
      </w:tblPr>
      <w:tblGrid>
        <w:gridCol w:w="125"/>
        <w:gridCol w:w="60"/>
        <w:gridCol w:w="713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7130" w:type="dxa"/>
            <w:tcBorders/>
            <w:vAlign w:val="center"/>
          </w:tcPr>
          <w:p>
            <w:pPr>
              <w:pStyle w:val="TableContents"/>
              <w:bidi w:val="0"/>
              <w:spacing w:before="0" w:after="0"/>
              <w:jc w:val="left"/>
              <w:rPr>
                <w:rFonts w:ascii="arial" w:hAnsi="arial"/>
                <w:sz w:val="18"/>
              </w:rPr>
            </w:pPr>
            <w:r>
              <w:rPr>
                <w:rFonts w:ascii="arial" w:hAnsi="arial"/>
                <w:sz w:val="18"/>
              </w:rPr>
              <w:t xml:space="preserve">Annual limitation on the value of awards that can be granted to non-employee directors </w:t>
            </w:r>
          </w:p>
        </w:tc>
      </w:tr>
    </w:tbl>
    <w:p>
      <w:pPr>
        <w:pStyle w:val="TextBody"/>
        <w:bidi w:val="0"/>
        <w:spacing w:before="120" w:after="0"/>
        <w:jc w:val="left"/>
        <w:rPr>
          <w:rFonts w:ascii="arial" w:hAnsi="arial"/>
          <w:sz w:val="18"/>
        </w:rPr>
      </w:pPr>
      <w:r>
        <w:rPr>
          <w:rFonts w:ascii="arial" w:hAnsi="arial"/>
          <w:sz w:val="18"/>
        </w:rPr>
        <w:t xml:space="preserve">If the Proposed Amendment is approved by our stockholders at the 2024 Annual Meeting, there will be a total of 15,395,172 shares of our common stock available for the grant of awards under the VS 2021 Stock Plan, which may consist of treasury shares, authorized but unissued shares of common stock not reserved for any other purpose, or shares of common stock purchased by us in the open market. If the Proposed Amendment is not approved by our stockholders, the VS 2021 Stock Plan will continue in effect without giving effect to the Proposed Amendment, and will be subject to the current share limit set forth in the plan, reduced by any shares previously issued pursuant to awards granted under the plan, as well as any shares subject to outstanding awards granted under the plan. </w:t>
      </w:r>
    </w:p>
    <w:p>
      <w:pPr>
        <w:pStyle w:val="TextBody"/>
        <w:bidi w:val="0"/>
        <w:spacing w:before="360" w:after="0"/>
        <w:jc w:val="left"/>
        <w:rPr>
          <w:rFonts w:ascii="arial" w:hAnsi="arial"/>
          <w:sz w:val="30"/>
        </w:rPr>
      </w:pPr>
      <w:r>
        <w:rPr>
          <w:rFonts w:ascii="arial" w:hAnsi="arial"/>
          <w:sz w:val="30"/>
        </w:rPr>
        <w:t xml:space="preserve">Reasons to Approve the Amendment to the VS 2021 Stock Plan </w:t>
      </w:r>
    </w:p>
    <w:p>
      <w:pPr>
        <w:pStyle w:val="TextBody"/>
        <w:bidi w:val="0"/>
        <w:spacing w:before="120" w:after="0"/>
        <w:jc w:val="left"/>
        <w:rPr>
          <w:rFonts w:ascii="arial" w:hAnsi="arial"/>
          <w:sz w:val="18"/>
        </w:rPr>
      </w:pPr>
      <w:r>
        <w:rPr>
          <w:rFonts w:ascii="arial" w:hAnsi="arial"/>
          <w:sz w:val="18"/>
        </w:rPr>
        <w:t xml:space="preserve">Additional shares of common stock are needed under the VS 2021 Stock Plan to enable the continuation of grants to key executives and employees of the Company and our subsidiaries. Effective April 22, 2024, the Board unanimously adopted, subject to approval by our stockholders, an amendment to the VS 2021 Stock Plan which would authorize 4,800,000 additional shares of our common stock for delivery in connection with awards under the VS 2021 Stock Plan and allow non-employee directors to defer all or part of their cash retainer into deferred shares. The Board did not authorize, and stockholders are not asked to approve, any other changes to the VS 2021 Stock Plan. </w:t>
      </w:r>
    </w:p>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34"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23" descr=""/>
                          <pic:cNvPicPr>
                            <a:picLocks noChangeAspect="1" noChangeArrowheads="1"/>
                          </pic:cNvPicPr>
                        </pic:nvPicPr>
                        <pic:blipFill>
                          <a:blip r:embed="rId124"/>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76 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AMENDMENT TO VS 2021 STOCK PLAN </w:t>
      </w:r>
    </w:p>
    <w:p>
      <w:pPr>
        <w:pStyle w:val="TextBody"/>
        <w:bidi w:val="0"/>
        <w:spacing w:before="0" w:after="0"/>
        <w:jc w:val="left"/>
        <w:rPr/>
      </w:pPr>
      <w:r>
        <w:rPr/>
        <w:t> </w:t>
      </w:r>
    </w:p>
    <w:p>
      <w:pPr>
        <w:pStyle w:val="TextBody"/>
        <w:bidi w:val="0"/>
        <w:spacing w:before="0" w:after="0"/>
        <w:jc w:val="left"/>
        <w:rPr>
          <w:rFonts w:ascii="arial" w:hAnsi="arial"/>
          <w:sz w:val="30"/>
        </w:rPr>
      </w:pPr>
      <w:r>
        <w:rPr>
          <w:rFonts w:ascii="arial" w:hAnsi="arial"/>
          <w:sz w:val="30"/>
        </w:rPr>
        <w:t xml:space="preserve">Historical Information </w:t>
      </w:r>
    </w:p>
    <w:p>
      <w:pPr>
        <w:pStyle w:val="TextBody"/>
        <w:bidi w:val="0"/>
        <w:spacing w:before="120" w:after="0"/>
        <w:jc w:val="left"/>
        <w:rPr>
          <w:rFonts w:ascii="arial" w:hAnsi="arial"/>
          <w:sz w:val="18"/>
        </w:rPr>
      </w:pPr>
      <w:r>
        <w:rPr>
          <w:rFonts w:ascii="arial" w:hAnsi="arial"/>
          <w:sz w:val="18"/>
        </w:rPr>
        <w:t xml:space="preserve">The VS 2021 Stock Plan provides that the aggregate number of shares of common stock that have been authorized for issuance under the VS 2021 Stock Plan is 10,595,172 shares plus the number of shares issuable upon the exercise or settlement of “substitute awards” (i.e., awards granted in assumption or substitution for any outstanding awards granted by a company acquired by VS&amp;Co or with which VS&amp;Co combines) and “converted awards” (i.e., L Brands equity awards that are converted into VS&amp;Co equity awards under the VS 2021 Stock Plan in connection with our spin-off from L Brands, in accordance with the terms of the Employee Matters Agreement between L Brands and VS&amp;Co (the “Employee Matters Agreement”)). </w:t>
      </w:r>
    </w:p>
    <w:p>
      <w:pPr>
        <w:pStyle w:val="TextBody"/>
        <w:bidi w:val="0"/>
        <w:spacing w:before="120" w:after="0"/>
        <w:jc w:val="left"/>
        <w:rPr>
          <w:rFonts w:ascii="arial" w:hAnsi="arial"/>
          <w:sz w:val="18"/>
        </w:rPr>
      </w:pPr>
      <w:r>
        <w:rPr>
          <w:rFonts w:ascii="arial" w:hAnsi="arial"/>
          <w:sz w:val="18"/>
        </w:rPr>
        <w:t xml:space="preserve">As of April 15, 2024, 2,837,975 shares of common stock were available for issuance under the VS 2021 Stock Plan, after giving effect to shares previously issued pursuant to awards granted under the plan and shares subject to outstanding awards granted under the plan. The market price per share of our common stock as of April 15, 2024 was $17.48. For additional information regarding share-based compensation previously granted under the VS 2021 Stock Plan, please see pages 86–88 of our Annual Report on Form 10-K for the fiscal year ended February 3, 2024, filed with the SEC on March 22, 2024. </w:t>
      </w:r>
    </w:p>
    <w:p>
      <w:pPr>
        <w:pStyle w:val="TextBody"/>
        <w:bidi w:val="0"/>
        <w:spacing w:before="120" w:after="0"/>
        <w:jc w:val="left"/>
        <w:rPr>
          <w:rFonts w:ascii="arial" w:hAnsi="arial"/>
          <w:sz w:val="18"/>
        </w:rPr>
      </w:pPr>
      <w:r>
        <w:rPr>
          <w:rFonts w:ascii="arial" w:hAnsi="arial"/>
          <w:sz w:val="18"/>
        </w:rPr>
        <w:t xml:space="preserve">The following table provides certain additional information regarding awards outstanding and unvested under the VS 2021 Stock Plan as of April 15, 2024. </w:t>
      </w:r>
    </w:p>
    <w:p>
      <w:pPr>
        <w:pStyle w:val="TextBody"/>
        <w:bidi w:val="0"/>
        <w:spacing w:before="0" w:after="0"/>
        <w:jc w:val="left"/>
        <w:rPr/>
      </w:pPr>
      <w:r>
        <w:rPr/>
        <w:t> </w:t>
      </w:r>
    </w:p>
    <w:tbl>
      <w:tblPr>
        <w:tblW w:w="7860" w:type="dxa"/>
        <w:jc w:val="left"/>
        <w:tblInd w:w="0" w:type="dxa"/>
        <w:tblLayout w:type="fixed"/>
        <w:tblCellMar>
          <w:top w:w="0" w:type="dxa"/>
          <w:left w:w="0" w:type="dxa"/>
          <w:bottom w:w="0" w:type="dxa"/>
          <w:right w:w="0" w:type="dxa"/>
        </w:tblCellMar>
      </w:tblPr>
      <w:tblGrid>
        <w:gridCol w:w="6305"/>
        <w:gridCol w:w="120"/>
        <w:gridCol w:w="140"/>
        <w:gridCol w:w="1220"/>
        <w:gridCol w:w="75"/>
      </w:tblGrid>
      <w:tr>
        <w:trPr/>
        <w:tc>
          <w:tcPr>
            <w:tcW w:w="6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305" w:type="dxa"/>
            <w:tcBorders/>
            <w:vAlign w:val="center"/>
          </w:tcPr>
          <w:p>
            <w:pPr>
              <w:pStyle w:val="TableContents"/>
              <w:bidi w:val="0"/>
              <w:spacing w:before="0" w:after="283"/>
              <w:jc w:val="left"/>
              <w:rPr>
                <w:sz w:val="4"/>
                <w:szCs w:val="4"/>
              </w:rPr>
            </w:pPr>
            <w:r>
              <w:rPr>
                <w:sz w:val="4"/>
                <w:szCs w:val="4"/>
              </w:rPr>
            </w:r>
          </w:p>
        </w:tc>
        <w:tc>
          <w:tcPr>
            <w:tcW w:w="1555" w:type="dxa"/>
            <w:gridSpan w:val="4"/>
            <w:tcBorders/>
            <w:vAlign w:val="center"/>
          </w:tcPr>
          <w:p>
            <w:pPr>
              <w:pStyle w:val="TableContents"/>
              <w:bidi w:val="0"/>
              <w:spacing w:before="0" w:after="283"/>
              <w:jc w:val="left"/>
              <w:rPr>
                <w:sz w:val="4"/>
                <w:szCs w:val="4"/>
              </w:rPr>
            </w:pPr>
            <w:r>
              <w:rPr>
                <w:sz w:val="4"/>
                <w:szCs w:val="4"/>
              </w:rPr>
            </w:r>
          </w:p>
        </w:tc>
      </w:tr>
      <w:tr>
        <w:trPr/>
        <w:tc>
          <w:tcPr>
            <w:tcW w:w="6305"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Total Outstanding RSUs</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1220" w:type="dxa"/>
            <w:tcBorders>
              <w:bottom w:val="single" w:sz="6" w:space="0" w:color="FBDDE3"/>
            </w:tcBorders>
            <w:tcMar>
              <w:bottom w:w="60" w:type="dxa"/>
            </w:tcMar>
            <w:vAlign w:val="center"/>
          </w:tcPr>
          <w:p>
            <w:pPr>
              <w:pStyle w:val="TableContents"/>
              <w:bidi w:val="0"/>
              <w:spacing w:before="0" w:after="283"/>
              <w:jc w:val="right"/>
              <w:rPr/>
            </w:pPr>
            <w:r>
              <w:rPr/>
              <w:t>4,984,822</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283"/>
              <w:jc w:val="left"/>
              <w:rPr>
                <w:sz w:val="4"/>
                <w:szCs w:val="4"/>
              </w:rPr>
            </w:pPr>
            <w:r>
              <w:rPr>
                <w:sz w:val="4"/>
                <w:szCs w:val="4"/>
              </w:rPr>
            </w:r>
          </w:p>
        </w:tc>
        <w:tc>
          <w:tcPr>
            <w:tcW w:w="1555" w:type="dxa"/>
            <w:gridSpan w:val="4"/>
            <w:tcBorders/>
            <w:vAlign w:val="center"/>
          </w:tcPr>
          <w:p>
            <w:pPr>
              <w:pStyle w:val="TableContents"/>
              <w:bidi w:val="0"/>
              <w:spacing w:before="0" w:after="283"/>
              <w:jc w:val="left"/>
              <w:rPr>
                <w:sz w:val="4"/>
                <w:szCs w:val="4"/>
              </w:rPr>
            </w:pPr>
            <w:r>
              <w:rPr>
                <w:sz w:val="4"/>
                <w:szCs w:val="4"/>
              </w:rPr>
            </w:r>
          </w:p>
        </w:tc>
      </w:tr>
      <w:tr>
        <w:trPr/>
        <w:tc>
          <w:tcPr>
            <w:tcW w:w="6305"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Total Outstanding PSUs at Target</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1220" w:type="dxa"/>
            <w:tcBorders>
              <w:bottom w:val="single" w:sz="6" w:space="0" w:color="FBDDE3"/>
            </w:tcBorders>
            <w:tcMar>
              <w:bottom w:w="60" w:type="dxa"/>
            </w:tcMar>
            <w:vAlign w:val="center"/>
          </w:tcPr>
          <w:p>
            <w:pPr>
              <w:pStyle w:val="TableContents"/>
              <w:bidi w:val="0"/>
              <w:spacing w:before="0" w:after="283"/>
              <w:jc w:val="right"/>
              <w:rPr/>
            </w:pPr>
            <w:r>
              <w:rPr/>
              <w:t>1,563,736</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283"/>
              <w:jc w:val="left"/>
              <w:rPr>
                <w:sz w:val="4"/>
                <w:szCs w:val="4"/>
              </w:rPr>
            </w:pPr>
            <w:r>
              <w:rPr>
                <w:sz w:val="4"/>
                <w:szCs w:val="4"/>
              </w:rPr>
            </w:r>
          </w:p>
        </w:tc>
        <w:tc>
          <w:tcPr>
            <w:tcW w:w="1555" w:type="dxa"/>
            <w:gridSpan w:val="4"/>
            <w:tcBorders/>
            <w:vAlign w:val="center"/>
          </w:tcPr>
          <w:p>
            <w:pPr>
              <w:pStyle w:val="TableContents"/>
              <w:bidi w:val="0"/>
              <w:spacing w:before="0" w:after="283"/>
              <w:jc w:val="left"/>
              <w:rPr>
                <w:sz w:val="4"/>
                <w:szCs w:val="4"/>
              </w:rPr>
            </w:pPr>
            <w:r>
              <w:rPr>
                <w:sz w:val="4"/>
                <w:szCs w:val="4"/>
              </w:rPr>
            </w:r>
          </w:p>
        </w:tc>
      </w:tr>
      <w:tr>
        <w:trPr/>
        <w:tc>
          <w:tcPr>
            <w:tcW w:w="6305"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Total Estimated Fair Value of Awards Outstanding</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w:t>
            </w:r>
          </w:p>
        </w:tc>
        <w:tc>
          <w:tcPr>
            <w:tcW w:w="1220" w:type="dxa"/>
            <w:tcBorders>
              <w:bottom w:val="single" w:sz="6" w:space="0" w:color="FBDDE3"/>
            </w:tcBorders>
            <w:tcMar>
              <w:bottom w:w="60" w:type="dxa"/>
            </w:tcMar>
            <w:vAlign w:val="center"/>
          </w:tcPr>
          <w:p>
            <w:pPr>
              <w:pStyle w:val="TableContents"/>
              <w:bidi w:val="0"/>
              <w:spacing w:before="0" w:after="283"/>
              <w:jc w:val="right"/>
              <w:rPr/>
            </w:pPr>
            <w:r>
              <w:rPr/>
              <w:t>114,526,268</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283"/>
              <w:jc w:val="left"/>
              <w:rPr>
                <w:sz w:val="4"/>
                <w:szCs w:val="4"/>
              </w:rPr>
            </w:pPr>
            <w:r>
              <w:rPr>
                <w:sz w:val="4"/>
                <w:szCs w:val="4"/>
              </w:rPr>
            </w:r>
          </w:p>
        </w:tc>
        <w:tc>
          <w:tcPr>
            <w:tcW w:w="1555" w:type="dxa"/>
            <w:gridSpan w:val="4"/>
            <w:tcBorders/>
            <w:vAlign w:val="center"/>
          </w:tcPr>
          <w:p>
            <w:pPr>
              <w:pStyle w:val="TableContents"/>
              <w:bidi w:val="0"/>
              <w:spacing w:before="0" w:after="283"/>
              <w:jc w:val="left"/>
              <w:rPr>
                <w:sz w:val="4"/>
                <w:szCs w:val="4"/>
              </w:rPr>
            </w:pPr>
            <w:r>
              <w:rPr>
                <w:sz w:val="4"/>
                <w:szCs w:val="4"/>
              </w:rPr>
            </w:r>
          </w:p>
        </w:tc>
      </w:tr>
      <w:tr>
        <w:trPr/>
        <w:tc>
          <w:tcPr>
            <w:tcW w:w="6305"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Total Outstanding Stock Options</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1220" w:type="dxa"/>
            <w:tcBorders>
              <w:bottom w:val="single" w:sz="6" w:space="0" w:color="FBDDE3"/>
            </w:tcBorders>
            <w:tcMar>
              <w:bottom w:w="60" w:type="dxa"/>
            </w:tcMar>
            <w:vAlign w:val="center"/>
          </w:tcPr>
          <w:p>
            <w:pPr>
              <w:pStyle w:val="TableContents"/>
              <w:bidi w:val="0"/>
              <w:spacing w:before="0" w:after="283"/>
              <w:jc w:val="right"/>
              <w:rPr/>
            </w:pPr>
            <w:r>
              <w:rPr/>
              <w:t>832,028</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283"/>
              <w:jc w:val="left"/>
              <w:rPr>
                <w:sz w:val="4"/>
                <w:szCs w:val="4"/>
              </w:rPr>
            </w:pPr>
            <w:r>
              <w:rPr>
                <w:sz w:val="4"/>
                <w:szCs w:val="4"/>
              </w:rPr>
            </w:r>
          </w:p>
        </w:tc>
        <w:tc>
          <w:tcPr>
            <w:tcW w:w="1555" w:type="dxa"/>
            <w:gridSpan w:val="4"/>
            <w:tcBorders/>
            <w:vAlign w:val="center"/>
          </w:tcPr>
          <w:p>
            <w:pPr>
              <w:pStyle w:val="TableContents"/>
              <w:bidi w:val="0"/>
              <w:spacing w:before="0" w:after="283"/>
              <w:jc w:val="left"/>
              <w:rPr>
                <w:sz w:val="4"/>
                <w:szCs w:val="4"/>
              </w:rPr>
            </w:pPr>
            <w:r>
              <w:rPr>
                <w:sz w:val="4"/>
                <w:szCs w:val="4"/>
              </w:rPr>
            </w:r>
          </w:p>
        </w:tc>
      </w:tr>
      <w:tr>
        <w:trPr/>
        <w:tc>
          <w:tcPr>
            <w:tcW w:w="6305"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Weighted-Average Exercise Price of Stock Options</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w:t>
            </w:r>
          </w:p>
        </w:tc>
        <w:tc>
          <w:tcPr>
            <w:tcW w:w="1220" w:type="dxa"/>
            <w:tcBorders>
              <w:bottom w:val="single" w:sz="6" w:space="0" w:color="FBDDE3"/>
            </w:tcBorders>
            <w:tcMar>
              <w:bottom w:w="60" w:type="dxa"/>
            </w:tcMar>
            <w:vAlign w:val="center"/>
          </w:tcPr>
          <w:p>
            <w:pPr>
              <w:pStyle w:val="TableContents"/>
              <w:bidi w:val="0"/>
              <w:spacing w:before="0" w:after="283"/>
              <w:jc w:val="right"/>
              <w:rPr/>
            </w:pPr>
            <w:r>
              <w:rPr/>
              <w:t>35.36</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283"/>
              <w:jc w:val="left"/>
              <w:rPr>
                <w:sz w:val="4"/>
                <w:szCs w:val="4"/>
              </w:rPr>
            </w:pPr>
            <w:r>
              <w:rPr>
                <w:sz w:val="4"/>
                <w:szCs w:val="4"/>
              </w:rPr>
            </w:r>
          </w:p>
        </w:tc>
        <w:tc>
          <w:tcPr>
            <w:tcW w:w="1555" w:type="dxa"/>
            <w:gridSpan w:val="4"/>
            <w:tcBorders/>
            <w:vAlign w:val="center"/>
          </w:tcPr>
          <w:p>
            <w:pPr>
              <w:pStyle w:val="TableContents"/>
              <w:bidi w:val="0"/>
              <w:spacing w:before="0" w:after="283"/>
              <w:jc w:val="left"/>
              <w:rPr>
                <w:sz w:val="4"/>
                <w:szCs w:val="4"/>
              </w:rPr>
            </w:pPr>
            <w:r>
              <w:rPr>
                <w:sz w:val="4"/>
                <w:szCs w:val="4"/>
              </w:rPr>
            </w:r>
          </w:p>
        </w:tc>
      </w:tr>
      <w:tr>
        <w:trPr/>
        <w:tc>
          <w:tcPr>
            <w:tcW w:w="6305"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Weighted-Average Remaining Duration</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1220" w:type="dxa"/>
            <w:tcBorders>
              <w:bottom w:val="single" w:sz="6" w:space="0" w:color="FBDDE3"/>
            </w:tcBorders>
            <w:tcMar>
              <w:bottom w:w="60" w:type="dxa"/>
            </w:tcMar>
            <w:vAlign w:val="center"/>
          </w:tcPr>
          <w:p>
            <w:pPr>
              <w:pStyle w:val="TableContents"/>
              <w:bidi w:val="0"/>
              <w:spacing w:before="0" w:after="283"/>
              <w:jc w:val="right"/>
              <w:rPr/>
            </w:pPr>
            <w:r>
              <w:rPr/>
              <w:t>2.88</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283"/>
              <w:jc w:val="left"/>
              <w:rPr>
                <w:sz w:val="4"/>
                <w:szCs w:val="4"/>
              </w:rPr>
            </w:pPr>
            <w:r>
              <w:rPr>
                <w:sz w:val="4"/>
                <w:szCs w:val="4"/>
              </w:rPr>
            </w:r>
          </w:p>
        </w:tc>
        <w:tc>
          <w:tcPr>
            <w:tcW w:w="1555" w:type="dxa"/>
            <w:gridSpan w:val="4"/>
            <w:tcBorders/>
            <w:vAlign w:val="center"/>
          </w:tcPr>
          <w:p>
            <w:pPr>
              <w:pStyle w:val="TableContents"/>
              <w:bidi w:val="0"/>
              <w:spacing w:before="0" w:after="283"/>
              <w:jc w:val="left"/>
              <w:rPr>
                <w:sz w:val="4"/>
                <w:szCs w:val="4"/>
              </w:rPr>
            </w:pPr>
            <w:r>
              <w:rPr>
                <w:sz w:val="4"/>
                <w:szCs w:val="4"/>
              </w:rPr>
            </w:r>
          </w:p>
        </w:tc>
      </w:tr>
      <w:tr>
        <w:trPr/>
        <w:tc>
          <w:tcPr>
            <w:tcW w:w="6305"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Total Outstanding Cash Settled RSUs</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1220" w:type="dxa"/>
            <w:tcBorders>
              <w:bottom w:val="single" w:sz="6" w:space="0" w:color="FBDDE3"/>
            </w:tcBorders>
            <w:tcMar>
              <w:bottom w:w="60" w:type="dxa"/>
            </w:tcMar>
            <w:vAlign w:val="center"/>
          </w:tcPr>
          <w:p>
            <w:pPr>
              <w:pStyle w:val="TableContents"/>
              <w:bidi w:val="0"/>
              <w:spacing w:before="0" w:after="283"/>
              <w:jc w:val="right"/>
              <w:rPr/>
            </w:pPr>
            <w:r>
              <w:rPr/>
              <w:t>3,288</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283"/>
              <w:jc w:val="left"/>
              <w:rPr>
                <w:sz w:val="4"/>
                <w:szCs w:val="4"/>
              </w:rPr>
            </w:pPr>
            <w:r>
              <w:rPr>
                <w:sz w:val="4"/>
                <w:szCs w:val="4"/>
              </w:rPr>
            </w:r>
          </w:p>
        </w:tc>
        <w:tc>
          <w:tcPr>
            <w:tcW w:w="1555" w:type="dxa"/>
            <w:gridSpan w:val="4"/>
            <w:tcBorders/>
            <w:vAlign w:val="center"/>
          </w:tcPr>
          <w:p>
            <w:pPr>
              <w:pStyle w:val="TableContents"/>
              <w:bidi w:val="0"/>
              <w:spacing w:before="0" w:after="283"/>
              <w:jc w:val="left"/>
              <w:rPr>
                <w:sz w:val="4"/>
                <w:szCs w:val="4"/>
              </w:rPr>
            </w:pPr>
            <w:r>
              <w:rPr>
                <w:sz w:val="4"/>
                <w:szCs w:val="4"/>
              </w:rPr>
            </w:r>
          </w:p>
        </w:tc>
      </w:tr>
      <w:tr>
        <w:trPr/>
        <w:tc>
          <w:tcPr>
            <w:tcW w:w="6305"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Total Outstanding Shares of Common Stock</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1220" w:type="dxa"/>
            <w:tcBorders>
              <w:bottom w:val="single" w:sz="6" w:space="0" w:color="FBDDE3"/>
            </w:tcBorders>
            <w:tcMar>
              <w:bottom w:w="60" w:type="dxa"/>
            </w:tcMar>
            <w:vAlign w:val="center"/>
          </w:tcPr>
          <w:p>
            <w:pPr>
              <w:pStyle w:val="TableContents"/>
              <w:bidi w:val="0"/>
              <w:spacing w:before="0" w:after="283"/>
              <w:jc w:val="right"/>
              <w:rPr/>
            </w:pPr>
            <w:r>
              <w:rPr/>
              <w:t>78,288,227</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6305" w:type="dxa"/>
            <w:tcBorders/>
            <w:vAlign w:val="center"/>
          </w:tcPr>
          <w:p>
            <w:pPr>
              <w:pStyle w:val="TableContents"/>
              <w:bidi w:val="0"/>
              <w:spacing w:before="0" w:after="283"/>
              <w:jc w:val="left"/>
              <w:rPr>
                <w:sz w:val="4"/>
                <w:szCs w:val="4"/>
              </w:rPr>
            </w:pPr>
            <w:r>
              <w:rPr>
                <w:sz w:val="4"/>
                <w:szCs w:val="4"/>
              </w:rPr>
            </w:r>
          </w:p>
        </w:tc>
        <w:tc>
          <w:tcPr>
            <w:tcW w:w="1555" w:type="dxa"/>
            <w:gridSpan w:val="4"/>
            <w:tcBorders/>
            <w:vAlign w:val="center"/>
          </w:tcPr>
          <w:p>
            <w:pPr>
              <w:pStyle w:val="TableContents"/>
              <w:bidi w:val="0"/>
              <w:spacing w:before="0" w:after="283"/>
              <w:jc w:val="left"/>
              <w:rPr>
                <w:sz w:val="4"/>
                <w:szCs w:val="4"/>
              </w:rPr>
            </w:pPr>
            <w:r>
              <w:rPr>
                <w:sz w:val="4"/>
                <w:szCs w:val="4"/>
              </w:rPr>
            </w:r>
          </w:p>
        </w:tc>
      </w:tr>
      <w:tr>
        <w:trPr/>
        <w:tc>
          <w:tcPr>
            <w:tcW w:w="6305" w:type="dxa"/>
            <w:tcBorders>
              <w:bottom w:val="single" w:sz="8" w:space="0" w:color="F7ACBA"/>
            </w:tcBorders>
            <w:tcMar>
              <w:bottom w:w="60" w:type="dxa"/>
            </w:tcMar>
            <w:vAlign w:val="center"/>
          </w:tcPr>
          <w:p>
            <w:pPr>
              <w:pStyle w:val="TableContents"/>
              <w:bidi w:val="0"/>
              <w:spacing w:before="0" w:after="0"/>
              <w:jc w:val="left"/>
              <w:rPr>
                <w:rFonts w:ascii="arial" w:hAnsi="arial"/>
                <w:sz w:val="18"/>
              </w:rPr>
            </w:pPr>
            <w:r>
              <w:rPr>
                <w:rFonts w:ascii="arial" w:hAnsi="arial"/>
                <w:sz w:val="18"/>
              </w:rPr>
              <w:t>Total Number of Shares Available for Issuance under the VS 2021 Stock Plan</w:t>
            </w:r>
          </w:p>
        </w:tc>
        <w:tc>
          <w:tcPr>
            <w:tcW w:w="120" w:type="dxa"/>
            <w:tcBorders>
              <w:bottom w:val="single" w:sz="8" w:space="0" w:color="F7ACBA"/>
            </w:tcBorders>
            <w:tcMar>
              <w:bottom w:w="28" w:type="dxa"/>
            </w:tcMar>
            <w:vAlign w:val="center"/>
          </w:tcPr>
          <w:p>
            <w:pPr>
              <w:pStyle w:val="TableContents"/>
              <w:bidi w:val="0"/>
              <w:spacing w:before="0" w:after="283"/>
              <w:jc w:val="left"/>
              <w:rPr/>
            </w:pPr>
            <w:r>
              <w:rPr/>
              <w:t>  </w:t>
            </w:r>
          </w:p>
        </w:tc>
        <w:tc>
          <w:tcPr>
            <w:tcW w:w="140" w:type="dxa"/>
            <w:tcBorders>
              <w:bottom w:val="single" w:sz="8" w:space="0" w:color="F7ACBA"/>
            </w:tcBorders>
            <w:tcMar>
              <w:bottom w:w="60" w:type="dxa"/>
            </w:tcMar>
            <w:vAlign w:val="center"/>
          </w:tcPr>
          <w:p>
            <w:pPr>
              <w:pStyle w:val="TableContents"/>
              <w:bidi w:val="0"/>
              <w:spacing w:before="0" w:after="283"/>
              <w:jc w:val="left"/>
              <w:rPr/>
            </w:pPr>
            <w:r>
              <w:rPr/>
              <w:t> </w:t>
            </w:r>
          </w:p>
        </w:tc>
        <w:tc>
          <w:tcPr>
            <w:tcW w:w="1220" w:type="dxa"/>
            <w:tcBorders>
              <w:bottom w:val="single" w:sz="8" w:space="0" w:color="F7ACBA"/>
            </w:tcBorders>
            <w:tcMar>
              <w:bottom w:w="60" w:type="dxa"/>
            </w:tcMar>
            <w:vAlign w:val="center"/>
          </w:tcPr>
          <w:p>
            <w:pPr>
              <w:pStyle w:val="TableContents"/>
              <w:bidi w:val="0"/>
              <w:spacing w:before="0" w:after="283"/>
              <w:jc w:val="right"/>
              <w:rPr/>
            </w:pPr>
            <w:r>
              <w:rPr/>
              <w:t>2,837,975</w:t>
            </w:r>
          </w:p>
        </w:tc>
        <w:tc>
          <w:tcPr>
            <w:tcW w:w="75" w:type="dxa"/>
            <w:tcBorders>
              <w:bottom w:val="single" w:sz="8" w:space="0" w:color="F7ACBA"/>
            </w:tcBorders>
            <w:tcMar>
              <w:bottom w:w="60" w:type="dxa"/>
            </w:tcMar>
            <w:vAlign w:val="center"/>
          </w:tcPr>
          <w:p>
            <w:pPr>
              <w:pStyle w:val="TableContents"/>
              <w:bidi w:val="0"/>
              <w:spacing w:before="0" w:after="283"/>
              <w:jc w:val="left"/>
              <w:rPr/>
            </w:pPr>
            <w:r>
              <w:rPr/>
              <w:t> </w:t>
            </w:r>
          </w:p>
        </w:tc>
      </w:tr>
    </w:tbl>
    <w:p>
      <w:pPr>
        <w:pStyle w:val="TextBody"/>
        <w:bidi w:val="0"/>
        <w:spacing w:before="360" w:after="0"/>
        <w:jc w:val="left"/>
        <w:rPr>
          <w:rFonts w:ascii="arial" w:hAnsi="arial"/>
          <w:sz w:val="30"/>
        </w:rPr>
      </w:pPr>
      <w:r>
        <w:rPr>
          <w:rFonts w:ascii="arial" w:hAnsi="arial"/>
          <w:sz w:val="30"/>
        </w:rPr>
        <w:t xml:space="preserve">Determination of Request for Additional Shares </w:t>
      </w:r>
    </w:p>
    <w:p>
      <w:pPr>
        <w:pStyle w:val="TextBody"/>
        <w:bidi w:val="0"/>
        <w:spacing w:before="120" w:after="0"/>
        <w:jc w:val="left"/>
        <w:rPr>
          <w:rFonts w:ascii="arial" w:hAnsi="arial"/>
          <w:sz w:val="18"/>
        </w:rPr>
      </w:pPr>
      <w:r>
        <w:rPr>
          <w:rFonts w:ascii="arial" w:hAnsi="arial"/>
          <w:sz w:val="18"/>
        </w:rPr>
        <w:t xml:space="preserve">In determining the number of additional shares to request for authorization for issuance under the VS 2021 Stock Plan, the Board considered numerous factors,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Historical burn rate. Our burn rate over the last two years has averaged 2.97%. “Burn rate” is calculated by dividing the total number of shares subject to equity awards granted in a given year by the total weighted average number of shares of common stock outstanding during the period, and does not reflect any forfeitures or cancellations.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Overhang calculation. Our total overhang as of the fiscal year end is 13.5%. “Overhang” is a measure of potential dilution from equity compensation plans and is calculated by dividing the number of shares of common stock subject to equity awards outstanding at the end of the relevant year plus the number of shares available for future grants under our equity plans by the total number of shares of common stock outstanding at the end of such year. </w:t>
            </w:r>
          </w:p>
        </w:tc>
      </w:tr>
    </w:tbl>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35"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24" descr=""/>
                          <pic:cNvPicPr>
                            <a:picLocks noChangeAspect="1" noChangeArrowheads="1"/>
                          </pic:cNvPicPr>
                        </pic:nvPicPr>
                        <pic:blipFill>
                          <a:blip r:embed="rId125"/>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77 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AMENDMENT TO VS 2021 STOCK PLAN </w:t>
      </w:r>
    </w:p>
    <w:p>
      <w:pPr>
        <w:pStyle w:val="TextBody"/>
        <w:bidi w:val="0"/>
        <w:spacing w:before="0" w:after="0"/>
        <w:jc w:val="left"/>
        <w:rPr/>
      </w:pPr>
      <w:r>
        <w:rPr/>
        <w:t> </w:t>
      </w:r>
    </w:p>
    <w:p>
      <w:pPr>
        <w:pStyle w:val="TextBody"/>
        <w:bidi w:val="0"/>
        <w:spacing w:before="0" w:after="0"/>
        <w:jc w:val="left"/>
        <w:rPr>
          <w:rFonts w:ascii="arial" w:hAnsi="arial"/>
          <w:sz w:val="30"/>
        </w:rPr>
      </w:pPr>
      <w:r>
        <w:rPr>
          <w:rFonts w:ascii="arial" w:hAnsi="arial"/>
          <w:sz w:val="30"/>
        </w:rPr>
        <w:t xml:space="preserve">Summary of Terms of the VS 2021 Stock Plan, as Proposed to be Amended </w:t>
      </w:r>
    </w:p>
    <w:p>
      <w:pPr>
        <w:pStyle w:val="TextBody"/>
        <w:bidi w:val="0"/>
        <w:spacing w:before="120" w:after="0"/>
        <w:jc w:val="left"/>
        <w:rPr>
          <w:rFonts w:ascii="arial" w:hAnsi="arial"/>
          <w:sz w:val="18"/>
        </w:rPr>
      </w:pPr>
      <w:r>
        <w:rPr>
          <w:rFonts w:ascii="arial" w:hAnsi="arial"/>
          <w:sz w:val="18"/>
        </w:rPr>
        <w:t xml:space="preserve">The material terms of the VS 2021 Stock Plan, as it is proposed to be amended, are summarized below. The below summary is qualified in its entirety by reference to the complete text of the VS 2021 Stock Plan, which is attached as Appendix C to this Proxy Statement, and the Proposed Amendment, which is attached as Appendix D to this Proxy Statement. </w:t>
      </w:r>
    </w:p>
    <w:p>
      <w:pPr>
        <w:pStyle w:val="TextBody"/>
        <w:bidi w:val="0"/>
        <w:spacing w:before="240" w:after="0"/>
        <w:jc w:val="left"/>
        <w:rPr>
          <w:rFonts w:ascii="arial" w:hAnsi="arial"/>
          <w:b/>
          <w:color w:val="F7ACBA"/>
          <w:sz w:val="24"/>
        </w:rPr>
      </w:pPr>
      <w:r>
        <w:rPr>
          <w:rFonts w:ascii="arial" w:hAnsi="arial"/>
          <w:b/>
          <w:color w:val="F7ACBA"/>
          <w:sz w:val="24"/>
        </w:rPr>
        <w:t xml:space="preserve">Administration </w:t>
      </w:r>
    </w:p>
    <w:p>
      <w:pPr>
        <w:pStyle w:val="TextBody"/>
        <w:bidi w:val="0"/>
        <w:spacing w:before="60" w:after="0"/>
        <w:jc w:val="left"/>
        <w:rPr>
          <w:rFonts w:ascii="arial" w:hAnsi="arial"/>
          <w:sz w:val="18"/>
        </w:rPr>
      </w:pPr>
      <w:r>
        <w:rPr>
          <w:rFonts w:ascii="arial" w:hAnsi="arial"/>
          <w:sz w:val="18"/>
        </w:rPr>
        <w:t xml:space="preserve">The VS 2021 Stock Plan is administered by the HCCC. The HCCC has the power, in its discretion, to: </w:t>
      </w:r>
    </w:p>
    <w:p>
      <w:pPr>
        <w:pStyle w:val="TextBody"/>
        <w:bidi w:val="0"/>
        <w:spacing w:before="0" w:after="0"/>
        <w:jc w:val="left"/>
        <w:rPr/>
      </w:pPr>
      <w:r>
        <w:rPr/>
        <w:t> </w:t>
      </w:r>
    </w:p>
    <w:tbl>
      <w:tblPr>
        <w:tblW w:w="3850" w:type="dxa"/>
        <w:jc w:val="left"/>
        <w:tblInd w:w="0" w:type="dxa"/>
        <w:tblLayout w:type="fixed"/>
        <w:tblCellMar>
          <w:top w:w="0" w:type="dxa"/>
          <w:left w:w="0" w:type="dxa"/>
          <w:bottom w:w="0" w:type="dxa"/>
          <w:right w:w="0" w:type="dxa"/>
        </w:tblCellMar>
      </w:tblPr>
      <w:tblGrid>
        <w:gridCol w:w="125"/>
        <w:gridCol w:w="60"/>
        <w:gridCol w:w="3665"/>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3665" w:type="dxa"/>
            <w:tcBorders/>
            <w:vAlign w:val="center"/>
          </w:tcPr>
          <w:p>
            <w:pPr>
              <w:pStyle w:val="TableContents"/>
              <w:bidi w:val="0"/>
              <w:spacing w:before="0" w:after="0"/>
              <w:jc w:val="left"/>
              <w:rPr>
                <w:rFonts w:ascii="arial" w:hAnsi="arial"/>
                <w:sz w:val="18"/>
              </w:rPr>
            </w:pPr>
            <w:r>
              <w:rPr>
                <w:rFonts w:ascii="arial" w:hAnsi="arial"/>
                <w:sz w:val="18"/>
              </w:rPr>
              <w:t xml:space="preserve">Grant awards under the VS 2021 Stock Plan </w:t>
            </w:r>
          </w:p>
        </w:tc>
      </w:tr>
    </w:tbl>
    <w:p>
      <w:pPr>
        <w:pStyle w:val="TextBody"/>
        <w:bidi w:val="0"/>
        <w:spacing w:before="0" w:after="0"/>
        <w:jc w:val="left"/>
        <w:rPr/>
      </w:pPr>
      <w:r>
        <w:rPr/>
        <w:t> </w:t>
      </w:r>
    </w:p>
    <w:tbl>
      <w:tblPr>
        <w:tblW w:w="6385" w:type="dxa"/>
        <w:jc w:val="left"/>
        <w:tblInd w:w="0" w:type="dxa"/>
        <w:tblLayout w:type="fixed"/>
        <w:tblCellMar>
          <w:top w:w="0" w:type="dxa"/>
          <w:left w:w="0" w:type="dxa"/>
          <w:bottom w:w="0" w:type="dxa"/>
          <w:right w:w="0" w:type="dxa"/>
        </w:tblCellMar>
      </w:tblPr>
      <w:tblGrid>
        <w:gridCol w:w="125"/>
        <w:gridCol w:w="60"/>
        <w:gridCol w:w="620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6200" w:type="dxa"/>
            <w:tcBorders/>
            <w:vAlign w:val="center"/>
          </w:tcPr>
          <w:p>
            <w:pPr>
              <w:pStyle w:val="TableContents"/>
              <w:bidi w:val="0"/>
              <w:spacing w:before="0" w:after="0"/>
              <w:jc w:val="left"/>
              <w:rPr>
                <w:rFonts w:ascii="arial" w:hAnsi="arial"/>
                <w:sz w:val="18"/>
              </w:rPr>
            </w:pPr>
            <w:r>
              <w:rPr>
                <w:rFonts w:ascii="arial" w:hAnsi="arial"/>
                <w:sz w:val="18"/>
              </w:rPr>
              <w:t xml:space="preserve">Select eligible participants to receive awards under the VS 2021 Stock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Determine the terms and conditions of any award and prescribe the form of each award agreement, which need not be identical for each participant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Determine whether, to what extent, under what circumstances and by which methods awards may be settled or exercised in cash, shares, other awards, other property, net settlement (including broker-assisted cashless exercise), or any combination thereof, or canceled, forfeited or suspended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To determine whether, to what extent and under what circumstances cash, shares, other awards, other property and other amounts payable with respect to an award shall be deferred either automatically or at the election of the holder thereof or of the HCCC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Correct any defect, supply any omission and reconcile any inconsistency in the VS 2021 Stock Plan or any award agreement, in the manner and to the extent it shall deem desirable to carry the VS 2021 Stock Plan into effect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Establish, amend, suspend or waive rules and regulations and appoint agents, trustees, brokers, depositories and advisors and determine the terms of their engagement as the HCCC deems appropriate for the proper administration of the VS 2021 Stock Plan and compliance with applicable law, stock market or exchange rules and regulations or accounting or tax rules, to the extent permitted under applicable regulations of any stock exchange on which the Company is listed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Make any other determination and take any other action that the HCCC deems necessary or desirable for the administration of the VS 2021 Stock Plan and compliance with applicable law, stock market or exchange rules and regulations or accounting or tax rules and regulations </w:t>
            </w:r>
          </w:p>
        </w:tc>
      </w:tr>
    </w:tbl>
    <w:p>
      <w:pPr>
        <w:pStyle w:val="TextBody"/>
        <w:bidi w:val="0"/>
        <w:spacing w:before="120" w:after="0"/>
        <w:jc w:val="left"/>
        <w:rPr>
          <w:rFonts w:ascii="arial" w:hAnsi="arial"/>
          <w:sz w:val="18"/>
        </w:rPr>
      </w:pPr>
      <w:r>
        <w:rPr>
          <w:rFonts w:ascii="arial" w:hAnsi="arial"/>
          <w:sz w:val="18"/>
        </w:rPr>
        <w:t xml:space="preserve">Subject to compliance with applicable law, the HCCC may delegate to one or more members, committees of the Board or any other person (including officers of the Company), such duties and responsibilities as it determines to be appropriate, including the authority to grant awards. At any time, the Board may, in its discretion, grant awards under the VS 2021 Stock Plan or administer the VS 2021 Stock Plan. </w:t>
      </w:r>
    </w:p>
    <w:p>
      <w:pPr>
        <w:pStyle w:val="TextBody"/>
        <w:bidi w:val="0"/>
        <w:spacing w:before="240" w:after="0"/>
        <w:jc w:val="left"/>
        <w:rPr>
          <w:rFonts w:ascii="arial" w:hAnsi="arial"/>
          <w:b/>
          <w:color w:val="F7ACBA"/>
          <w:sz w:val="24"/>
        </w:rPr>
      </w:pPr>
      <w:r>
        <w:rPr>
          <w:rFonts w:ascii="arial" w:hAnsi="arial"/>
          <w:b/>
          <w:color w:val="F7ACBA"/>
          <w:sz w:val="24"/>
        </w:rPr>
        <w:t xml:space="preserve">Authorized Shares </w:t>
      </w:r>
    </w:p>
    <w:p>
      <w:pPr>
        <w:pStyle w:val="TextBody"/>
        <w:bidi w:val="0"/>
        <w:spacing w:before="60" w:after="0"/>
        <w:jc w:val="left"/>
        <w:rPr>
          <w:rFonts w:ascii="arial" w:hAnsi="arial"/>
          <w:sz w:val="18"/>
        </w:rPr>
      </w:pPr>
      <w:r>
        <w:rPr>
          <w:rFonts w:ascii="arial" w:hAnsi="arial"/>
          <w:sz w:val="18"/>
        </w:rPr>
        <w:t xml:space="preserve">Subject to certain capitalization adjustments (as described below), the maximum number of shares of VS&amp;Co common stock that may be granted pursuant to awards under the VS 2021 Stock Plan, as amended, will be 15,395,172 shares of VS&amp;Co common stock plus shares of common stock issuable upon the exercise or settlement of converted awards and substitute awards. </w:t>
      </w:r>
    </w:p>
    <w:p>
      <w:pPr>
        <w:pStyle w:val="TextBody"/>
        <w:bidi w:val="0"/>
        <w:spacing w:before="240" w:after="0"/>
        <w:jc w:val="left"/>
        <w:rPr>
          <w:rFonts w:ascii="arial" w:hAnsi="arial"/>
          <w:b/>
          <w:color w:val="F7ACBA"/>
          <w:sz w:val="24"/>
        </w:rPr>
      </w:pPr>
      <w:r>
        <w:rPr>
          <w:rFonts w:ascii="arial" w:hAnsi="arial"/>
          <w:b/>
          <w:color w:val="F7ACBA"/>
          <w:sz w:val="24"/>
        </w:rPr>
        <w:t xml:space="preserve">Share Recycling </w:t>
      </w:r>
    </w:p>
    <w:p>
      <w:pPr>
        <w:pStyle w:val="TextBody"/>
        <w:bidi w:val="0"/>
        <w:spacing w:before="60" w:after="0"/>
        <w:jc w:val="left"/>
        <w:rPr>
          <w:rFonts w:ascii="arial" w:hAnsi="arial"/>
          <w:sz w:val="18"/>
        </w:rPr>
      </w:pPr>
      <w:r>
        <w:rPr>
          <w:rFonts w:ascii="arial" w:hAnsi="arial"/>
          <w:sz w:val="18"/>
        </w:rPr>
        <w:t xml:space="preserve">In the event that any award granted under the VS 2021 Stock Plan (other than any substitute award or converted award) expires unexercised or is terminated, surrendered, forfeited or canceled without being exercised or settled for shares of VS&amp;Co common stock for any reason, then the shares of VS&amp;Co common stock to which such award relates may be available for subsequent awards, upon the terms as the HCCC may determine. </w:t>
      </w:r>
    </w:p>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36"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25" descr=""/>
                          <pic:cNvPicPr>
                            <a:picLocks noChangeAspect="1" noChangeArrowheads="1"/>
                          </pic:cNvPicPr>
                        </pic:nvPicPr>
                        <pic:blipFill>
                          <a:blip r:embed="rId126"/>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78 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AMENDMENT TO VS 2021 STOCK PLAN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The following shares of common stock may not again be made available for issuance as awards under the VS 2021 Stock Plan: (i) shares not issued or delivered as a result of the net settlement of an outstanding SAR or option and (ii) shares used to pay the exercise price or withholding taxes related to an outstanding option or SAR. </w:t>
      </w:r>
    </w:p>
    <w:p>
      <w:pPr>
        <w:pStyle w:val="TextBody"/>
        <w:bidi w:val="0"/>
        <w:spacing w:before="240" w:after="0"/>
        <w:jc w:val="left"/>
        <w:rPr>
          <w:rFonts w:ascii="arial" w:hAnsi="arial"/>
          <w:b/>
          <w:color w:val="F7ACBA"/>
          <w:sz w:val="24"/>
        </w:rPr>
      </w:pPr>
      <w:r>
        <w:rPr>
          <w:rFonts w:ascii="arial" w:hAnsi="arial"/>
          <w:b/>
          <w:color w:val="F7ACBA"/>
          <w:sz w:val="24"/>
        </w:rPr>
        <w:t xml:space="preserve">Capitalization Adjustments </w:t>
      </w:r>
    </w:p>
    <w:p>
      <w:pPr>
        <w:pStyle w:val="TextBody"/>
        <w:bidi w:val="0"/>
        <w:spacing w:before="60" w:after="0"/>
        <w:jc w:val="left"/>
        <w:rPr>
          <w:rFonts w:ascii="arial" w:hAnsi="arial"/>
          <w:sz w:val="18"/>
        </w:rPr>
      </w:pPr>
      <w:r>
        <w:rPr>
          <w:rFonts w:ascii="arial" w:hAnsi="arial"/>
          <w:sz w:val="18"/>
        </w:rPr>
        <w:t xml:space="preserve">The number and class of shares available under the VS 2021 Stock Plan or subject to outstanding awards may be adjusted by the HCCC to prevent dilution or enlargement of rights in the event of various changes in the capitalization of the Company, including adjustments in the event of changes in the number of shares of outstanding VS&amp;Co common stock by reason of stock dividends, extraordinary cash dividends, split-ups, recapitalizations, mergers, consolidations, combinations or exchanges of shares, separations, reorganizations, liquidations and the like. </w:t>
      </w:r>
    </w:p>
    <w:p>
      <w:pPr>
        <w:pStyle w:val="TextBody"/>
        <w:bidi w:val="0"/>
        <w:spacing w:before="240" w:after="0"/>
        <w:jc w:val="left"/>
        <w:rPr>
          <w:rFonts w:ascii="arial" w:hAnsi="arial"/>
          <w:b/>
          <w:color w:val="F7ACBA"/>
          <w:sz w:val="24"/>
        </w:rPr>
      </w:pPr>
      <w:r>
        <w:rPr>
          <w:rFonts w:ascii="arial" w:hAnsi="arial"/>
          <w:b/>
          <w:color w:val="F7ACBA"/>
          <w:sz w:val="24"/>
        </w:rPr>
        <w:t xml:space="preserve">Certain Limitations </w:t>
      </w:r>
    </w:p>
    <w:p>
      <w:pPr>
        <w:pStyle w:val="TextBody"/>
        <w:bidi w:val="0"/>
        <w:spacing w:before="60" w:after="0"/>
        <w:jc w:val="left"/>
        <w:rPr>
          <w:rFonts w:ascii="arial" w:hAnsi="arial"/>
          <w:sz w:val="18"/>
        </w:rPr>
      </w:pPr>
      <w:r>
        <w:rPr>
          <w:rFonts w:ascii="arial" w:hAnsi="arial"/>
          <w:sz w:val="18"/>
        </w:rPr>
        <w:t xml:space="preserve">Awards granted under the VS 2021 Stock Plan will be subject to a minimum one-year vesting period following the grant date of such award, except for: (i) the acceleration of awards in connection with certain corporate transactions; (ii) the grant of substitute awards, converted awards or “replacement awards” (i.e., awards granted under the VS 2021 Stock Plan in respect of L Brands equity awards forfeited by certain service providers who transfer to VS&amp;Co following the spin-off, in accordance with the terms of the Employee Matters Agreement); (iii) the grant of awards relating to 5% of the shares available for issuance under the VS 2021 Stock Plan; or (iv) the provision for accelerated exercisability or vesting of an award in cases of involuntary termination without cause, retirement, death or disability. </w:t>
      </w:r>
    </w:p>
    <w:p>
      <w:pPr>
        <w:pStyle w:val="TextBody"/>
        <w:bidi w:val="0"/>
        <w:spacing w:before="120" w:after="0"/>
        <w:jc w:val="left"/>
        <w:rPr>
          <w:rFonts w:ascii="arial" w:hAnsi="arial"/>
          <w:sz w:val="18"/>
        </w:rPr>
      </w:pPr>
      <w:r>
        <w:rPr>
          <w:rFonts w:ascii="arial" w:hAnsi="arial"/>
          <w:sz w:val="18"/>
        </w:rPr>
        <w:t xml:space="preserve">The maximum number of shares of VS&amp;Co common stock that may be granted pursuant to awards of incentive stock options under the VS 2021 Stock Plan is equal to 10,595,172 shares of VS&amp;Co common stock. </w:t>
      </w:r>
    </w:p>
    <w:p>
      <w:pPr>
        <w:pStyle w:val="TextBody"/>
        <w:bidi w:val="0"/>
        <w:spacing w:before="240" w:after="0"/>
        <w:jc w:val="left"/>
        <w:rPr>
          <w:rFonts w:ascii="arial" w:hAnsi="arial"/>
          <w:b/>
          <w:color w:val="F7ACBA"/>
          <w:sz w:val="24"/>
        </w:rPr>
      </w:pPr>
      <w:r>
        <w:rPr>
          <w:rFonts w:ascii="arial" w:hAnsi="arial"/>
          <w:b/>
          <w:color w:val="F7ACBA"/>
          <w:sz w:val="24"/>
        </w:rPr>
        <w:t xml:space="preserve">Non-Employee Director Limitations </w:t>
      </w:r>
    </w:p>
    <w:p>
      <w:pPr>
        <w:pStyle w:val="TextBody"/>
        <w:bidi w:val="0"/>
        <w:spacing w:before="60" w:after="0"/>
        <w:jc w:val="left"/>
        <w:rPr>
          <w:rFonts w:ascii="arial" w:hAnsi="arial"/>
          <w:sz w:val="18"/>
        </w:rPr>
      </w:pPr>
      <w:r>
        <w:rPr>
          <w:rFonts w:ascii="arial" w:hAnsi="arial"/>
          <w:sz w:val="18"/>
        </w:rPr>
        <w:t xml:space="preserve">Non-employee directors of the Board may not receive compensation for any fiscal year in excess of $1,000,000 in the aggregate, including cash payments and awards under the VS 2021 Stock Plan, with the value of any award under the VS 2021 Stock Plan for purposes of this limitation determined based on the grant date fair value of such award. However, this limitation will not apply with respect to converted awards or replacement awards. For purposes of clarity, the fiscal year limit shall apply based on the fiscal year in which the award is granted and not the year of payment. </w:t>
      </w:r>
    </w:p>
    <w:p>
      <w:pPr>
        <w:pStyle w:val="TextBody"/>
        <w:bidi w:val="0"/>
        <w:spacing w:before="240" w:after="0"/>
        <w:jc w:val="left"/>
        <w:rPr>
          <w:rFonts w:ascii="arial" w:hAnsi="arial"/>
          <w:b/>
          <w:color w:val="F7ACBA"/>
          <w:sz w:val="24"/>
        </w:rPr>
      </w:pPr>
      <w:r>
        <w:rPr>
          <w:rFonts w:ascii="arial" w:hAnsi="arial"/>
          <w:b/>
          <w:color w:val="F7ACBA"/>
          <w:sz w:val="24"/>
        </w:rPr>
        <w:t xml:space="preserve">Eligibility and Participation </w:t>
      </w:r>
    </w:p>
    <w:p>
      <w:pPr>
        <w:pStyle w:val="TextBody"/>
        <w:bidi w:val="0"/>
        <w:spacing w:before="120" w:after="0"/>
        <w:jc w:val="left"/>
        <w:rPr>
          <w:rFonts w:ascii="arial" w:hAnsi="arial"/>
          <w:sz w:val="18"/>
        </w:rPr>
      </w:pPr>
      <w:r>
        <w:rPr>
          <w:rFonts w:ascii="arial" w:hAnsi="arial"/>
          <w:sz w:val="18"/>
        </w:rPr>
        <w:t xml:space="preserve">Eligibility to participate in the VS 2021 Stock Plan is limited to associates, consultants, directors and other advisors or individuals who provide services to VS&amp;Co, any of its subsidiaries or affiliates, or any joint venture in which VS&amp;Co or any of its subsidiaries or affiliates holds at least a 20% interest, and who, in each case, are selected to participate in the VS 2021 Stock Plan by the HCCC. Participation in the VS 2021 Stock Plan is at the discretion of the HCCC and will be based upon the person’s present and potential contributions to the success of VS&amp;Co and its subsidiaries and such other factors as the HCCC deems relevant, and the HCCC’s determination that the grant of an award to such person is in furtherance of the VS 2021 Stock Plan’s stated purpose (as described above). </w:t>
      </w:r>
    </w:p>
    <w:p>
      <w:pPr>
        <w:pStyle w:val="TextBody"/>
        <w:bidi w:val="0"/>
        <w:spacing w:before="120" w:after="0"/>
        <w:jc w:val="left"/>
        <w:rPr>
          <w:rFonts w:ascii="arial" w:hAnsi="arial"/>
          <w:sz w:val="18"/>
        </w:rPr>
      </w:pPr>
      <w:r>
        <w:rPr>
          <w:rFonts w:ascii="arial" w:hAnsi="arial"/>
          <w:sz w:val="18"/>
        </w:rPr>
        <w:t xml:space="preserve">As of February 3, 2024, there were approximately 1,064 associates, 17 consultants, 8 non-employee directors, and zero other advisors eligible to participate in the VS 2021 Stock Plan. </w:t>
      </w:r>
    </w:p>
    <w:p>
      <w:pPr>
        <w:pStyle w:val="TextBody"/>
        <w:bidi w:val="0"/>
        <w:spacing w:before="240" w:after="0"/>
        <w:jc w:val="left"/>
        <w:rPr>
          <w:rFonts w:ascii="arial" w:hAnsi="arial"/>
          <w:b/>
          <w:color w:val="F7ACBA"/>
          <w:sz w:val="24"/>
        </w:rPr>
      </w:pPr>
      <w:r>
        <w:rPr>
          <w:rFonts w:ascii="arial" w:hAnsi="arial"/>
          <w:b/>
          <w:color w:val="F7ACBA"/>
          <w:sz w:val="24"/>
        </w:rPr>
        <w:t xml:space="preserve">Awards </w:t>
      </w:r>
    </w:p>
    <w:p>
      <w:pPr>
        <w:pStyle w:val="TextBody"/>
        <w:bidi w:val="0"/>
        <w:spacing w:before="60" w:after="0"/>
        <w:jc w:val="left"/>
        <w:rPr>
          <w:rFonts w:ascii="arial" w:hAnsi="arial"/>
          <w:sz w:val="18"/>
        </w:rPr>
      </w:pPr>
      <w:r>
        <w:rPr>
          <w:rFonts w:ascii="arial" w:hAnsi="arial"/>
          <w:sz w:val="18"/>
        </w:rPr>
        <w:t xml:space="preserve">The VS 2021 Stock Plan provides that the HCCC may grant awards to eligible participants in any of the following forms, subject to such terms, conditions and provisions as the HCCC may determine to be necessary or desirable: (i) incentive stock options, (ii) nonstatutory stock options, (iii) stock appreciation rights (on a tandem or stand-alone basis), (iv) restricted shares, (v) restricted share units, (vi) performance units, (vii) deferred restricted share units, (viii) unrestricted common stock, (ix) converted awards, (x) replacement awards and (xi) substitute awards.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i/>
                <w:sz w:val="18"/>
              </w:rPr>
              <w:t>ISOs/NSOs</w:t>
            </w:r>
            <w:r>
              <w:rPr>
                <w:rFonts w:ascii="arial" w:hAnsi="arial"/>
                <w:sz w:val="18"/>
              </w:rPr>
              <w:t xml:space="preserve">. The VS 2021 Stock Plan allows for the grant of stock options, which may be “incentive stock options” within the meaning of Section 422 of the Internal Revenue Code or nonstatutory stock options. Stock options must have an </w:t>
            </w:r>
          </w:p>
        </w:tc>
      </w:tr>
    </w:tbl>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37"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26" descr=""/>
                          <pic:cNvPicPr>
                            <a:picLocks noChangeAspect="1" noChangeArrowheads="1"/>
                          </pic:cNvPicPr>
                        </pic:nvPicPr>
                        <pic:blipFill>
                          <a:blip r:embed="rId127"/>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79 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AMENDMENT TO VS 2021 STOCK PLAN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exercise price of no less than 100% of the fair market value of a share of VS&amp;Co common stock on the date of grant (except in the case of substitute awards and converted awards). Stock options expire ten years after grant, or earlier if the participant terminates employment before that time, unless otherwise provided by the HCCC. Subject to the provisions of the 2021 VS Stock Plan, stock options may be exercised, in whole or in part, at such time or times as determined by the HCCC; provided that, except as otherwise provided in the VS 2021 Stock Plan, each stock option granted under the plan will have a minimum vesting period of one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i/>
                <w:sz w:val="18"/>
              </w:rPr>
              <w:t>SARs</w:t>
            </w:r>
            <w:r>
              <w:rPr>
                <w:rFonts w:ascii="arial" w:hAnsi="arial"/>
                <w:sz w:val="18"/>
              </w:rPr>
              <w:t xml:space="preserve">. A SAR represents the right to receive any appreciation in a share of VS&amp;Co common stock over a particular time period, either in the form of common stock or cash, and may be granted either on a tandem or stand-alone basis.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i/>
                <w:sz w:val="18"/>
              </w:rPr>
              <w:t>Restricted Shares</w:t>
            </w:r>
            <w:r>
              <w:rPr>
                <w:rFonts w:ascii="arial" w:hAnsi="arial"/>
                <w:sz w:val="18"/>
              </w:rPr>
              <w:t xml:space="preserve">. An award of restricted shares is a grant of outstanding shares of VS&amp;Co common stock which are subject to vesting conditions, including service conditions and/or performance objectives, and transfer restrictions.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i/>
                <w:sz w:val="18"/>
              </w:rPr>
              <w:t>RSUs</w:t>
            </w:r>
            <w:r>
              <w:rPr>
                <w:rFonts w:ascii="arial" w:hAnsi="arial"/>
                <w:sz w:val="18"/>
              </w:rPr>
              <w:t xml:space="preserve">. An RSU represents the right to receive a share of VS&amp;Co common stock (or cash equivalent, if applicable) in the future, provided that the restrictions and conditions designated by the HCCC at the time of the grant are satisfied (including service conditions and/or performance objectives, if applicable).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i/>
                <w:sz w:val="18"/>
              </w:rPr>
              <w:t>PSUs</w:t>
            </w:r>
            <w:r>
              <w:rPr>
                <w:rFonts w:ascii="arial" w:hAnsi="arial"/>
                <w:sz w:val="18"/>
              </w:rPr>
              <w:t xml:space="preserve">. The HCCC may award performance share units that represent the right to receive a number of shares of VS&amp;Co common stock based on the attainment of performance goals during a specified performance period. The HCCC will determine the performance periods and performance-based goals applicable to each grant of PSUs. Vesting of awards of PSUs will occur upon achievement of the applicable performance objectives within the applicable performance period. Payment of vested PSUs may be made in cash, common stock or any combination thereof, as determined by the HCCC.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i/>
                <w:sz w:val="18"/>
              </w:rPr>
              <w:t>DSUs</w:t>
            </w:r>
            <w:r>
              <w:rPr>
                <w:rFonts w:ascii="arial" w:hAnsi="arial"/>
                <w:sz w:val="18"/>
              </w:rPr>
              <w:t xml:space="preserve">. Participants may file elections made in compliance with Section 409A of the Internal Revenue Code to defer RSUs and PSUs that may be awarded under the plan and, under the amendment, cash retainers that would otherwise be payable to non-employee directors. Any deferred cash retainers shall be converted into DSUs by dividing the amount of the cash retainer by the fair market value of a share of common stock on the retainer payment date. Shares will be issued in connection with vested DSUs on the date of the participant’s separation from service, with a 6 month settlement day for specified employees as required under Section 409A of the Internal Revenue Code. DSUs shall be credited with dividend equivalent rights that credits additional DSUs calculated by multiplying the number of DSUs allocated to the participant by the per share dividend rate and dividing by the fair market value of a share of common stock on each dividend payment date between the award grant date and the issuance date. DSUs granted in connection with a deferred RSU or PSU will be subject to the same restrictions, conditions and forfeiture provisions as the deferred RSU or PSU award would have had.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i/>
                <w:sz w:val="18"/>
              </w:rPr>
              <w:t>Unrestricted Shares</w:t>
            </w:r>
            <w:r>
              <w:rPr>
                <w:rFonts w:ascii="arial" w:hAnsi="arial"/>
                <w:sz w:val="18"/>
              </w:rPr>
              <w:t xml:space="preserve">. Shares of VS&amp;Co common stock that are fully vested and not subject to any vesting or transfer restrictions.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i/>
                <w:sz w:val="18"/>
              </w:rPr>
              <w:t>Converted Awards and Replacement Awards</w:t>
            </w:r>
            <w:r>
              <w:rPr>
                <w:rFonts w:ascii="arial" w:hAnsi="arial"/>
                <w:sz w:val="18"/>
              </w:rPr>
              <w:t xml:space="preserve">. The VS 2021 Stock Plan provides for the grant of converted awards as a result of the adjustment and conversion of L Brands equity awards into VS&amp;Co equity awards in connection with the spin-off, pursuant to the Employee Matters Agreement. The VS 2021 Stock Plan also provides for the grant of replacement awards granted in replacement for L Brands equity awards that are forfeited by certain service providers who transfer to VS&amp;Co following the spin-off, pursuant to the Employee Matters Agreement. The terms and conditions of the VS 2021 Stock Plan will apply to converted awards and replacement awards only to the extent that such terms and conditions are not inconsistent with the terms of the Employee Matters Agreement and the terms of the applicable converted awards and replacement awards. </w:t>
            </w:r>
          </w:p>
        </w:tc>
      </w:tr>
    </w:tbl>
    <w:p>
      <w:pPr>
        <w:pStyle w:val="TextBody"/>
        <w:bidi w:val="0"/>
        <w:spacing w:before="240" w:after="0"/>
        <w:jc w:val="left"/>
        <w:rPr>
          <w:rFonts w:ascii="arial" w:hAnsi="arial"/>
          <w:b/>
          <w:color w:val="F7ACBA"/>
          <w:sz w:val="24"/>
        </w:rPr>
      </w:pPr>
      <w:r>
        <w:rPr>
          <w:rFonts w:ascii="arial" w:hAnsi="arial"/>
          <w:b/>
          <w:color w:val="F7ACBA"/>
          <w:sz w:val="24"/>
        </w:rPr>
        <w:t xml:space="preserve">No Transferability of Awards </w:t>
      </w:r>
    </w:p>
    <w:p>
      <w:pPr>
        <w:pStyle w:val="TextBody"/>
        <w:bidi w:val="0"/>
        <w:spacing w:before="60" w:after="0"/>
        <w:jc w:val="left"/>
        <w:rPr>
          <w:rFonts w:ascii="arial" w:hAnsi="arial"/>
          <w:sz w:val="18"/>
        </w:rPr>
      </w:pPr>
      <w:r>
        <w:rPr>
          <w:rFonts w:ascii="arial" w:hAnsi="arial"/>
          <w:sz w:val="18"/>
        </w:rPr>
        <w:t xml:space="preserve">Awards granted under the VS 2021 Stock Plan may not be transferred, assigned, pledged or hypothecated except by will or applicable laws of descent and distribution, except that the HCCC may determine that NSOs may be transferred to or for the benefit of members of a participant’s immediate family or certain family trusts. </w:t>
      </w:r>
    </w:p>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38"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27" descr=""/>
                          <pic:cNvPicPr>
                            <a:picLocks noChangeAspect="1" noChangeArrowheads="1"/>
                          </pic:cNvPicPr>
                        </pic:nvPicPr>
                        <pic:blipFill>
                          <a:blip r:embed="rId128"/>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80 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AMENDMENT TO VS 2021 STOCK PLAN </w:t>
      </w:r>
    </w:p>
    <w:p>
      <w:pPr>
        <w:pStyle w:val="TextBody"/>
        <w:bidi w:val="0"/>
        <w:spacing w:before="0" w:after="0"/>
        <w:jc w:val="left"/>
        <w:rPr/>
      </w:pPr>
      <w:r>
        <w:rPr/>
        <w:t> </w:t>
      </w:r>
    </w:p>
    <w:p>
      <w:pPr>
        <w:pStyle w:val="TextBody"/>
        <w:bidi w:val="0"/>
        <w:spacing w:before="0" w:after="0"/>
        <w:jc w:val="left"/>
        <w:rPr>
          <w:rFonts w:ascii="arial" w:hAnsi="arial"/>
          <w:b/>
          <w:color w:val="F7ACBA"/>
          <w:sz w:val="24"/>
        </w:rPr>
      </w:pPr>
      <w:r>
        <w:rPr>
          <w:rFonts w:ascii="arial" w:hAnsi="arial"/>
          <w:b/>
          <w:color w:val="F7ACBA"/>
          <w:sz w:val="24"/>
        </w:rPr>
        <w:t xml:space="preserve">Tax Withholding </w:t>
      </w:r>
    </w:p>
    <w:p>
      <w:pPr>
        <w:pStyle w:val="TextBody"/>
        <w:bidi w:val="0"/>
        <w:spacing w:before="60" w:after="0"/>
        <w:jc w:val="left"/>
        <w:rPr>
          <w:rFonts w:ascii="arial" w:hAnsi="arial"/>
          <w:sz w:val="18"/>
        </w:rPr>
      </w:pPr>
      <w:r>
        <w:rPr>
          <w:rFonts w:ascii="arial" w:hAnsi="arial"/>
          <w:sz w:val="18"/>
        </w:rPr>
        <w:t xml:space="preserve">The HCCC may, in its discretion, permit a participant to satisfy the participant’s tax withholding obligation either by surrendering shares of VS&amp;Co common stock owned by the participant or having the Company withhold shares otherwise deliverable to the participant. </w:t>
      </w:r>
    </w:p>
    <w:p>
      <w:pPr>
        <w:pStyle w:val="TextBody"/>
        <w:bidi w:val="0"/>
        <w:spacing w:before="240" w:after="0"/>
        <w:jc w:val="left"/>
        <w:rPr>
          <w:rFonts w:ascii="arial" w:hAnsi="arial"/>
          <w:b/>
          <w:color w:val="F7ACBA"/>
          <w:sz w:val="24"/>
        </w:rPr>
      </w:pPr>
      <w:r>
        <w:rPr>
          <w:rFonts w:ascii="arial" w:hAnsi="arial"/>
          <w:b/>
          <w:color w:val="F7ACBA"/>
          <w:sz w:val="24"/>
        </w:rPr>
        <w:t xml:space="preserve">Effect of Change in Control </w:t>
      </w:r>
    </w:p>
    <w:p>
      <w:pPr>
        <w:pStyle w:val="TextBody"/>
        <w:bidi w:val="0"/>
        <w:spacing w:before="60" w:after="0"/>
        <w:jc w:val="left"/>
        <w:rPr>
          <w:rFonts w:ascii="arial" w:hAnsi="arial"/>
          <w:sz w:val="18"/>
        </w:rPr>
      </w:pPr>
      <w:r>
        <w:rPr>
          <w:rFonts w:ascii="arial" w:hAnsi="arial"/>
          <w:sz w:val="18"/>
        </w:rPr>
        <w:t xml:space="preserve">In the event a participant’s employment or service is terminated by the Company other than for cause or, to the extent provided in the participant’s employment agreement, the participant resigns for good reason, in either case during the 24-month period beginning on the date of a change in control of VS&amp;Co: </w:t>
      </w:r>
    </w:p>
    <w:p>
      <w:pPr>
        <w:pStyle w:val="TextBody"/>
        <w:bidi w:val="0"/>
        <w:spacing w:before="0" w:after="0"/>
        <w:jc w:val="left"/>
        <w:rPr/>
      </w:pPr>
      <w:r>
        <w:rPr/>
        <w:t> </w:t>
      </w:r>
    </w:p>
    <w:tbl>
      <w:tblPr>
        <w:tblW w:w="8755" w:type="dxa"/>
        <w:jc w:val="left"/>
        <w:tblInd w:w="0" w:type="dxa"/>
        <w:tblLayout w:type="fixed"/>
        <w:tblCellMar>
          <w:top w:w="0" w:type="dxa"/>
          <w:left w:w="0" w:type="dxa"/>
          <w:bottom w:w="0" w:type="dxa"/>
          <w:right w:w="0" w:type="dxa"/>
        </w:tblCellMar>
      </w:tblPr>
      <w:tblGrid>
        <w:gridCol w:w="125"/>
        <w:gridCol w:w="60"/>
        <w:gridCol w:w="857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8570" w:type="dxa"/>
            <w:tcBorders/>
            <w:vAlign w:val="center"/>
          </w:tcPr>
          <w:p>
            <w:pPr>
              <w:pStyle w:val="TableContents"/>
              <w:bidi w:val="0"/>
              <w:spacing w:before="0" w:after="0"/>
              <w:jc w:val="left"/>
              <w:rPr>
                <w:rFonts w:ascii="arial" w:hAnsi="arial"/>
                <w:sz w:val="18"/>
              </w:rPr>
            </w:pPr>
            <w:r>
              <w:rPr>
                <w:rFonts w:ascii="arial" w:hAnsi="arial"/>
                <w:sz w:val="18"/>
              </w:rPr>
              <w:t xml:space="preserve">Options and SARs granted to the participant which are not yet exercisable shall become fully exercisable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Any restrictions applicable to any restricted shares and RSUs awarded to such participant shall be deemed to have been satisfied at target and the restricted period, if any, applicable to such restricted shares and RSUs shall be deemed to have expired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Any performance-based vesting criteria applicable to any PSUs awarded to such participant shall be deemed to have been satisfied at target and the performance period, if any, applicable to such PSUs shall be deemed to have expired </w:t>
            </w:r>
          </w:p>
        </w:tc>
      </w:tr>
    </w:tbl>
    <w:p>
      <w:pPr>
        <w:pStyle w:val="TextBody"/>
        <w:bidi w:val="0"/>
        <w:spacing w:before="240" w:after="0"/>
        <w:jc w:val="left"/>
        <w:rPr>
          <w:rFonts w:ascii="arial" w:hAnsi="arial"/>
          <w:b/>
          <w:color w:val="F7ACBA"/>
          <w:sz w:val="24"/>
        </w:rPr>
      </w:pPr>
      <w:r>
        <w:rPr>
          <w:rFonts w:ascii="arial" w:hAnsi="arial"/>
          <w:b/>
          <w:color w:val="F7ACBA"/>
          <w:sz w:val="24"/>
        </w:rPr>
        <w:t xml:space="preserve">Term of the 2021 Plan </w:t>
      </w:r>
    </w:p>
    <w:p>
      <w:pPr>
        <w:pStyle w:val="TextBody"/>
        <w:bidi w:val="0"/>
        <w:spacing w:before="60" w:after="0"/>
        <w:jc w:val="left"/>
        <w:rPr>
          <w:rFonts w:ascii="arial" w:hAnsi="arial"/>
          <w:sz w:val="18"/>
        </w:rPr>
      </w:pPr>
      <w:r>
        <w:rPr>
          <w:rFonts w:ascii="arial" w:hAnsi="arial"/>
          <w:sz w:val="18"/>
        </w:rPr>
        <w:t xml:space="preserve">Unless earlier terminated by the Board, the VS 2021 Stock Plan will terminate on July 19, 2031, the tenth anniversary of the effective date of the plan. </w:t>
      </w:r>
    </w:p>
    <w:p>
      <w:pPr>
        <w:pStyle w:val="TextBody"/>
        <w:bidi w:val="0"/>
        <w:spacing w:before="240" w:after="0"/>
        <w:jc w:val="left"/>
        <w:rPr>
          <w:rFonts w:ascii="arial" w:hAnsi="arial"/>
          <w:b/>
          <w:color w:val="F7ACBA"/>
          <w:sz w:val="24"/>
        </w:rPr>
      </w:pPr>
      <w:r>
        <w:rPr>
          <w:rFonts w:ascii="arial" w:hAnsi="arial"/>
          <w:b/>
          <w:color w:val="F7ACBA"/>
          <w:sz w:val="24"/>
        </w:rPr>
        <w:t xml:space="preserve">Clawback of Awards </w:t>
      </w:r>
    </w:p>
    <w:p>
      <w:pPr>
        <w:pStyle w:val="TextBody"/>
        <w:bidi w:val="0"/>
        <w:spacing w:before="60" w:after="0"/>
        <w:jc w:val="left"/>
        <w:rPr>
          <w:rFonts w:ascii="arial" w:hAnsi="arial"/>
          <w:sz w:val="18"/>
        </w:rPr>
      </w:pPr>
      <w:r>
        <w:rPr>
          <w:rFonts w:ascii="arial" w:hAnsi="arial"/>
          <w:sz w:val="18"/>
        </w:rPr>
        <w:t xml:space="preserve">The HCCC may terminate without payment all outstanding awards under the VS 2021 Stock Plan or claw back compensation paid out under the VS 2021 Stock Plan if (1) required by applicable law or (2) (i) a participant engaged in fraudulent conduct or activities relating to VS&amp;Co, (ii) a participant has knowledge of such conduct or activities, or (iii) a participant, based upon the participant’s position, duties or responsibilities, should have had knowledge of such conduct or activities. In addition, any awards granted under the VS 2021 Stock Plan are subject to the Clawback Policy and any other clawback or recoupment arrangements or policies we have in place from time to time, and the HCCC may, to the extent permitted by applicable law and stock exchange rules or any applicable VS&amp;Co policy or arrangement, and will, to the extent required, cancel or require reimbursement of any awards granted to the participants or any shares of common stock issued or cash received upon vesting, exercise or settlement of any such award or sale of shares of common stock underlying such awards. </w:t>
      </w:r>
    </w:p>
    <w:p>
      <w:pPr>
        <w:pStyle w:val="TextBody"/>
        <w:bidi w:val="0"/>
        <w:spacing w:before="240" w:after="0"/>
        <w:jc w:val="left"/>
        <w:rPr>
          <w:rFonts w:ascii="arial" w:hAnsi="arial"/>
          <w:b/>
          <w:color w:val="F7ACBA"/>
          <w:sz w:val="24"/>
        </w:rPr>
      </w:pPr>
      <w:r>
        <w:rPr>
          <w:rFonts w:ascii="arial" w:hAnsi="arial"/>
          <w:b/>
          <w:color w:val="F7ACBA"/>
          <w:sz w:val="24"/>
        </w:rPr>
        <w:t xml:space="preserve">No Repricing </w:t>
      </w:r>
    </w:p>
    <w:p>
      <w:pPr>
        <w:pStyle w:val="TextBody"/>
        <w:bidi w:val="0"/>
        <w:spacing w:before="60" w:after="0"/>
        <w:jc w:val="left"/>
        <w:rPr>
          <w:rFonts w:ascii="arial" w:hAnsi="arial"/>
          <w:sz w:val="18"/>
        </w:rPr>
      </w:pPr>
      <w:r>
        <w:rPr>
          <w:rFonts w:ascii="arial" w:hAnsi="arial"/>
          <w:sz w:val="18"/>
        </w:rPr>
        <w:t xml:space="preserve">Other than in connection with a corporate transaction involving VS&amp;Co, the terms of outstanding awards may not be amended to reduce the exercise price of options or SARs or cancel options or SARs in exchange for cash, other awards or options or SARs with an exercise price less than the original option or SAR without stockholder approval. </w:t>
      </w:r>
    </w:p>
    <w:p>
      <w:pPr>
        <w:pStyle w:val="TextBody"/>
        <w:bidi w:val="0"/>
        <w:spacing w:before="240" w:after="0"/>
        <w:jc w:val="left"/>
        <w:rPr>
          <w:rFonts w:ascii="arial" w:hAnsi="arial"/>
          <w:b/>
          <w:color w:val="F7ACBA"/>
          <w:sz w:val="24"/>
        </w:rPr>
      </w:pPr>
      <w:r>
        <w:rPr>
          <w:rFonts w:ascii="arial" w:hAnsi="arial"/>
          <w:b/>
          <w:color w:val="F7ACBA"/>
          <w:sz w:val="24"/>
        </w:rPr>
        <w:t xml:space="preserve">Amendment and Termination </w:t>
      </w:r>
    </w:p>
    <w:p>
      <w:pPr>
        <w:pStyle w:val="TextBody"/>
        <w:bidi w:val="0"/>
        <w:spacing w:before="60" w:after="0"/>
        <w:jc w:val="left"/>
        <w:rPr>
          <w:rFonts w:ascii="arial" w:hAnsi="arial"/>
          <w:sz w:val="18"/>
        </w:rPr>
      </w:pPr>
      <w:r>
        <w:rPr>
          <w:rFonts w:ascii="arial" w:hAnsi="arial"/>
          <w:sz w:val="18"/>
        </w:rPr>
        <w:t xml:space="preserve">The Board may suspend, amend, modify or terminate the VS 2021 Stock Plan, except that VS&amp;Co stockholders will be required to approve any amendment that would constitute a “material revision” under applicable NYSE rules. Awards granted prior to a termination of the VS 2021 Stock Plan will continue in accordance with their terms following such termination. No amendment, suspension or termination of the VS 2021 Stock Plan will adversely affect the rights of a participant in an award previously granted without such participant’s consent, except to the extent any such action is required by applicable law, stock market or exchange rules and regulations or accounting or tax rules and regulations. </w:t>
      </w:r>
    </w:p>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39"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28" descr=""/>
                          <pic:cNvPicPr>
                            <a:picLocks noChangeAspect="1" noChangeArrowheads="1"/>
                          </pic:cNvPicPr>
                        </pic:nvPicPr>
                        <pic:blipFill>
                          <a:blip r:embed="rId129"/>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81 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AMENDMENT TO VS 2021 STOCK PLAN </w:t>
      </w:r>
    </w:p>
    <w:p>
      <w:pPr>
        <w:pStyle w:val="TextBody"/>
        <w:bidi w:val="0"/>
        <w:spacing w:before="0" w:after="0"/>
        <w:jc w:val="left"/>
        <w:rPr/>
      </w:pPr>
      <w:r>
        <w:rPr/>
        <w:t> </w:t>
      </w:r>
    </w:p>
    <w:p>
      <w:pPr>
        <w:pStyle w:val="TextBody"/>
        <w:bidi w:val="0"/>
        <w:spacing w:before="0" w:after="0"/>
        <w:jc w:val="left"/>
        <w:rPr>
          <w:rFonts w:ascii="arial" w:hAnsi="arial"/>
          <w:sz w:val="30"/>
        </w:rPr>
      </w:pPr>
      <w:r>
        <w:rPr>
          <w:rFonts w:ascii="arial" w:hAnsi="arial"/>
          <w:sz w:val="30"/>
        </w:rPr>
        <w:t xml:space="preserve">New Plan Benefits under the VS 2021 Stock Plan </w:t>
      </w:r>
    </w:p>
    <w:p>
      <w:pPr>
        <w:pStyle w:val="TextBody"/>
        <w:bidi w:val="0"/>
        <w:spacing w:before="120" w:after="0"/>
        <w:jc w:val="left"/>
        <w:rPr>
          <w:rFonts w:ascii="arial" w:hAnsi="arial"/>
          <w:sz w:val="18"/>
        </w:rPr>
      </w:pPr>
      <w:r>
        <w:rPr>
          <w:rFonts w:ascii="arial" w:hAnsi="arial"/>
          <w:sz w:val="18"/>
        </w:rPr>
        <w:t xml:space="preserve">All awards made under the 2021 VS Stock Plan are made within the discretion of the HCCC. Therefore, the individuals who will become participants of the VS 2021 Stock Plan in the future, and the benefits and amounts that will be received or allocated under the VS 2021 Stock Plan in the future, are not determinable at this time. </w:t>
      </w:r>
    </w:p>
    <w:p>
      <w:pPr>
        <w:pStyle w:val="TextBody"/>
        <w:bidi w:val="0"/>
        <w:spacing w:before="360" w:after="0"/>
        <w:jc w:val="left"/>
        <w:rPr>
          <w:rFonts w:ascii="arial" w:hAnsi="arial"/>
          <w:sz w:val="30"/>
        </w:rPr>
      </w:pPr>
      <w:r>
        <w:rPr>
          <w:rFonts w:ascii="arial" w:hAnsi="arial"/>
          <w:sz w:val="30"/>
        </w:rPr>
        <w:t xml:space="preserve">Existing Plan Benefits </w:t>
      </w:r>
    </w:p>
    <w:p>
      <w:pPr>
        <w:pStyle w:val="TextBody"/>
        <w:bidi w:val="0"/>
        <w:spacing w:before="120" w:after="0"/>
        <w:jc w:val="left"/>
        <w:rPr>
          <w:rFonts w:ascii="arial" w:hAnsi="arial"/>
          <w:sz w:val="18"/>
        </w:rPr>
      </w:pPr>
      <w:r>
        <w:rPr>
          <w:rFonts w:ascii="arial" w:hAnsi="arial"/>
          <w:sz w:val="18"/>
        </w:rPr>
        <w:t xml:space="preserve">The table below reflects the number of shares granted under the VS 2021 Stock Plan as of February 3, 2024 (whether or not outstanding, vested, or forfeited, as applicable). Dollar values were calculated based on the share price of VS&amp;Co common stock as of close of market on February 2, 2024 of $27.02.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95"/>
        <w:gridCol w:w="120"/>
        <w:gridCol w:w="77"/>
        <w:gridCol w:w="1578"/>
        <w:gridCol w:w="60"/>
        <w:gridCol w:w="120"/>
        <w:gridCol w:w="108"/>
        <w:gridCol w:w="1772"/>
        <w:gridCol w:w="75"/>
      </w:tblGrid>
      <w:tr>
        <w:trPr/>
        <w:tc>
          <w:tcPr>
            <w:tcW w:w="6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295" w:type="dxa"/>
            <w:tcBorders/>
            <w:shd w:fill="FDEEF1" w:val="clear"/>
            <w:vAlign w:val="center"/>
          </w:tcPr>
          <w:p>
            <w:pPr>
              <w:pStyle w:val="TableContents"/>
              <w:bidi w:val="0"/>
              <w:spacing w:before="0" w:after="283"/>
              <w:jc w:val="left"/>
              <w:rPr>
                <w:sz w:val="4"/>
                <w:szCs w:val="4"/>
              </w:rPr>
            </w:pPr>
            <w:r>
              <w:rPr>
                <w:sz w:val="4"/>
                <w:szCs w:val="4"/>
              </w:rPr>
            </w:r>
          </w:p>
        </w:tc>
        <w:tc>
          <w:tcPr>
            <w:tcW w:w="1835" w:type="dxa"/>
            <w:gridSpan w:val="4"/>
            <w:tcBorders/>
            <w:shd w:fill="FDEEF1" w:val="clear"/>
            <w:vAlign w:val="center"/>
          </w:tcPr>
          <w:p>
            <w:pPr>
              <w:pStyle w:val="TableContents"/>
              <w:bidi w:val="0"/>
              <w:spacing w:before="0" w:after="283"/>
              <w:jc w:val="left"/>
              <w:rPr>
                <w:sz w:val="4"/>
                <w:szCs w:val="4"/>
              </w:rPr>
            </w:pPr>
            <w:r>
              <w:rPr>
                <w:sz w:val="4"/>
                <w:szCs w:val="4"/>
              </w:rPr>
            </w:r>
          </w:p>
        </w:tc>
        <w:tc>
          <w:tcPr>
            <w:tcW w:w="2075" w:type="dxa"/>
            <w:gridSpan w:val="4"/>
            <w:tcBorders/>
            <w:shd w:fill="FDEEF1" w:val="clear"/>
            <w:vAlign w:val="center"/>
          </w:tcPr>
          <w:p>
            <w:pPr>
              <w:pStyle w:val="TableContents"/>
              <w:bidi w:val="0"/>
              <w:spacing w:before="0" w:after="283"/>
              <w:jc w:val="left"/>
              <w:rPr>
                <w:sz w:val="4"/>
                <w:szCs w:val="4"/>
              </w:rPr>
            </w:pPr>
            <w:r>
              <w:rPr>
                <w:sz w:val="4"/>
                <w:szCs w:val="4"/>
              </w:rPr>
            </w:r>
          </w:p>
        </w:tc>
      </w:tr>
      <w:tr>
        <w:trPr/>
        <w:tc>
          <w:tcPr>
            <w:tcW w:w="6295" w:type="dxa"/>
            <w:tcBorders/>
            <w:shd w:fill="FDEEF1" w:val="clear"/>
            <w:vAlign w:val="center"/>
          </w:tcPr>
          <w:p>
            <w:pPr>
              <w:pStyle w:val="TableContents"/>
              <w:bidi w:val="0"/>
              <w:spacing w:before="0" w:after="0"/>
              <w:jc w:val="left"/>
              <w:rPr>
                <w:rFonts w:ascii="arial" w:hAnsi="arial"/>
                <w:b/>
                <w:sz w:val="16"/>
              </w:rPr>
            </w:pPr>
            <w:r>
              <w:rPr>
                <w:rFonts w:ascii="arial" w:hAnsi="arial"/>
                <w:b/>
                <w:sz w:val="16"/>
              </w:rPr>
              <w:t>Name and Position</w:t>
            </w:r>
          </w:p>
        </w:tc>
        <w:tc>
          <w:tcPr>
            <w:tcW w:w="120" w:type="dxa"/>
            <w:tcBorders/>
            <w:shd w:fill="FDEEF1" w:val="clear"/>
            <w:vAlign w:val="center"/>
          </w:tcPr>
          <w:p>
            <w:pPr>
              <w:pStyle w:val="TableContents"/>
              <w:bidi w:val="0"/>
              <w:spacing w:before="0" w:after="283"/>
              <w:jc w:val="left"/>
              <w:rPr/>
            </w:pPr>
            <w:r>
              <w:rPr/>
              <w:t>  </w:t>
            </w:r>
          </w:p>
        </w:tc>
        <w:tc>
          <w:tcPr>
            <w:tcW w:w="1655" w:type="dxa"/>
            <w:gridSpan w:val="2"/>
            <w:tcBorders/>
            <w:shd w:fill="FDEEF1" w:val="clear"/>
            <w:vAlign w:val="center"/>
          </w:tcPr>
          <w:p>
            <w:pPr>
              <w:pStyle w:val="TableContents"/>
              <w:bidi w:val="0"/>
              <w:spacing w:before="0" w:after="283"/>
              <w:jc w:val="center"/>
              <w:rPr>
                <w:b/>
              </w:rPr>
            </w:pPr>
            <w:r>
              <w:rPr>
                <w:b/>
              </w:rPr>
              <w:t>Dollar Value ($)</w:t>
            </w:r>
          </w:p>
        </w:tc>
        <w:tc>
          <w:tcPr>
            <w:tcW w:w="60" w:type="dxa"/>
            <w:tcBorders/>
            <w:shd w:fill="FDEEF1" w:val="clear"/>
            <w:vAlign w:val="center"/>
          </w:tcPr>
          <w:p>
            <w:pPr>
              <w:pStyle w:val="TableContents"/>
              <w:bidi w:val="0"/>
              <w:spacing w:before="0" w:after="283"/>
              <w:jc w:val="left"/>
              <w:rPr/>
            </w:pPr>
            <w:r>
              <w:rPr/>
              <w:t> </w:t>
            </w:r>
          </w:p>
        </w:tc>
        <w:tc>
          <w:tcPr>
            <w:tcW w:w="120" w:type="dxa"/>
            <w:tcBorders/>
            <w:shd w:fill="FDEEF1" w:val="clear"/>
            <w:vAlign w:val="center"/>
          </w:tcPr>
          <w:p>
            <w:pPr>
              <w:pStyle w:val="TableContents"/>
              <w:bidi w:val="0"/>
              <w:spacing w:before="0" w:after="283"/>
              <w:jc w:val="left"/>
              <w:rPr/>
            </w:pPr>
            <w:r>
              <w:rPr/>
              <w:t>  </w:t>
            </w:r>
          </w:p>
        </w:tc>
        <w:tc>
          <w:tcPr>
            <w:tcW w:w="1880" w:type="dxa"/>
            <w:gridSpan w:val="2"/>
            <w:tcBorders/>
            <w:shd w:fill="FDEEF1" w:val="clear"/>
            <w:vAlign w:val="center"/>
          </w:tcPr>
          <w:p>
            <w:pPr>
              <w:pStyle w:val="TableContents"/>
              <w:bidi w:val="0"/>
              <w:spacing w:before="0" w:after="283"/>
              <w:jc w:val="center"/>
              <w:rPr>
                <w:b/>
              </w:rPr>
            </w:pPr>
            <w:r>
              <w:rPr>
                <w:b/>
              </w:rPr>
              <w:t>Number of Shares</w:t>
            </w:r>
          </w:p>
        </w:tc>
        <w:tc>
          <w:tcPr>
            <w:tcW w:w="75" w:type="dxa"/>
            <w:tcBorders/>
            <w:shd w:fill="FDEEF1" w:val="clear"/>
            <w:vAlign w:val="center"/>
          </w:tcPr>
          <w:p>
            <w:pPr>
              <w:pStyle w:val="TableContents"/>
              <w:bidi w:val="0"/>
              <w:spacing w:before="0" w:after="283"/>
              <w:jc w:val="left"/>
              <w:rPr/>
            </w:pPr>
            <w:r>
              <w:rPr/>
              <w:t> </w:t>
            </w:r>
          </w:p>
        </w:tc>
      </w:tr>
      <w:tr>
        <w:trPr/>
        <w:tc>
          <w:tcPr>
            <w:tcW w:w="6295" w:type="dxa"/>
            <w:tcBorders/>
            <w:vAlign w:val="center"/>
          </w:tcPr>
          <w:p>
            <w:pPr>
              <w:pStyle w:val="TableContents"/>
              <w:bidi w:val="0"/>
              <w:spacing w:before="0" w:after="283"/>
              <w:jc w:val="left"/>
              <w:rPr>
                <w:sz w:val="4"/>
                <w:szCs w:val="4"/>
              </w:rPr>
            </w:pPr>
            <w:r>
              <w:rPr>
                <w:sz w:val="4"/>
                <w:szCs w:val="4"/>
              </w:rPr>
            </w:r>
          </w:p>
        </w:tc>
        <w:tc>
          <w:tcPr>
            <w:tcW w:w="1835" w:type="dxa"/>
            <w:gridSpan w:val="4"/>
            <w:tcBorders/>
            <w:vAlign w:val="center"/>
          </w:tcPr>
          <w:p>
            <w:pPr>
              <w:pStyle w:val="TableContents"/>
              <w:bidi w:val="0"/>
              <w:spacing w:before="0" w:after="283"/>
              <w:jc w:val="left"/>
              <w:rPr>
                <w:sz w:val="4"/>
                <w:szCs w:val="4"/>
              </w:rPr>
            </w:pPr>
            <w:r>
              <w:rPr>
                <w:sz w:val="4"/>
                <w:szCs w:val="4"/>
              </w:rPr>
            </w:r>
          </w:p>
        </w:tc>
        <w:tc>
          <w:tcPr>
            <w:tcW w:w="2075" w:type="dxa"/>
            <w:gridSpan w:val="4"/>
            <w:tcBorders/>
            <w:vAlign w:val="center"/>
          </w:tcPr>
          <w:p>
            <w:pPr>
              <w:pStyle w:val="TableContents"/>
              <w:bidi w:val="0"/>
              <w:spacing w:before="0" w:after="283"/>
              <w:jc w:val="left"/>
              <w:rPr>
                <w:sz w:val="4"/>
                <w:szCs w:val="4"/>
              </w:rPr>
            </w:pPr>
            <w:r>
              <w:rPr>
                <w:sz w:val="4"/>
                <w:szCs w:val="4"/>
              </w:rPr>
            </w:r>
          </w:p>
        </w:tc>
      </w:tr>
      <w:tr>
        <w:trPr/>
        <w:tc>
          <w:tcPr>
            <w:tcW w:w="6295"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Martin Waters, Chief Executive Officer</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77" w:type="dxa"/>
            <w:tcBorders>
              <w:bottom w:val="single" w:sz="6" w:space="0" w:color="FBDDE3"/>
            </w:tcBorders>
            <w:tcMar>
              <w:bottom w:w="60" w:type="dxa"/>
            </w:tcMar>
            <w:vAlign w:val="center"/>
          </w:tcPr>
          <w:p>
            <w:pPr>
              <w:pStyle w:val="TableContents"/>
              <w:bidi w:val="0"/>
              <w:spacing w:before="0" w:after="283"/>
              <w:jc w:val="left"/>
              <w:rPr/>
            </w:pPr>
            <w:r>
              <w:rPr/>
              <w:t> </w:t>
            </w:r>
          </w:p>
        </w:tc>
        <w:tc>
          <w:tcPr>
            <w:tcW w:w="1578" w:type="dxa"/>
            <w:tcBorders>
              <w:bottom w:val="single" w:sz="6" w:space="0" w:color="FBDDE3"/>
            </w:tcBorders>
            <w:tcMar>
              <w:bottom w:w="60" w:type="dxa"/>
            </w:tcMar>
            <w:vAlign w:val="center"/>
          </w:tcPr>
          <w:p>
            <w:pPr>
              <w:pStyle w:val="TableContents"/>
              <w:bidi w:val="0"/>
              <w:spacing w:before="0" w:after="283"/>
              <w:jc w:val="right"/>
              <w:rPr/>
            </w:pPr>
            <w:r>
              <w:rPr/>
              <w:t>11,220,839</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08" w:type="dxa"/>
            <w:tcBorders>
              <w:bottom w:val="single" w:sz="6" w:space="0" w:color="FBDDE3"/>
            </w:tcBorders>
            <w:tcMar>
              <w:bottom w:w="60" w:type="dxa"/>
            </w:tcMar>
            <w:vAlign w:val="center"/>
          </w:tcPr>
          <w:p>
            <w:pPr>
              <w:pStyle w:val="TableContents"/>
              <w:bidi w:val="0"/>
              <w:spacing w:before="0" w:after="283"/>
              <w:jc w:val="left"/>
              <w:rPr/>
            </w:pPr>
            <w:r>
              <w:rPr/>
              <w:t> </w:t>
            </w:r>
          </w:p>
        </w:tc>
        <w:tc>
          <w:tcPr>
            <w:tcW w:w="1772" w:type="dxa"/>
            <w:tcBorders>
              <w:bottom w:val="single" w:sz="6" w:space="0" w:color="FBDDE3"/>
            </w:tcBorders>
            <w:tcMar>
              <w:bottom w:w="60" w:type="dxa"/>
            </w:tcMar>
            <w:vAlign w:val="center"/>
          </w:tcPr>
          <w:p>
            <w:pPr>
              <w:pStyle w:val="TableContents"/>
              <w:bidi w:val="0"/>
              <w:spacing w:before="0" w:after="283"/>
              <w:jc w:val="right"/>
              <w:rPr/>
            </w:pPr>
            <w:r>
              <w:rPr/>
              <w:t>415,279</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6295" w:type="dxa"/>
            <w:tcBorders/>
            <w:vAlign w:val="center"/>
          </w:tcPr>
          <w:p>
            <w:pPr>
              <w:pStyle w:val="TableContents"/>
              <w:bidi w:val="0"/>
              <w:spacing w:before="0" w:after="283"/>
              <w:jc w:val="left"/>
              <w:rPr>
                <w:sz w:val="4"/>
                <w:szCs w:val="4"/>
              </w:rPr>
            </w:pPr>
            <w:r>
              <w:rPr>
                <w:sz w:val="4"/>
                <w:szCs w:val="4"/>
              </w:rPr>
            </w:r>
          </w:p>
        </w:tc>
        <w:tc>
          <w:tcPr>
            <w:tcW w:w="1835" w:type="dxa"/>
            <w:gridSpan w:val="4"/>
            <w:tcBorders/>
            <w:vAlign w:val="center"/>
          </w:tcPr>
          <w:p>
            <w:pPr>
              <w:pStyle w:val="TableContents"/>
              <w:bidi w:val="0"/>
              <w:spacing w:before="0" w:after="283"/>
              <w:jc w:val="left"/>
              <w:rPr>
                <w:sz w:val="4"/>
                <w:szCs w:val="4"/>
              </w:rPr>
            </w:pPr>
            <w:r>
              <w:rPr>
                <w:sz w:val="4"/>
                <w:szCs w:val="4"/>
              </w:rPr>
            </w:r>
          </w:p>
        </w:tc>
        <w:tc>
          <w:tcPr>
            <w:tcW w:w="2075" w:type="dxa"/>
            <w:gridSpan w:val="4"/>
            <w:tcBorders/>
            <w:vAlign w:val="center"/>
          </w:tcPr>
          <w:p>
            <w:pPr>
              <w:pStyle w:val="TableContents"/>
              <w:bidi w:val="0"/>
              <w:spacing w:before="0" w:after="283"/>
              <w:jc w:val="left"/>
              <w:rPr>
                <w:sz w:val="4"/>
                <w:szCs w:val="4"/>
              </w:rPr>
            </w:pPr>
            <w:r>
              <w:rPr>
                <w:sz w:val="4"/>
                <w:szCs w:val="4"/>
              </w:rPr>
            </w:r>
          </w:p>
        </w:tc>
      </w:tr>
      <w:tr>
        <w:trPr/>
        <w:tc>
          <w:tcPr>
            <w:tcW w:w="6295"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Timothy Johnson, Chief Financial and Administrative Officer</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77" w:type="dxa"/>
            <w:tcBorders>
              <w:bottom w:val="single" w:sz="6" w:space="0" w:color="FBDDE3"/>
            </w:tcBorders>
            <w:tcMar>
              <w:bottom w:w="60" w:type="dxa"/>
            </w:tcMar>
            <w:vAlign w:val="center"/>
          </w:tcPr>
          <w:p>
            <w:pPr>
              <w:pStyle w:val="TableContents"/>
              <w:bidi w:val="0"/>
              <w:spacing w:before="0" w:after="283"/>
              <w:jc w:val="left"/>
              <w:rPr/>
            </w:pPr>
            <w:r>
              <w:rPr/>
              <w:t> </w:t>
            </w:r>
          </w:p>
        </w:tc>
        <w:tc>
          <w:tcPr>
            <w:tcW w:w="1578" w:type="dxa"/>
            <w:tcBorders>
              <w:bottom w:val="single" w:sz="6" w:space="0" w:color="FBDDE3"/>
            </w:tcBorders>
            <w:tcMar>
              <w:bottom w:w="60" w:type="dxa"/>
            </w:tcMar>
            <w:vAlign w:val="center"/>
          </w:tcPr>
          <w:p>
            <w:pPr>
              <w:pStyle w:val="TableContents"/>
              <w:bidi w:val="0"/>
              <w:spacing w:before="0" w:after="283"/>
              <w:jc w:val="right"/>
              <w:rPr/>
            </w:pPr>
            <w:r>
              <w:rPr/>
              <w:t>2,586,949</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08" w:type="dxa"/>
            <w:tcBorders>
              <w:bottom w:val="single" w:sz="6" w:space="0" w:color="FBDDE3"/>
            </w:tcBorders>
            <w:tcMar>
              <w:bottom w:w="60" w:type="dxa"/>
            </w:tcMar>
            <w:vAlign w:val="center"/>
          </w:tcPr>
          <w:p>
            <w:pPr>
              <w:pStyle w:val="TableContents"/>
              <w:bidi w:val="0"/>
              <w:spacing w:before="0" w:after="283"/>
              <w:jc w:val="left"/>
              <w:rPr/>
            </w:pPr>
            <w:r>
              <w:rPr/>
              <w:t> </w:t>
            </w:r>
          </w:p>
        </w:tc>
        <w:tc>
          <w:tcPr>
            <w:tcW w:w="1772" w:type="dxa"/>
            <w:tcBorders>
              <w:bottom w:val="single" w:sz="6" w:space="0" w:color="FBDDE3"/>
            </w:tcBorders>
            <w:tcMar>
              <w:bottom w:w="60" w:type="dxa"/>
            </w:tcMar>
            <w:vAlign w:val="center"/>
          </w:tcPr>
          <w:p>
            <w:pPr>
              <w:pStyle w:val="TableContents"/>
              <w:bidi w:val="0"/>
              <w:spacing w:before="0" w:after="283"/>
              <w:jc w:val="right"/>
              <w:rPr/>
            </w:pPr>
            <w:r>
              <w:rPr/>
              <w:t>95,742</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6295" w:type="dxa"/>
            <w:tcBorders/>
            <w:vAlign w:val="center"/>
          </w:tcPr>
          <w:p>
            <w:pPr>
              <w:pStyle w:val="TableContents"/>
              <w:bidi w:val="0"/>
              <w:spacing w:before="0" w:after="283"/>
              <w:jc w:val="left"/>
              <w:rPr>
                <w:sz w:val="4"/>
                <w:szCs w:val="4"/>
              </w:rPr>
            </w:pPr>
            <w:r>
              <w:rPr>
                <w:sz w:val="4"/>
                <w:szCs w:val="4"/>
              </w:rPr>
            </w:r>
          </w:p>
        </w:tc>
        <w:tc>
          <w:tcPr>
            <w:tcW w:w="1835" w:type="dxa"/>
            <w:gridSpan w:val="4"/>
            <w:tcBorders/>
            <w:vAlign w:val="center"/>
          </w:tcPr>
          <w:p>
            <w:pPr>
              <w:pStyle w:val="TableContents"/>
              <w:bidi w:val="0"/>
              <w:spacing w:before="0" w:after="283"/>
              <w:jc w:val="left"/>
              <w:rPr>
                <w:sz w:val="4"/>
                <w:szCs w:val="4"/>
              </w:rPr>
            </w:pPr>
            <w:r>
              <w:rPr>
                <w:sz w:val="4"/>
                <w:szCs w:val="4"/>
              </w:rPr>
            </w:r>
          </w:p>
        </w:tc>
        <w:tc>
          <w:tcPr>
            <w:tcW w:w="2075" w:type="dxa"/>
            <w:gridSpan w:val="4"/>
            <w:tcBorders/>
            <w:vAlign w:val="center"/>
          </w:tcPr>
          <w:p>
            <w:pPr>
              <w:pStyle w:val="TableContents"/>
              <w:bidi w:val="0"/>
              <w:spacing w:before="0" w:after="283"/>
              <w:jc w:val="left"/>
              <w:rPr>
                <w:sz w:val="4"/>
                <w:szCs w:val="4"/>
              </w:rPr>
            </w:pPr>
            <w:r>
              <w:rPr>
                <w:sz w:val="4"/>
                <w:szCs w:val="4"/>
              </w:rPr>
            </w:r>
          </w:p>
        </w:tc>
      </w:tr>
      <w:tr>
        <w:trPr/>
        <w:tc>
          <w:tcPr>
            <w:tcW w:w="6295"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Melinda McAfee, Chief Human Resources Officer and Chief Legal Officer</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77" w:type="dxa"/>
            <w:tcBorders>
              <w:bottom w:val="single" w:sz="6" w:space="0" w:color="FBDDE3"/>
            </w:tcBorders>
            <w:tcMar>
              <w:bottom w:w="60" w:type="dxa"/>
            </w:tcMar>
            <w:vAlign w:val="center"/>
          </w:tcPr>
          <w:p>
            <w:pPr>
              <w:pStyle w:val="TableContents"/>
              <w:bidi w:val="0"/>
              <w:spacing w:before="0" w:after="283"/>
              <w:jc w:val="left"/>
              <w:rPr/>
            </w:pPr>
            <w:r>
              <w:rPr/>
              <w:t> </w:t>
            </w:r>
          </w:p>
        </w:tc>
        <w:tc>
          <w:tcPr>
            <w:tcW w:w="1578" w:type="dxa"/>
            <w:tcBorders>
              <w:bottom w:val="single" w:sz="6" w:space="0" w:color="FBDDE3"/>
            </w:tcBorders>
            <w:tcMar>
              <w:bottom w:w="60" w:type="dxa"/>
            </w:tcMar>
            <w:vAlign w:val="center"/>
          </w:tcPr>
          <w:p>
            <w:pPr>
              <w:pStyle w:val="TableContents"/>
              <w:bidi w:val="0"/>
              <w:spacing w:before="0" w:after="283"/>
              <w:jc w:val="right"/>
              <w:rPr/>
            </w:pPr>
            <w:r>
              <w:rPr/>
              <w:t>2,625,263</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08" w:type="dxa"/>
            <w:tcBorders>
              <w:bottom w:val="single" w:sz="6" w:space="0" w:color="FBDDE3"/>
            </w:tcBorders>
            <w:tcMar>
              <w:bottom w:w="60" w:type="dxa"/>
            </w:tcMar>
            <w:vAlign w:val="center"/>
          </w:tcPr>
          <w:p>
            <w:pPr>
              <w:pStyle w:val="TableContents"/>
              <w:bidi w:val="0"/>
              <w:spacing w:before="0" w:after="283"/>
              <w:jc w:val="left"/>
              <w:rPr/>
            </w:pPr>
            <w:r>
              <w:rPr/>
              <w:t> </w:t>
            </w:r>
          </w:p>
        </w:tc>
        <w:tc>
          <w:tcPr>
            <w:tcW w:w="1772" w:type="dxa"/>
            <w:tcBorders>
              <w:bottom w:val="single" w:sz="6" w:space="0" w:color="FBDDE3"/>
            </w:tcBorders>
            <w:tcMar>
              <w:bottom w:w="60" w:type="dxa"/>
            </w:tcMar>
            <w:vAlign w:val="center"/>
          </w:tcPr>
          <w:p>
            <w:pPr>
              <w:pStyle w:val="TableContents"/>
              <w:bidi w:val="0"/>
              <w:spacing w:before="0" w:after="283"/>
              <w:jc w:val="right"/>
              <w:rPr/>
            </w:pPr>
            <w:r>
              <w:rPr/>
              <w:t>97,160</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6295" w:type="dxa"/>
            <w:tcBorders/>
            <w:vAlign w:val="center"/>
          </w:tcPr>
          <w:p>
            <w:pPr>
              <w:pStyle w:val="TableContents"/>
              <w:bidi w:val="0"/>
              <w:spacing w:before="0" w:after="283"/>
              <w:jc w:val="left"/>
              <w:rPr>
                <w:sz w:val="4"/>
                <w:szCs w:val="4"/>
              </w:rPr>
            </w:pPr>
            <w:r>
              <w:rPr>
                <w:sz w:val="4"/>
                <w:szCs w:val="4"/>
              </w:rPr>
            </w:r>
          </w:p>
        </w:tc>
        <w:tc>
          <w:tcPr>
            <w:tcW w:w="1835" w:type="dxa"/>
            <w:gridSpan w:val="4"/>
            <w:tcBorders/>
            <w:vAlign w:val="center"/>
          </w:tcPr>
          <w:p>
            <w:pPr>
              <w:pStyle w:val="TableContents"/>
              <w:bidi w:val="0"/>
              <w:spacing w:before="0" w:after="283"/>
              <w:jc w:val="left"/>
              <w:rPr>
                <w:sz w:val="4"/>
                <w:szCs w:val="4"/>
              </w:rPr>
            </w:pPr>
            <w:r>
              <w:rPr>
                <w:sz w:val="4"/>
                <w:szCs w:val="4"/>
              </w:rPr>
            </w:r>
          </w:p>
        </w:tc>
        <w:tc>
          <w:tcPr>
            <w:tcW w:w="2075" w:type="dxa"/>
            <w:gridSpan w:val="4"/>
            <w:tcBorders/>
            <w:vAlign w:val="center"/>
          </w:tcPr>
          <w:p>
            <w:pPr>
              <w:pStyle w:val="TableContents"/>
              <w:bidi w:val="0"/>
              <w:spacing w:before="0" w:after="283"/>
              <w:jc w:val="left"/>
              <w:rPr>
                <w:sz w:val="4"/>
                <w:szCs w:val="4"/>
              </w:rPr>
            </w:pPr>
            <w:r>
              <w:rPr>
                <w:sz w:val="4"/>
                <w:szCs w:val="4"/>
              </w:rPr>
            </w:r>
          </w:p>
        </w:tc>
      </w:tr>
      <w:tr>
        <w:trPr/>
        <w:tc>
          <w:tcPr>
            <w:tcW w:w="6295"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Christine Rupp, Chief Customer Officer</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77" w:type="dxa"/>
            <w:tcBorders>
              <w:bottom w:val="single" w:sz="6" w:space="0" w:color="FBDDE3"/>
            </w:tcBorders>
            <w:tcMar>
              <w:bottom w:w="60" w:type="dxa"/>
            </w:tcMar>
            <w:vAlign w:val="center"/>
          </w:tcPr>
          <w:p>
            <w:pPr>
              <w:pStyle w:val="TableContents"/>
              <w:bidi w:val="0"/>
              <w:spacing w:before="0" w:after="283"/>
              <w:jc w:val="left"/>
              <w:rPr/>
            </w:pPr>
            <w:r>
              <w:rPr/>
              <w:t> </w:t>
            </w:r>
          </w:p>
        </w:tc>
        <w:tc>
          <w:tcPr>
            <w:tcW w:w="1578" w:type="dxa"/>
            <w:tcBorders>
              <w:bottom w:val="single" w:sz="6" w:space="0" w:color="FBDDE3"/>
            </w:tcBorders>
            <w:tcMar>
              <w:bottom w:w="60" w:type="dxa"/>
            </w:tcMar>
            <w:vAlign w:val="center"/>
          </w:tcPr>
          <w:p>
            <w:pPr>
              <w:pStyle w:val="TableContents"/>
              <w:bidi w:val="0"/>
              <w:spacing w:before="0" w:after="283"/>
              <w:jc w:val="right"/>
              <w:rPr/>
            </w:pPr>
            <w:r>
              <w:rPr/>
              <w:t>5,295,163</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08" w:type="dxa"/>
            <w:tcBorders>
              <w:bottom w:val="single" w:sz="6" w:space="0" w:color="FBDDE3"/>
            </w:tcBorders>
            <w:tcMar>
              <w:bottom w:w="60" w:type="dxa"/>
            </w:tcMar>
            <w:vAlign w:val="center"/>
          </w:tcPr>
          <w:p>
            <w:pPr>
              <w:pStyle w:val="TableContents"/>
              <w:bidi w:val="0"/>
              <w:spacing w:before="0" w:after="283"/>
              <w:jc w:val="left"/>
              <w:rPr/>
            </w:pPr>
            <w:r>
              <w:rPr/>
              <w:t> </w:t>
            </w:r>
          </w:p>
        </w:tc>
        <w:tc>
          <w:tcPr>
            <w:tcW w:w="1772" w:type="dxa"/>
            <w:tcBorders>
              <w:bottom w:val="single" w:sz="6" w:space="0" w:color="FBDDE3"/>
            </w:tcBorders>
            <w:tcMar>
              <w:bottom w:w="60" w:type="dxa"/>
            </w:tcMar>
            <w:vAlign w:val="center"/>
          </w:tcPr>
          <w:p>
            <w:pPr>
              <w:pStyle w:val="TableContents"/>
              <w:bidi w:val="0"/>
              <w:spacing w:before="0" w:after="283"/>
              <w:jc w:val="right"/>
              <w:rPr/>
            </w:pPr>
            <w:r>
              <w:rPr/>
              <w:t>195,972</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6295" w:type="dxa"/>
            <w:tcBorders/>
            <w:vAlign w:val="center"/>
          </w:tcPr>
          <w:p>
            <w:pPr>
              <w:pStyle w:val="TableContents"/>
              <w:bidi w:val="0"/>
              <w:spacing w:before="0" w:after="283"/>
              <w:jc w:val="left"/>
              <w:rPr>
                <w:sz w:val="4"/>
                <w:szCs w:val="4"/>
              </w:rPr>
            </w:pPr>
            <w:r>
              <w:rPr>
                <w:sz w:val="4"/>
                <w:szCs w:val="4"/>
              </w:rPr>
            </w:r>
          </w:p>
        </w:tc>
        <w:tc>
          <w:tcPr>
            <w:tcW w:w="1835" w:type="dxa"/>
            <w:gridSpan w:val="4"/>
            <w:tcBorders/>
            <w:vAlign w:val="center"/>
          </w:tcPr>
          <w:p>
            <w:pPr>
              <w:pStyle w:val="TableContents"/>
              <w:bidi w:val="0"/>
              <w:spacing w:before="0" w:after="283"/>
              <w:jc w:val="left"/>
              <w:rPr>
                <w:sz w:val="4"/>
                <w:szCs w:val="4"/>
              </w:rPr>
            </w:pPr>
            <w:r>
              <w:rPr>
                <w:sz w:val="4"/>
                <w:szCs w:val="4"/>
              </w:rPr>
            </w:r>
          </w:p>
        </w:tc>
        <w:tc>
          <w:tcPr>
            <w:tcW w:w="2075" w:type="dxa"/>
            <w:gridSpan w:val="4"/>
            <w:tcBorders/>
            <w:vAlign w:val="center"/>
          </w:tcPr>
          <w:p>
            <w:pPr>
              <w:pStyle w:val="TableContents"/>
              <w:bidi w:val="0"/>
              <w:spacing w:before="0" w:after="283"/>
              <w:jc w:val="left"/>
              <w:rPr>
                <w:sz w:val="4"/>
                <w:szCs w:val="4"/>
              </w:rPr>
            </w:pPr>
            <w:r>
              <w:rPr>
                <w:sz w:val="4"/>
                <w:szCs w:val="4"/>
              </w:rPr>
            </w:r>
          </w:p>
        </w:tc>
      </w:tr>
      <w:tr>
        <w:trPr/>
        <w:tc>
          <w:tcPr>
            <w:tcW w:w="6295"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Gregory Unis, Brand President</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77" w:type="dxa"/>
            <w:tcBorders>
              <w:bottom w:val="single" w:sz="6" w:space="0" w:color="FBDDE3"/>
            </w:tcBorders>
            <w:tcMar>
              <w:bottom w:w="60" w:type="dxa"/>
            </w:tcMar>
            <w:vAlign w:val="center"/>
          </w:tcPr>
          <w:p>
            <w:pPr>
              <w:pStyle w:val="TableContents"/>
              <w:bidi w:val="0"/>
              <w:spacing w:before="0" w:after="283"/>
              <w:jc w:val="left"/>
              <w:rPr/>
            </w:pPr>
            <w:r>
              <w:rPr/>
              <w:t> </w:t>
            </w:r>
          </w:p>
        </w:tc>
        <w:tc>
          <w:tcPr>
            <w:tcW w:w="1578" w:type="dxa"/>
            <w:tcBorders>
              <w:bottom w:val="single" w:sz="6" w:space="0" w:color="FBDDE3"/>
            </w:tcBorders>
            <w:tcMar>
              <w:bottom w:w="60" w:type="dxa"/>
            </w:tcMar>
            <w:vAlign w:val="center"/>
          </w:tcPr>
          <w:p>
            <w:pPr>
              <w:pStyle w:val="TableContents"/>
              <w:bidi w:val="0"/>
              <w:spacing w:before="0" w:after="283"/>
              <w:jc w:val="right"/>
              <w:rPr/>
            </w:pPr>
            <w:r>
              <w:rPr/>
              <w:t>5,140,690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08" w:type="dxa"/>
            <w:tcBorders>
              <w:bottom w:val="single" w:sz="6" w:space="0" w:color="FBDDE3"/>
            </w:tcBorders>
            <w:tcMar>
              <w:bottom w:w="60" w:type="dxa"/>
            </w:tcMar>
            <w:vAlign w:val="center"/>
          </w:tcPr>
          <w:p>
            <w:pPr>
              <w:pStyle w:val="TableContents"/>
              <w:bidi w:val="0"/>
              <w:spacing w:before="0" w:after="283"/>
              <w:jc w:val="left"/>
              <w:rPr/>
            </w:pPr>
            <w:r>
              <w:rPr/>
              <w:t> </w:t>
            </w:r>
          </w:p>
        </w:tc>
        <w:tc>
          <w:tcPr>
            <w:tcW w:w="1772" w:type="dxa"/>
            <w:tcBorders>
              <w:bottom w:val="single" w:sz="6" w:space="0" w:color="FBDDE3"/>
            </w:tcBorders>
            <w:tcMar>
              <w:bottom w:w="60" w:type="dxa"/>
            </w:tcMar>
            <w:vAlign w:val="center"/>
          </w:tcPr>
          <w:p>
            <w:pPr>
              <w:pStyle w:val="TableContents"/>
              <w:bidi w:val="0"/>
              <w:spacing w:before="0" w:after="283"/>
              <w:jc w:val="right"/>
              <w:rPr/>
            </w:pPr>
            <w:r>
              <w:rPr/>
              <w:t>190,255</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6295" w:type="dxa"/>
            <w:tcBorders/>
            <w:vAlign w:val="center"/>
          </w:tcPr>
          <w:p>
            <w:pPr>
              <w:pStyle w:val="TableContents"/>
              <w:bidi w:val="0"/>
              <w:spacing w:before="0" w:after="283"/>
              <w:jc w:val="left"/>
              <w:rPr>
                <w:sz w:val="4"/>
                <w:szCs w:val="4"/>
              </w:rPr>
            </w:pPr>
            <w:r>
              <w:rPr>
                <w:sz w:val="4"/>
                <w:szCs w:val="4"/>
              </w:rPr>
            </w:r>
          </w:p>
        </w:tc>
        <w:tc>
          <w:tcPr>
            <w:tcW w:w="1835" w:type="dxa"/>
            <w:gridSpan w:val="4"/>
            <w:tcBorders/>
            <w:vAlign w:val="center"/>
          </w:tcPr>
          <w:p>
            <w:pPr>
              <w:pStyle w:val="TableContents"/>
              <w:bidi w:val="0"/>
              <w:spacing w:before="0" w:after="283"/>
              <w:jc w:val="left"/>
              <w:rPr>
                <w:sz w:val="4"/>
                <w:szCs w:val="4"/>
              </w:rPr>
            </w:pPr>
            <w:r>
              <w:rPr>
                <w:sz w:val="4"/>
                <w:szCs w:val="4"/>
              </w:rPr>
            </w:r>
          </w:p>
        </w:tc>
        <w:tc>
          <w:tcPr>
            <w:tcW w:w="2075" w:type="dxa"/>
            <w:gridSpan w:val="4"/>
            <w:tcBorders/>
            <w:vAlign w:val="center"/>
          </w:tcPr>
          <w:p>
            <w:pPr>
              <w:pStyle w:val="TableContents"/>
              <w:bidi w:val="0"/>
              <w:spacing w:before="0" w:after="283"/>
              <w:jc w:val="left"/>
              <w:rPr>
                <w:sz w:val="4"/>
                <w:szCs w:val="4"/>
              </w:rPr>
            </w:pPr>
            <w:r>
              <w:rPr>
                <w:sz w:val="4"/>
                <w:szCs w:val="4"/>
              </w:rPr>
            </w:r>
          </w:p>
        </w:tc>
      </w:tr>
      <w:tr>
        <w:trPr/>
        <w:tc>
          <w:tcPr>
            <w:tcW w:w="6295"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Executive Group (all current executive officers as a group)</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77" w:type="dxa"/>
            <w:tcBorders>
              <w:bottom w:val="single" w:sz="6" w:space="0" w:color="FBDDE3"/>
            </w:tcBorders>
            <w:tcMar>
              <w:bottom w:w="60" w:type="dxa"/>
            </w:tcMar>
            <w:vAlign w:val="center"/>
          </w:tcPr>
          <w:p>
            <w:pPr>
              <w:pStyle w:val="TableContents"/>
              <w:bidi w:val="0"/>
              <w:spacing w:before="0" w:after="283"/>
              <w:jc w:val="left"/>
              <w:rPr/>
            </w:pPr>
            <w:r>
              <w:rPr/>
              <w:t> </w:t>
            </w:r>
          </w:p>
        </w:tc>
        <w:tc>
          <w:tcPr>
            <w:tcW w:w="1578" w:type="dxa"/>
            <w:tcBorders>
              <w:bottom w:val="single" w:sz="6" w:space="0" w:color="FBDDE3"/>
            </w:tcBorders>
            <w:tcMar>
              <w:bottom w:w="60" w:type="dxa"/>
            </w:tcMar>
            <w:vAlign w:val="center"/>
          </w:tcPr>
          <w:p>
            <w:pPr>
              <w:pStyle w:val="TableContents"/>
              <w:bidi w:val="0"/>
              <w:spacing w:before="0" w:after="283"/>
              <w:jc w:val="right"/>
              <w:rPr/>
            </w:pPr>
            <w:r>
              <w:rPr/>
              <w:t>28,036,600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08" w:type="dxa"/>
            <w:tcBorders>
              <w:bottom w:val="single" w:sz="6" w:space="0" w:color="FBDDE3"/>
            </w:tcBorders>
            <w:tcMar>
              <w:bottom w:w="60" w:type="dxa"/>
            </w:tcMar>
            <w:vAlign w:val="center"/>
          </w:tcPr>
          <w:p>
            <w:pPr>
              <w:pStyle w:val="TableContents"/>
              <w:bidi w:val="0"/>
              <w:spacing w:before="0" w:after="283"/>
              <w:jc w:val="left"/>
              <w:rPr/>
            </w:pPr>
            <w:r>
              <w:rPr/>
              <w:t> </w:t>
            </w:r>
          </w:p>
        </w:tc>
        <w:tc>
          <w:tcPr>
            <w:tcW w:w="1772" w:type="dxa"/>
            <w:tcBorders>
              <w:bottom w:val="single" w:sz="6" w:space="0" w:color="FBDDE3"/>
            </w:tcBorders>
            <w:tcMar>
              <w:bottom w:w="60" w:type="dxa"/>
            </w:tcMar>
            <w:vAlign w:val="center"/>
          </w:tcPr>
          <w:p>
            <w:pPr>
              <w:pStyle w:val="TableContents"/>
              <w:bidi w:val="0"/>
              <w:spacing w:before="0" w:after="283"/>
              <w:jc w:val="right"/>
              <w:rPr/>
            </w:pPr>
            <w:r>
              <w:rPr/>
              <w:t>1,037,624</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6295" w:type="dxa"/>
            <w:tcBorders/>
            <w:vAlign w:val="center"/>
          </w:tcPr>
          <w:p>
            <w:pPr>
              <w:pStyle w:val="TableContents"/>
              <w:bidi w:val="0"/>
              <w:spacing w:before="0" w:after="283"/>
              <w:jc w:val="left"/>
              <w:rPr>
                <w:sz w:val="4"/>
                <w:szCs w:val="4"/>
              </w:rPr>
            </w:pPr>
            <w:r>
              <w:rPr>
                <w:sz w:val="4"/>
                <w:szCs w:val="4"/>
              </w:rPr>
            </w:r>
          </w:p>
        </w:tc>
        <w:tc>
          <w:tcPr>
            <w:tcW w:w="1835" w:type="dxa"/>
            <w:gridSpan w:val="4"/>
            <w:tcBorders/>
            <w:vAlign w:val="center"/>
          </w:tcPr>
          <w:p>
            <w:pPr>
              <w:pStyle w:val="TableContents"/>
              <w:bidi w:val="0"/>
              <w:spacing w:before="0" w:after="283"/>
              <w:jc w:val="left"/>
              <w:rPr>
                <w:sz w:val="4"/>
                <w:szCs w:val="4"/>
              </w:rPr>
            </w:pPr>
            <w:r>
              <w:rPr>
                <w:sz w:val="4"/>
                <w:szCs w:val="4"/>
              </w:rPr>
            </w:r>
          </w:p>
        </w:tc>
        <w:tc>
          <w:tcPr>
            <w:tcW w:w="2075" w:type="dxa"/>
            <w:gridSpan w:val="4"/>
            <w:tcBorders/>
            <w:vAlign w:val="center"/>
          </w:tcPr>
          <w:p>
            <w:pPr>
              <w:pStyle w:val="TableContents"/>
              <w:bidi w:val="0"/>
              <w:spacing w:before="0" w:after="283"/>
              <w:jc w:val="left"/>
              <w:rPr>
                <w:sz w:val="4"/>
                <w:szCs w:val="4"/>
              </w:rPr>
            </w:pPr>
            <w:r>
              <w:rPr>
                <w:sz w:val="4"/>
                <w:szCs w:val="4"/>
              </w:rPr>
            </w:r>
          </w:p>
        </w:tc>
      </w:tr>
      <w:tr>
        <w:trPr/>
        <w:tc>
          <w:tcPr>
            <w:tcW w:w="6295"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Non-Executive Director Group (all current non-employee directors and director nominees as a group)</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77" w:type="dxa"/>
            <w:tcBorders>
              <w:bottom w:val="single" w:sz="6" w:space="0" w:color="FBDDE3"/>
            </w:tcBorders>
            <w:tcMar>
              <w:bottom w:w="60" w:type="dxa"/>
            </w:tcMar>
            <w:vAlign w:val="center"/>
          </w:tcPr>
          <w:p>
            <w:pPr>
              <w:pStyle w:val="TableContents"/>
              <w:bidi w:val="0"/>
              <w:spacing w:before="0" w:after="283"/>
              <w:jc w:val="left"/>
              <w:rPr/>
            </w:pPr>
            <w:r>
              <w:rPr/>
              <w:t> </w:t>
            </w:r>
          </w:p>
        </w:tc>
        <w:tc>
          <w:tcPr>
            <w:tcW w:w="1578" w:type="dxa"/>
            <w:tcBorders>
              <w:bottom w:val="single" w:sz="6" w:space="0" w:color="FBDDE3"/>
            </w:tcBorders>
            <w:tcMar>
              <w:bottom w:w="60" w:type="dxa"/>
            </w:tcMar>
            <w:vAlign w:val="center"/>
          </w:tcPr>
          <w:p>
            <w:pPr>
              <w:pStyle w:val="TableContents"/>
              <w:bidi w:val="0"/>
              <w:spacing w:before="0" w:after="283"/>
              <w:jc w:val="right"/>
              <w:rPr/>
            </w:pPr>
            <w:r>
              <w:rPr/>
              <w:t>2,527,100</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08" w:type="dxa"/>
            <w:tcBorders>
              <w:bottom w:val="single" w:sz="6" w:space="0" w:color="FBDDE3"/>
            </w:tcBorders>
            <w:tcMar>
              <w:bottom w:w="60" w:type="dxa"/>
            </w:tcMar>
            <w:vAlign w:val="center"/>
          </w:tcPr>
          <w:p>
            <w:pPr>
              <w:pStyle w:val="TableContents"/>
              <w:bidi w:val="0"/>
              <w:spacing w:before="0" w:after="283"/>
              <w:jc w:val="left"/>
              <w:rPr/>
            </w:pPr>
            <w:r>
              <w:rPr/>
              <w:t> </w:t>
            </w:r>
          </w:p>
        </w:tc>
        <w:tc>
          <w:tcPr>
            <w:tcW w:w="1772" w:type="dxa"/>
            <w:tcBorders>
              <w:bottom w:val="single" w:sz="6" w:space="0" w:color="FBDDE3"/>
            </w:tcBorders>
            <w:tcMar>
              <w:bottom w:w="60" w:type="dxa"/>
            </w:tcMar>
            <w:vAlign w:val="center"/>
          </w:tcPr>
          <w:p>
            <w:pPr>
              <w:pStyle w:val="TableContents"/>
              <w:bidi w:val="0"/>
              <w:spacing w:before="0" w:after="283"/>
              <w:jc w:val="right"/>
              <w:rPr/>
            </w:pPr>
            <w:r>
              <w:rPr/>
              <w:t>93,527</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6295" w:type="dxa"/>
            <w:tcBorders/>
            <w:vAlign w:val="center"/>
          </w:tcPr>
          <w:p>
            <w:pPr>
              <w:pStyle w:val="TableContents"/>
              <w:bidi w:val="0"/>
              <w:spacing w:before="0" w:after="283"/>
              <w:jc w:val="left"/>
              <w:rPr>
                <w:sz w:val="4"/>
                <w:szCs w:val="4"/>
              </w:rPr>
            </w:pPr>
            <w:r>
              <w:rPr>
                <w:sz w:val="4"/>
                <w:szCs w:val="4"/>
              </w:rPr>
            </w:r>
          </w:p>
        </w:tc>
        <w:tc>
          <w:tcPr>
            <w:tcW w:w="1835" w:type="dxa"/>
            <w:gridSpan w:val="4"/>
            <w:tcBorders/>
            <w:vAlign w:val="center"/>
          </w:tcPr>
          <w:p>
            <w:pPr>
              <w:pStyle w:val="TableContents"/>
              <w:bidi w:val="0"/>
              <w:spacing w:before="0" w:after="283"/>
              <w:jc w:val="left"/>
              <w:rPr>
                <w:sz w:val="4"/>
                <w:szCs w:val="4"/>
              </w:rPr>
            </w:pPr>
            <w:r>
              <w:rPr>
                <w:sz w:val="4"/>
                <w:szCs w:val="4"/>
              </w:rPr>
            </w:r>
          </w:p>
        </w:tc>
        <w:tc>
          <w:tcPr>
            <w:tcW w:w="2075" w:type="dxa"/>
            <w:gridSpan w:val="4"/>
            <w:tcBorders/>
            <w:vAlign w:val="center"/>
          </w:tcPr>
          <w:p>
            <w:pPr>
              <w:pStyle w:val="TableContents"/>
              <w:bidi w:val="0"/>
              <w:spacing w:before="0" w:after="283"/>
              <w:jc w:val="left"/>
              <w:rPr>
                <w:sz w:val="4"/>
                <w:szCs w:val="4"/>
              </w:rPr>
            </w:pPr>
            <w:r>
              <w:rPr>
                <w:sz w:val="4"/>
                <w:szCs w:val="4"/>
              </w:rPr>
            </w:r>
          </w:p>
        </w:tc>
      </w:tr>
      <w:tr>
        <w:trPr/>
        <w:tc>
          <w:tcPr>
            <w:tcW w:w="6295"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Non-Executive Officer Employee Group (all employees as a group, excluding executive officers)</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77" w:type="dxa"/>
            <w:tcBorders>
              <w:bottom w:val="single" w:sz="6" w:space="0" w:color="FBDDE3"/>
            </w:tcBorders>
            <w:tcMar>
              <w:bottom w:w="60" w:type="dxa"/>
            </w:tcMar>
            <w:vAlign w:val="center"/>
          </w:tcPr>
          <w:p>
            <w:pPr>
              <w:pStyle w:val="TableContents"/>
              <w:bidi w:val="0"/>
              <w:spacing w:before="0" w:after="283"/>
              <w:jc w:val="left"/>
              <w:rPr/>
            </w:pPr>
            <w:r>
              <w:rPr/>
              <w:t> </w:t>
            </w:r>
          </w:p>
        </w:tc>
        <w:tc>
          <w:tcPr>
            <w:tcW w:w="1578" w:type="dxa"/>
            <w:tcBorders>
              <w:bottom w:val="single" w:sz="6" w:space="0" w:color="FBDDE3"/>
            </w:tcBorders>
            <w:tcMar>
              <w:bottom w:w="60" w:type="dxa"/>
            </w:tcMar>
            <w:vAlign w:val="center"/>
          </w:tcPr>
          <w:p>
            <w:pPr>
              <w:pStyle w:val="TableContents"/>
              <w:bidi w:val="0"/>
              <w:spacing w:before="0" w:after="283"/>
              <w:jc w:val="right"/>
              <w:rPr/>
            </w:pPr>
            <w:r>
              <w:rPr/>
              <w:t>104,030,837</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08" w:type="dxa"/>
            <w:tcBorders>
              <w:bottom w:val="single" w:sz="6" w:space="0" w:color="FBDDE3"/>
            </w:tcBorders>
            <w:tcMar>
              <w:bottom w:w="60" w:type="dxa"/>
            </w:tcMar>
            <w:vAlign w:val="center"/>
          </w:tcPr>
          <w:p>
            <w:pPr>
              <w:pStyle w:val="TableContents"/>
              <w:bidi w:val="0"/>
              <w:spacing w:before="0" w:after="283"/>
              <w:jc w:val="left"/>
              <w:rPr/>
            </w:pPr>
            <w:r>
              <w:rPr/>
              <w:t> </w:t>
            </w:r>
          </w:p>
        </w:tc>
        <w:tc>
          <w:tcPr>
            <w:tcW w:w="1772" w:type="dxa"/>
            <w:tcBorders>
              <w:bottom w:val="single" w:sz="6" w:space="0" w:color="FBDDE3"/>
            </w:tcBorders>
            <w:tcMar>
              <w:bottom w:w="60" w:type="dxa"/>
            </w:tcMar>
            <w:vAlign w:val="center"/>
          </w:tcPr>
          <w:p>
            <w:pPr>
              <w:pStyle w:val="TableContents"/>
              <w:bidi w:val="0"/>
              <w:spacing w:before="0" w:after="283"/>
              <w:jc w:val="right"/>
              <w:rPr/>
            </w:pPr>
            <w:r>
              <w:rPr/>
              <w:t>3,850,142</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bl>
    <w:p>
      <w:pPr>
        <w:pStyle w:val="TextBody"/>
        <w:bidi w:val="0"/>
        <w:spacing w:before="360" w:after="0"/>
        <w:jc w:val="left"/>
        <w:rPr>
          <w:rFonts w:ascii="arial" w:hAnsi="arial"/>
          <w:sz w:val="30"/>
        </w:rPr>
      </w:pPr>
      <w:r>
        <w:rPr>
          <w:rFonts w:ascii="arial" w:hAnsi="arial"/>
          <w:sz w:val="30"/>
        </w:rPr>
        <w:t xml:space="preserve">United States Federal Income Tax Consequences </w:t>
      </w:r>
    </w:p>
    <w:p>
      <w:pPr>
        <w:pStyle w:val="TextBody"/>
        <w:bidi w:val="0"/>
        <w:spacing w:before="120" w:after="0"/>
        <w:jc w:val="left"/>
        <w:rPr>
          <w:rFonts w:ascii="arial" w:hAnsi="arial"/>
          <w:sz w:val="18"/>
        </w:rPr>
      </w:pPr>
      <w:r>
        <w:rPr>
          <w:rFonts w:ascii="arial" w:hAnsi="arial"/>
          <w:sz w:val="18"/>
        </w:rPr>
        <w:t xml:space="preserve">The following is a brief summary of the general United States federal income tax consequences relating to participation in the VS 2021 Stock Plan. This summary is based on United States federal tax laws and Treasury Regulations in effect on the date of this Proxy Statement and does not purport to be a complete description of the United States federal income tax laws. In addition, this summary does not constitute tax advice or describe federal employment, state, local or foreign tax consequences. Each participant will be advised to consult with his or her tax advisor concerning the United States federal income tax and other tax consequences of participating in the 2021 VS Stock Plan. </w:t>
      </w:r>
    </w:p>
    <w:p>
      <w:pPr>
        <w:pStyle w:val="TextBody"/>
        <w:bidi w:val="0"/>
        <w:spacing w:before="240" w:after="0"/>
        <w:jc w:val="left"/>
        <w:rPr>
          <w:rFonts w:ascii="arial" w:hAnsi="arial"/>
          <w:b/>
          <w:color w:val="F7ACBA"/>
          <w:sz w:val="24"/>
        </w:rPr>
      </w:pPr>
      <w:r>
        <w:rPr>
          <w:rFonts w:ascii="arial" w:hAnsi="arial"/>
          <w:b/>
          <w:color w:val="F7ACBA"/>
          <w:sz w:val="24"/>
        </w:rPr>
        <w:t xml:space="preserve">Incentive Stock Options </w:t>
      </w:r>
    </w:p>
    <w:p>
      <w:pPr>
        <w:pStyle w:val="TextBody"/>
        <w:bidi w:val="0"/>
        <w:spacing w:before="60" w:after="0"/>
        <w:jc w:val="left"/>
        <w:rPr>
          <w:rFonts w:ascii="arial" w:hAnsi="arial"/>
          <w:sz w:val="18"/>
        </w:rPr>
      </w:pPr>
      <w:r>
        <w:rPr>
          <w:rFonts w:ascii="arial" w:hAnsi="arial"/>
          <w:sz w:val="18"/>
        </w:rPr>
        <w:t xml:space="preserve">The Company intends for ISOs to qualify for the special treatment available under Section 422 of the Internal Revenue Code. A participant will not recognize taxable income when an ISO is granted, and we will not receive a deduction at that time. A participant will not recognize ordinary income upon the exercise of an ISO, provided that the participant was, without a break in service, an associate of the Company or a subsidiary of the Company during the period beginning on the grant date of the ISO and ending on the date three months prior to the date of exercise (one year prior to the date of exercise if the participant’s employment is terminated due to disability or death). </w:t>
      </w:r>
    </w:p>
    <w:p>
      <w:pPr>
        <w:pStyle w:val="TextBody"/>
        <w:bidi w:val="0"/>
        <w:spacing w:before="120" w:after="0"/>
        <w:jc w:val="left"/>
        <w:rPr>
          <w:rFonts w:ascii="arial" w:hAnsi="arial"/>
          <w:sz w:val="18"/>
        </w:rPr>
      </w:pPr>
      <w:r>
        <w:rPr>
          <w:rFonts w:ascii="arial" w:hAnsi="arial"/>
          <w:sz w:val="18"/>
        </w:rPr>
        <w:t xml:space="preserve">If a participant does not sell or otherwise dispose of the shares of common stock acquired upon the exercise of an ISO within two years from the grant date of the ISO or within one year after the participant receives the shares, then, upon disposition of such shares of common stock, any amount realized in excess of the exercise price will be taxed to the participant as a capital gain, and we will not be entitled to a corresponding deduction. The participant generally will recognize a capital loss to the extent that the amount realized is less than the exercise price. </w:t>
      </w:r>
    </w:p>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40"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29" descr=""/>
                          <pic:cNvPicPr>
                            <a:picLocks noChangeAspect="1" noChangeArrowheads="1"/>
                          </pic:cNvPicPr>
                        </pic:nvPicPr>
                        <pic:blipFill>
                          <a:blip r:embed="rId130"/>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82 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AMENDMENT TO VS 2021 STOCK PLAN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If the foregoing holding period requirements are not met, the participant generally will recognize ordinary income at the time of the disposition of the shares of common stock in an amount equal to the lesser of: (i) the excess of the fair market value of the shares on the date of exercise over the exercise price; or (ii) the excess, if any, of the amount realized upon disposition of the shares over the exercise price. We will be entitled to a corresponding deduction (subject to the limitation described under “Section 162(m)” below). Any amount realized in excess of the value of the shares of common stock on the date of exercise will be taxed as a capital gain. If the amount realized is less than the exercise price, the participant generally will recognize a capital loss equal to the excess of the exercise price over the amount realized upon the disposition of the shares. </w:t>
      </w:r>
    </w:p>
    <w:p>
      <w:pPr>
        <w:pStyle w:val="TextBody"/>
        <w:bidi w:val="0"/>
        <w:spacing w:before="120" w:after="0"/>
        <w:jc w:val="left"/>
        <w:rPr>
          <w:rFonts w:ascii="arial" w:hAnsi="arial"/>
          <w:sz w:val="18"/>
        </w:rPr>
      </w:pPr>
      <w:r>
        <w:rPr>
          <w:rFonts w:ascii="arial" w:hAnsi="arial"/>
          <w:sz w:val="18"/>
        </w:rPr>
        <w:t xml:space="preserve">The rules that generally apply to ISOs do not apply when calculating any alternative minimum tax liability. The rules affecting the application of the alternative minimum tax are complex, and their effect depends on individual circumstances, including whether a participant has items of adjustment other than those derived from ISOs. </w:t>
      </w:r>
    </w:p>
    <w:p>
      <w:pPr>
        <w:pStyle w:val="TextBody"/>
        <w:bidi w:val="0"/>
        <w:spacing w:before="240" w:after="0"/>
        <w:jc w:val="left"/>
        <w:rPr>
          <w:rFonts w:ascii="arial" w:hAnsi="arial"/>
          <w:b/>
          <w:color w:val="F7ACBA"/>
          <w:sz w:val="24"/>
        </w:rPr>
      </w:pPr>
      <w:r>
        <w:rPr>
          <w:rFonts w:ascii="arial" w:hAnsi="arial"/>
          <w:b/>
          <w:color w:val="F7ACBA"/>
          <w:sz w:val="24"/>
        </w:rPr>
        <w:t xml:space="preserve">Nonstatutory Stock Options </w:t>
      </w:r>
    </w:p>
    <w:p>
      <w:pPr>
        <w:pStyle w:val="TextBody"/>
        <w:bidi w:val="0"/>
        <w:spacing w:before="60" w:after="0"/>
        <w:jc w:val="left"/>
        <w:rPr>
          <w:rFonts w:ascii="arial" w:hAnsi="arial"/>
          <w:sz w:val="18"/>
        </w:rPr>
      </w:pPr>
      <w:r>
        <w:rPr>
          <w:rFonts w:ascii="arial" w:hAnsi="arial"/>
          <w:sz w:val="18"/>
        </w:rPr>
        <w:t xml:space="preserve">A participant will not recognize any income when an NSO is granted, and we will not receive a deduction at that time. However, when an NSO is exercised, a participant will recognize ordinary income equal to the excess, if any, of the fair market value of the shares of common stock that the participant purchased on the date of exercise over the exercise price. If a participant uses shares of common stock or a combination of shares and cash to pay the exercise price of an NSO, the participant will recognize ordinary income equal to the value of the excess of the number of shares that the participant purchases over the number of shares that the participant surrenders, less any cash the participant uses to pay the exercise price. When an NSO is exercised, we will be entitled to a deduction equal to the ordinary income that the participant recognized (subject to the limitation described under “Section 162(m)” below). </w:t>
      </w:r>
    </w:p>
    <w:p>
      <w:pPr>
        <w:pStyle w:val="TextBody"/>
        <w:bidi w:val="0"/>
        <w:spacing w:before="120" w:after="0"/>
        <w:jc w:val="left"/>
        <w:rPr>
          <w:rFonts w:ascii="arial" w:hAnsi="arial"/>
          <w:sz w:val="18"/>
        </w:rPr>
      </w:pPr>
      <w:r>
        <w:rPr>
          <w:rFonts w:ascii="arial" w:hAnsi="arial"/>
          <w:sz w:val="18"/>
        </w:rPr>
        <w:t xml:space="preserve">If the amount a participant receives upon disposition of the shares of common stock that the participant acquired by exercising an NSO is greater than the sum of the aggregate exercise price that the participant paid plus the amount of ordinary income recognized by the participant upon exercise, the excess will be treated as a long-term or short-term capital gain, depending on whether the participant held the shares for more than one year after the participant acquired them by exercising the NSO. Conversely, if the amount a participant receives upon disposition of the shares of common stock that the participant acquired by exercising an NSO is less than the sum of the aggregate exercise price the participant paid plus the amount of ordinary income recognized by the participant upon exercise, the difference will be treated as a long-term or short-term capital loss, depending on whether the participant held the shares for more than one year after the participant acquired them by exercising the NSO. </w:t>
      </w:r>
    </w:p>
    <w:p>
      <w:pPr>
        <w:pStyle w:val="TextBody"/>
        <w:bidi w:val="0"/>
        <w:spacing w:before="240" w:after="0"/>
        <w:jc w:val="left"/>
        <w:rPr>
          <w:rFonts w:ascii="arial" w:hAnsi="arial"/>
          <w:b/>
          <w:color w:val="F7ACBA"/>
          <w:sz w:val="24"/>
        </w:rPr>
      </w:pPr>
      <w:r>
        <w:rPr>
          <w:rFonts w:ascii="arial" w:hAnsi="arial"/>
          <w:b/>
          <w:color w:val="F7ACBA"/>
          <w:sz w:val="24"/>
        </w:rPr>
        <w:t xml:space="preserve">Stock Appreciation Rights </w:t>
      </w:r>
    </w:p>
    <w:p>
      <w:pPr>
        <w:pStyle w:val="TextBody"/>
        <w:bidi w:val="0"/>
        <w:spacing w:before="60" w:after="0"/>
        <w:jc w:val="left"/>
        <w:rPr>
          <w:rFonts w:ascii="arial" w:hAnsi="arial"/>
          <w:sz w:val="18"/>
        </w:rPr>
      </w:pPr>
      <w:r>
        <w:rPr>
          <w:rFonts w:ascii="arial" w:hAnsi="arial"/>
          <w:sz w:val="18"/>
        </w:rPr>
        <w:t xml:space="preserve">A participant will not recognize taxable income when an SAR is granted, and we will not receive a deduction at that time. When an SAR is exercised, a participant will recognize ordinary income equal to the excess of the cash and/or the fair market value of the shares of common stock the participant receives over the aggregate exercise price of the SAR, if any, and we will be entitled to a corresponding deduction (subject to the limitation described under “Section 162(m)” below). If the amount a participant receives upon disposition of the shares of common stock that the participant acquired by exercising an SAR is greater than the sum of the aggregate exercise price that the participant paid plus the amount of ordinary income recognized by the participant upon exercise, the excess will be treated as a long-term or short-term capital gain, depending on whether the participant held the shares for more than one year after the participant acquired them by exercising the SAR. Conversely, if the amount a participant receives upon disposition of the shares of common stock that the participant acquired by exercising an SAR is less than the sum of the aggregate exercise price that the participant paid plus the amount of ordinary income recognized by the participant upon exercise, the difference will be treated as a long-term or short-term capital loss, depending on whether the participant held the shares for more than one year after the participant acquired them by exercising the SAR. </w:t>
      </w:r>
    </w:p>
    <w:p>
      <w:pPr>
        <w:pStyle w:val="TextBody"/>
        <w:bidi w:val="0"/>
        <w:spacing w:before="240" w:after="0"/>
        <w:jc w:val="left"/>
        <w:rPr>
          <w:rFonts w:ascii="arial" w:hAnsi="arial"/>
          <w:b/>
          <w:color w:val="F7ACBA"/>
          <w:sz w:val="24"/>
        </w:rPr>
      </w:pPr>
      <w:r>
        <w:rPr>
          <w:rFonts w:ascii="arial" w:hAnsi="arial"/>
          <w:b/>
          <w:color w:val="F7ACBA"/>
          <w:sz w:val="24"/>
        </w:rPr>
        <w:t xml:space="preserve">Restricted Stock </w:t>
      </w:r>
    </w:p>
    <w:p>
      <w:pPr>
        <w:pStyle w:val="TextBody"/>
        <w:bidi w:val="0"/>
        <w:spacing w:before="60" w:after="0"/>
        <w:jc w:val="left"/>
        <w:rPr>
          <w:rFonts w:ascii="arial" w:hAnsi="arial"/>
          <w:sz w:val="18"/>
        </w:rPr>
      </w:pPr>
      <w:r>
        <w:rPr>
          <w:rFonts w:ascii="arial" w:hAnsi="arial"/>
          <w:sz w:val="18"/>
        </w:rPr>
        <w:t xml:space="preserve">Unless a participant makes an election under Section 83(b) of the Internal Revenue Code (a “Section 83(b) Election”), the participant generally will not recognize taxable income when restricted stock is granted, and we will not receive a deduction </w:t>
      </w:r>
    </w:p>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41"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30" descr=""/>
                          <pic:cNvPicPr>
                            <a:picLocks noChangeAspect="1" noChangeArrowheads="1"/>
                          </pic:cNvPicPr>
                        </pic:nvPicPr>
                        <pic:blipFill>
                          <a:blip r:embed="rId131"/>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83 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AMENDMENT TO VS 2021 STOCK PLAN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at that time. Instead, a participant will recognize ordinary income when the restricted stock vests (i.e., when the underlying shares of common stock are freely transferable or not subject to a substantial risk of forfeiture) equal to the fair market value of the shares of common stock that the participant receives when the terms, conditions and restrictions have been met, less any consideration paid for the restricted stock. We generally will be entitled to a deduction equal to the income that the participant recognized (subject to the limitation described under “Section 162(m)” below). </w:t>
      </w:r>
    </w:p>
    <w:p>
      <w:pPr>
        <w:pStyle w:val="TextBody"/>
        <w:bidi w:val="0"/>
        <w:spacing w:before="120" w:after="0"/>
        <w:jc w:val="left"/>
        <w:rPr>
          <w:rFonts w:ascii="arial" w:hAnsi="arial"/>
          <w:sz w:val="18"/>
        </w:rPr>
      </w:pPr>
      <w:r>
        <w:rPr>
          <w:rFonts w:ascii="arial" w:hAnsi="arial"/>
          <w:sz w:val="18"/>
        </w:rPr>
        <w:t xml:space="preserve">If the amount a participant receives upon disposition of these shares of common stock is greater than the fair market value of the shares when the restricted stock vested, the excess will be treated as a long-term or short-term capital gain, depending on whether the participant held the shares for more than one year after the restricted stock vested. Conversely, if the amount the participant receives upon disposition of these shares of common stock is less than the fair market value of the shares when the restricted stock vested, the difference will be treated as a long-term or short-term capital loss, depending on whether the participant held the shares for more than one year after the restricted stock vested. </w:t>
      </w:r>
    </w:p>
    <w:p>
      <w:pPr>
        <w:pStyle w:val="TextBody"/>
        <w:bidi w:val="0"/>
        <w:spacing w:before="120" w:after="0"/>
        <w:jc w:val="left"/>
        <w:rPr>
          <w:rFonts w:ascii="arial" w:hAnsi="arial"/>
          <w:sz w:val="18"/>
        </w:rPr>
      </w:pPr>
      <w:r>
        <w:rPr>
          <w:rFonts w:ascii="arial" w:hAnsi="arial"/>
          <w:sz w:val="18"/>
        </w:rPr>
        <w:t xml:space="preserve">If a participant makes a Section 83(b) Election, the participant will recognize ordinary income on the grant date equal to the fair market value of the shares of common stock subject to the restricted stock award on the grant date, and we will be entitled to a deduction equal to the income that the participant recognized at that time (subject to the limitation described under “Section 162(m)” below). However, the participant will not recognize income when (and if) the restricted stock vests. If a participant who has made a Section 83(b) Election earns the shares of common stock subject to a restricted stock award, any appreciation between the grant date and the date the participant disposes of the shares will be treated as a long-term or short-term capital gain, depending on whether the participant held the shares for more than one year after the grant date. Conversely, if the amount the participant receives upon disposition of these shares of common stock is less than the fair market value of the shares on the grant date, the difference will be treated as a long-term or short-term capital loss, depending on whether the participant held the shares for more than one year after the grant date. Also, if a participant forfeits his or her restricted stock, the participant cannot take a tax deduction in connection with the forfeiture of the restricted stock subject to a Section 83(b) Election. </w:t>
      </w:r>
    </w:p>
    <w:p>
      <w:pPr>
        <w:pStyle w:val="TextBody"/>
        <w:bidi w:val="0"/>
        <w:spacing w:before="240" w:after="0"/>
        <w:jc w:val="left"/>
        <w:rPr>
          <w:rFonts w:ascii="arial" w:hAnsi="arial"/>
          <w:b/>
          <w:color w:val="F7ACBA"/>
          <w:sz w:val="24"/>
        </w:rPr>
      </w:pPr>
      <w:r>
        <w:rPr>
          <w:rFonts w:ascii="arial" w:hAnsi="arial"/>
          <w:b/>
          <w:color w:val="F7ACBA"/>
          <w:sz w:val="24"/>
        </w:rPr>
        <w:t xml:space="preserve">Restricted Share Units, Performance Share Units and Deferred Restricted Share Units </w:t>
      </w:r>
    </w:p>
    <w:p>
      <w:pPr>
        <w:pStyle w:val="TextBody"/>
        <w:bidi w:val="0"/>
        <w:spacing w:before="60" w:after="0"/>
        <w:jc w:val="left"/>
        <w:rPr>
          <w:rFonts w:ascii="arial" w:hAnsi="arial"/>
          <w:sz w:val="18"/>
        </w:rPr>
      </w:pPr>
      <w:r>
        <w:rPr>
          <w:rFonts w:ascii="arial" w:hAnsi="arial"/>
          <w:sz w:val="18"/>
        </w:rPr>
        <w:t xml:space="preserve">A participant will not recognize taxable income when an RSU, PSU or DSU is granted, and we will not receive a deduction at that time. When an RSU, PSU or DSU vests and is settled, the participant will recognize ordinary income equal to the cash and/or the fair market value of the shares of common stock the participant receives at the time of settlement, and we will be entitled to a corresponding deduction (subject to the limitation described under “Section 162(m)” below). </w:t>
      </w:r>
    </w:p>
    <w:p>
      <w:pPr>
        <w:pStyle w:val="TextBody"/>
        <w:bidi w:val="0"/>
        <w:spacing w:before="120" w:after="0"/>
        <w:jc w:val="left"/>
        <w:rPr>
          <w:rFonts w:ascii="arial" w:hAnsi="arial"/>
          <w:sz w:val="18"/>
        </w:rPr>
      </w:pPr>
      <w:r>
        <w:rPr>
          <w:rFonts w:ascii="arial" w:hAnsi="arial"/>
          <w:sz w:val="18"/>
        </w:rPr>
        <w:t xml:space="preserve">If the amount a participant receives upon disposition of the shares of common stock received upon settlement of an RSU, PSU or DSU is greater than the fair market value of the shares of common stock at the time the participant recognized ordinary income with respect to the RSU, PSU or DSU, the excess will be treated as a long-term or short-term capital gain, depending on whether the participant held the shares of common stock for more than one year after that time. Conversely, if the amount the participant receives upon disposition of these shares of common stock is less than the fair market value of the shares of common stock at the time the participant recognized ordinary income with respect to the RSU, PSU or DSU, the difference will be treated as a long-term or short-term capital loss, depending on whether the participant held the shares of common stock for more than one year after that time. </w:t>
      </w:r>
    </w:p>
    <w:p>
      <w:pPr>
        <w:pStyle w:val="TextBody"/>
        <w:bidi w:val="0"/>
        <w:spacing w:before="240" w:after="0"/>
        <w:jc w:val="left"/>
        <w:rPr>
          <w:rFonts w:ascii="arial" w:hAnsi="arial"/>
          <w:b/>
          <w:color w:val="F7ACBA"/>
          <w:sz w:val="24"/>
        </w:rPr>
      </w:pPr>
      <w:r>
        <w:rPr>
          <w:rFonts w:ascii="arial" w:hAnsi="arial"/>
          <w:b/>
          <w:color w:val="F7ACBA"/>
          <w:sz w:val="24"/>
        </w:rPr>
        <w:t xml:space="preserve">Section 162(m) </w:t>
      </w:r>
    </w:p>
    <w:p>
      <w:pPr>
        <w:pStyle w:val="TextBody"/>
        <w:bidi w:val="0"/>
        <w:spacing w:before="60" w:after="0"/>
        <w:jc w:val="left"/>
        <w:rPr>
          <w:rFonts w:ascii="arial" w:hAnsi="arial"/>
          <w:sz w:val="18"/>
        </w:rPr>
      </w:pPr>
      <w:r>
        <w:rPr>
          <w:rFonts w:ascii="arial" w:hAnsi="arial"/>
          <w:sz w:val="18"/>
        </w:rPr>
        <w:t xml:space="preserve">Section 162(m) generally disallows a tax deduction to publicly-traded companies for compensation, including equity-based awards, in excess of $1,000,000 for certain “covered employees” in any year. The Company expects that a portion of the compensation expense related to awards under the VS 2021 Stock Plan will not be deductible. </w:t>
      </w:r>
    </w:p>
    <w:p>
      <w:pPr>
        <w:pStyle w:val="TextBody"/>
        <w:bidi w:val="0"/>
        <w:spacing w:before="240" w:after="0"/>
        <w:jc w:val="left"/>
        <w:rPr>
          <w:rFonts w:ascii="arial" w:hAnsi="arial"/>
          <w:b/>
          <w:color w:val="F7ACBA"/>
          <w:sz w:val="24"/>
        </w:rPr>
      </w:pPr>
      <w:r>
        <w:rPr>
          <w:rFonts w:ascii="arial" w:hAnsi="arial"/>
          <w:b/>
          <w:color w:val="F7ACBA"/>
          <w:sz w:val="24"/>
        </w:rPr>
        <w:t xml:space="preserve">Section 409A </w:t>
      </w:r>
    </w:p>
    <w:p>
      <w:pPr>
        <w:pStyle w:val="TextBody"/>
        <w:bidi w:val="0"/>
        <w:spacing w:before="60" w:after="0"/>
        <w:jc w:val="left"/>
        <w:rPr>
          <w:rFonts w:ascii="arial" w:hAnsi="arial"/>
          <w:sz w:val="18"/>
        </w:rPr>
      </w:pPr>
      <w:r>
        <w:rPr>
          <w:rFonts w:ascii="arial" w:hAnsi="arial"/>
          <w:sz w:val="18"/>
        </w:rPr>
        <w:t xml:space="preserve">Section 409A of the Internal Revenue Code imposes certain restrictions on amounts deferred under non-qualified deferred compensation plans and a 20% additional tax on amounts that are subject to, but do not comply with, Section 409A. </w:t>
      </w:r>
    </w:p>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42"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31" descr=""/>
                          <pic:cNvPicPr>
                            <a:picLocks noChangeAspect="1" noChangeArrowheads="1"/>
                          </pic:cNvPicPr>
                        </pic:nvPicPr>
                        <pic:blipFill>
                          <a:blip r:embed="rId132"/>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84 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AMENDMENT TO VS 2021 STOCK PLAN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Section 409A includes a broad definition of non-qualified deferred compensation plans, which includes certain types of equity incentive compensation. The Company intends for the awards granted under the VS 2021 Stock Plan to comply with or be exempt from the requirements of Section 409A and the Treasury Regulations promulgated thereunder. </w:t>
      </w:r>
    </w:p>
    <w:p>
      <w:pPr>
        <w:pStyle w:val="TextBody"/>
        <w:bidi w:val="0"/>
        <w:spacing w:before="360" w:after="0"/>
        <w:jc w:val="left"/>
        <w:rPr>
          <w:rFonts w:ascii="arial" w:hAnsi="arial"/>
          <w:sz w:val="30"/>
        </w:rPr>
      </w:pPr>
      <w:r>
        <w:rPr>
          <w:rFonts w:ascii="arial" w:hAnsi="arial"/>
          <w:sz w:val="30"/>
        </w:rPr>
        <w:t xml:space="preserve">Equity Compensation Plan Information </w:t>
      </w:r>
    </w:p>
    <w:p>
      <w:pPr>
        <w:pStyle w:val="TextBody"/>
        <w:bidi w:val="0"/>
        <w:spacing w:before="120" w:after="0"/>
        <w:jc w:val="left"/>
        <w:rPr>
          <w:rFonts w:ascii="arial" w:hAnsi="arial"/>
          <w:sz w:val="18"/>
        </w:rPr>
      </w:pPr>
      <w:r>
        <w:rPr>
          <w:rFonts w:ascii="arial" w:hAnsi="arial"/>
          <w:sz w:val="18"/>
        </w:rPr>
        <w:t xml:space="preserve">The following table provides certain information regarding plans and other arrangements as of February 3, 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35"/>
        <w:gridCol w:w="60"/>
        <w:gridCol w:w="141"/>
        <w:gridCol w:w="2309"/>
        <w:gridCol w:w="60"/>
        <w:gridCol w:w="60"/>
        <w:gridCol w:w="442"/>
        <w:gridCol w:w="1768"/>
        <w:gridCol w:w="60"/>
        <w:gridCol w:w="60"/>
        <w:gridCol w:w="140"/>
        <w:gridCol w:w="2295"/>
        <w:gridCol w:w="75"/>
      </w:tblGrid>
      <w:tr>
        <w:trPr/>
        <w:tc>
          <w:tcPr>
            <w:tcW w:w="27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735" w:type="dxa"/>
            <w:tcBorders/>
            <w:shd w:fill="FDEEF1" w:val="clear"/>
            <w:vAlign w:val="center"/>
          </w:tcPr>
          <w:p>
            <w:pPr>
              <w:pStyle w:val="TableContents"/>
              <w:bidi w:val="0"/>
              <w:spacing w:before="0" w:after="283"/>
              <w:jc w:val="left"/>
              <w:rPr>
                <w:sz w:val="4"/>
                <w:szCs w:val="4"/>
              </w:rPr>
            </w:pPr>
            <w:r>
              <w:rPr>
                <w:sz w:val="4"/>
                <w:szCs w:val="4"/>
              </w:rPr>
            </w:r>
          </w:p>
        </w:tc>
        <w:tc>
          <w:tcPr>
            <w:tcW w:w="2570" w:type="dxa"/>
            <w:gridSpan w:val="4"/>
            <w:tcBorders/>
            <w:shd w:fill="FDEEF1" w:val="clear"/>
            <w:vAlign w:val="center"/>
          </w:tcPr>
          <w:p>
            <w:pPr>
              <w:pStyle w:val="TableContents"/>
              <w:bidi w:val="0"/>
              <w:spacing w:before="0" w:after="283"/>
              <w:jc w:val="left"/>
              <w:rPr>
                <w:sz w:val="4"/>
                <w:szCs w:val="4"/>
              </w:rPr>
            </w:pPr>
            <w:r>
              <w:rPr>
                <w:sz w:val="4"/>
                <w:szCs w:val="4"/>
              </w:rPr>
            </w:r>
          </w:p>
        </w:tc>
        <w:tc>
          <w:tcPr>
            <w:tcW w:w="2330" w:type="dxa"/>
            <w:gridSpan w:val="4"/>
            <w:tcBorders/>
            <w:shd w:fill="FDEEF1" w:val="clear"/>
            <w:vAlign w:val="center"/>
          </w:tcPr>
          <w:p>
            <w:pPr>
              <w:pStyle w:val="TableContents"/>
              <w:bidi w:val="0"/>
              <w:spacing w:before="0" w:after="283"/>
              <w:jc w:val="left"/>
              <w:rPr>
                <w:sz w:val="4"/>
                <w:szCs w:val="4"/>
              </w:rPr>
            </w:pPr>
            <w:r>
              <w:rPr>
                <w:sz w:val="4"/>
                <w:szCs w:val="4"/>
              </w:rPr>
            </w:r>
          </w:p>
        </w:tc>
        <w:tc>
          <w:tcPr>
            <w:tcW w:w="2570" w:type="dxa"/>
            <w:gridSpan w:val="4"/>
            <w:tcBorders/>
            <w:shd w:fill="FDEEF1" w:val="clear"/>
            <w:vAlign w:val="center"/>
          </w:tcPr>
          <w:p>
            <w:pPr>
              <w:pStyle w:val="TableContents"/>
              <w:bidi w:val="0"/>
              <w:spacing w:before="0" w:after="283"/>
              <w:jc w:val="left"/>
              <w:rPr>
                <w:sz w:val="4"/>
                <w:szCs w:val="4"/>
              </w:rPr>
            </w:pPr>
            <w:r>
              <w:rPr>
                <w:sz w:val="4"/>
                <w:szCs w:val="4"/>
              </w:rPr>
            </w:r>
          </w:p>
        </w:tc>
      </w:tr>
      <w:tr>
        <w:trPr/>
        <w:tc>
          <w:tcPr>
            <w:tcW w:w="2735" w:type="dxa"/>
            <w:tcBorders/>
            <w:shd w:fill="FDEEF1" w:val="clear"/>
            <w:vAlign w:val="center"/>
          </w:tcPr>
          <w:p>
            <w:pPr>
              <w:pStyle w:val="TableContents"/>
              <w:bidi w:val="0"/>
              <w:spacing w:before="0" w:after="0"/>
              <w:jc w:val="left"/>
              <w:rPr>
                <w:rFonts w:ascii="arial" w:hAnsi="arial"/>
                <w:b/>
                <w:sz w:val="16"/>
              </w:rPr>
            </w:pPr>
            <w:r>
              <w:rPr>
                <w:rFonts w:ascii="arial" w:hAnsi="arial"/>
                <w:b/>
                <w:sz w:val="16"/>
              </w:rPr>
              <w:t>Plan category</w:t>
            </w:r>
          </w:p>
        </w:tc>
        <w:tc>
          <w:tcPr>
            <w:tcW w:w="60" w:type="dxa"/>
            <w:tcBorders/>
            <w:shd w:fill="FDEEF1" w:val="clear"/>
            <w:vAlign w:val="center"/>
          </w:tcPr>
          <w:p>
            <w:pPr>
              <w:pStyle w:val="TableContents"/>
              <w:bidi w:val="0"/>
              <w:spacing w:before="0" w:after="283"/>
              <w:jc w:val="left"/>
              <w:rPr/>
            </w:pPr>
            <w:r>
              <w:rPr/>
              <w:t> </w:t>
            </w:r>
          </w:p>
        </w:tc>
        <w:tc>
          <w:tcPr>
            <w:tcW w:w="2450" w:type="dxa"/>
            <w:gridSpan w:val="2"/>
            <w:tcBorders/>
            <w:shd w:fill="FDEEF1" w:val="clear"/>
            <w:vAlign w:val="center"/>
          </w:tcPr>
          <w:p>
            <w:pPr>
              <w:pStyle w:val="TableContents"/>
              <w:bidi w:val="0"/>
              <w:spacing w:before="0" w:after="283"/>
              <w:jc w:val="center"/>
              <w:rPr>
                <w:b/>
              </w:rPr>
            </w:pPr>
            <w:r>
              <w:rPr>
                <w:b/>
              </w:rPr>
              <w:t>(a) Number of securities</w:t>
              <w:br/>
              <w:t>to be issued upon</w:t>
              <w:br/>
              <w:t>exercise of outstanding</w:t>
              <w:br/>
              <w:t>options, warrants and</w:t>
              <w:br/>
              <w:t>rights</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2210" w:type="dxa"/>
            <w:gridSpan w:val="2"/>
            <w:tcBorders/>
            <w:shd w:fill="FDEEF1" w:val="clear"/>
            <w:vAlign w:val="center"/>
          </w:tcPr>
          <w:p>
            <w:pPr>
              <w:pStyle w:val="TableContents"/>
              <w:bidi w:val="0"/>
              <w:spacing w:before="0" w:after="283"/>
              <w:jc w:val="center"/>
              <w:rPr>
                <w:b/>
              </w:rPr>
            </w:pPr>
            <w:r>
              <w:rPr>
                <w:b/>
              </w:rPr>
              <w:t>(b) Weighted-average</w:t>
              <w:br/>
              <w:t>exercise price of</w:t>
              <w:br/>
              <w:t>outstanding options,</w:t>
              <w:br/>
              <w:t>warrants and rights</w:t>
            </w:r>
          </w:p>
        </w:tc>
        <w:tc>
          <w:tcPr>
            <w:tcW w:w="60" w:type="dxa"/>
            <w:tcBorders/>
            <w:shd w:fill="FDEEF1" w:val="clear"/>
            <w:vAlign w:val="center"/>
          </w:tcPr>
          <w:p>
            <w:pPr>
              <w:pStyle w:val="TableContents"/>
              <w:bidi w:val="0"/>
              <w:spacing w:before="0" w:after="283"/>
              <w:jc w:val="left"/>
              <w:rPr/>
            </w:pPr>
            <w:r>
              <w:rPr/>
              <w:t> </w:t>
            </w:r>
          </w:p>
        </w:tc>
        <w:tc>
          <w:tcPr>
            <w:tcW w:w="60" w:type="dxa"/>
            <w:tcBorders/>
            <w:shd w:fill="FDEEF1" w:val="clear"/>
            <w:vAlign w:val="center"/>
          </w:tcPr>
          <w:p>
            <w:pPr>
              <w:pStyle w:val="TableContents"/>
              <w:bidi w:val="0"/>
              <w:spacing w:before="0" w:after="283"/>
              <w:jc w:val="left"/>
              <w:rPr/>
            </w:pPr>
            <w:r>
              <w:rPr/>
              <w:t> </w:t>
            </w:r>
          </w:p>
        </w:tc>
        <w:tc>
          <w:tcPr>
            <w:tcW w:w="2435" w:type="dxa"/>
            <w:gridSpan w:val="2"/>
            <w:tcBorders/>
            <w:shd w:fill="FDEEF1" w:val="clear"/>
            <w:vAlign w:val="center"/>
          </w:tcPr>
          <w:p>
            <w:pPr>
              <w:pStyle w:val="TableContents"/>
              <w:bidi w:val="0"/>
              <w:spacing w:before="0" w:after="283"/>
              <w:jc w:val="center"/>
              <w:rPr>
                <w:b/>
              </w:rPr>
            </w:pPr>
            <w:r>
              <w:rPr>
                <w:b/>
              </w:rPr>
              <w:t>(c) Number of securities</w:t>
              <w:br/>
              <w:t>remaining available for</w:t>
              <w:br/>
              <w:t>future issuance under</w:t>
              <w:br/>
              <w:t>equity compensation</w:t>
              <w:br/>
              <w:t>plan (excluding</w:t>
              <w:br/>
              <w:t>securities reflected in</w:t>
              <w:br/>
              <w:t>column (a))</w:t>
            </w:r>
          </w:p>
        </w:tc>
        <w:tc>
          <w:tcPr>
            <w:tcW w:w="75" w:type="dxa"/>
            <w:tcBorders/>
            <w:shd w:fill="FDEEF1" w:val="cle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sz w:val="4"/>
                <w:szCs w:val="4"/>
              </w:rPr>
            </w:pPr>
            <w:r>
              <w:rPr>
                <w:sz w:val="4"/>
                <w:szCs w:val="4"/>
              </w:rPr>
            </w:r>
          </w:p>
        </w:tc>
        <w:tc>
          <w:tcPr>
            <w:tcW w:w="2570" w:type="dxa"/>
            <w:gridSpan w:val="4"/>
            <w:tcBorders/>
            <w:vAlign w:val="center"/>
          </w:tcPr>
          <w:p>
            <w:pPr>
              <w:pStyle w:val="TableContents"/>
              <w:bidi w:val="0"/>
              <w:spacing w:before="0" w:after="283"/>
              <w:jc w:val="left"/>
              <w:rPr>
                <w:sz w:val="4"/>
                <w:szCs w:val="4"/>
              </w:rPr>
            </w:pPr>
            <w:r>
              <w:rPr>
                <w:sz w:val="4"/>
                <w:szCs w:val="4"/>
              </w:rPr>
            </w:r>
          </w:p>
        </w:tc>
        <w:tc>
          <w:tcPr>
            <w:tcW w:w="2330" w:type="dxa"/>
            <w:gridSpan w:val="4"/>
            <w:tcBorders/>
            <w:vAlign w:val="center"/>
          </w:tcPr>
          <w:p>
            <w:pPr>
              <w:pStyle w:val="TableContents"/>
              <w:bidi w:val="0"/>
              <w:spacing w:before="0" w:after="283"/>
              <w:jc w:val="left"/>
              <w:rPr>
                <w:sz w:val="4"/>
                <w:szCs w:val="4"/>
              </w:rPr>
            </w:pPr>
            <w:r>
              <w:rPr>
                <w:sz w:val="4"/>
                <w:szCs w:val="4"/>
              </w:rPr>
            </w:r>
          </w:p>
        </w:tc>
        <w:tc>
          <w:tcPr>
            <w:tcW w:w="2570" w:type="dxa"/>
            <w:gridSpan w:val="4"/>
            <w:tcBorders/>
            <w:vAlign w:val="center"/>
          </w:tcPr>
          <w:p>
            <w:pPr>
              <w:pStyle w:val="TableContents"/>
              <w:bidi w:val="0"/>
              <w:spacing w:before="0" w:after="283"/>
              <w:jc w:val="left"/>
              <w:rPr>
                <w:sz w:val="4"/>
                <w:szCs w:val="4"/>
              </w:rPr>
            </w:pPr>
            <w:r>
              <w:rPr>
                <w:sz w:val="4"/>
                <w:szCs w:val="4"/>
              </w:rPr>
            </w:r>
          </w:p>
        </w:tc>
      </w:tr>
      <w:tr>
        <w:trPr/>
        <w:tc>
          <w:tcPr>
            <w:tcW w:w="2735"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Equity compensation plans approved by security holders(1)</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41" w:type="dxa"/>
            <w:tcBorders>
              <w:bottom w:val="single" w:sz="6" w:space="0" w:color="FBDDE3"/>
            </w:tcBorders>
            <w:tcMar>
              <w:bottom w:w="60" w:type="dxa"/>
            </w:tcMar>
            <w:vAlign w:val="center"/>
          </w:tcPr>
          <w:p>
            <w:pPr>
              <w:pStyle w:val="TableContents"/>
              <w:bidi w:val="0"/>
              <w:spacing w:before="0" w:after="283"/>
              <w:jc w:val="left"/>
              <w:rPr/>
            </w:pPr>
            <w:r>
              <w:rPr/>
              <w:t> </w:t>
            </w:r>
          </w:p>
        </w:tc>
        <w:tc>
          <w:tcPr>
            <w:tcW w:w="2309" w:type="dxa"/>
            <w:tcBorders>
              <w:bottom w:val="single" w:sz="6" w:space="0" w:color="FBDDE3"/>
            </w:tcBorders>
            <w:tcMar>
              <w:bottom w:w="60" w:type="dxa"/>
            </w:tcMar>
            <w:vAlign w:val="center"/>
          </w:tcPr>
          <w:p>
            <w:pPr>
              <w:pStyle w:val="TableContents"/>
              <w:bidi w:val="0"/>
              <w:spacing w:before="0" w:after="283"/>
              <w:jc w:val="right"/>
              <w:rPr/>
            </w:pPr>
            <w:r>
              <w:rPr/>
              <w:t>5,295,061</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442" w:type="dxa"/>
            <w:tcBorders>
              <w:bottom w:val="single" w:sz="6" w:space="0" w:color="FBDDE3"/>
            </w:tcBorders>
            <w:tcMar>
              <w:bottom w:w="60" w:type="dxa"/>
            </w:tcMar>
            <w:vAlign w:val="center"/>
          </w:tcPr>
          <w:p>
            <w:pPr>
              <w:pStyle w:val="TableContents"/>
              <w:bidi w:val="0"/>
              <w:spacing w:before="0" w:after="283"/>
              <w:jc w:val="left"/>
              <w:rPr/>
            </w:pPr>
            <w:r>
              <w:rPr/>
              <w:t>$</w:t>
            </w:r>
          </w:p>
        </w:tc>
        <w:tc>
          <w:tcPr>
            <w:tcW w:w="1768" w:type="dxa"/>
            <w:tcBorders>
              <w:bottom w:val="single" w:sz="6" w:space="0" w:color="FBDDE3"/>
            </w:tcBorders>
            <w:tcMar>
              <w:bottom w:w="60" w:type="dxa"/>
            </w:tcMar>
            <w:vAlign w:val="center"/>
          </w:tcPr>
          <w:p>
            <w:pPr>
              <w:pStyle w:val="TableContents"/>
              <w:bidi w:val="0"/>
              <w:spacing w:before="0" w:after="283"/>
              <w:jc w:val="right"/>
              <w:rPr/>
            </w:pPr>
            <w:r>
              <w:rPr/>
              <w:t>35.31</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2295" w:type="dxa"/>
            <w:tcBorders>
              <w:bottom w:val="single" w:sz="6" w:space="0" w:color="FBDDE3"/>
            </w:tcBorders>
            <w:tcMar>
              <w:bottom w:w="60" w:type="dxa"/>
            </w:tcMar>
            <w:vAlign w:val="center"/>
          </w:tcPr>
          <w:p>
            <w:pPr>
              <w:pStyle w:val="TableContents"/>
              <w:bidi w:val="0"/>
              <w:spacing w:before="0" w:after="283"/>
              <w:jc w:val="right"/>
              <w:rPr/>
            </w:pPr>
            <w:r>
              <w:rPr/>
              <w:t>6,263,562</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sz w:val="4"/>
                <w:szCs w:val="4"/>
              </w:rPr>
            </w:pPr>
            <w:r>
              <w:rPr>
                <w:sz w:val="4"/>
                <w:szCs w:val="4"/>
              </w:rPr>
            </w:r>
          </w:p>
        </w:tc>
        <w:tc>
          <w:tcPr>
            <w:tcW w:w="2570" w:type="dxa"/>
            <w:gridSpan w:val="4"/>
            <w:tcBorders/>
            <w:vAlign w:val="center"/>
          </w:tcPr>
          <w:p>
            <w:pPr>
              <w:pStyle w:val="TableContents"/>
              <w:bidi w:val="0"/>
              <w:spacing w:before="0" w:after="283"/>
              <w:jc w:val="left"/>
              <w:rPr>
                <w:sz w:val="4"/>
                <w:szCs w:val="4"/>
              </w:rPr>
            </w:pPr>
            <w:r>
              <w:rPr>
                <w:sz w:val="4"/>
                <w:szCs w:val="4"/>
              </w:rPr>
            </w:r>
          </w:p>
        </w:tc>
        <w:tc>
          <w:tcPr>
            <w:tcW w:w="2330" w:type="dxa"/>
            <w:gridSpan w:val="4"/>
            <w:tcBorders/>
            <w:vAlign w:val="center"/>
          </w:tcPr>
          <w:p>
            <w:pPr>
              <w:pStyle w:val="TableContents"/>
              <w:bidi w:val="0"/>
              <w:spacing w:before="0" w:after="283"/>
              <w:jc w:val="left"/>
              <w:rPr>
                <w:sz w:val="4"/>
                <w:szCs w:val="4"/>
              </w:rPr>
            </w:pPr>
            <w:r>
              <w:rPr>
                <w:sz w:val="4"/>
                <w:szCs w:val="4"/>
              </w:rPr>
            </w:r>
          </w:p>
        </w:tc>
        <w:tc>
          <w:tcPr>
            <w:tcW w:w="2570" w:type="dxa"/>
            <w:gridSpan w:val="4"/>
            <w:tcBorders/>
            <w:vAlign w:val="center"/>
          </w:tcPr>
          <w:p>
            <w:pPr>
              <w:pStyle w:val="TableContents"/>
              <w:bidi w:val="0"/>
              <w:spacing w:before="0" w:after="283"/>
              <w:jc w:val="left"/>
              <w:rPr>
                <w:sz w:val="4"/>
                <w:szCs w:val="4"/>
              </w:rPr>
            </w:pPr>
            <w:r>
              <w:rPr>
                <w:sz w:val="4"/>
                <w:szCs w:val="4"/>
              </w:rPr>
            </w:r>
          </w:p>
        </w:tc>
      </w:tr>
      <w:tr>
        <w:trPr/>
        <w:tc>
          <w:tcPr>
            <w:tcW w:w="2735"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Equity compensation plans not approved by security holders</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41" w:type="dxa"/>
            <w:tcBorders>
              <w:bottom w:val="single" w:sz="6" w:space="0" w:color="FBDDE3"/>
            </w:tcBorders>
            <w:tcMar>
              <w:bottom w:w="60" w:type="dxa"/>
            </w:tcMar>
            <w:vAlign w:val="center"/>
          </w:tcPr>
          <w:p>
            <w:pPr>
              <w:pStyle w:val="TableContents"/>
              <w:bidi w:val="0"/>
              <w:spacing w:before="0" w:after="283"/>
              <w:jc w:val="left"/>
              <w:rPr/>
            </w:pPr>
            <w:r>
              <w:rPr/>
              <w:t> </w:t>
            </w:r>
          </w:p>
        </w:tc>
        <w:tc>
          <w:tcPr>
            <w:tcW w:w="2309" w:type="dxa"/>
            <w:tcBorders>
              <w:bottom w:val="single" w:sz="6" w:space="0" w:color="FBDDE3"/>
            </w:tcBorders>
            <w:tcMar>
              <w:bottom w:w="60" w:type="dxa"/>
            </w:tcMar>
            <w:vAlign w:val="center"/>
          </w:tcPr>
          <w:p>
            <w:pPr>
              <w:pStyle w:val="TableContents"/>
              <w:bidi w:val="0"/>
              <w:spacing w:before="0" w:after="283"/>
              <w:jc w:val="right"/>
              <w:rPr/>
            </w:pPr>
            <w:r>
              <w:rPr/>
              <w:t>–</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442" w:type="dxa"/>
            <w:tcBorders>
              <w:bottom w:val="single" w:sz="6" w:space="0" w:color="FBDDE3"/>
            </w:tcBorders>
            <w:tcMar>
              <w:bottom w:w="60" w:type="dxa"/>
            </w:tcMar>
            <w:vAlign w:val="center"/>
          </w:tcPr>
          <w:p>
            <w:pPr>
              <w:pStyle w:val="TableContents"/>
              <w:bidi w:val="0"/>
              <w:spacing w:before="0" w:after="283"/>
              <w:jc w:val="left"/>
              <w:rPr/>
            </w:pPr>
            <w:r>
              <w:rPr/>
              <w:t> </w:t>
            </w:r>
          </w:p>
        </w:tc>
        <w:tc>
          <w:tcPr>
            <w:tcW w:w="1768" w:type="dxa"/>
            <w:tcBorders>
              <w:bottom w:val="single" w:sz="6" w:space="0" w:color="FBDDE3"/>
            </w:tcBorders>
            <w:tcMar>
              <w:bottom w:w="60" w:type="dxa"/>
            </w:tcMar>
            <w:vAlign w:val="center"/>
          </w:tcPr>
          <w:p>
            <w:pPr>
              <w:pStyle w:val="TableContents"/>
              <w:bidi w:val="0"/>
              <w:spacing w:before="0" w:after="283"/>
              <w:jc w:val="right"/>
              <w:rPr/>
            </w:pPr>
            <w:r>
              <w:rPr/>
              <w:t>–</w:t>
            </w:r>
          </w:p>
        </w:tc>
        <w:tc>
          <w:tcPr>
            <w:tcW w:w="60" w:type="dxa"/>
            <w:tcBorders>
              <w:bottom w:val="single" w:sz="6" w:space="0" w:color="FBDDE3"/>
            </w:tcBorders>
            <w:tcMar>
              <w:bottom w:w="60"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2295" w:type="dxa"/>
            <w:tcBorders>
              <w:bottom w:val="single" w:sz="6" w:space="0" w:color="FBDDE3"/>
            </w:tcBorders>
            <w:tcMar>
              <w:bottom w:w="60" w:type="dxa"/>
            </w:tcMar>
            <w:vAlign w:val="center"/>
          </w:tcPr>
          <w:p>
            <w:pPr>
              <w:pStyle w:val="TableContents"/>
              <w:bidi w:val="0"/>
              <w:spacing w:before="0" w:after="283"/>
              <w:jc w:val="right"/>
              <w:rPr/>
            </w:pPr>
            <w:r>
              <w:rPr/>
              <w:t>–</w:t>
            </w:r>
          </w:p>
        </w:tc>
        <w:tc>
          <w:tcPr>
            <w:tcW w:w="75"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2735" w:type="dxa"/>
            <w:tcBorders/>
            <w:vAlign w:val="center"/>
          </w:tcPr>
          <w:p>
            <w:pPr>
              <w:pStyle w:val="TableContents"/>
              <w:bidi w:val="0"/>
              <w:spacing w:before="0" w:after="283"/>
              <w:jc w:val="left"/>
              <w:rPr>
                <w:sz w:val="4"/>
                <w:szCs w:val="4"/>
              </w:rPr>
            </w:pPr>
            <w:r>
              <w:rPr>
                <w:sz w:val="4"/>
                <w:szCs w:val="4"/>
              </w:rPr>
            </w:r>
          </w:p>
        </w:tc>
        <w:tc>
          <w:tcPr>
            <w:tcW w:w="2570" w:type="dxa"/>
            <w:gridSpan w:val="4"/>
            <w:tcBorders/>
            <w:vAlign w:val="center"/>
          </w:tcPr>
          <w:p>
            <w:pPr>
              <w:pStyle w:val="TableContents"/>
              <w:bidi w:val="0"/>
              <w:spacing w:before="0" w:after="283"/>
              <w:jc w:val="left"/>
              <w:rPr>
                <w:sz w:val="4"/>
                <w:szCs w:val="4"/>
              </w:rPr>
            </w:pPr>
            <w:r>
              <w:rPr>
                <w:sz w:val="4"/>
                <w:szCs w:val="4"/>
              </w:rPr>
            </w:r>
          </w:p>
        </w:tc>
        <w:tc>
          <w:tcPr>
            <w:tcW w:w="2330" w:type="dxa"/>
            <w:gridSpan w:val="4"/>
            <w:tcBorders/>
            <w:vAlign w:val="center"/>
          </w:tcPr>
          <w:p>
            <w:pPr>
              <w:pStyle w:val="TableContents"/>
              <w:bidi w:val="0"/>
              <w:spacing w:before="0" w:after="283"/>
              <w:jc w:val="left"/>
              <w:rPr>
                <w:sz w:val="4"/>
                <w:szCs w:val="4"/>
              </w:rPr>
            </w:pPr>
            <w:r>
              <w:rPr>
                <w:sz w:val="4"/>
                <w:szCs w:val="4"/>
              </w:rPr>
            </w:r>
          </w:p>
        </w:tc>
        <w:tc>
          <w:tcPr>
            <w:tcW w:w="2570" w:type="dxa"/>
            <w:gridSpan w:val="4"/>
            <w:tcBorders/>
            <w:vAlign w:val="center"/>
          </w:tcPr>
          <w:p>
            <w:pPr>
              <w:pStyle w:val="TableContents"/>
              <w:bidi w:val="0"/>
              <w:spacing w:before="0" w:after="283"/>
              <w:jc w:val="left"/>
              <w:rPr>
                <w:sz w:val="4"/>
                <w:szCs w:val="4"/>
              </w:rPr>
            </w:pPr>
            <w:r>
              <w:rPr>
                <w:sz w:val="4"/>
                <w:szCs w:val="4"/>
              </w:rPr>
            </w:r>
          </w:p>
        </w:tc>
      </w:tr>
      <w:tr>
        <w:trPr/>
        <w:tc>
          <w:tcPr>
            <w:tcW w:w="2735" w:type="dxa"/>
            <w:tcBorders>
              <w:bottom w:val="single" w:sz="8" w:space="0" w:color="F7ACBA"/>
            </w:tcBorders>
            <w:tcMar>
              <w:bottom w:w="80" w:type="dxa"/>
            </w:tcMar>
            <w:vAlign w:val="center"/>
          </w:tcPr>
          <w:p>
            <w:pPr>
              <w:pStyle w:val="TableContents"/>
              <w:bidi w:val="0"/>
              <w:spacing w:before="0" w:after="0"/>
              <w:jc w:val="left"/>
              <w:rPr>
                <w:rFonts w:ascii="arial" w:hAnsi="arial"/>
                <w:sz w:val="18"/>
              </w:rPr>
            </w:pPr>
            <w:r>
              <w:rPr>
                <w:rFonts w:ascii="arial" w:hAnsi="arial"/>
                <w:sz w:val="18"/>
              </w:rPr>
              <w:t>Total</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41" w:type="dxa"/>
            <w:tcBorders>
              <w:bottom w:val="single" w:sz="8" w:space="0" w:color="F7ACBA"/>
            </w:tcBorders>
            <w:tcMar>
              <w:bottom w:w="80" w:type="dxa"/>
            </w:tcMar>
            <w:vAlign w:val="center"/>
          </w:tcPr>
          <w:p>
            <w:pPr>
              <w:pStyle w:val="TableContents"/>
              <w:bidi w:val="0"/>
              <w:spacing w:before="0" w:after="283"/>
              <w:jc w:val="left"/>
              <w:rPr/>
            </w:pPr>
            <w:r>
              <w:rPr/>
              <w:t> </w:t>
            </w:r>
          </w:p>
        </w:tc>
        <w:tc>
          <w:tcPr>
            <w:tcW w:w="2309" w:type="dxa"/>
            <w:tcBorders>
              <w:bottom w:val="single" w:sz="8" w:space="0" w:color="F7ACBA"/>
            </w:tcBorders>
            <w:tcMar>
              <w:bottom w:w="80" w:type="dxa"/>
            </w:tcMar>
            <w:vAlign w:val="center"/>
          </w:tcPr>
          <w:p>
            <w:pPr>
              <w:pStyle w:val="TableContents"/>
              <w:bidi w:val="0"/>
              <w:spacing w:before="0" w:after="283"/>
              <w:jc w:val="right"/>
              <w:rPr/>
            </w:pPr>
            <w:r>
              <w:rPr/>
              <w:t>5,295,061</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442" w:type="dxa"/>
            <w:tcBorders>
              <w:bottom w:val="single" w:sz="8" w:space="0" w:color="F7ACBA"/>
            </w:tcBorders>
            <w:tcMar>
              <w:bottom w:w="80" w:type="dxa"/>
            </w:tcMar>
            <w:vAlign w:val="center"/>
          </w:tcPr>
          <w:p>
            <w:pPr>
              <w:pStyle w:val="TableContents"/>
              <w:bidi w:val="0"/>
              <w:spacing w:before="0" w:after="283"/>
              <w:jc w:val="left"/>
              <w:rPr/>
            </w:pPr>
            <w:r>
              <w:rPr/>
              <w:t>$</w:t>
            </w:r>
          </w:p>
        </w:tc>
        <w:tc>
          <w:tcPr>
            <w:tcW w:w="1768" w:type="dxa"/>
            <w:tcBorders>
              <w:bottom w:val="single" w:sz="8" w:space="0" w:color="F7ACBA"/>
            </w:tcBorders>
            <w:tcMar>
              <w:bottom w:w="80" w:type="dxa"/>
            </w:tcMar>
            <w:vAlign w:val="center"/>
          </w:tcPr>
          <w:p>
            <w:pPr>
              <w:pStyle w:val="TableContents"/>
              <w:bidi w:val="0"/>
              <w:spacing w:before="0" w:after="283"/>
              <w:jc w:val="right"/>
              <w:rPr/>
            </w:pPr>
            <w:r>
              <w:rPr/>
              <w:t>35.31</w:t>
            </w:r>
          </w:p>
        </w:tc>
        <w:tc>
          <w:tcPr>
            <w:tcW w:w="60" w:type="dxa"/>
            <w:tcBorders>
              <w:bottom w:val="single" w:sz="8" w:space="0" w:color="F7ACBA"/>
            </w:tcBorders>
            <w:tcMar>
              <w:bottom w:w="80"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40" w:type="dxa"/>
            <w:tcBorders>
              <w:bottom w:val="single" w:sz="8" w:space="0" w:color="F7ACBA"/>
            </w:tcBorders>
            <w:tcMar>
              <w:bottom w:w="80" w:type="dxa"/>
            </w:tcMar>
            <w:vAlign w:val="center"/>
          </w:tcPr>
          <w:p>
            <w:pPr>
              <w:pStyle w:val="TableContents"/>
              <w:bidi w:val="0"/>
              <w:spacing w:before="0" w:after="283"/>
              <w:jc w:val="left"/>
              <w:rPr/>
            </w:pPr>
            <w:r>
              <w:rPr/>
              <w:t> </w:t>
            </w:r>
          </w:p>
        </w:tc>
        <w:tc>
          <w:tcPr>
            <w:tcW w:w="2295" w:type="dxa"/>
            <w:tcBorders>
              <w:bottom w:val="single" w:sz="8" w:space="0" w:color="F7ACBA"/>
            </w:tcBorders>
            <w:tcMar>
              <w:bottom w:w="80" w:type="dxa"/>
            </w:tcMar>
            <w:vAlign w:val="center"/>
          </w:tcPr>
          <w:p>
            <w:pPr>
              <w:pStyle w:val="TableContents"/>
              <w:bidi w:val="0"/>
              <w:spacing w:before="0" w:after="283"/>
              <w:jc w:val="right"/>
              <w:rPr/>
            </w:pPr>
            <w:r>
              <w:rPr/>
              <w:t>6,263,562</w:t>
            </w:r>
          </w:p>
        </w:tc>
        <w:tc>
          <w:tcPr>
            <w:tcW w:w="75" w:type="dxa"/>
            <w:tcBorders>
              <w:bottom w:val="single" w:sz="8" w:space="0" w:color="F7ACBA"/>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2485" w:type="dxa"/>
        <w:jc w:val="left"/>
        <w:tblInd w:w="0" w:type="dxa"/>
        <w:tblLayout w:type="fixed"/>
        <w:tblCellMar>
          <w:top w:w="0" w:type="dxa"/>
          <w:left w:w="0" w:type="dxa"/>
          <w:bottom w:w="0" w:type="dxa"/>
          <w:right w:w="0" w:type="dxa"/>
        </w:tblCellMar>
      </w:tblPr>
      <w:tblGrid>
        <w:gridCol w:w="305"/>
        <w:gridCol w:w="2180"/>
      </w:tblGrid>
      <w:tr>
        <w:trPr/>
        <w:tc>
          <w:tcPr>
            <w:tcW w:w="305" w:type="dxa"/>
            <w:tcBorders/>
            <w:vAlign w:val="center"/>
          </w:tcPr>
          <w:p>
            <w:pPr>
              <w:pStyle w:val="TableContents"/>
              <w:bidi w:val="0"/>
              <w:spacing w:before="0" w:after="283"/>
              <w:jc w:val="left"/>
              <w:rPr/>
            </w:pPr>
            <w:r>
              <w:rPr/>
              <w:t>(1)</w:t>
            </w:r>
          </w:p>
        </w:tc>
        <w:tc>
          <w:tcPr>
            <w:tcW w:w="2180" w:type="dxa"/>
            <w:tcBorders/>
            <w:vAlign w:val="center"/>
          </w:tcPr>
          <w:p>
            <w:pPr>
              <w:pStyle w:val="TableContents"/>
              <w:bidi w:val="0"/>
              <w:spacing w:before="0" w:after="0"/>
              <w:jc w:val="left"/>
              <w:rPr>
                <w:rFonts w:ascii="arial" w:hAnsi="arial"/>
                <w:sz w:val="14"/>
              </w:rPr>
            </w:pPr>
            <w:r>
              <w:rPr>
                <w:rFonts w:ascii="arial" w:hAnsi="arial"/>
                <w:sz w:val="14"/>
              </w:rPr>
              <w:t xml:space="preserve">Includes the 2021 VS Stock Plan. </w:t>
            </w:r>
          </w:p>
        </w:tc>
      </w:tr>
    </w:tbl>
    <w:p>
      <w:pPr>
        <w:pStyle w:val="TextBody"/>
        <w:bidi w:val="0"/>
        <w:spacing w:before="0" w:after="0"/>
        <w:jc w:val="left"/>
        <w:rPr/>
      </w:pPr>
      <w:r>
        <w:rPr/>
        <w:t> </w:t>
      </w:r>
    </w:p>
    <w:tbl>
      <w:tblPr>
        <w:tblW w:w="6970" w:type="dxa"/>
        <w:jc w:val="left"/>
        <w:tblInd w:w="0" w:type="dxa"/>
        <w:tblLayout w:type="fixed"/>
        <w:tblCellMar>
          <w:top w:w="0" w:type="dxa"/>
          <w:left w:w="0" w:type="dxa"/>
          <w:bottom w:w="0" w:type="dxa"/>
          <w:right w:w="0" w:type="dxa"/>
        </w:tblCellMar>
      </w:tblPr>
      <w:tblGrid>
        <w:gridCol w:w="305"/>
        <w:gridCol w:w="6665"/>
      </w:tblGrid>
      <w:tr>
        <w:trPr/>
        <w:tc>
          <w:tcPr>
            <w:tcW w:w="305" w:type="dxa"/>
            <w:tcBorders/>
            <w:vAlign w:val="center"/>
          </w:tcPr>
          <w:p>
            <w:pPr>
              <w:pStyle w:val="TableContents"/>
              <w:bidi w:val="0"/>
              <w:spacing w:before="0" w:after="283"/>
              <w:jc w:val="left"/>
              <w:rPr/>
            </w:pPr>
            <w:r>
              <w:rPr/>
              <w:t>(2)</w:t>
            </w:r>
          </w:p>
        </w:tc>
        <w:tc>
          <w:tcPr>
            <w:tcW w:w="6665" w:type="dxa"/>
            <w:tcBorders/>
            <w:vAlign w:val="center"/>
          </w:tcPr>
          <w:p>
            <w:pPr>
              <w:pStyle w:val="TableContents"/>
              <w:bidi w:val="0"/>
              <w:spacing w:before="0" w:after="0"/>
              <w:jc w:val="left"/>
              <w:rPr>
                <w:rFonts w:ascii="arial" w:hAnsi="arial"/>
                <w:sz w:val="14"/>
              </w:rPr>
            </w:pPr>
            <w:r>
              <w:rPr>
                <w:rFonts w:ascii="arial" w:hAnsi="arial"/>
                <w:sz w:val="14"/>
              </w:rPr>
              <w:t xml:space="preserve">Does not include outstanding rights to receive common stock upon the vesting of restricted share awards. </w:t>
            </w:r>
          </w:p>
        </w:tc>
      </w:tr>
    </w:tbl>
    <w:p>
      <w:pPr>
        <w:pStyle w:val="TextBody"/>
        <w:bidi w:val="0"/>
        <w:spacing w:before="360" w:after="0"/>
        <w:jc w:val="left"/>
        <w:rPr>
          <w:rFonts w:ascii="arial" w:hAnsi="arial"/>
          <w:sz w:val="30"/>
        </w:rPr>
      </w:pPr>
      <w:r>
        <w:rPr>
          <w:rFonts w:ascii="arial" w:hAnsi="arial"/>
          <w:sz w:val="30"/>
        </w:rPr>
        <w:t xml:space="preserve">Registration with the SEC </w:t>
      </w:r>
    </w:p>
    <w:p>
      <w:pPr>
        <w:pStyle w:val="TextBody"/>
        <w:bidi w:val="0"/>
        <w:spacing w:before="120" w:after="0"/>
        <w:jc w:val="left"/>
        <w:rPr>
          <w:rFonts w:ascii="arial" w:hAnsi="arial"/>
          <w:sz w:val="18"/>
        </w:rPr>
      </w:pPr>
      <w:r>
        <w:rPr>
          <w:rFonts w:ascii="arial" w:hAnsi="arial"/>
          <w:sz w:val="18"/>
        </w:rPr>
        <w:t xml:space="preserve">We intend to file a Registration Statement on Form S-8 relating to the issuance of additional shares of common stock under the VS 2021 Stock Plan, as it is proposed to be amended, with the SEC, pursuant to the Securities Act of 1933, as amended, as soon as practicable after stockholder approval of the Proposed Amendment.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7"/>
        <w:gridCol w:w="120"/>
        <w:gridCol w:w="9668"/>
      </w:tblGrid>
      <w:tr>
        <w:trPr/>
        <w:tc>
          <w:tcPr>
            <w:tcW w:w="4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68" w:type="dxa"/>
            <w:tcBorders/>
            <w:vAlign w:val="center"/>
          </w:tcPr>
          <w:p>
            <w:pPr>
              <w:pStyle w:val="TableContents"/>
              <w:bidi w:val="0"/>
              <w:spacing w:before="0" w:after="283"/>
              <w:jc w:val="left"/>
              <w:rPr>
                <w:sz w:val="4"/>
                <w:szCs w:val="4"/>
              </w:rPr>
            </w:pPr>
            <w:r>
              <w:rPr>
                <w:sz w:val="4"/>
                <w:szCs w:val="4"/>
              </w:rPr>
            </w:r>
          </w:p>
        </w:tc>
      </w:tr>
      <w:tr>
        <w:trPr/>
        <w:tc>
          <w:tcPr>
            <w:tcW w:w="417" w:type="dxa"/>
            <w:tcBorders>
              <w:bottom w:val="single" w:sz="6" w:space="0" w:color="000000"/>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xml:space="preserve">   </w:t>
            </w:r>
            <w:r>
              <w:rPr/>
              <w:drawing>
                <wp:inline distT="0" distB="0" distL="0" distR="0">
                  <wp:extent cx="100330" cy="55880"/>
                  <wp:effectExtent l="0" t="0" r="0" b="0"/>
                  <wp:docPr id="143"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32" descr=""/>
                          <pic:cNvPicPr>
                            <a:picLocks noChangeAspect="1" noChangeArrowheads="1"/>
                          </pic:cNvPicPr>
                        </pic:nvPicPr>
                        <pic:blipFill>
                          <a:blip r:embed="rId133"/>
                          <a:stretch>
                            <a:fillRect/>
                          </a:stretch>
                        </pic:blipFill>
                        <pic:spPr bwMode="auto">
                          <a:xfrm>
                            <a:off x="0" y="0"/>
                            <a:ext cx="100330" cy="55880"/>
                          </a:xfrm>
                          <a:prstGeom prst="rect">
                            <a:avLst/>
                          </a:prstGeom>
                        </pic:spPr>
                      </pic:pic>
                    </a:graphicData>
                  </a:graphic>
                </wp:inline>
              </w:drawing>
            </w:r>
            <w:r>
              <w:rPr/>
              <w:t xml:space="preserve">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668" w:type="dxa"/>
            <w:tcBorders>
              <w:bottom w:val="single" w:sz="6" w:space="0" w:color="000000"/>
            </w:tcBorders>
            <w:tcMar>
              <w:bottom w:w="28" w:type="dxa"/>
            </w:tcMar>
            <w:vAlign w:val="center"/>
          </w:tcPr>
          <w:p>
            <w:pPr>
              <w:pStyle w:val="TableContents"/>
              <w:bidi w:val="0"/>
              <w:spacing w:before="0" w:after="0"/>
              <w:jc w:val="left"/>
              <w:rPr>
                <w:rFonts w:ascii="Times New Roman" w:hAnsi="Times New Roman"/>
                <w:i/>
                <w:sz w:val="28"/>
              </w:rPr>
            </w:pPr>
            <w:r>
              <w:rPr>
                <w:rFonts w:ascii="Times New Roman" w:hAnsi="Times New Roman"/>
                <w:i/>
                <w:sz w:val="28"/>
              </w:rPr>
              <w:t>The Board unanimously recommends a vote “FOR” the approval of the Amendment to the VS 2021 Stock Plan to increase the number of shares available for issuance thereunder by 4,800,000 shares and to permit deferral of cash retainers for non-employee directors.</w:t>
            </w:r>
          </w:p>
          <w:p>
            <w:pPr>
              <w:pStyle w:val="TableContents"/>
              <w:bidi w:val="0"/>
              <w:spacing w:before="0" w:after="20"/>
              <w:jc w:val="left"/>
              <w:rPr/>
            </w:pPr>
            <w:r>
              <w:rPr/>
              <w:t> </w:t>
            </w:r>
          </w:p>
        </w:tc>
      </w:tr>
    </w:tbl>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44"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33" descr=""/>
                          <pic:cNvPicPr>
                            <a:picLocks noChangeAspect="1" noChangeArrowheads="1"/>
                          </pic:cNvPicPr>
                        </pic:nvPicPr>
                        <pic:blipFill>
                          <a:blip r:embed="rId134"/>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85 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BENEFICIAL OWNERSHIP OF SHARES </w:t>
      </w:r>
    </w:p>
    <w:p>
      <w:pPr>
        <w:pStyle w:val="TextBody"/>
        <w:bidi w:val="0"/>
        <w:spacing w:before="0" w:after="0"/>
        <w:jc w:val="left"/>
        <w:rPr/>
      </w:pPr>
      <w:r>
        <w:rPr/>
        <w:t> </w:t>
      </w:r>
    </w:p>
    <w:p>
      <w:pPr>
        <w:pStyle w:val="TextBody"/>
        <w:bidi w:val="0"/>
        <w:spacing w:before="0" w:after="0"/>
        <w:jc w:val="center"/>
        <w:rPr>
          <w:rFonts w:ascii="Times New Roman" w:hAnsi="Times New Roman"/>
          <w:b/>
          <w:sz w:val="60"/>
        </w:rPr>
      </w:pPr>
      <w:bookmarkStart w:id="30" w:name="toc540996_23"/>
      <w:bookmarkEnd w:id="30"/>
      <w:r>
        <w:rPr>
          <w:rFonts w:ascii="Times New Roman" w:hAnsi="Times New Roman"/>
          <w:b/>
          <w:sz w:val="60"/>
        </w:rPr>
        <w:t xml:space="preserve">BENEFICIAL OWNERSHIP OF SHARES </w:t>
      </w:r>
    </w:p>
    <w:p>
      <w:pPr>
        <w:pStyle w:val="TextBody"/>
        <w:bidi w:val="0"/>
        <w:spacing w:before="0" w:after="0"/>
        <w:jc w:val="left"/>
        <w:rPr/>
      </w:pPr>
      <w:r>
        <w:rPr/>
        <w:t> </w:t>
      </w:r>
    </w:p>
    <w:p>
      <w:pPr>
        <w:pStyle w:val="TextBody"/>
        <w:pBdr>
          <w:bottom w:val="single" w:sz="2" w:space="1" w:color="000000"/>
        </w:pBdr>
        <w:bidi w:val="0"/>
        <w:spacing w:lineRule="atLeast" w:line="142" w:before="0" w:after="40"/>
        <w:jc w:val="center"/>
        <w:rPr/>
      </w:pPr>
      <w:r>
        <w:rPr/>
        <w:t> </w:t>
      </w:r>
    </w:p>
    <w:p>
      <w:pPr>
        <w:pStyle w:val="TextBody"/>
        <w:bidi w:val="0"/>
        <w:spacing w:before="360" w:after="0"/>
        <w:jc w:val="left"/>
        <w:rPr>
          <w:rFonts w:ascii="arial" w:hAnsi="arial"/>
          <w:sz w:val="18"/>
        </w:rPr>
      </w:pPr>
      <w:r>
        <w:rPr>
          <w:rFonts w:ascii="arial" w:hAnsi="arial"/>
          <w:sz w:val="18"/>
        </w:rPr>
        <w:t xml:space="preserve">The following table sets forth certain information regarding the beneficial ownership of our common stock as of April 15, 2024, unless otherwise noted, by (i) each person known by us to beneficially own more than 5% of our outstanding common stock based on publicly available information, (ii) each of our directors, (iii) each of our named executive officers, and (iv) all of our directors and executive officers as a group. </w:t>
      </w:r>
    </w:p>
    <w:p>
      <w:pPr>
        <w:pStyle w:val="TextBody"/>
        <w:bidi w:val="0"/>
        <w:spacing w:before="120" w:after="0"/>
        <w:jc w:val="left"/>
        <w:rPr>
          <w:rFonts w:ascii="arial" w:hAnsi="arial"/>
          <w:sz w:val="18"/>
        </w:rPr>
      </w:pPr>
      <w:r>
        <w:rPr>
          <w:rFonts w:ascii="arial" w:hAnsi="arial"/>
          <w:sz w:val="18"/>
        </w:rPr>
        <w:t xml:space="preserve">Except as otherwise noted, each stockholder listed below has sole voting and investment power with respect to the shares beneficially owned by such person. SEC rules consider a person to be the “beneficial owner” of any securities over which the person has or shares voting power or investment power, as well as any securities that person has the right to acquire beneficial ownership of within 60 days, including through exercise of an option or similar right. </w:t>
      </w:r>
    </w:p>
    <w:p>
      <w:pPr>
        <w:pStyle w:val="TextBody"/>
        <w:bidi w:val="0"/>
        <w:spacing w:before="0" w:after="0"/>
        <w:jc w:val="left"/>
        <w:rPr/>
      </w:pPr>
      <w:r>
        <w:rPr/>
        <w:t> </w:t>
      </w:r>
    </w:p>
    <w:tbl>
      <w:tblPr>
        <w:tblW w:w="10170" w:type="dxa"/>
        <w:jc w:val="left"/>
        <w:tblInd w:w="0" w:type="dxa"/>
        <w:tblLayout w:type="fixed"/>
        <w:tblCellMar>
          <w:top w:w="0" w:type="dxa"/>
          <w:left w:w="0" w:type="dxa"/>
          <w:bottom w:w="0" w:type="dxa"/>
          <w:right w:w="0" w:type="dxa"/>
        </w:tblCellMar>
      </w:tblPr>
      <w:tblGrid>
        <w:gridCol w:w="4580"/>
        <w:gridCol w:w="120"/>
        <w:gridCol w:w="60"/>
        <w:gridCol w:w="120"/>
        <w:gridCol w:w="1100"/>
        <w:gridCol w:w="120"/>
        <w:gridCol w:w="120"/>
        <w:gridCol w:w="60"/>
        <w:gridCol w:w="121"/>
        <w:gridCol w:w="810"/>
        <w:gridCol w:w="121"/>
        <w:gridCol w:w="120"/>
        <w:gridCol w:w="60"/>
        <w:gridCol w:w="120"/>
        <w:gridCol w:w="1100"/>
        <w:gridCol w:w="120"/>
        <w:gridCol w:w="120"/>
        <w:gridCol w:w="112"/>
        <w:gridCol w:w="120"/>
        <w:gridCol w:w="824"/>
        <w:gridCol w:w="142"/>
      </w:tblGrid>
      <w:tr>
        <w:trPr/>
        <w:tc>
          <w:tcPr>
            <w:tcW w:w="4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r>
      <w:tr>
        <w:trPr/>
        <w:tc>
          <w:tcPr>
            <w:tcW w:w="4580" w:type="dxa"/>
            <w:tcBorders/>
            <w:shd w:fill="FDEEF1" w:val="clear"/>
            <w:vAlign w:val="center"/>
          </w:tcPr>
          <w:p>
            <w:pPr>
              <w:pStyle w:val="TableContents"/>
              <w:bidi w:val="0"/>
              <w:spacing w:before="0" w:after="283"/>
              <w:jc w:val="left"/>
              <w:rPr>
                <w:sz w:val="4"/>
                <w:szCs w:val="4"/>
              </w:rPr>
            </w:pPr>
            <w:r>
              <w:rPr>
                <w:sz w:val="4"/>
                <w:szCs w:val="4"/>
              </w:rPr>
            </w:r>
          </w:p>
        </w:tc>
        <w:tc>
          <w:tcPr>
            <w:tcW w:w="1520" w:type="dxa"/>
            <w:gridSpan w:val="5"/>
            <w:tcBorders/>
            <w:shd w:fill="FDEEF1" w:val="clear"/>
            <w:vAlign w:val="center"/>
          </w:tcPr>
          <w:p>
            <w:pPr>
              <w:pStyle w:val="TableContents"/>
              <w:bidi w:val="0"/>
              <w:spacing w:before="0" w:after="283"/>
              <w:jc w:val="left"/>
              <w:rPr>
                <w:sz w:val="4"/>
                <w:szCs w:val="4"/>
              </w:rPr>
            </w:pPr>
            <w:r>
              <w:rPr>
                <w:sz w:val="4"/>
                <w:szCs w:val="4"/>
              </w:rPr>
            </w:r>
          </w:p>
        </w:tc>
        <w:tc>
          <w:tcPr>
            <w:tcW w:w="1232" w:type="dxa"/>
            <w:gridSpan w:val="5"/>
            <w:tcBorders/>
            <w:shd w:fill="FDEEF1" w:val="clear"/>
            <w:vAlign w:val="center"/>
          </w:tcPr>
          <w:p>
            <w:pPr>
              <w:pStyle w:val="TableContents"/>
              <w:bidi w:val="0"/>
              <w:spacing w:before="0" w:after="283"/>
              <w:jc w:val="left"/>
              <w:rPr>
                <w:sz w:val="4"/>
                <w:szCs w:val="4"/>
              </w:rPr>
            </w:pPr>
            <w:r>
              <w:rPr>
                <w:sz w:val="4"/>
                <w:szCs w:val="4"/>
              </w:rPr>
            </w:r>
          </w:p>
        </w:tc>
        <w:tc>
          <w:tcPr>
            <w:tcW w:w="1520" w:type="dxa"/>
            <w:gridSpan w:val="5"/>
            <w:tcBorders/>
            <w:shd w:fill="FDEEF1" w:val="clear"/>
            <w:vAlign w:val="center"/>
          </w:tcPr>
          <w:p>
            <w:pPr>
              <w:pStyle w:val="TableContents"/>
              <w:bidi w:val="0"/>
              <w:spacing w:before="0" w:after="283"/>
              <w:jc w:val="left"/>
              <w:rPr>
                <w:sz w:val="4"/>
                <w:szCs w:val="4"/>
              </w:rPr>
            </w:pPr>
            <w:r>
              <w:rPr>
                <w:sz w:val="4"/>
                <w:szCs w:val="4"/>
              </w:rPr>
            </w:r>
          </w:p>
        </w:tc>
        <w:tc>
          <w:tcPr>
            <w:tcW w:w="1318" w:type="dxa"/>
            <w:gridSpan w:val="5"/>
            <w:tcBorders/>
            <w:shd w:fill="FDEEF1" w:val="clear"/>
            <w:vAlign w:val="center"/>
          </w:tcPr>
          <w:p>
            <w:pPr>
              <w:pStyle w:val="TableContents"/>
              <w:bidi w:val="0"/>
              <w:spacing w:before="0" w:after="283"/>
              <w:jc w:val="left"/>
              <w:rPr>
                <w:sz w:val="4"/>
                <w:szCs w:val="4"/>
              </w:rPr>
            </w:pPr>
            <w:r>
              <w:rPr>
                <w:sz w:val="4"/>
                <w:szCs w:val="4"/>
              </w:rPr>
            </w:r>
          </w:p>
        </w:tc>
      </w:tr>
      <w:tr>
        <w:trPr/>
        <w:tc>
          <w:tcPr>
            <w:tcW w:w="4580" w:type="dxa"/>
            <w:tcBorders/>
            <w:shd w:fill="FDEEF1" w:val="clear"/>
            <w:vAlign w:val="center"/>
          </w:tcPr>
          <w:p>
            <w:pPr>
              <w:pStyle w:val="TableContents"/>
              <w:bidi w:val="0"/>
              <w:spacing w:before="0" w:after="0"/>
              <w:jc w:val="left"/>
              <w:rPr>
                <w:rFonts w:ascii="arial" w:hAnsi="arial"/>
                <w:b/>
                <w:sz w:val="16"/>
              </w:rPr>
            </w:pPr>
            <w:r>
              <w:rPr>
                <w:rFonts w:ascii="arial" w:hAnsi="arial"/>
                <w:b/>
                <w:sz w:val="16"/>
              </w:rPr>
              <w:t>Name of Beneficial Owner</w:t>
            </w:r>
          </w:p>
        </w:tc>
        <w:tc>
          <w:tcPr>
            <w:tcW w:w="120" w:type="dxa"/>
            <w:tcBorders/>
            <w:shd w:fill="FDEEF1" w:val="clear"/>
            <w:vAlign w:val="center"/>
          </w:tcPr>
          <w:p>
            <w:pPr>
              <w:pStyle w:val="TableContents"/>
              <w:bidi w:val="0"/>
              <w:spacing w:before="0" w:after="283"/>
              <w:jc w:val="left"/>
              <w:rPr/>
            </w:pPr>
            <w:r>
              <w:rPr/>
              <w:t>  </w:t>
            </w:r>
          </w:p>
        </w:tc>
        <w:tc>
          <w:tcPr>
            <w:tcW w:w="1400" w:type="dxa"/>
            <w:gridSpan w:val="4"/>
            <w:tcBorders/>
            <w:shd w:fill="FDEEF1" w:val="clear"/>
            <w:vAlign w:val="center"/>
          </w:tcPr>
          <w:p>
            <w:pPr>
              <w:pStyle w:val="TableContents"/>
              <w:bidi w:val="0"/>
              <w:spacing w:before="0" w:after="283"/>
              <w:jc w:val="center"/>
              <w:rPr>
                <w:b/>
              </w:rPr>
            </w:pPr>
            <w:r>
              <w:rPr>
                <w:b/>
              </w:rPr>
              <w:t>Common</w:t>
              <w:br/>
              <w:t>Stock</w:t>
            </w:r>
          </w:p>
        </w:tc>
        <w:tc>
          <w:tcPr>
            <w:tcW w:w="120" w:type="dxa"/>
            <w:tcBorders/>
            <w:shd w:fill="FDEEF1" w:val="clear"/>
            <w:vAlign w:val="center"/>
          </w:tcPr>
          <w:p>
            <w:pPr>
              <w:pStyle w:val="TableContents"/>
              <w:bidi w:val="0"/>
              <w:spacing w:before="0" w:after="283"/>
              <w:jc w:val="left"/>
              <w:rPr/>
            </w:pPr>
            <w:r>
              <w:rPr/>
              <w:t>  </w:t>
            </w:r>
          </w:p>
        </w:tc>
        <w:tc>
          <w:tcPr>
            <w:tcW w:w="1112" w:type="dxa"/>
            <w:gridSpan w:val="4"/>
            <w:tcBorders/>
            <w:shd w:fill="FDEEF1" w:val="clear"/>
            <w:vAlign w:val="center"/>
          </w:tcPr>
          <w:p>
            <w:pPr>
              <w:pStyle w:val="TableContents"/>
              <w:bidi w:val="0"/>
              <w:spacing w:before="0" w:after="283"/>
              <w:jc w:val="center"/>
              <w:rPr>
                <w:b/>
              </w:rPr>
            </w:pPr>
            <w:r>
              <w:rPr>
                <w:b/>
              </w:rPr>
              <w:t>Right to</w:t>
              <w:br/>
              <w:t>Acquire(1)</w:t>
            </w:r>
          </w:p>
        </w:tc>
        <w:tc>
          <w:tcPr>
            <w:tcW w:w="120" w:type="dxa"/>
            <w:tcBorders/>
            <w:shd w:fill="FDEEF1" w:val="clear"/>
            <w:vAlign w:val="center"/>
          </w:tcPr>
          <w:p>
            <w:pPr>
              <w:pStyle w:val="TableContents"/>
              <w:bidi w:val="0"/>
              <w:spacing w:before="0" w:after="283"/>
              <w:jc w:val="left"/>
              <w:rPr/>
            </w:pPr>
            <w:r>
              <w:rPr/>
              <w:t>  </w:t>
            </w:r>
          </w:p>
        </w:tc>
        <w:tc>
          <w:tcPr>
            <w:tcW w:w="1400" w:type="dxa"/>
            <w:gridSpan w:val="4"/>
            <w:tcBorders/>
            <w:shd w:fill="FDEEF1" w:val="clear"/>
            <w:vAlign w:val="center"/>
          </w:tcPr>
          <w:p>
            <w:pPr>
              <w:pStyle w:val="TableContents"/>
              <w:bidi w:val="0"/>
              <w:spacing w:before="0" w:after="283"/>
              <w:jc w:val="center"/>
              <w:rPr>
                <w:b/>
              </w:rPr>
            </w:pPr>
            <w:r>
              <w:rPr>
                <w:b/>
              </w:rPr>
              <w:t>Total</w:t>
              <w:br/>
              <w:t>Beneficial</w:t>
              <w:br/>
              <w:t>Ownership</w:t>
            </w:r>
          </w:p>
        </w:tc>
        <w:tc>
          <w:tcPr>
            <w:tcW w:w="120" w:type="dxa"/>
            <w:tcBorders/>
            <w:shd w:fill="FDEEF1" w:val="clear"/>
            <w:vAlign w:val="center"/>
          </w:tcPr>
          <w:p>
            <w:pPr>
              <w:pStyle w:val="TableContents"/>
              <w:bidi w:val="0"/>
              <w:spacing w:before="0" w:after="283"/>
              <w:jc w:val="left"/>
              <w:rPr/>
            </w:pPr>
            <w:r>
              <w:rPr/>
              <w:t>  </w:t>
            </w:r>
          </w:p>
        </w:tc>
        <w:tc>
          <w:tcPr>
            <w:tcW w:w="1198" w:type="dxa"/>
            <w:gridSpan w:val="4"/>
            <w:tcBorders/>
            <w:shd w:fill="FDEEF1" w:val="clear"/>
            <w:vAlign w:val="center"/>
          </w:tcPr>
          <w:p>
            <w:pPr>
              <w:pStyle w:val="TableContents"/>
              <w:bidi w:val="0"/>
              <w:spacing w:before="0" w:after="283"/>
              <w:jc w:val="center"/>
              <w:rPr>
                <w:b/>
              </w:rPr>
            </w:pPr>
            <w:r>
              <w:rPr>
                <w:b/>
              </w:rPr>
              <w:t>Percent of </w:t>
              <w:br/>
              <w:t>Class(2) </w:t>
            </w:r>
          </w:p>
        </w:tc>
      </w:tr>
      <w:tr>
        <w:trPr/>
        <w:tc>
          <w:tcPr>
            <w:tcW w:w="4580" w:type="dxa"/>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1232" w:type="dxa"/>
            <w:gridSpan w:val="5"/>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1318" w:type="dxa"/>
            <w:gridSpan w:val="5"/>
            <w:tcBorders/>
            <w:vAlign w:val="center"/>
          </w:tcPr>
          <w:p>
            <w:pPr>
              <w:pStyle w:val="TableContents"/>
              <w:bidi w:val="0"/>
              <w:spacing w:before="0" w:after="283"/>
              <w:jc w:val="left"/>
              <w:rPr>
                <w:sz w:val="4"/>
                <w:szCs w:val="4"/>
              </w:rPr>
            </w:pPr>
            <w:r>
              <w:rPr>
                <w:sz w:val="4"/>
                <w:szCs w:val="4"/>
              </w:rPr>
            </w:r>
          </w:p>
        </w:tc>
      </w:tr>
      <w:tr>
        <w:trPr/>
        <w:tc>
          <w:tcPr>
            <w:tcW w:w="4580" w:type="dxa"/>
            <w:tcBorders>
              <w:bottom w:val="single" w:sz="6" w:space="0" w:color="FBDDE3"/>
            </w:tcBorders>
            <w:tcMar>
              <w:bottom w:w="60" w:type="dxa"/>
            </w:tcMar>
            <w:vAlign w:val="center"/>
          </w:tcPr>
          <w:p>
            <w:pPr>
              <w:pStyle w:val="TableContents"/>
              <w:bidi w:val="0"/>
              <w:spacing w:before="0" w:after="0"/>
              <w:jc w:val="left"/>
              <w:rPr>
                <w:rFonts w:ascii="arial" w:hAnsi="arial"/>
                <w:i/>
                <w:sz w:val="18"/>
              </w:rPr>
            </w:pPr>
            <w:r>
              <w:rPr>
                <w:rFonts w:ascii="arial" w:hAnsi="arial"/>
                <w:i/>
                <w:sz w:val="18"/>
              </w:rPr>
              <w:t>5% or More Beneficial Owners</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0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1"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1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1"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0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12"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24"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42"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4580" w:type="dxa"/>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1232" w:type="dxa"/>
            <w:gridSpan w:val="5"/>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1318" w:type="dxa"/>
            <w:gridSpan w:val="5"/>
            <w:tcBorders/>
            <w:vAlign w:val="center"/>
          </w:tcPr>
          <w:p>
            <w:pPr>
              <w:pStyle w:val="TableContents"/>
              <w:bidi w:val="0"/>
              <w:spacing w:before="0" w:after="283"/>
              <w:jc w:val="left"/>
              <w:rPr>
                <w:sz w:val="4"/>
                <w:szCs w:val="4"/>
              </w:rPr>
            </w:pPr>
            <w:r>
              <w:rPr>
                <w:sz w:val="4"/>
                <w:szCs w:val="4"/>
              </w:rPr>
            </w:r>
          </w:p>
        </w:tc>
      </w:tr>
      <w:tr>
        <w:trPr/>
        <w:tc>
          <w:tcPr>
            <w:tcW w:w="458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BlackRock, Inc.(3)</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10,553,549</w:t>
            </w:r>
          </w:p>
        </w:tc>
        <w:tc>
          <w:tcPr>
            <w:tcW w:w="120"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1" w:type="dxa"/>
            <w:tcBorders>
              <w:bottom w:val="single" w:sz="6" w:space="0" w:color="FBDDE3"/>
            </w:tcBorders>
            <w:tcMar>
              <w:bottom w:w="60" w:type="dxa"/>
            </w:tcMar>
            <w:vAlign w:val="center"/>
          </w:tcPr>
          <w:p>
            <w:pPr>
              <w:pStyle w:val="TableContents"/>
              <w:bidi w:val="0"/>
              <w:spacing w:before="0" w:after="283"/>
              <w:jc w:val="left"/>
              <w:rPr/>
            </w:pPr>
            <w:r>
              <w:rPr/>
              <w:t> </w:t>
            </w:r>
          </w:p>
        </w:tc>
        <w:tc>
          <w:tcPr>
            <w:tcW w:w="810" w:type="dxa"/>
            <w:tcBorders>
              <w:bottom w:val="single" w:sz="6" w:space="0" w:color="FBDDE3"/>
            </w:tcBorders>
            <w:tcMar>
              <w:bottom w:w="60" w:type="dxa"/>
            </w:tcMar>
            <w:vAlign w:val="center"/>
          </w:tcPr>
          <w:p>
            <w:pPr>
              <w:pStyle w:val="TableContents"/>
              <w:bidi w:val="0"/>
              <w:spacing w:before="0" w:after="283"/>
              <w:jc w:val="right"/>
              <w:rPr/>
            </w:pPr>
            <w:r>
              <w:rPr/>
              <w:t>–</w:t>
            </w:r>
          </w:p>
        </w:tc>
        <w:tc>
          <w:tcPr>
            <w:tcW w:w="121"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10,553,549</w:t>
            </w:r>
          </w:p>
        </w:tc>
        <w:tc>
          <w:tcPr>
            <w:tcW w:w="120"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12"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824" w:type="dxa"/>
            <w:tcBorders>
              <w:bottom w:val="single" w:sz="6" w:space="0" w:color="FBDDE3"/>
            </w:tcBorders>
            <w:tcMar>
              <w:bottom w:w="60" w:type="dxa"/>
            </w:tcMar>
            <w:vAlign w:val="center"/>
          </w:tcPr>
          <w:p>
            <w:pPr>
              <w:pStyle w:val="TableContents"/>
              <w:bidi w:val="0"/>
              <w:spacing w:before="0" w:after="283"/>
              <w:jc w:val="right"/>
              <w:rPr/>
            </w:pPr>
            <w:r>
              <w:rPr/>
              <w:t>13.5% </w:t>
            </w:r>
          </w:p>
        </w:tc>
        <w:tc>
          <w:tcPr>
            <w:tcW w:w="142"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1232" w:type="dxa"/>
            <w:gridSpan w:val="5"/>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1318" w:type="dxa"/>
            <w:gridSpan w:val="5"/>
            <w:tcBorders/>
            <w:vAlign w:val="center"/>
          </w:tcPr>
          <w:p>
            <w:pPr>
              <w:pStyle w:val="TableContents"/>
              <w:bidi w:val="0"/>
              <w:spacing w:before="0" w:after="283"/>
              <w:jc w:val="left"/>
              <w:rPr>
                <w:sz w:val="4"/>
                <w:szCs w:val="4"/>
              </w:rPr>
            </w:pPr>
            <w:r>
              <w:rPr>
                <w:sz w:val="4"/>
                <w:szCs w:val="4"/>
              </w:rPr>
            </w:r>
          </w:p>
        </w:tc>
      </w:tr>
      <w:tr>
        <w:trPr/>
        <w:tc>
          <w:tcPr>
            <w:tcW w:w="458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The Vanguard Group(4)</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8,567,148</w:t>
            </w:r>
          </w:p>
        </w:tc>
        <w:tc>
          <w:tcPr>
            <w:tcW w:w="120"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1" w:type="dxa"/>
            <w:tcBorders>
              <w:bottom w:val="single" w:sz="6" w:space="0" w:color="FBDDE3"/>
            </w:tcBorders>
            <w:tcMar>
              <w:bottom w:w="60" w:type="dxa"/>
            </w:tcMar>
            <w:vAlign w:val="center"/>
          </w:tcPr>
          <w:p>
            <w:pPr>
              <w:pStyle w:val="TableContents"/>
              <w:bidi w:val="0"/>
              <w:spacing w:before="0" w:after="283"/>
              <w:jc w:val="left"/>
              <w:rPr/>
            </w:pPr>
            <w:r>
              <w:rPr/>
              <w:t> </w:t>
            </w:r>
          </w:p>
        </w:tc>
        <w:tc>
          <w:tcPr>
            <w:tcW w:w="810" w:type="dxa"/>
            <w:tcBorders>
              <w:bottom w:val="single" w:sz="6" w:space="0" w:color="FBDDE3"/>
            </w:tcBorders>
            <w:tcMar>
              <w:bottom w:w="60" w:type="dxa"/>
            </w:tcMar>
            <w:vAlign w:val="center"/>
          </w:tcPr>
          <w:p>
            <w:pPr>
              <w:pStyle w:val="TableContents"/>
              <w:bidi w:val="0"/>
              <w:spacing w:before="0" w:after="283"/>
              <w:jc w:val="right"/>
              <w:rPr/>
            </w:pPr>
            <w:r>
              <w:rPr/>
              <w:t>–</w:t>
            </w:r>
          </w:p>
        </w:tc>
        <w:tc>
          <w:tcPr>
            <w:tcW w:w="121"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8,567,148</w:t>
            </w:r>
          </w:p>
        </w:tc>
        <w:tc>
          <w:tcPr>
            <w:tcW w:w="120"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12"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824" w:type="dxa"/>
            <w:tcBorders>
              <w:bottom w:val="single" w:sz="6" w:space="0" w:color="FBDDE3"/>
            </w:tcBorders>
            <w:tcMar>
              <w:bottom w:w="60" w:type="dxa"/>
            </w:tcMar>
            <w:vAlign w:val="center"/>
          </w:tcPr>
          <w:p>
            <w:pPr>
              <w:pStyle w:val="TableContents"/>
              <w:bidi w:val="0"/>
              <w:spacing w:before="0" w:after="283"/>
              <w:jc w:val="right"/>
              <w:rPr/>
            </w:pPr>
            <w:r>
              <w:rPr/>
              <w:t>10.9% </w:t>
            </w:r>
          </w:p>
        </w:tc>
        <w:tc>
          <w:tcPr>
            <w:tcW w:w="142"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1232" w:type="dxa"/>
            <w:gridSpan w:val="5"/>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1318" w:type="dxa"/>
            <w:gridSpan w:val="5"/>
            <w:tcBorders/>
            <w:vAlign w:val="center"/>
          </w:tcPr>
          <w:p>
            <w:pPr>
              <w:pStyle w:val="TableContents"/>
              <w:bidi w:val="0"/>
              <w:spacing w:before="0" w:after="283"/>
              <w:jc w:val="left"/>
              <w:rPr>
                <w:sz w:val="4"/>
                <w:szCs w:val="4"/>
              </w:rPr>
            </w:pPr>
            <w:r>
              <w:rPr>
                <w:sz w:val="4"/>
                <w:szCs w:val="4"/>
              </w:rPr>
            </w:r>
          </w:p>
        </w:tc>
      </w:tr>
      <w:tr>
        <w:trPr/>
        <w:tc>
          <w:tcPr>
            <w:tcW w:w="458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BBRC International Pte Limited(5)</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7,603,019</w:t>
            </w:r>
          </w:p>
        </w:tc>
        <w:tc>
          <w:tcPr>
            <w:tcW w:w="120"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1" w:type="dxa"/>
            <w:tcBorders>
              <w:bottom w:val="single" w:sz="6" w:space="0" w:color="FBDDE3"/>
            </w:tcBorders>
            <w:tcMar>
              <w:bottom w:w="60" w:type="dxa"/>
            </w:tcMar>
            <w:vAlign w:val="center"/>
          </w:tcPr>
          <w:p>
            <w:pPr>
              <w:pStyle w:val="TableContents"/>
              <w:bidi w:val="0"/>
              <w:spacing w:before="0" w:after="283"/>
              <w:jc w:val="left"/>
              <w:rPr/>
            </w:pPr>
            <w:r>
              <w:rPr/>
              <w:t> </w:t>
            </w:r>
          </w:p>
        </w:tc>
        <w:tc>
          <w:tcPr>
            <w:tcW w:w="810" w:type="dxa"/>
            <w:tcBorders>
              <w:bottom w:val="single" w:sz="6" w:space="0" w:color="FBDDE3"/>
            </w:tcBorders>
            <w:tcMar>
              <w:bottom w:w="60" w:type="dxa"/>
            </w:tcMar>
            <w:vAlign w:val="center"/>
          </w:tcPr>
          <w:p>
            <w:pPr>
              <w:pStyle w:val="TableContents"/>
              <w:bidi w:val="0"/>
              <w:spacing w:before="0" w:after="283"/>
              <w:jc w:val="right"/>
              <w:rPr/>
            </w:pPr>
            <w:r>
              <w:rPr/>
              <w:t>–</w:t>
            </w:r>
          </w:p>
        </w:tc>
        <w:tc>
          <w:tcPr>
            <w:tcW w:w="121"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7,603,019</w:t>
            </w:r>
          </w:p>
        </w:tc>
        <w:tc>
          <w:tcPr>
            <w:tcW w:w="120"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12"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824" w:type="dxa"/>
            <w:tcBorders>
              <w:bottom w:val="single" w:sz="6" w:space="0" w:color="FBDDE3"/>
            </w:tcBorders>
            <w:tcMar>
              <w:bottom w:w="60" w:type="dxa"/>
            </w:tcMar>
            <w:vAlign w:val="center"/>
          </w:tcPr>
          <w:p>
            <w:pPr>
              <w:pStyle w:val="TableContents"/>
              <w:bidi w:val="0"/>
              <w:spacing w:before="0" w:after="283"/>
              <w:jc w:val="right"/>
              <w:rPr/>
            </w:pPr>
            <w:r>
              <w:rPr/>
              <w:t>9.7% </w:t>
            </w:r>
          </w:p>
        </w:tc>
        <w:tc>
          <w:tcPr>
            <w:tcW w:w="142"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1232" w:type="dxa"/>
            <w:gridSpan w:val="5"/>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1318" w:type="dxa"/>
            <w:gridSpan w:val="5"/>
            <w:tcBorders/>
            <w:vAlign w:val="center"/>
          </w:tcPr>
          <w:p>
            <w:pPr>
              <w:pStyle w:val="TableContents"/>
              <w:bidi w:val="0"/>
              <w:spacing w:before="0" w:after="283"/>
              <w:jc w:val="left"/>
              <w:rPr>
                <w:sz w:val="4"/>
                <w:szCs w:val="4"/>
              </w:rPr>
            </w:pPr>
            <w:r>
              <w:rPr>
                <w:sz w:val="4"/>
                <w:szCs w:val="4"/>
              </w:rPr>
            </w:r>
          </w:p>
        </w:tc>
      </w:tr>
      <w:tr>
        <w:trPr/>
        <w:tc>
          <w:tcPr>
            <w:tcW w:w="458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The WindAcre Partnership, LLC(6)</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5,588,190</w:t>
            </w:r>
          </w:p>
        </w:tc>
        <w:tc>
          <w:tcPr>
            <w:tcW w:w="120"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1" w:type="dxa"/>
            <w:tcBorders>
              <w:bottom w:val="single" w:sz="6" w:space="0" w:color="FBDDE3"/>
            </w:tcBorders>
            <w:tcMar>
              <w:bottom w:w="60" w:type="dxa"/>
            </w:tcMar>
            <w:vAlign w:val="center"/>
          </w:tcPr>
          <w:p>
            <w:pPr>
              <w:pStyle w:val="TableContents"/>
              <w:bidi w:val="0"/>
              <w:spacing w:before="0" w:after="283"/>
              <w:jc w:val="left"/>
              <w:rPr/>
            </w:pPr>
            <w:r>
              <w:rPr/>
              <w:t> </w:t>
            </w:r>
          </w:p>
        </w:tc>
        <w:tc>
          <w:tcPr>
            <w:tcW w:w="810" w:type="dxa"/>
            <w:tcBorders>
              <w:bottom w:val="single" w:sz="6" w:space="0" w:color="FBDDE3"/>
            </w:tcBorders>
            <w:tcMar>
              <w:bottom w:w="60" w:type="dxa"/>
            </w:tcMar>
            <w:vAlign w:val="center"/>
          </w:tcPr>
          <w:p>
            <w:pPr>
              <w:pStyle w:val="TableContents"/>
              <w:bidi w:val="0"/>
              <w:spacing w:before="0" w:after="283"/>
              <w:jc w:val="right"/>
              <w:rPr/>
            </w:pPr>
            <w:r>
              <w:rPr/>
              <w:t>–</w:t>
            </w:r>
          </w:p>
        </w:tc>
        <w:tc>
          <w:tcPr>
            <w:tcW w:w="121"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5,588,190</w:t>
            </w:r>
          </w:p>
        </w:tc>
        <w:tc>
          <w:tcPr>
            <w:tcW w:w="120"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12"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824" w:type="dxa"/>
            <w:tcBorders>
              <w:bottom w:val="single" w:sz="6" w:space="0" w:color="FBDDE3"/>
            </w:tcBorders>
            <w:tcMar>
              <w:bottom w:w="60" w:type="dxa"/>
            </w:tcMar>
            <w:vAlign w:val="center"/>
          </w:tcPr>
          <w:p>
            <w:pPr>
              <w:pStyle w:val="TableContents"/>
              <w:bidi w:val="0"/>
              <w:spacing w:before="0" w:after="283"/>
              <w:jc w:val="right"/>
              <w:rPr/>
            </w:pPr>
            <w:r>
              <w:rPr/>
              <w:t>7.1% </w:t>
            </w:r>
          </w:p>
        </w:tc>
        <w:tc>
          <w:tcPr>
            <w:tcW w:w="142"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1232" w:type="dxa"/>
            <w:gridSpan w:val="5"/>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1318" w:type="dxa"/>
            <w:gridSpan w:val="5"/>
            <w:tcBorders/>
            <w:vAlign w:val="center"/>
          </w:tcPr>
          <w:p>
            <w:pPr>
              <w:pStyle w:val="TableContents"/>
              <w:bidi w:val="0"/>
              <w:spacing w:before="0" w:after="283"/>
              <w:jc w:val="left"/>
              <w:rPr>
                <w:sz w:val="4"/>
                <w:szCs w:val="4"/>
              </w:rPr>
            </w:pPr>
            <w:r>
              <w:rPr>
                <w:sz w:val="4"/>
                <w:szCs w:val="4"/>
              </w:rPr>
            </w:r>
          </w:p>
        </w:tc>
      </w:tr>
      <w:tr>
        <w:trPr/>
        <w:tc>
          <w:tcPr>
            <w:tcW w:w="458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FMR LLC(7)</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5,058,784</w:t>
            </w:r>
          </w:p>
        </w:tc>
        <w:tc>
          <w:tcPr>
            <w:tcW w:w="120"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1" w:type="dxa"/>
            <w:tcBorders>
              <w:bottom w:val="single" w:sz="6" w:space="0" w:color="FBDDE3"/>
            </w:tcBorders>
            <w:tcMar>
              <w:bottom w:w="60" w:type="dxa"/>
            </w:tcMar>
            <w:vAlign w:val="center"/>
          </w:tcPr>
          <w:p>
            <w:pPr>
              <w:pStyle w:val="TableContents"/>
              <w:bidi w:val="0"/>
              <w:spacing w:before="0" w:after="283"/>
              <w:jc w:val="left"/>
              <w:rPr/>
            </w:pPr>
            <w:r>
              <w:rPr/>
              <w:t> </w:t>
            </w:r>
          </w:p>
        </w:tc>
        <w:tc>
          <w:tcPr>
            <w:tcW w:w="810" w:type="dxa"/>
            <w:tcBorders>
              <w:bottom w:val="single" w:sz="6" w:space="0" w:color="FBDDE3"/>
            </w:tcBorders>
            <w:tcMar>
              <w:bottom w:w="60" w:type="dxa"/>
            </w:tcMar>
            <w:vAlign w:val="center"/>
          </w:tcPr>
          <w:p>
            <w:pPr>
              <w:pStyle w:val="TableContents"/>
              <w:bidi w:val="0"/>
              <w:spacing w:before="0" w:after="283"/>
              <w:jc w:val="right"/>
              <w:rPr/>
            </w:pPr>
            <w:r>
              <w:rPr/>
              <w:t>–</w:t>
            </w:r>
          </w:p>
        </w:tc>
        <w:tc>
          <w:tcPr>
            <w:tcW w:w="121"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5,058,784</w:t>
            </w:r>
          </w:p>
        </w:tc>
        <w:tc>
          <w:tcPr>
            <w:tcW w:w="120"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12"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824" w:type="dxa"/>
            <w:tcBorders>
              <w:bottom w:val="single" w:sz="6" w:space="0" w:color="FBDDE3"/>
            </w:tcBorders>
            <w:tcMar>
              <w:bottom w:w="60" w:type="dxa"/>
            </w:tcMar>
            <w:vAlign w:val="center"/>
          </w:tcPr>
          <w:p>
            <w:pPr>
              <w:pStyle w:val="TableContents"/>
              <w:bidi w:val="0"/>
              <w:spacing w:before="0" w:after="283"/>
              <w:jc w:val="right"/>
              <w:rPr/>
            </w:pPr>
            <w:r>
              <w:rPr/>
              <w:t>6.5% </w:t>
            </w:r>
          </w:p>
        </w:tc>
        <w:tc>
          <w:tcPr>
            <w:tcW w:w="142"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1232" w:type="dxa"/>
            <w:gridSpan w:val="5"/>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1318" w:type="dxa"/>
            <w:gridSpan w:val="5"/>
            <w:tcBorders/>
            <w:vAlign w:val="center"/>
          </w:tcPr>
          <w:p>
            <w:pPr>
              <w:pStyle w:val="TableContents"/>
              <w:bidi w:val="0"/>
              <w:spacing w:before="0" w:after="283"/>
              <w:jc w:val="left"/>
              <w:rPr>
                <w:sz w:val="4"/>
                <w:szCs w:val="4"/>
              </w:rPr>
            </w:pPr>
            <w:r>
              <w:rPr>
                <w:sz w:val="4"/>
                <w:szCs w:val="4"/>
              </w:rPr>
            </w:r>
          </w:p>
        </w:tc>
      </w:tr>
      <w:tr>
        <w:trPr/>
        <w:tc>
          <w:tcPr>
            <w:tcW w:w="458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Morgan Stanley(8)</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5,019,574</w:t>
            </w:r>
          </w:p>
        </w:tc>
        <w:tc>
          <w:tcPr>
            <w:tcW w:w="120"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1" w:type="dxa"/>
            <w:tcBorders>
              <w:bottom w:val="single" w:sz="6" w:space="0" w:color="FBDDE3"/>
            </w:tcBorders>
            <w:tcMar>
              <w:bottom w:w="60" w:type="dxa"/>
            </w:tcMar>
            <w:vAlign w:val="center"/>
          </w:tcPr>
          <w:p>
            <w:pPr>
              <w:pStyle w:val="TableContents"/>
              <w:bidi w:val="0"/>
              <w:spacing w:before="0" w:after="283"/>
              <w:jc w:val="left"/>
              <w:rPr/>
            </w:pPr>
            <w:r>
              <w:rPr/>
              <w:t> </w:t>
            </w:r>
          </w:p>
        </w:tc>
        <w:tc>
          <w:tcPr>
            <w:tcW w:w="810" w:type="dxa"/>
            <w:tcBorders>
              <w:bottom w:val="single" w:sz="6" w:space="0" w:color="FBDDE3"/>
            </w:tcBorders>
            <w:tcMar>
              <w:bottom w:w="60" w:type="dxa"/>
            </w:tcMar>
            <w:vAlign w:val="center"/>
          </w:tcPr>
          <w:p>
            <w:pPr>
              <w:pStyle w:val="TableContents"/>
              <w:bidi w:val="0"/>
              <w:spacing w:before="0" w:after="283"/>
              <w:jc w:val="right"/>
              <w:rPr/>
            </w:pPr>
            <w:r>
              <w:rPr/>
              <w:t>–</w:t>
            </w:r>
          </w:p>
        </w:tc>
        <w:tc>
          <w:tcPr>
            <w:tcW w:w="121"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5,019,574</w:t>
            </w:r>
          </w:p>
        </w:tc>
        <w:tc>
          <w:tcPr>
            <w:tcW w:w="120"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12"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824" w:type="dxa"/>
            <w:tcBorders>
              <w:bottom w:val="single" w:sz="6" w:space="0" w:color="FBDDE3"/>
            </w:tcBorders>
            <w:tcMar>
              <w:bottom w:w="60" w:type="dxa"/>
            </w:tcMar>
            <w:vAlign w:val="center"/>
          </w:tcPr>
          <w:p>
            <w:pPr>
              <w:pStyle w:val="TableContents"/>
              <w:bidi w:val="0"/>
              <w:spacing w:before="0" w:after="283"/>
              <w:jc w:val="right"/>
              <w:rPr/>
            </w:pPr>
            <w:r>
              <w:rPr/>
              <w:t>6.4% </w:t>
            </w:r>
          </w:p>
        </w:tc>
        <w:tc>
          <w:tcPr>
            <w:tcW w:w="142"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4580" w:type="dxa"/>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1232" w:type="dxa"/>
            <w:gridSpan w:val="5"/>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1318" w:type="dxa"/>
            <w:gridSpan w:val="5"/>
            <w:tcBorders/>
            <w:vAlign w:val="center"/>
          </w:tcPr>
          <w:p>
            <w:pPr>
              <w:pStyle w:val="TableContents"/>
              <w:bidi w:val="0"/>
              <w:spacing w:before="0" w:after="283"/>
              <w:jc w:val="left"/>
              <w:rPr>
                <w:sz w:val="4"/>
                <w:szCs w:val="4"/>
              </w:rPr>
            </w:pPr>
            <w:r>
              <w:rPr>
                <w:sz w:val="4"/>
                <w:szCs w:val="4"/>
              </w:rPr>
            </w:r>
          </w:p>
        </w:tc>
      </w:tr>
      <w:tr>
        <w:trPr/>
        <w:tc>
          <w:tcPr>
            <w:tcW w:w="4580" w:type="dxa"/>
            <w:tcBorders>
              <w:bottom w:val="single" w:sz="6" w:space="0" w:color="FBDDE3"/>
            </w:tcBorders>
            <w:tcMar>
              <w:bottom w:w="60" w:type="dxa"/>
            </w:tcMar>
            <w:vAlign w:val="center"/>
          </w:tcPr>
          <w:p>
            <w:pPr>
              <w:pStyle w:val="TableContents"/>
              <w:bidi w:val="0"/>
              <w:spacing w:before="0" w:after="0"/>
              <w:jc w:val="left"/>
              <w:rPr>
                <w:rFonts w:ascii="arial" w:hAnsi="arial"/>
                <w:i/>
                <w:sz w:val="18"/>
              </w:rPr>
            </w:pPr>
            <w:r>
              <w:rPr>
                <w:rFonts w:ascii="arial" w:hAnsi="arial"/>
                <w:i/>
                <w:sz w:val="18"/>
              </w:rPr>
              <w:t>Directors and Named Executive Officers</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0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1"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1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1"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10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12"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24"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42"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4580" w:type="dxa"/>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1232" w:type="dxa"/>
            <w:gridSpan w:val="5"/>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1318" w:type="dxa"/>
            <w:gridSpan w:val="5"/>
            <w:tcBorders/>
            <w:vAlign w:val="center"/>
          </w:tcPr>
          <w:p>
            <w:pPr>
              <w:pStyle w:val="TableContents"/>
              <w:bidi w:val="0"/>
              <w:spacing w:before="0" w:after="283"/>
              <w:jc w:val="left"/>
              <w:rPr>
                <w:sz w:val="4"/>
                <w:szCs w:val="4"/>
              </w:rPr>
            </w:pPr>
            <w:r>
              <w:rPr>
                <w:sz w:val="4"/>
                <w:szCs w:val="4"/>
              </w:rPr>
            </w:r>
          </w:p>
        </w:tc>
      </w:tr>
      <w:tr>
        <w:trPr/>
        <w:tc>
          <w:tcPr>
            <w:tcW w:w="458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Irene Chang Britt</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11,875</w:t>
            </w:r>
          </w:p>
        </w:tc>
        <w:tc>
          <w:tcPr>
            <w:tcW w:w="120"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1" w:type="dxa"/>
            <w:tcBorders>
              <w:bottom w:val="single" w:sz="6" w:space="0" w:color="FBDDE3"/>
            </w:tcBorders>
            <w:tcMar>
              <w:bottom w:w="60" w:type="dxa"/>
            </w:tcMar>
            <w:vAlign w:val="center"/>
          </w:tcPr>
          <w:p>
            <w:pPr>
              <w:pStyle w:val="TableContents"/>
              <w:bidi w:val="0"/>
              <w:spacing w:before="0" w:after="283"/>
              <w:jc w:val="left"/>
              <w:rPr/>
            </w:pPr>
            <w:r>
              <w:rPr/>
              <w:t> </w:t>
            </w:r>
          </w:p>
        </w:tc>
        <w:tc>
          <w:tcPr>
            <w:tcW w:w="810" w:type="dxa"/>
            <w:tcBorders>
              <w:bottom w:val="single" w:sz="6" w:space="0" w:color="FBDDE3"/>
            </w:tcBorders>
            <w:tcMar>
              <w:bottom w:w="60" w:type="dxa"/>
            </w:tcMar>
            <w:vAlign w:val="center"/>
          </w:tcPr>
          <w:p>
            <w:pPr>
              <w:pStyle w:val="TableContents"/>
              <w:bidi w:val="0"/>
              <w:spacing w:before="0" w:after="283"/>
              <w:jc w:val="right"/>
              <w:rPr/>
            </w:pPr>
            <w:r>
              <w:rPr/>
              <w:t>–</w:t>
            </w:r>
          </w:p>
        </w:tc>
        <w:tc>
          <w:tcPr>
            <w:tcW w:w="121"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11,875</w:t>
            </w:r>
          </w:p>
        </w:tc>
        <w:tc>
          <w:tcPr>
            <w:tcW w:w="120"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12"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824" w:type="dxa"/>
            <w:tcBorders>
              <w:bottom w:val="single" w:sz="6" w:space="0" w:color="FBDDE3"/>
            </w:tcBorders>
            <w:tcMar>
              <w:bottom w:w="60" w:type="dxa"/>
            </w:tcMar>
            <w:vAlign w:val="center"/>
          </w:tcPr>
          <w:p>
            <w:pPr>
              <w:pStyle w:val="TableContents"/>
              <w:bidi w:val="0"/>
              <w:spacing w:before="0" w:after="283"/>
              <w:jc w:val="right"/>
              <w:rPr/>
            </w:pPr>
            <w:r>
              <w:rPr/>
              <w:t>* </w:t>
            </w:r>
          </w:p>
        </w:tc>
        <w:tc>
          <w:tcPr>
            <w:tcW w:w="142"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r>
      <w:tr>
        <w:trPr/>
        <w:tc>
          <w:tcPr>
            <w:tcW w:w="4580" w:type="dxa"/>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1232" w:type="dxa"/>
            <w:gridSpan w:val="5"/>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1318" w:type="dxa"/>
            <w:gridSpan w:val="5"/>
            <w:tcBorders/>
            <w:vAlign w:val="center"/>
          </w:tcPr>
          <w:p>
            <w:pPr>
              <w:pStyle w:val="TableContents"/>
              <w:bidi w:val="0"/>
              <w:spacing w:before="0" w:after="283"/>
              <w:jc w:val="left"/>
              <w:rPr>
                <w:sz w:val="4"/>
                <w:szCs w:val="4"/>
              </w:rPr>
            </w:pPr>
            <w:r>
              <w:rPr>
                <w:sz w:val="4"/>
                <w:szCs w:val="4"/>
              </w:rPr>
            </w:r>
          </w:p>
        </w:tc>
      </w:tr>
      <w:tr>
        <w:trPr/>
        <w:tc>
          <w:tcPr>
            <w:tcW w:w="458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Sarah Davis</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11,658</w:t>
            </w:r>
          </w:p>
        </w:tc>
        <w:tc>
          <w:tcPr>
            <w:tcW w:w="120"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1" w:type="dxa"/>
            <w:tcBorders>
              <w:bottom w:val="single" w:sz="6" w:space="0" w:color="FBDDE3"/>
            </w:tcBorders>
            <w:tcMar>
              <w:bottom w:w="60" w:type="dxa"/>
            </w:tcMar>
            <w:vAlign w:val="center"/>
          </w:tcPr>
          <w:p>
            <w:pPr>
              <w:pStyle w:val="TableContents"/>
              <w:bidi w:val="0"/>
              <w:spacing w:before="0" w:after="283"/>
              <w:jc w:val="left"/>
              <w:rPr/>
            </w:pPr>
            <w:r>
              <w:rPr/>
              <w:t> </w:t>
            </w:r>
          </w:p>
        </w:tc>
        <w:tc>
          <w:tcPr>
            <w:tcW w:w="810" w:type="dxa"/>
            <w:tcBorders>
              <w:bottom w:val="single" w:sz="6" w:space="0" w:color="FBDDE3"/>
            </w:tcBorders>
            <w:tcMar>
              <w:bottom w:w="60" w:type="dxa"/>
            </w:tcMar>
            <w:vAlign w:val="center"/>
          </w:tcPr>
          <w:p>
            <w:pPr>
              <w:pStyle w:val="TableContents"/>
              <w:bidi w:val="0"/>
              <w:spacing w:before="0" w:after="283"/>
              <w:jc w:val="right"/>
              <w:rPr/>
            </w:pPr>
            <w:r>
              <w:rPr/>
              <w:t>–</w:t>
            </w:r>
          </w:p>
        </w:tc>
        <w:tc>
          <w:tcPr>
            <w:tcW w:w="121"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11,658</w:t>
            </w:r>
          </w:p>
        </w:tc>
        <w:tc>
          <w:tcPr>
            <w:tcW w:w="120"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12"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824" w:type="dxa"/>
            <w:tcBorders>
              <w:bottom w:val="single" w:sz="6" w:space="0" w:color="FBDDE3"/>
            </w:tcBorders>
            <w:tcMar>
              <w:bottom w:w="60" w:type="dxa"/>
            </w:tcMar>
            <w:vAlign w:val="center"/>
          </w:tcPr>
          <w:p>
            <w:pPr>
              <w:pStyle w:val="TableContents"/>
              <w:bidi w:val="0"/>
              <w:spacing w:before="0" w:after="283"/>
              <w:jc w:val="right"/>
              <w:rPr/>
            </w:pPr>
            <w:r>
              <w:rPr/>
              <w:t>* </w:t>
            </w:r>
          </w:p>
        </w:tc>
        <w:tc>
          <w:tcPr>
            <w:tcW w:w="142"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r>
      <w:tr>
        <w:trPr/>
        <w:tc>
          <w:tcPr>
            <w:tcW w:w="4580" w:type="dxa"/>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1232" w:type="dxa"/>
            <w:gridSpan w:val="5"/>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1318" w:type="dxa"/>
            <w:gridSpan w:val="5"/>
            <w:tcBorders/>
            <w:vAlign w:val="center"/>
          </w:tcPr>
          <w:p>
            <w:pPr>
              <w:pStyle w:val="TableContents"/>
              <w:bidi w:val="0"/>
              <w:spacing w:before="0" w:after="283"/>
              <w:jc w:val="left"/>
              <w:rPr>
                <w:sz w:val="4"/>
                <w:szCs w:val="4"/>
              </w:rPr>
            </w:pPr>
            <w:r>
              <w:rPr>
                <w:sz w:val="4"/>
                <w:szCs w:val="4"/>
              </w:rPr>
            </w:r>
          </w:p>
        </w:tc>
      </w:tr>
      <w:tr>
        <w:trPr/>
        <w:tc>
          <w:tcPr>
            <w:tcW w:w="458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Jacqueline Hernández</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11,658</w:t>
            </w:r>
          </w:p>
        </w:tc>
        <w:tc>
          <w:tcPr>
            <w:tcW w:w="120"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1" w:type="dxa"/>
            <w:tcBorders>
              <w:bottom w:val="single" w:sz="6" w:space="0" w:color="FBDDE3"/>
            </w:tcBorders>
            <w:tcMar>
              <w:bottom w:w="60" w:type="dxa"/>
            </w:tcMar>
            <w:vAlign w:val="center"/>
          </w:tcPr>
          <w:p>
            <w:pPr>
              <w:pStyle w:val="TableContents"/>
              <w:bidi w:val="0"/>
              <w:spacing w:before="0" w:after="283"/>
              <w:jc w:val="left"/>
              <w:rPr/>
            </w:pPr>
            <w:r>
              <w:rPr/>
              <w:t> </w:t>
            </w:r>
          </w:p>
        </w:tc>
        <w:tc>
          <w:tcPr>
            <w:tcW w:w="810" w:type="dxa"/>
            <w:tcBorders>
              <w:bottom w:val="single" w:sz="6" w:space="0" w:color="FBDDE3"/>
            </w:tcBorders>
            <w:tcMar>
              <w:bottom w:w="60" w:type="dxa"/>
            </w:tcMar>
            <w:vAlign w:val="center"/>
          </w:tcPr>
          <w:p>
            <w:pPr>
              <w:pStyle w:val="TableContents"/>
              <w:bidi w:val="0"/>
              <w:spacing w:before="0" w:after="283"/>
              <w:jc w:val="right"/>
              <w:rPr/>
            </w:pPr>
            <w:r>
              <w:rPr/>
              <w:t>–</w:t>
            </w:r>
          </w:p>
        </w:tc>
        <w:tc>
          <w:tcPr>
            <w:tcW w:w="121"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11,658</w:t>
            </w:r>
          </w:p>
        </w:tc>
        <w:tc>
          <w:tcPr>
            <w:tcW w:w="120"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12"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824" w:type="dxa"/>
            <w:tcBorders>
              <w:bottom w:val="single" w:sz="6" w:space="0" w:color="FBDDE3"/>
            </w:tcBorders>
            <w:tcMar>
              <w:bottom w:w="60" w:type="dxa"/>
            </w:tcMar>
            <w:vAlign w:val="center"/>
          </w:tcPr>
          <w:p>
            <w:pPr>
              <w:pStyle w:val="TableContents"/>
              <w:bidi w:val="0"/>
              <w:spacing w:before="0" w:after="283"/>
              <w:jc w:val="right"/>
              <w:rPr/>
            </w:pPr>
            <w:r>
              <w:rPr/>
              <w:t>* </w:t>
            </w:r>
          </w:p>
        </w:tc>
        <w:tc>
          <w:tcPr>
            <w:tcW w:w="142"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r>
      <w:tr>
        <w:trPr/>
        <w:tc>
          <w:tcPr>
            <w:tcW w:w="4580" w:type="dxa"/>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1232" w:type="dxa"/>
            <w:gridSpan w:val="5"/>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1318" w:type="dxa"/>
            <w:gridSpan w:val="5"/>
            <w:tcBorders/>
            <w:vAlign w:val="center"/>
          </w:tcPr>
          <w:p>
            <w:pPr>
              <w:pStyle w:val="TableContents"/>
              <w:bidi w:val="0"/>
              <w:spacing w:before="0" w:after="283"/>
              <w:jc w:val="left"/>
              <w:rPr>
                <w:sz w:val="4"/>
                <w:szCs w:val="4"/>
              </w:rPr>
            </w:pPr>
            <w:r>
              <w:rPr>
                <w:sz w:val="4"/>
                <w:szCs w:val="4"/>
              </w:rPr>
            </w:r>
          </w:p>
        </w:tc>
      </w:tr>
      <w:tr>
        <w:trPr/>
        <w:tc>
          <w:tcPr>
            <w:tcW w:w="458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Donna James</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34,973</w:t>
            </w:r>
          </w:p>
        </w:tc>
        <w:tc>
          <w:tcPr>
            <w:tcW w:w="120"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1" w:type="dxa"/>
            <w:tcBorders>
              <w:bottom w:val="single" w:sz="6" w:space="0" w:color="FBDDE3"/>
            </w:tcBorders>
            <w:tcMar>
              <w:bottom w:w="60" w:type="dxa"/>
            </w:tcMar>
            <w:vAlign w:val="center"/>
          </w:tcPr>
          <w:p>
            <w:pPr>
              <w:pStyle w:val="TableContents"/>
              <w:bidi w:val="0"/>
              <w:spacing w:before="0" w:after="283"/>
              <w:jc w:val="left"/>
              <w:rPr/>
            </w:pPr>
            <w:r>
              <w:rPr/>
              <w:t> </w:t>
            </w:r>
          </w:p>
        </w:tc>
        <w:tc>
          <w:tcPr>
            <w:tcW w:w="810" w:type="dxa"/>
            <w:tcBorders>
              <w:bottom w:val="single" w:sz="6" w:space="0" w:color="FBDDE3"/>
            </w:tcBorders>
            <w:tcMar>
              <w:bottom w:w="60" w:type="dxa"/>
            </w:tcMar>
            <w:vAlign w:val="center"/>
          </w:tcPr>
          <w:p>
            <w:pPr>
              <w:pStyle w:val="TableContents"/>
              <w:bidi w:val="0"/>
              <w:spacing w:before="0" w:after="283"/>
              <w:jc w:val="right"/>
              <w:rPr/>
            </w:pPr>
            <w:r>
              <w:rPr/>
              <w:t>–</w:t>
            </w:r>
          </w:p>
        </w:tc>
        <w:tc>
          <w:tcPr>
            <w:tcW w:w="121"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34,973</w:t>
            </w:r>
          </w:p>
        </w:tc>
        <w:tc>
          <w:tcPr>
            <w:tcW w:w="120"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12"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824" w:type="dxa"/>
            <w:tcBorders>
              <w:bottom w:val="single" w:sz="6" w:space="0" w:color="FBDDE3"/>
            </w:tcBorders>
            <w:tcMar>
              <w:bottom w:w="60" w:type="dxa"/>
            </w:tcMar>
            <w:vAlign w:val="center"/>
          </w:tcPr>
          <w:p>
            <w:pPr>
              <w:pStyle w:val="TableContents"/>
              <w:bidi w:val="0"/>
              <w:spacing w:before="0" w:after="283"/>
              <w:jc w:val="right"/>
              <w:rPr/>
            </w:pPr>
            <w:r>
              <w:rPr/>
              <w:t>* </w:t>
            </w:r>
          </w:p>
        </w:tc>
        <w:tc>
          <w:tcPr>
            <w:tcW w:w="142"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r>
      <w:tr>
        <w:trPr/>
        <w:tc>
          <w:tcPr>
            <w:tcW w:w="4580" w:type="dxa"/>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1232" w:type="dxa"/>
            <w:gridSpan w:val="5"/>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1318" w:type="dxa"/>
            <w:gridSpan w:val="5"/>
            <w:tcBorders/>
            <w:vAlign w:val="center"/>
          </w:tcPr>
          <w:p>
            <w:pPr>
              <w:pStyle w:val="TableContents"/>
              <w:bidi w:val="0"/>
              <w:spacing w:before="0" w:after="283"/>
              <w:jc w:val="left"/>
              <w:rPr>
                <w:sz w:val="4"/>
                <w:szCs w:val="4"/>
              </w:rPr>
            </w:pPr>
            <w:r>
              <w:rPr>
                <w:sz w:val="4"/>
                <w:szCs w:val="4"/>
              </w:rPr>
            </w:r>
          </w:p>
        </w:tc>
      </w:tr>
      <w:tr>
        <w:trPr/>
        <w:tc>
          <w:tcPr>
            <w:tcW w:w="458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Rod Little</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7,727</w:t>
            </w:r>
          </w:p>
        </w:tc>
        <w:tc>
          <w:tcPr>
            <w:tcW w:w="120"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1" w:type="dxa"/>
            <w:tcBorders>
              <w:bottom w:val="single" w:sz="6" w:space="0" w:color="FBDDE3"/>
            </w:tcBorders>
            <w:tcMar>
              <w:bottom w:w="60" w:type="dxa"/>
            </w:tcMar>
            <w:vAlign w:val="center"/>
          </w:tcPr>
          <w:p>
            <w:pPr>
              <w:pStyle w:val="TableContents"/>
              <w:bidi w:val="0"/>
              <w:spacing w:before="0" w:after="283"/>
              <w:jc w:val="left"/>
              <w:rPr/>
            </w:pPr>
            <w:r>
              <w:rPr/>
              <w:t> </w:t>
            </w:r>
          </w:p>
        </w:tc>
        <w:tc>
          <w:tcPr>
            <w:tcW w:w="810" w:type="dxa"/>
            <w:tcBorders>
              <w:bottom w:val="single" w:sz="6" w:space="0" w:color="FBDDE3"/>
            </w:tcBorders>
            <w:tcMar>
              <w:bottom w:w="60" w:type="dxa"/>
            </w:tcMar>
            <w:vAlign w:val="center"/>
          </w:tcPr>
          <w:p>
            <w:pPr>
              <w:pStyle w:val="TableContents"/>
              <w:bidi w:val="0"/>
              <w:spacing w:before="0" w:after="283"/>
              <w:jc w:val="right"/>
              <w:rPr/>
            </w:pPr>
            <w:r>
              <w:rPr/>
              <w:t>–</w:t>
            </w:r>
          </w:p>
        </w:tc>
        <w:tc>
          <w:tcPr>
            <w:tcW w:w="121"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7,727</w:t>
            </w:r>
          </w:p>
        </w:tc>
        <w:tc>
          <w:tcPr>
            <w:tcW w:w="120"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12"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824" w:type="dxa"/>
            <w:tcBorders>
              <w:bottom w:val="single" w:sz="6" w:space="0" w:color="FBDDE3"/>
            </w:tcBorders>
            <w:tcMar>
              <w:bottom w:w="60" w:type="dxa"/>
            </w:tcMar>
            <w:vAlign w:val="center"/>
          </w:tcPr>
          <w:p>
            <w:pPr>
              <w:pStyle w:val="TableContents"/>
              <w:bidi w:val="0"/>
              <w:spacing w:before="0" w:after="283"/>
              <w:jc w:val="right"/>
              <w:rPr/>
            </w:pPr>
            <w:r>
              <w:rPr/>
              <w:t>* </w:t>
            </w:r>
          </w:p>
        </w:tc>
        <w:tc>
          <w:tcPr>
            <w:tcW w:w="142"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r>
      <w:tr>
        <w:trPr/>
        <w:tc>
          <w:tcPr>
            <w:tcW w:w="4580" w:type="dxa"/>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1232" w:type="dxa"/>
            <w:gridSpan w:val="5"/>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1318" w:type="dxa"/>
            <w:gridSpan w:val="5"/>
            <w:tcBorders/>
            <w:vAlign w:val="center"/>
          </w:tcPr>
          <w:p>
            <w:pPr>
              <w:pStyle w:val="TableContents"/>
              <w:bidi w:val="0"/>
              <w:spacing w:before="0" w:after="283"/>
              <w:jc w:val="left"/>
              <w:rPr>
                <w:sz w:val="4"/>
                <w:szCs w:val="4"/>
              </w:rPr>
            </w:pPr>
            <w:r>
              <w:rPr>
                <w:sz w:val="4"/>
                <w:szCs w:val="4"/>
              </w:rPr>
            </w:r>
          </w:p>
        </w:tc>
      </w:tr>
      <w:tr>
        <w:trPr/>
        <w:tc>
          <w:tcPr>
            <w:tcW w:w="458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Mariam Naficy</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8,480</w:t>
            </w:r>
          </w:p>
        </w:tc>
        <w:tc>
          <w:tcPr>
            <w:tcW w:w="120"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1" w:type="dxa"/>
            <w:tcBorders>
              <w:bottom w:val="single" w:sz="6" w:space="0" w:color="FBDDE3"/>
            </w:tcBorders>
            <w:tcMar>
              <w:bottom w:w="60" w:type="dxa"/>
            </w:tcMar>
            <w:vAlign w:val="center"/>
          </w:tcPr>
          <w:p>
            <w:pPr>
              <w:pStyle w:val="TableContents"/>
              <w:bidi w:val="0"/>
              <w:spacing w:before="0" w:after="283"/>
              <w:jc w:val="left"/>
              <w:rPr/>
            </w:pPr>
            <w:r>
              <w:rPr/>
              <w:t> </w:t>
            </w:r>
          </w:p>
        </w:tc>
        <w:tc>
          <w:tcPr>
            <w:tcW w:w="810" w:type="dxa"/>
            <w:tcBorders>
              <w:bottom w:val="single" w:sz="6" w:space="0" w:color="FBDDE3"/>
            </w:tcBorders>
            <w:tcMar>
              <w:bottom w:w="60" w:type="dxa"/>
            </w:tcMar>
            <w:vAlign w:val="center"/>
          </w:tcPr>
          <w:p>
            <w:pPr>
              <w:pStyle w:val="TableContents"/>
              <w:bidi w:val="0"/>
              <w:spacing w:before="0" w:after="283"/>
              <w:jc w:val="right"/>
              <w:rPr/>
            </w:pPr>
            <w:r>
              <w:rPr/>
              <w:t>–</w:t>
            </w:r>
          </w:p>
        </w:tc>
        <w:tc>
          <w:tcPr>
            <w:tcW w:w="121"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8,480</w:t>
            </w:r>
          </w:p>
        </w:tc>
        <w:tc>
          <w:tcPr>
            <w:tcW w:w="120"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12"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824" w:type="dxa"/>
            <w:tcBorders>
              <w:bottom w:val="single" w:sz="6" w:space="0" w:color="FBDDE3"/>
            </w:tcBorders>
            <w:tcMar>
              <w:bottom w:w="60" w:type="dxa"/>
            </w:tcMar>
            <w:vAlign w:val="center"/>
          </w:tcPr>
          <w:p>
            <w:pPr>
              <w:pStyle w:val="TableContents"/>
              <w:bidi w:val="0"/>
              <w:spacing w:before="0" w:after="283"/>
              <w:jc w:val="right"/>
              <w:rPr/>
            </w:pPr>
            <w:r>
              <w:rPr/>
              <w:t>* </w:t>
            </w:r>
          </w:p>
        </w:tc>
        <w:tc>
          <w:tcPr>
            <w:tcW w:w="142"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r>
      <w:tr>
        <w:trPr/>
        <w:tc>
          <w:tcPr>
            <w:tcW w:w="4580" w:type="dxa"/>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1232" w:type="dxa"/>
            <w:gridSpan w:val="5"/>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1318" w:type="dxa"/>
            <w:gridSpan w:val="5"/>
            <w:tcBorders/>
            <w:vAlign w:val="center"/>
          </w:tcPr>
          <w:p>
            <w:pPr>
              <w:pStyle w:val="TableContents"/>
              <w:bidi w:val="0"/>
              <w:spacing w:before="0" w:after="283"/>
              <w:jc w:val="left"/>
              <w:rPr>
                <w:sz w:val="4"/>
                <w:szCs w:val="4"/>
              </w:rPr>
            </w:pPr>
            <w:r>
              <w:rPr>
                <w:sz w:val="4"/>
                <w:szCs w:val="4"/>
              </w:rPr>
            </w:r>
          </w:p>
        </w:tc>
      </w:tr>
      <w:tr>
        <w:trPr/>
        <w:tc>
          <w:tcPr>
            <w:tcW w:w="458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Lauren Peters</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11,875</w:t>
            </w:r>
          </w:p>
        </w:tc>
        <w:tc>
          <w:tcPr>
            <w:tcW w:w="120"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1" w:type="dxa"/>
            <w:tcBorders>
              <w:bottom w:val="single" w:sz="6" w:space="0" w:color="FBDDE3"/>
            </w:tcBorders>
            <w:tcMar>
              <w:bottom w:w="60" w:type="dxa"/>
            </w:tcMar>
            <w:vAlign w:val="center"/>
          </w:tcPr>
          <w:p>
            <w:pPr>
              <w:pStyle w:val="TableContents"/>
              <w:bidi w:val="0"/>
              <w:spacing w:before="0" w:after="283"/>
              <w:jc w:val="left"/>
              <w:rPr/>
            </w:pPr>
            <w:r>
              <w:rPr/>
              <w:t> </w:t>
            </w:r>
          </w:p>
        </w:tc>
        <w:tc>
          <w:tcPr>
            <w:tcW w:w="810" w:type="dxa"/>
            <w:tcBorders>
              <w:bottom w:val="single" w:sz="6" w:space="0" w:color="FBDDE3"/>
            </w:tcBorders>
            <w:tcMar>
              <w:bottom w:w="60" w:type="dxa"/>
            </w:tcMar>
            <w:vAlign w:val="center"/>
          </w:tcPr>
          <w:p>
            <w:pPr>
              <w:pStyle w:val="TableContents"/>
              <w:bidi w:val="0"/>
              <w:spacing w:before="0" w:after="283"/>
              <w:jc w:val="right"/>
              <w:rPr/>
            </w:pPr>
            <w:r>
              <w:rPr/>
              <w:t>–</w:t>
            </w:r>
          </w:p>
        </w:tc>
        <w:tc>
          <w:tcPr>
            <w:tcW w:w="121"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11,875</w:t>
            </w:r>
          </w:p>
        </w:tc>
        <w:tc>
          <w:tcPr>
            <w:tcW w:w="120"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12"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824" w:type="dxa"/>
            <w:tcBorders>
              <w:bottom w:val="single" w:sz="6" w:space="0" w:color="FBDDE3"/>
            </w:tcBorders>
            <w:tcMar>
              <w:bottom w:w="60" w:type="dxa"/>
            </w:tcMar>
            <w:vAlign w:val="center"/>
          </w:tcPr>
          <w:p>
            <w:pPr>
              <w:pStyle w:val="TableContents"/>
              <w:bidi w:val="0"/>
              <w:spacing w:before="0" w:after="283"/>
              <w:jc w:val="right"/>
              <w:rPr/>
            </w:pPr>
            <w:r>
              <w:rPr/>
              <w:t>* </w:t>
            </w:r>
          </w:p>
        </w:tc>
        <w:tc>
          <w:tcPr>
            <w:tcW w:w="142"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r>
      <w:tr>
        <w:trPr/>
        <w:tc>
          <w:tcPr>
            <w:tcW w:w="4580" w:type="dxa"/>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1232" w:type="dxa"/>
            <w:gridSpan w:val="5"/>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1318" w:type="dxa"/>
            <w:gridSpan w:val="5"/>
            <w:tcBorders/>
            <w:vAlign w:val="center"/>
          </w:tcPr>
          <w:p>
            <w:pPr>
              <w:pStyle w:val="TableContents"/>
              <w:bidi w:val="0"/>
              <w:spacing w:before="0" w:after="283"/>
              <w:jc w:val="left"/>
              <w:rPr>
                <w:sz w:val="4"/>
                <w:szCs w:val="4"/>
              </w:rPr>
            </w:pPr>
            <w:r>
              <w:rPr>
                <w:sz w:val="4"/>
                <w:szCs w:val="4"/>
              </w:rPr>
            </w:r>
          </w:p>
        </w:tc>
      </w:tr>
      <w:tr>
        <w:trPr/>
        <w:tc>
          <w:tcPr>
            <w:tcW w:w="458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Anne Sheehan</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14,461</w:t>
            </w:r>
          </w:p>
        </w:tc>
        <w:tc>
          <w:tcPr>
            <w:tcW w:w="120"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1" w:type="dxa"/>
            <w:tcBorders>
              <w:bottom w:val="single" w:sz="6" w:space="0" w:color="FBDDE3"/>
            </w:tcBorders>
            <w:tcMar>
              <w:bottom w:w="60" w:type="dxa"/>
            </w:tcMar>
            <w:vAlign w:val="center"/>
          </w:tcPr>
          <w:p>
            <w:pPr>
              <w:pStyle w:val="TableContents"/>
              <w:bidi w:val="0"/>
              <w:spacing w:before="0" w:after="283"/>
              <w:jc w:val="left"/>
              <w:rPr/>
            </w:pPr>
            <w:r>
              <w:rPr/>
              <w:t> </w:t>
            </w:r>
          </w:p>
        </w:tc>
        <w:tc>
          <w:tcPr>
            <w:tcW w:w="810" w:type="dxa"/>
            <w:tcBorders>
              <w:bottom w:val="single" w:sz="6" w:space="0" w:color="FBDDE3"/>
            </w:tcBorders>
            <w:tcMar>
              <w:bottom w:w="60" w:type="dxa"/>
            </w:tcMar>
            <w:vAlign w:val="center"/>
          </w:tcPr>
          <w:p>
            <w:pPr>
              <w:pStyle w:val="TableContents"/>
              <w:bidi w:val="0"/>
              <w:spacing w:before="0" w:after="283"/>
              <w:jc w:val="right"/>
              <w:rPr/>
            </w:pPr>
            <w:r>
              <w:rPr/>
              <w:t>–</w:t>
            </w:r>
          </w:p>
        </w:tc>
        <w:tc>
          <w:tcPr>
            <w:tcW w:w="121"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14,461</w:t>
            </w:r>
          </w:p>
        </w:tc>
        <w:tc>
          <w:tcPr>
            <w:tcW w:w="120"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12"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824" w:type="dxa"/>
            <w:tcBorders>
              <w:bottom w:val="single" w:sz="6" w:space="0" w:color="FBDDE3"/>
            </w:tcBorders>
            <w:tcMar>
              <w:bottom w:w="60" w:type="dxa"/>
            </w:tcMar>
            <w:vAlign w:val="center"/>
          </w:tcPr>
          <w:p>
            <w:pPr>
              <w:pStyle w:val="TableContents"/>
              <w:bidi w:val="0"/>
              <w:spacing w:before="0" w:after="283"/>
              <w:jc w:val="right"/>
              <w:rPr/>
            </w:pPr>
            <w:r>
              <w:rPr/>
              <w:t>* </w:t>
            </w:r>
          </w:p>
        </w:tc>
        <w:tc>
          <w:tcPr>
            <w:tcW w:w="142"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r>
      <w:tr>
        <w:trPr/>
        <w:tc>
          <w:tcPr>
            <w:tcW w:w="4580" w:type="dxa"/>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1232" w:type="dxa"/>
            <w:gridSpan w:val="5"/>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1318" w:type="dxa"/>
            <w:gridSpan w:val="5"/>
            <w:tcBorders/>
            <w:vAlign w:val="center"/>
          </w:tcPr>
          <w:p>
            <w:pPr>
              <w:pStyle w:val="TableContents"/>
              <w:bidi w:val="0"/>
              <w:spacing w:before="0" w:after="283"/>
              <w:jc w:val="left"/>
              <w:rPr>
                <w:sz w:val="4"/>
                <w:szCs w:val="4"/>
              </w:rPr>
            </w:pPr>
            <w:r>
              <w:rPr>
                <w:sz w:val="4"/>
                <w:szCs w:val="4"/>
              </w:rPr>
            </w:r>
          </w:p>
        </w:tc>
      </w:tr>
      <w:tr>
        <w:trPr/>
        <w:tc>
          <w:tcPr>
            <w:tcW w:w="458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Martin Waters</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210,172</w:t>
            </w:r>
          </w:p>
        </w:tc>
        <w:tc>
          <w:tcPr>
            <w:tcW w:w="120"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1" w:type="dxa"/>
            <w:tcBorders>
              <w:bottom w:val="single" w:sz="6" w:space="0" w:color="FBDDE3"/>
            </w:tcBorders>
            <w:tcMar>
              <w:bottom w:w="60" w:type="dxa"/>
            </w:tcMar>
            <w:vAlign w:val="center"/>
          </w:tcPr>
          <w:p>
            <w:pPr>
              <w:pStyle w:val="TableContents"/>
              <w:bidi w:val="0"/>
              <w:spacing w:before="0" w:after="283"/>
              <w:jc w:val="left"/>
              <w:rPr/>
            </w:pPr>
            <w:r>
              <w:rPr/>
              <w:t> </w:t>
            </w:r>
          </w:p>
        </w:tc>
        <w:tc>
          <w:tcPr>
            <w:tcW w:w="810" w:type="dxa"/>
            <w:tcBorders>
              <w:bottom w:val="single" w:sz="6" w:space="0" w:color="FBDDE3"/>
            </w:tcBorders>
            <w:tcMar>
              <w:bottom w:w="60" w:type="dxa"/>
            </w:tcMar>
            <w:vAlign w:val="center"/>
          </w:tcPr>
          <w:p>
            <w:pPr>
              <w:pStyle w:val="TableContents"/>
              <w:bidi w:val="0"/>
              <w:spacing w:before="0" w:after="283"/>
              <w:jc w:val="right"/>
              <w:rPr/>
            </w:pPr>
            <w:r>
              <w:rPr/>
              <w:t>103,826</w:t>
            </w:r>
          </w:p>
        </w:tc>
        <w:tc>
          <w:tcPr>
            <w:tcW w:w="121"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313,998</w:t>
            </w:r>
          </w:p>
        </w:tc>
        <w:tc>
          <w:tcPr>
            <w:tcW w:w="120"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12"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824" w:type="dxa"/>
            <w:tcBorders>
              <w:bottom w:val="single" w:sz="6" w:space="0" w:color="FBDDE3"/>
            </w:tcBorders>
            <w:tcMar>
              <w:bottom w:w="60" w:type="dxa"/>
            </w:tcMar>
            <w:vAlign w:val="center"/>
          </w:tcPr>
          <w:p>
            <w:pPr>
              <w:pStyle w:val="TableContents"/>
              <w:bidi w:val="0"/>
              <w:spacing w:before="0" w:after="283"/>
              <w:jc w:val="right"/>
              <w:rPr/>
            </w:pPr>
            <w:r>
              <w:rPr/>
              <w:t>* </w:t>
            </w:r>
          </w:p>
        </w:tc>
        <w:tc>
          <w:tcPr>
            <w:tcW w:w="142"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r>
      <w:tr>
        <w:trPr/>
        <w:tc>
          <w:tcPr>
            <w:tcW w:w="4580" w:type="dxa"/>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1232" w:type="dxa"/>
            <w:gridSpan w:val="5"/>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1318" w:type="dxa"/>
            <w:gridSpan w:val="5"/>
            <w:tcBorders/>
            <w:vAlign w:val="center"/>
          </w:tcPr>
          <w:p>
            <w:pPr>
              <w:pStyle w:val="TableContents"/>
              <w:bidi w:val="0"/>
              <w:spacing w:before="0" w:after="283"/>
              <w:jc w:val="left"/>
              <w:rPr>
                <w:sz w:val="4"/>
                <w:szCs w:val="4"/>
              </w:rPr>
            </w:pPr>
            <w:r>
              <w:rPr>
                <w:sz w:val="4"/>
                <w:szCs w:val="4"/>
              </w:rPr>
            </w:r>
          </w:p>
        </w:tc>
      </w:tr>
      <w:tr>
        <w:trPr/>
        <w:tc>
          <w:tcPr>
            <w:tcW w:w="458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Timothy Johnson</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47,626</w:t>
            </w:r>
          </w:p>
        </w:tc>
        <w:tc>
          <w:tcPr>
            <w:tcW w:w="120"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1" w:type="dxa"/>
            <w:tcBorders>
              <w:bottom w:val="single" w:sz="6" w:space="0" w:color="FBDDE3"/>
            </w:tcBorders>
            <w:tcMar>
              <w:bottom w:w="60" w:type="dxa"/>
            </w:tcMar>
            <w:vAlign w:val="center"/>
          </w:tcPr>
          <w:p>
            <w:pPr>
              <w:pStyle w:val="TableContents"/>
              <w:bidi w:val="0"/>
              <w:spacing w:before="0" w:after="283"/>
              <w:jc w:val="left"/>
              <w:rPr/>
            </w:pPr>
            <w:r>
              <w:rPr/>
              <w:t> </w:t>
            </w:r>
          </w:p>
        </w:tc>
        <w:tc>
          <w:tcPr>
            <w:tcW w:w="810" w:type="dxa"/>
            <w:tcBorders>
              <w:bottom w:val="single" w:sz="6" w:space="0" w:color="FBDDE3"/>
            </w:tcBorders>
            <w:tcMar>
              <w:bottom w:w="60" w:type="dxa"/>
            </w:tcMar>
            <w:vAlign w:val="center"/>
          </w:tcPr>
          <w:p>
            <w:pPr>
              <w:pStyle w:val="TableContents"/>
              <w:bidi w:val="0"/>
              <w:spacing w:before="0" w:after="283"/>
              <w:jc w:val="right"/>
              <w:rPr/>
            </w:pPr>
            <w:r>
              <w:rPr/>
              <w:t>14,655</w:t>
            </w:r>
          </w:p>
        </w:tc>
        <w:tc>
          <w:tcPr>
            <w:tcW w:w="121"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62,281</w:t>
            </w:r>
          </w:p>
        </w:tc>
        <w:tc>
          <w:tcPr>
            <w:tcW w:w="120"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12"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824" w:type="dxa"/>
            <w:tcBorders>
              <w:bottom w:val="single" w:sz="6" w:space="0" w:color="FBDDE3"/>
            </w:tcBorders>
            <w:tcMar>
              <w:bottom w:w="60" w:type="dxa"/>
            </w:tcMar>
            <w:vAlign w:val="center"/>
          </w:tcPr>
          <w:p>
            <w:pPr>
              <w:pStyle w:val="TableContents"/>
              <w:bidi w:val="0"/>
              <w:spacing w:before="0" w:after="283"/>
              <w:jc w:val="right"/>
              <w:rPr/>
            </w:pPr>
            <w:r>
              <w:rPr/>
              <w:t>* </w:t>
            </w:r>
          </w:p>
        </w:tc>
        <w:tc>
          <w:tcPr>
            <w:tcW w:w="142"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r>
      <w:tr>
        <w:trPr/>
        <w:tc>
          <w:tcPr>
            <w:tcW w:w="4580" w:type="dxa"/>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1232" w:type="dxa"/>
            <w:gridSpan w:val="5"/>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1318" w:type="dxa"/>
            <w:gridSpan w:val="5"/>
            <w:tcBorders/>
            <w:vAlign w:val="center"/>
          </w:tcPr>
          <w:p>
            <w:pPr>
              <w:pStyle w:val="TableContents"/>
              <w:bidi w:val="0"/>
              <w:spacing w:before="0" w:after="283"/>
              <w:jc w:val="left"/>
              <w:rPr>
                <w:sz w:val="4"/>
                <w:szCs w:val="4"/>
              </w:rPr>
            </w:pPr>
            <w:r>
              <w:rPr>
                <w:sz w:val="4"/>
                <w:szCs w:val="4"/>
              </w:rPr>
            </w:r>
          </w:p>
        </w:tc>
      </w:tr>
      <w:tr>
        <w:trPr/>
        <w:tc>
          <w:tcPr>
            <w:tcW w:w="458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Melinda McAfee</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19,657</w:t>
            </w:r>
          </w:p>
        </w:tc>
        <w:tc>
          <w:tcPr>
            <w:tcW w:w="120"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1" w:type="dxa"/>
            <w:tcBorders>
              <w:bottom w:val="single" w:sz="6" w:space="0" w:color="FBDDE3"/>
            </w:tcBorders>
            <w:tcMar>
              <w:bottom w:w="60" w:type="dxa"/>
            </w:tcMar>
            <w:vAlign w:val="center"/>
          </w:tcPr>
          <w:p>
            <w:pPr>
              <w:pStyle w:val="TableContents"/>
              <w:bidi w:val="0"/>
              <w:spacing w:before="0" w:after="283"/>
              <w:jc w:val="left"/>
              <w:rPr/>
            </w:pPr>
            <w:r>
              <w:rPr/>
              <w:t> </w:t>
            </w:r>
          </w:p>
        </w:tc>
        <w:tc>
          <w:tcPr>
            <w:tcW w:w="810" w:type="dxa"/>
            <w:tcBorders>
              <w:bottom w:val="single" w:sz="6" w:space="0" w:color="FBDDE3"/>
            </w:tcBorders>
            <w:tcMar>
              <w:bottom w:w="60" w:type="dxa"/>
            </w:tcMar>
            <w:vAlign w:val="center"/>
          </w:tcPr>
          <w:p>
            <w:pPr>
              <w:pStyle w:val="TableContents"/>
              <w:bidi w:val="0"/>
              <w:spacing w:before="0" w:after="283"/>
              <w:jc w:val="right"/>
              <w:rPr/>
            </w:pPr>
            <w:r>
              <w:rPr/>
              <w:t>5,195</w:t>
            </w:r>
          </w:p>
        </w:tc>
        <w:tc>
          <w:tcPr>
            <w:tcW w:w="121"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24,852</w:t>
            </w:r>
          </w:p>
        </w:tc>
        <w:tc>
          <w:tcPr>
            <w:tcW w:w="120"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12"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824" w:type="dxa"/>
            <w:tcBorders>
              <w:bottom w:val="single" w:sz="6" w:space="0" w:color="FBDDE3"/>
            </w:tcBorders>
            <w:tcMar>
              <w:bottom w:w="60" w:type="dxa"/>
            </w:tcMar>
            <w:vAlign w:val="center"/>
          </w:tcPr>
          <w:p>
            <w:pPr>
              <w:pStyle w:val="TableContents"/>
              <w:bidi w:val="0"/>
              <w:spacing w:before="0" w:after="283"/>
              <w:jc w:val="right"/>
              <w:rPr/>
            </w:pPr>
            <w:r>
              <w:rPr/>
              <w:t>* </w:t>
            </w:r>
          </w:p>
        </w:tc>
        <w:tc>
          <w:tcPr>
            <w:tcW w:w="142"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r>
      <w:tr>
        <w:trPr/>
        <w:tc>
          <w:tcPr>
            <w:tcW w:w="4580" w:type="dxa"/>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1232" w:type="dxa"/>
            <w:gridSpan w:val="5"/>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1318" w:type="dxa"/>
            <w:gridSpan w:val="5"/>
            <w:tcBorders/>
            <w:vAlign w:val="center"/>
          </w:tcPr>
          <w:p>
            <w:pPr>
              <w:pStyle w:val="TableContents"/>
              <w:bidi w:val="0"/>
              <w:spacing w:before="0" w:after="283"/>
              <w:jc w:val="left"/>
              <w:rPr>
                <w:sz w:val="4"/>
                <w:szCs w:val="4"/>
              </w:rPr>
            </w:pPr>
            <w:r>
              <w:rPr>
                <w:sz w:val="4"/>
                <w:szCs w:val="4"/>
              </w:rPr>
            </w:r>
          </w:p>
        </w:tc>
      </w:tr>
      <w:tr>
        <w:trPr/>
        <w:tc>
          <w:tcPr>
            <w:tcW w:w="458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Christine Rupp</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23,237</w:t>
            </w:r>
          </w:p>
        </w:tc>
        <w:tc>
          <w:tcPr>
            <w:tcW w:w="120"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1" w:type="dxa"/>
            <w:tcBorders>
              <w:bottom w:val="single" w:sz="6" w:space="0" w:color="FBDDE3"/>
            </w:tcBorders>
            <w:tcMar>
              <w:bottom w:w="60" w:type="dxa"/>
            </w:tcMar>
            <w:vAlign w:val="center"/>
          </w:tcPr>
          <w:p>
            <w:pPr>
              <w:pStyle w:val="TableContents"/>
              <w:bidi w:val="0"/>
              <w:spacing w:before="0" w:after="283"/>
              <w:jc w:val="left"/>
              <w:rPr/>
            </w:pPr>
            <w:r>
              <w:rPr/>
              <w:t> </w:t>
            </w:r>
          </w:p>
        </w:tc>
        <w:tc>
          <w:tcPr>
            <w:tcW w:w="810" w:type="dxa"/>
            <w:tcBorders>
              <w:bottom w:val="single" w:sz="6" w:space="0" w:color="FBDDE3"/>
            </w:tcBorders>
            <w:tcMar>
              <w:bottom w:w="60" w:type="dxa"/>
            </w:tcMar>
            <w:vAlign w:val="center"/>
          </w:tcPr>
          <w:p>
            <w:pPr>
              <w:pStyle w:val="TableContents"/>
              <w:bidi w:val="0"/>
              <w:spacing w:before="0" w:after="283"/>
              <w:jc w:val="right"/>
              <w:rPr/>
            </w:pPr>
            <w:r>
              <w:rPr/>
              <w:t>–</w:t>
            </w:r>
          </w:p>
        </w:tc>
        <w:tc>
          <w:tcPr>
            <w:tcW w:w="121"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23,237</w:t>
            </w:r>
          </w:p>
        </w:tc>
        <w:tc>
          <w:tcPr>
            <w:tcW w:w="120"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12"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824" w:type="dxa"/>
            <w:tcBorders>
              <w:bottom w:val="single" w:sz="6" w:space="0" w:color="FBDDE3"/>
            </w:tcBorders>
            <w:tcMar>
              <w:bottom w:w="60" w:type="dxa"/>
            </w:tcMar>
            <w:vAlign w:val="center"/>
          </w:tcPr>
          <w:p>
            <w:pPr>
              <w:pStyle w:val="TableContents"/>
              <w:bidi w:val="0"/>
              <w:spacing w:before="0" w:after="283"/>
              <w:jc w:val="right"/>
              <w:rPr/>
            </w:pPr>
            <w:r>
              <w:rPr/>
              <w:t>* </w:t>
            </w:r>
          </w:p>
        </w:tc>
        <w:tc>
          <w:tcPr>
            <w:tcW w:w="142"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r>
      <w:tr>
        <w:trPr/>
        <w:tc>
          <w:tcPr>
            <w:tcW w:w="4580" w:type="dxa"/>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1232" w:type="dxa"/>
            <w:gridSpan w:val="5"/>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1318" w:type="dxa"/>
            <w:gridSpan w:val="5"/>
            <w:tcBorders/>
            <w:vAlign w:val="center"/>
          </w:tcPr>
          <w:p>
            <w:pPr>
              <w:pStyle w:val="TableContents"/>
              <w:bidi w:val="0"/>
              <w:spacing w:before="0" w:after="283"/>
              <w:jc w:val="left"/>
              <w:rPr>
                <w:sz w:val="4"/>
                <w:szCs w:val="4"/>
              </w:rPr>
            </w:pPr>
            <w:r>
              <w:rPr>
                <w:sz w:val="4"/>
                <w:szCs w:val="4"/>
              </w:rPr>
            </w:r>
          </w:p>
        </w:tc>
      </w:tr>
      <w:tr>
        <w:trPr/>
        <w:tc>
          <w:tcPr>
            <w:tcW w:w="4580"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Gregory Unis</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93,642</w:t>
            </w:r>
          </w:p>
        </w:tc>
        <w:tc>
          <w:tcPr>
            <w:tcW w:w="120"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1" w:type="dxa"/>
            <w:tcBorders>
              <w:bottom w:val="single" w:sz="6" w:space="0" w:color="FBDDE3"/>
            </w:tcBorders>
            <w:tcMar>
              <w:bottom w:w="60" w:type="dxa"/>
            </w:tcMar>
            <w:vAlign w:val="center"/>
          </w:tcPr>
          <w:p>
            <w:pPr>
              <w:pStyle w:val="TableContents"/>
              <w:bidi w:val="0"/>
              <w:spacing w:before="0" w:after="283"/>
              <w:jc w:val="left"/>
              <w:rPr/>
            </w:pPr>
            <w:r>
              <w:rPr/>
              <w:t> </w:t>
            </w:r>
          </w:p>
        </w:tc>
        <w:tc>
          <w:tcPr>
            <w:tcW w:w="810" w:type="dxa"/>
            <w:tcBorders>
              <w:bottom w:val="single" w:sz="6" w:space="0" w:color="FBDDE3"/>
            </w:tcBorders>
            <w:tcMar>
              <w:bottom w:w="60" w:type="dxa"/>
            </w:tcMar>
            <w:vAlign w:val="center"/>
          </w:tcPr>
          <w:p>
            <w:pPr>
              <w:pStyle w:val="TableContents"/>
              <w:bidi w:val="0"/>
              <w:spacing w:before="0" w:after="283"/>
              <w:jc w:val="right"/>
              <w:rPr/>
            </w:pPr>
            <w:r>
              <w:rPr/>
              <w:t>97,875</w:t>
            </w:r>
          </w:p>
        </w:tc>
        <w:tc>
          <w:tcPr>
            <w:tcW w:w="121"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60"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1100" w:type="dxa"/>
            <w:tcBorders>
              <w:bottom w:val="single" w:sz="6" w:space="0" w:color="FBDDE3"/>
            </w:tcBorders>
            <w:tcMar>
              <w:bottom w:w="60" w:type="dxa"/>
            </w:tcMar>
            <w:vAlign w:val="center"/>
          </w:tcPr>
          <w:p>
            <w:pPr>
              <w:pStyle w:val="TableContents"/>
              <w:bidi w:val="0"/>
              <w:spacing w:before="0" w:after="283"/>
              <w:jc w:val="right"/>
              <w:rPr/>
            </w:pPr>
            <w:r>
              <w:rPr/>
              <w:t>191,517</w:t>
            </w:r>
          </w:p>
        </w:tc>
        <w:tc>
          <w:tcPr>
            <w:tcW w:w="120"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12" w:type="dxa"/>
            <w:tcBorders>
              <w:bottom w:val="single" w:sz="6" w:space="0" w:color="FBDDE3"/>
            </w:tcBorders>
            <w:tcMar>
              <w:bottom w:w="28" w:type="dxa"/>
            </w:tcMar>
            <w:vAlign w:val="center"/>
          </w:tcPr>
          <w:p>
            <w:pPr>
              <w:pStyle w:val="TableContents"/>
              <w:bidi w:val="0"/>
              <w:spacing w:before="0" w:after="283"/>
              <w:jc w:val="left"/>
              <w:rPr/>
            </w:pPr>
            <w:r>
              <w:rPr/>
              <w:t> </w:t>
            </w:r>
          </w:p>
        </w:tc>
        <w:tc>
          <w:tcPr>
            <w:tcW w:w="120" w:type="dxa"/>
            <w:tcBorders>
              <w:bottom w:val="single" w:sz="6" w:space="0" w:color="FBDDE3"/>
            </w:tcBorders>
            <w:tcMar>
              <w:bottom w:w="60" w:type="dxa"/>
            </w:tcMar>
            <w:vAlign w:val="center"/>
          </w:tcPr>
          <w:p>
            <w:pPr>
              <w:pStyle w:val="TableContents"/>
              <w:bidi w:val="0"/>
              <w:spacing w:before="0" w:after="283"/>
              <w:jc w:val="left"/>
              <w:rPr/>
            </w:pPr>
            <w:r>
              <w:rPr/>
              <w:t> </w:t>
            </w:r>
          </w:p>
        </w:tc>
        <w:tc>
          <w:tcPr>
            <w:tcW w:w="824" w:type="dxa"/>
            <w:tcBorders>
              <w:bottom w:val="single" w:sz="6" w:space="0" w:color="FBDDE3"/>
            </w:tcBorders>
            <w:tcMar>
              <w:bottom w:w="60" w:type="dxa"/>
            </w:tcMar>
            <w:vAlign w:val="center"/>
          </w:tcPr>
          <w:p>
            <w:pPr>
              <w:pStyle w:val="TableContents"/>
              <w:bidi w:val="0"/>
              <w:spacing w:before="0" w:after="283"/>
              <w:jc w:val="right"/>
              <w:rPr/>
            </w:pPr>
            <w:r>
              <w:rPr/>
              <w:t>* </w:t>
            </w:r>
          </w:p>
        </w:tc>
        <w:tc>
          <w:tcPr>
            <w:tcW w:w="142" w:type="dxa"/>
            <w:tcBorders>
              <w:bottom w:val="single" w:sz="6" w:space="0" w:color="FBDDE3"/>
            </w:tcBorders>
            <w:tcMar>
              <w:bottom w:w="60" w:type="dxa"/>
            </w:tcMar>
            <w:vAlign w:val="center"/>
          </w:tcPr>
          <w:p>
            <w:pPr>
              <w:pStyle w:val="TableContents"/>
              <w:bidi w:val="0"/>
              <w:spacing w:before="0" w:after="283"/>
              <w:jc w:val="left"/>
              <w:rPr>
                <w:sz w:val="4"/>
                <w:szCs w:val="4"/>
              </w:rPr>
            </w:pPr>
            <w:r>
              <w:rPr>
                <w:sz w:val="4"/>
                <w:szCs w:val="4"/>
              </w:rPr>
            </w:r>
          </w:p>
        </w:tc>
      </w:tr>
      <w:tr>
        <w:trPr/>
        <w:tc>
          <w:tcPr>
            <w:tcW w:w="4580" w:type="dxa"/>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1232" w:type="dxa"/>
            <w:gridSpan w:val="5"/>
            <w:tcBorders/>
            <w:vAlign w:val="center"/>
          </w:tcPr>
          <w:p>
            <w:pPr>
              <w:pStyle w:val="TableContents"/>
              <w:bidi w:val="0"/>
              <w:spacing w:before="0" w:after="283"/>
              <w:jc w:val="left"/>
              <w:rPr>
                <w:sz w:val="4"/>
                <w:szCs w:val="4"/>
              </w:rPr>
            </w:pPr>
            <w:r>
              <w:rPr>
                <w:sz w:val="4"/>
                <w:szCs w:val="4"/>
              </w:rPr>
            </w:r>
          </w:p>
        </w:tc>
        <w:tc>
          <w:tcPr>
            <w:tcW w:w="1520" w:type="dxa"/>
            <w:gridSpan w:val="5"/>
            <w:tcBorders/>
            <w:vAlign w:val="center"/>
          </w:tcPr>
          <w:p>
            <w:pPr>
              <w:pStyle w:val="TableContents"/>
              <w:bidi w:val="0"/>
              <w:spacing w:before="0" w:after="283"/>
              <w:jc w:val="left"/>
              <w:rPr>
                <w:sz w:val="4"/>
                <w:szCs w:val="4"/>
              </w:rPr>
            </w:pPr>
            <w:r>
              <w:rPr>
                <w:sz w:val="4"/>
                <w:szCs w:val="4"/>
              </w:rPr>
            </w:r>
          </w:p>
        </w:tc>
        <w:tc>
          <w:tcPr>
            <w:tcW w:w="1318" w:type="dxa"/>
            <w:gridSpan w:val="5"/>
            <w:tcBorders/>
            <w:vAlign w:val="center"/>
          </w:tcPr>
          <w:p>
            <w:pPr>
              <w:pStyle w:val="TableContents"/>
              <w:bidi w:val="0"/>
              <w:spacing w:before="0" w:after="283"/>
              <w:jc w:val="left"/>
              <w:rPr>
                <w:sz w:val="4"/>
                <w:szCs w:val="4"/>
              </w:rPr>
            </w:pPr>
            <w:r>
              <w:rPr>
                <w:sz w:val="4"/>
                <w:szCs w:val="4"/>
              </w:rPr>
            </w:r>
          </w:p>
        </w:tc>
      </w:tr>
      <w:tr>
        <w:trPr/>
        <w:tc>
          <w:tcPr>
            <w:tcW w:w="4580" w:type="dxa"/>
            <w:tcBorders>
              <w:bottom w:val="single" w:sz="8" w:space="0" w:color="F7ACBA"/>
            </w:tcBorders>
            <w:tcMar>
              <w:bottom w:w="80" w:type="dxa"/>
            </w:tcMar>
            <w:vAlign w:val="center"/>
          </w:tcPr>
          <w:p>
            <w:pPr>
              <w:pStyle w:val="TableContents"/>
              <w:bidi w:val="0"/>
              <w:spacing w:before="0" w:after="0"/>
              <w:jc w:val="left"/>
              <w:rPr>
                <w:rFonts w:ascii="arial" w:hAnsi="arial"/>
                <w:sz w:val="18"/>
              </w:rPr>
            </w:pPr>
            <w:r>
              <w:rPr>
                <w:rFonts w:ascii="arial" w:hAnsi="arial"/>
                <w:sz w:val="18"/>
              </w:rPr>
              <w:t>Directors and executive officers as a group (14 persons)</w:t>
            </w:r>
          </w:p>
        </w:tc>
        <w:tc>
          <w:tcPr>
            <w:tcW w:w="12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20" w:type="dxa"/>
            <w:tcBorders>
              <w:bottom w:val="single" w:sz="8" w:space="0" w:color="F7ACBA"/>
            </w:tcBorders>
            <w:tcMar>
              <w:bottom w:w="80" w:type="dxa"/>
            </w:tcMar>
            <w:vAlign w:val="center"/>
          </w:tcPr>
          <w:p>
            <w:pPr>
              <w:pStyle w:val="TableContents"/>
              <w:bidi w:val="0"/>
              <w:spacing w:before="0" w:after="283"/>
              <w:jc w:val="left"/>
              <w:rPr/>
            </w:pPr>
            <w:r>
              <w:rPr/>
              <w:t> </w:t>
            </w:r>
          </w:p>
        </w:tc>
        <w:tc>
          <w:tcPr>
            <w:tcW w:w="1100" w:type="dxa"/>
            <w:tcBorders>
              <w:bottom w:val="single" w:sz="8" w:space="0" w:color="F7ACBA"/>
            </w:tcBorders>
            <w:tcMar>
              <w:bottom w:w="80" w:type="dxa"/>
            </w:tcMar>
            <w:vAlign w:val="center"/>
          </w:tcPr>
          <w:p>
            <w:pPr>
              <w:pStyle w:val="TableContents"/>
              <w:bidi w:val="0"/>
              <w:spacing w:before="0" w:after="283"/>
              <w:jc w:val="right"/>
              <w:rPr/>
            </w:pPr>
            <w:r>
              <w:rPr/>
              <w:t>555,429</w:t>
            </w:r>
          </w:p>
        </w:tc>
        <w:tc>
          <w:tcPr>
            <w:tcW w:w="120" w:type="dxa"/>
            <w:tcBorders>
              <w:bottom w:val="single" w:sz="8" w:space="0" w:color="F7ACBA"/>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21" w:type="dxa"/>
            <w:tcBorders>
              <w:bottom w:val="single" w:sz="8" w:space="0" w:color="F7ACBA"/>
            </w:tcBorders>
            <w:tcMar>
              <w:bottom w:w="80" w:type="dxa"/>
            </w:tcMar>
            <w:vAlign w:val="center"/>
          </w:tcPr>
          <w:p>
            <w:pPr>
              <w:pStyle w:val="TableContents"/>
              <w:bidi w:val="0"/>
              <w:spacing w:before="0" w:after="283"/>
              <w:jc w:val="left"/>
              <w:rPr/>
            </w:pPr>
            <w:r>
              <w:rPr/>
              <w:t> </w:t>
            </w:r>
          </w:p>
        </w:tc>
        <w:tc>
          <w:tcPr>
            <w:tcW w:w="810" w:type="dxa"/>
            <w:tcBorders>
              <w:bottom w:val="single" w:sz="8" w:space="0" w:color="F7ACBA"/>
            </w:tcBorders>
            <w:tcMar>
              <w:bottom w:w="80" w:type="dxa"/>
            </w:tcMar>
            <w:vAlign w:val="center"/>
          </w:tcPr>
          <w:p>
            <w:pPr>
              <w:pStyle w:val="TableContents"/>
              <w:bidi w:val="0"/>
              <w:spacing w:before="0" w:after="283"/>
              <w:jc w:val="right"/>
              <w:rPr/>
            </w:pPr>
            <w:r>
              <w:rPr/>
              <w:t>291,117</w:t>
            </w:r>
          </w:p>
        </w:tc>
        <w:tc>
          <w:tcPr>
            <w:tcW w:w="121" w:type="dxa"/>
            <w:tcBorders>
              <w:bottom w:val="single" w:sz="8" w:space="0" w:color="F7ACBA"/>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F7ACBA"/>
            </w:tcBorders>
            <w:tcMar>
              <w:bottom w:w="28" w:type="dxa"/>
            </w:tcMar>
            <w:vAlign w:val="center"/>
          </w:tcPr>
          <w:p>
            <w:pPr>
              <w:pStyle w:val="TableContents"/>
              <w:bidi w:val="0"/>
              <w:spacing w:before="0" w:after="283"/>
              <w:jc w:val="left"/>
              <w:rPr/>
            </w:pPr>
            <w:r>
              <w:rPr/>
              <w:t>  </w:t>
            </w:r>
          </w:p>
        </w:tc>
        <w:tc>
          <w:tcPr>
            <w:tcW w:w="60" w:type="dxa"/>
            <w:tcBorders>
              <w:bottom w:val="single" w:sz="8" w:space="0" w:color="F7ACBA"/>
            </w:tcBorders>
            <w:tcMar>
              <w:bottom w:w="28" w:type="dxa"/>
            </w:tcMar>
            <w:vAlign w:val="center"/>
          </w:tcPr>
          <w:p>
            <w:pPr>
              <w:pStyle w:val="TableContents"/>
              <w:bidi w:val="0"/>
              <w:spacing w:before="0" w:after="283"/>
              <w:jc w:val="left"/>
              <w:rPr/>
            </w:pPr>
            <w:r>
              <w:rPr/>
              <w:t> </w:t>
            </w:r>
          </w:p>
        </w:tc>
        <w:tc>
          <w:tcPr>
            <w:tcW w:w="120" w:type="dxa"/>
            <w:tcBorders>
              <w:bottom w:val="single" w:sz="8" w:space="0" w:color="F7ACBA"/>
            </w:tcBorders>
            <w:tcMar>
              <w:bottom w:w="80" w:type="dxa"/>
            </w:tcMar>
            <w:vAlign w:val="center"/>
          </w:tcPr>
          <w:p>
            <w:pPr>
              <w:pStyle w:val="TableContents"/>
              <w:bidi w:val="0"/>
              <w:spacing w:before="0" w:after="283"/>
              <w:jc w:val="left"/>
              <w:rPr/>
            </w:pPr>
            <w:r>
              <w:rPr/>
              <w:t> </w:t>
            </w:r>
          </w:p>
        </w:tc>
        <w:tc>
          <w:tcPr>
            <w:tcW w:w="1100" w:type="dxa"/>
            <w:tcBorders>
              <w:bottom w:val="single" w:sz="8" w:space="0" w:color="F7ACBA"/>
            </w:tcBorders>
            <w:tcMar>
              <w:bottom w:w="80" w:type="dxa"/>
            </w:tcMar>
            <w:vAlign w:val="center"/>
          </w:tcPr>
          <w:p>
            <w:pPr>
              <w:pStyle w:val="TableContents"/>
              <w:bidi w:val="0"/>
              <w:spacing w:before="0" w:after="283"/>
              <w:jc w:val="right"/>
              <w:rPr/>
            </w:pPr>
            <w:r>
              <w:rPr/>
              <w:t>846,546</w:t>
            </w:r>
          </w:p>
        </w:tc>
        <w:tc>
          <w:tcPr>
            <w:tcW w:w="120" w:type="dxa"/>
            <w:tcBorders>
              <w:bottom w:val="single" w:sz="8" w:space="0" w:color="F7ACBA"/>
            </w:tcBorders>
            <w:tcMar>
              <w:bottom w:w="80" w:type="dxa"/>
            </w:tcMar>
            <w:vAlign w:val="center"/>
          </w:tcPr>
          <w:p>
            <w:pPr>
              <w:pStyle w:val="TableContents"/>
              <w:bidi w:val="0"/>
              <w:spacing w:before="0" w:after="283"/>
              <w:jc w:val="left"/>
              <w:rPr>
                <w:sz w:val="4"/>
                <w:szCs w:val="4"/>
              </w:rPr>
            </w:pPr>
            <w:r>
              <w:rPr>
                <w:sz w:val="4"/>
                <w:szCs w:val="4"/>
              </w:rPr>
            </w:r>
          </w:p>
        </w:tc>
        <w:tc>
          <w:tcPr>
            <w:tcW w:w="120" w:type="dxa"/>
            <w:tcBorders>
              <w:bottom w:val="single" w:sz="8" w:space="0" w:color="F7ACBA"/>
            </w:tcBorders>
            <w:tcMar>
              <w:bottom w:w="28" w:type="dxa"/>
            </w:tcMar>
            <w:vAlign w:val="center"/>
          </w:tcPr>
          <w:p>
            <w:pPr>
              <w:pStyle w:val="TableContents"/>
              <w:bidi w:val="0"/>
              <w:spacing w:before="0" w:after="283"/>
              <w:jc w:val="left"/>
              <w:rPr/>
            </w:pPr>
            <w:r>
              <w:rPr/>
              <w:t>  </w:t>
            </w:r>
          </w:p>
        </w:tc>
        <w:tc>
          <w:tcPr>
            <w:tcW w:w="112" w:type="dxa"/>
            <w:tcBorders>
              <w:bottom w:val="single" w:sz="8" w:space="0" w:color="F7ACBA"/>
            </w:tcBorders>
            <w:tcMar>
              <w:bottom w:w="28" w:type="dxa"/>
            </w:tcMar>
            <w:vAlign w:val="center"/>
          </w:tcPr>
          <w:p>
            <w:pPr>
              <w:pStyle w:val="TableContents"/>
              <w:bidi w:val="0"/>
              <w:spacing w:before="0" w:after="283"/>
              <w:jc w:val="left"/>
              <w:rPr/>
            </w:pPr>
            <w:r>
              <w:rPr/>
              <w:t> </w:t>
            </w:r>
          </w:p>
        </w:tc>
        <w:tc>
          <w:tcPr>
            <w:tcW w:w="120" w:type="dxa"/>
            <w:tcBorders>
              <w:bottom w:val="single" w:sz="8" w:space="0" w:color="F7ACBA"/>
            </w:tcBorders>
            <w:tcMar>
              <w:bottom w:w="80" w:type="dxa"/>
            </w:tcMar>
            <w:vAlign w:val="center"/>
          </w:tcPr>
          <w:p>
            <w:pPr>
              <w:pStyle w:val="TableContents"/>
              <w:bidi w:val="0"/>
              <w:spacing w:before="0" w:after="283"/>
              <w:jc w:val="left"/>
              <w:rPr/>
            </w:pPr>
            <w:r>
              <w:rPr/>
              <w:t> </w:t>
            </w:r>
          </w:p>
        </w:tc>
        <w:tc>
          <w:tcPr>
            <w:tcW w:w="824" w:type="dxa"/>
            <w:tcBorders>
              <w:bottom w:val="single" w:sz="8" w:space="0" w:color="F7ACBA"/>
            </w:tcBorders>
            <w:tcMar>
              <w:bottom w:w="80" w:type="dxa"/>
            </w:tcMar>
            <w:vAlign w:val="center"/>
          </w:tcPr>
          <w:p>
            <w:pPr>
              <w:pStyle w:val="TableContents"/>
              <w:bidi w:val="0"/>
              <w:spacing w:before="0" w:after="283"/>
              <w:jc w:val="right"/>
              <w:rPr/>
            </w:pPr>
            <w:r>
              <w:rPr/>
              <w:t>1.1% </w:t>
            </w:r>
          </w:p>
        </w:tc>
        <w:tc>
          <w:tcPr>
            <w:tcW w:w="142" w:type="dxa"/>
            <w:tcBorders>
              <w:bottom w:val="single" w:sz="8" w:space="0" w:color="F7ACBA"/>
            </w:tcBorders>
            <w:tcMar>
              <w:bottom w:w="8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955" w:type="dxa"/>
        <w:jc w:val="left"/>
        <w:tblInd w:w="0" w:type="dxa"/>
        <w:tblLayout w:type="fixed"/>
        <w:tblCellMar>
          <w:top w:w="0" w:type="dxa"/>
          <w:left w:w="0" w:type="dxa"/>
          <w:bottom w:w="0" w:type="dxa"/>
          <w:right w:w="0" w:type="dxa"/>
        </w:tblCellMar>
      </w:tblPr>
      <w:tblGrid>
        <w:gridCol w:w="155"/>
        <w:gridCol w:w="3800"/>
      </w:tblGrid>
      <w:tr>
        <w:trPr/>
        <w:tc>
          <w:tcPr>
            <w:tcW w:w="155" w:type="dxa"/>
            <w:tcBorders/>
            <w:vAlign w:val="center"/>
          </w:tcPr>
          <w:p>
            <w:pPr>
              <w:pStyle w:val="TableContents"/>
              <w:bidi w:val="0"/>
              <w:spacing w:before="0" w:after="283"/>
              <w:jc w:val="left"/>
              <w:rPr/>
            </w:pPr>
            <w:r>
              <w:rPr/>
              <w:t>*</w:t>
            </w:r>
          </w:p>
        </w:tc>
        <w:tc>
          <w:tcPr>
            <w:tcW w:w="3800" w:type="dxa"/>
            <w:tcBorders/>
            <w:vAlign w:val="center"/>
          </w:tcPr>
          <w:p>
            <w:pPr>
              <w:pStyle w:val="TableContents"/>
              <w:bidi w:val="0"/>
              <w:spacing w:before="0" w:after="0"/>
              <w:jc w:val="left"/>
              <w:rPr>
                <w:rFonts w:ascii="arial" w:hAnsi="arial"/>
                <w:sz w:val="14"/>
              </w:rPr>
            </w:pPr>
            <w:r>
              <w:rPr>
                <w:rFonts w:ascii="arial" w:hAnsi="arial"/>
                <w:sz w:val="14"/>
              </w:rPr>
              <w:t xml:space="preserve">Represents less than 1% of our outstanding common stock. </w:t>
            </w:r>
          </w:p>
        </w:tc>
      </w:tr>
    </w:tbl>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45"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34" descr=""/>
                          <pic:cNvPicPr>
                            <a:picLocks noChangeAspect="1" noChangeArrowheads="1"/>
                          </pic:cNvPicPr>
                        </pic:nvPicPr>
                        <pic:blipFill>
                          <a:blip r:embed="rId135"/>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86 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BENEFICIAL OWNERSHIP OF SHARES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(1)</w:t>
            </w:r>
          </w:p>
        </w:tc>
        <w:tc>
          <w:tcPr>
            <w:tcW w:w="9923" w:type="dxa"/>
            <w:tcBorders/>
            <w:vAlign w:val="center"/>
          </w:tcPr>
          <w:p>
            <w:pPr>
              <w:pStyle w:val="TableContents"/>
              <w:bidi w:val="0"/>
              <w:spacing w:before="0" w:after="0"/>
              <w:jc w:val="left"/>
              <w:rPr>
                <w:rFonts w:ascii="arial" w:hAnsi="arial"/>
                <w:sz w:val="14"/>
              </w:rPr>
            </w:pPr>
            <w:r>
              <w:rPr>
                <w:rFonts w:ascii="arial" w:hAnsi="arial"/>
                <w:sz w:val="14"/>
              </w:rPr>
              <w:t xml:space="preserve">Includes (i) shares subject to options that are or may become exercisable within 60 days of April 15, 2024 and (ii) shares underlying unvested restricted stock units that are scheduled to vest within 60 days of April 15,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8"/>
        <w:gridCol w:w="9907"/>
      </w:tblGrid>
      <w:tr>
        <w:trPr/>
        <w:tc>
          <w:tcPr>
            <w:tcW w:w="298" w:type="dxa"/>
            <w:tcBorders/>
            <w:vAlign w:val="center"/>
          </w:tcPr>
          <w:p>
            <w:pPr>
              <w:pStyle w:val="TableContents"/>
              <w:bidi w:val="0"/>
              <w:spacing w:before="0" w:after="283"/>
              <w:jc w:val="left"/>
              <w:rPr/>
            </w:pPr>
            <w:r>
              <w:rPr/>
              <w:t>(2)</w:t>
            </w:r>
          </w:p>
        </w:tc>
        <w:tc>
          <w:tcPr>
            <w:tcW w:w="9907" w:type="dxa"/>
            <w:tcBorders/>
            <w:vAlign w:val="center"/>
          </w:tcPr>
          <w:p>
            <w:pPr>
              <w:pStyle w:val="TableContents"/>
              <w:bidi w:val="0"/>
              <w:spacing w:before="0" w:after="0"/>
              <w:jc w:val="left"/>
              <w:rPr>
                <w:rFonts w:ascii="arial" w:hAnsi="arial"/>
                <w:sz w:val="14"/>
              </w:rPr>
            </w:pPr>
            <w:r>
              <w:rPr>
                <w:rFonts w:ascii="arial" w:hAnsi="arial"/>
                <w:sz w:val="14"/>
              </w:rPr>
              <w:t xml:space="preserve">Percent is based on 78,288,227 shares outstanding as of April 15, 2024, and the shares that such executive officer has the right to acquire within 60 days of April 15,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(3)</w:t>
            </w:r>
          </w:p>
        </w:tc>
        <w:tc>
          <w:tcPr>
            <w:tcW w:w="9937" w:type="dxa"/>
            <w:tcBorders/>
            <w:vAlign w:val="center"/>
          </w:tcPr>
          <w:p>
            <w:pPr>
              <w:pStyle w:val="TableContents"/>
              <w:bidi w:val="0"/>
              <w:spacing w:before="0" w:after="0"/>
              <w:jc w:val="left"/>
              <w:rPr>
                <w:rFonts w:ascii="arial" w:hAnsi="arial"/>
                <w:sz w:val="14"/>
              </w:rPr>
            </w:pPr>
            <w:r>
              <w:rPr>
                <w:rFonts w:ascii="arial" w:hAnsi="arial"/>
                <w:sz w:val="14"/>
              </w:rPr>
              <w:t xml:space="preserve">Based solely on information set forth in the Schedule 13G/A filed January 23, 2024 by BlackRock, Inc. (“BlackRock”). BlackRock reported sole voting power over 10,130,118 shares and sole investment power over 10,553,549 shares. BlackRock’s address is 50 Hudson Yards, New York, NY 10001.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(4)</w:t>
            </w:r>
          </w:p>
        </w:tc>
        <w:tc>
          <w:tcPr>
            <w:tcW w:w="9943" w:type="dxa"/>
            <w:tcBorders/>
            <w:vAlign w:val="center"/>
          </w:tcPr>
          <w:p>
            <w:pPr>
              <w:pStyle w:val="TableContents"/>
              <w:bidi w:val="0"/>
              <w:spacing w:before="0" w:after="0"/>
              <w:jc w:val="left"/>
              <w:rPr>
                <w:rFonts w:ascii="arial" w:hAnsi="arial"/>
                <w:sz w:val="14"/>
              </w:rPr>
            </w:pPr>
            <w:r>
              <w:rPr>
                <w:rFonts w:ascii="arial" w:hAnsi="arial"/>
                <w:sz w:val="14"/>
              </w:rPr>
              <w:t xml:space="preserve">Based solely on information set forth in the Schedule 13G/A filed February 13, 2024 by The Vanguard Group (“Vanguard”). Vanguard reported shared voting power over 28,184 shares, shared investment power over 106,775 shares, and sole investment power over 8,460,373 shares. Vanguard’s address is 100 Vanguard Boulevard, Malvern, PA 19355.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(5)</w:t>
            </w:r>
          </w:p>
        </w:tc>
        <w:tc>
          <w:tcPr>
            <w:tcW w:w="9965" w:type="dxa"/>
            <w:tcBorders/>
            <w:vAlign w:val="center"/>
          </w:tcPr>
          <w:p>
            <w:pPr>
              <w:pStyle w:val="TableContents"/>
              <w:bidi w:val="0"/>
              <w:spacing w:before="0" w:after="0"/>
              <w:jc w:val="left"/>
              <w:rPr>
                <w:rFonts w:ascii="arial" w:hAnsi="arial"/>
                <w:sz w:val="14"/>
              </w:rPr>
            </w:pPr>
            <w:r>
              <w:rPr>
                <w:rFonts w:ascii="arial" w:hAnsi="arial"/>
                <w:sz w:val="14"/>
              </w:rPr>
              <w:t xml:space="preserve">Based solely on information set forth in the Schedule 13D filed February 1, 2024 by BBFIT Investments Pte Ltd (“BBFIT”), The BB Family International Trust (the “BB Trust”), BBRC International Pte Limited (“BBRC”), and Bretty Blundy (“Mr. Blundy,” and collectively with BBFIT, the BB Trust, and BBRC, the “BBRC Reporting Persons”). BBFIT reported shared voting power and shared investment power over 3,801,510 shares. Each of the Trust, BBRC and Mr. Blundy reported shared voting power and shared investment power over 7,603,019 shares. The address of the principal office of each of the BBRC Reporting Persons is 3 Phillip Street #11-01, Royal Group Building, Singapore 048693. BBRC, as trustee of the Trust, may be deemed to beneficially own the shares owned by BBFIT and the Trust, together with the shares it beneficially owns directly, and Mr. Blundy, as director and sole shareholder of BBRC, may be deemed to beneficially own the shares owned by BBFIT and the Trust. Each of the BBRC Reporting Persons disclaimed beneficial ownership of any shares that he or it does not directly own.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(6)</w:t>
            </w:r>
          </w:p>
        </w:tc>
        <w:tc>
          <w:tcPr>
            <w:tcW w:w="9963" w:type="dxa"/>
            <w:tcBorders/>
            <w:vAlign w:val="center"/>
          </w:tcPr>
          <w:p>
            <w:pPr>
              <w:pStyle w:val="TableContents"/>
              <w:bidi w:val="0"/>
              <w:spacing w:before="0" w:after="0"/>
              <w:jc w:val="left"/>
              <w:rPr>
                <w:rFonts w:ascii="arial" w:hAnsi="arial"/>
                <w:sz w:val="14"/>
              </w:rPr>
            </w:pPr>
            <w:r>
              <w:rPr>
                <w:rFonts w:ascii="arial" w:hAnsi="arial"/>
                <w:sz w:val="14"/>
              </w:rPr>
              <w:t xml:space="preserve">Based solely on information set forth in the Schedule 13G/A filed February 14, 2024 by The WindAcre Partnership, LLC (“WindAcre”), The WindAcre Partnership Master Fund, LP (the “Master Fund”) and Snehal Rajnikant Amin (“Mr. Amin”) (each, a “WindAcre Reporting Person”). Each WindAcre Reporting Person reported shared voting power and shared investment power over 5,588,190 shares. WindAcre’s address is 2200 Post Oak Boulevard, Suite 1580, Houston, TX 77056. The Master Fund’s address is Ogier Global (Cayman) Limited, 89 Nexus Way, Camana Bay, Grand Cayman KY1-9009, Cayman Islands. WindAcre serves as the investment manager of the Master Fund. Mr. Amin is the managing member of WindAcre. By virtue of these relationships, each of WindAcre and Mr. Amin may be deemed to beneficially own the Company shares directly owned by the Master Fund.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(7)</w:t>
            </w:r>
          </w:p>
        </w:tc>
        <w:tc>
          <w:tcPr>
            <w:tcW w:w="9966" w:type="dxa"/>
            <w:tcBorders/>
            <w:vAlign w:val="center"/>
          </w:tcPr>
          <w:p>
            <w:pPr>
              <w:pStyle w:val="TableContents"/>
              <w:bidi w:val="0"/>
              <w:spacing w:before="0" w:after="0"/>
              <w:jc w:val="left"/>
              <w:rPr>
                <w:rFonts w:ascii="arial" w:hAnsi="arial"/>
                <w:sz w:val="14"/>
              </w:rPr>
            </w:pPr>
            <w:r>
              <w:rPr>
                <w:rFonts w:ascii="arial" w:hAnsi="arial"/>
                <w:sz w:val="14"/>
              </w:rPr>
              <w:t xml:space="preserve">Based solely on information set forth in the Schedule 13G/A filed February 9, 2024 by FMR LLC (“Fidelity”) and Abigail P. Johnson (“Ms. Johnson”). Fidelity reported sole voting power over 4,993,183 shares and sole investment power over 5,058,784 shares. Ms. Johnson reported shared investment power over 5,058,784 shares. Fidelity’s address is 245 Summer Street, Boston, MA 02210. Ms. Johnson is a director, the chairman and the chief executive officer of Fidelity. Members of the Johnson family, including Ms. Johnson, are the predominant owners, directly or through trusts, of Series B voting common shares of Fidelity, representing 49% of the voting power of Fidelity.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Fidelity.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(8)</w:t>
            </w:r>
          </w:p>
        </w:tc>
        <w:tc>
          <w:tcPr>
            <w:tcW w:w="9960" w:type="dxa"/>
            <w:tcBorders/>
            <w:vAlign w:val="center"/>
          </w:tcPr>
          <w:p>
            <w:pPr>
              <w:pStyle w:val="TableContents"/>
              <w:bidi w:val="0"/>
              <w:spacing w:before="0" w:after="0"/>
              <w:jc w:val="left"/>
              <w:rPr>
                <w:rFonts w:ascii="arial" w:hAnsi="arial"/>
                <w:sz w:val="14"/>
              </w:rPr>
            </w:pPr>
            <w:r>
              <w:rPr>
                <w:rFonts w:ascii="arial" w:hAnsi="arial"/>
                <w:sz w:val="14"/>
              </w:rPr>
              <w:t xml:space="preserve">Based solely on information set forth in the Schedule 13G filed February 9, 2024 by Morgan Stanley and Morgan Stanley Capital Services LLC (“Morgan Stanley Capital”). Morgan Stanley reported shared voting power over 4,985,052 shares and shared investment power over 5,019,574 shares. Morgan Stanley Capital reported shared voting power and shared investment power over 4,324,349 shares. The address of Morgan Stanley and Morgan Stanley Capital is 1585 Broadway, New York, NY 10036. The shares being reported on by Morgan Stanley as a parent holding company are owned, or may be deemed to be beneficially owned, by Morgan Stanley Capital, a wholly-owned subsidiary of Morgan Stanley. </w:t>
            </w:r>
          </w:p>
        </w:tc>
      </w:tr>
    </w:tbl>
    <w:p>
      <w:pPr>
        <w:pStyle w:val="TextBody"/>
        <w:bidi w:val="0"/>
        <w:spacing w:before="240" w:after="0"/>
        <w:jc w:val="left"/>
        <w:rPr>
          <w:rFonts w:ascii="arial" w:hAnsi="arial"/>
          <w:b/>
          <w:color w:val="F7ACBA"/>
          <w:sz w:val="24"/>
        </w:rPr>
      </w:pPr>
      <w:r>
        <w:rPr>
          <w:rFonts w:ascii="arial" w:hAnsi="arial"/>
          <w:b/>
          <w:color w:val="F7ACBA"/>
          <w:sz w:val="24"/>
        </w:rPr>
        <w:t xml:space="preserve">Delinquent Section 16(a) Reports </w:t>
      </w:r>
    </w:p>
    <w:p>
      <w:pPr>
        <w:pStyle w:val="TextBody"/>
        <w:bidi w:val="0"/>
        <w:spacing w:before="60" w:after="0"/>
        <w:jc w:val="left"/>
        <w:rPr>
          <w:rFonts w:ascii="arial" w:hAnsi="arial"/>
          <w:sz w:val="18"/>
        </w:rPr>
      </w:pPr>
      <w:r>
        <w:rPr>
          <w:rFonts w:ascii="arial" w:hAnsi="arial"/>
          <w:sz w:val="18"/>
        </w:rPr>
        <w:t xml:space="preserve">Section 16(a) of the Exchange Act requires our directors and executive officers and stockholders owning more than 10% of our outstanding common stock (“reporting persons”) to file initial reports of ownership and reports of changes in ownership of our common stock with the SEC and to provide us with copies of those forms. To our knowledge, based solely on review of the Section 16(a) forms received by us, we believe that all reports required to be filed by Section 16(a) of the Exchange Act during fiscal 2023 were timely filed, other than Forms 4 filed on June 7, 2023 by each of Irene Chang Britt, Sarah Davis, Jacqueline Hernández, Donna James, Mariam Naficy, Lauren Peters and Anne Sheehan to report the grant of annual equity compensation. </w:t>
      </w:r>
    </w:p>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46"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35" descr=""/>
                          <pic:cNvPicPr>
                            <a:picLocks noChangeAspect="1" noChangeArrowheads="1"/>
                          </pic:cNvPicPr>
                        </pic:nvPicPr>
                        <pic:blipFill>
                          <a:blip r:embed="rId136"/>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87 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AUDIT COMMITTEE MATTERS </w:t>
      </w:r>
    </w:p>
    <w:p>
      <w:pPr>
        <w:pStyle w:val="TextBody"/>
        <w:bidi w:val="0"/>
        <w:spacing w:before="0" w:after="0"/>
        <w:jc w:val="left"/>
        <w:rPr/>
      </w:pPr>
      <w:r>
        <w:rPr/>
        <w:t> </w:t>
      </w:r>
    </w:p>
    <w:p>
      <w:pPr>
        <w:pStyle w:val="TextBody"/>
        <w:bidi w:val="0"/>
        <w:spacing w:before="0" w:after="0"/>
        <w:jc w:val="center"/>
        <w:rPr>
          <w:rFonts w:ascii="Times New Roman" w:hAnsi="Times New Roman"/>
          <w:b/>
          <w:sz w:val="60"/>
        </w:rPr>
      </w:pPr>
      <w:bookmarkStart w:id="31" w:name="toc540996_24"/>
      <w:bookmarkEnd w:id="31"/>
      <w:r>
        <w:rPr>
          <w:rFonts w:ascii="Times New Roman" w:hAnsi="Times New Roman"/>
          <w:b/>
          <w:sz w:val="60"/>
        </w:rPr>
        <w:t xml:space="preserve">AUDIT COMMITTEE MATTERS </w:t>
      </w:r>
    </w:p>
    <w:p>
      <w:pPr>
        <w:pStyle w:val="TextBody"/>
        <w:bidi w:val="0"/>
        <w:spacing w:before="0" w:after="0"/>
        <w:jc w:val="left"/>
        <w:rPr/>
      </w:pPr>
      <w:r>
        <w:rPr/>
        <w:t> </w:t>
      </w:r>
    </w:p>
    <w:p>
      <w:pPr>
        <w:pStyle w:val="TextBody"/>
        <w:pBdr>
          <w:bottom w:val="single" w:sz="2" w:space="1" w:color="000000"/>
        </w:pBdr>
        <w:bidi w:val="0"/>
        <w:spacing w:lineRule="atLeast" w:line="142" w:before="0" w:after="40"/>
        <w:jc w:val="center"/>
        <w:rPr/>
      </w:pPr>
      <w:r>
        <w:rPr/>
        <w:t> </w:t>
      </w:r>
    </w:p>
    <w:p>
      <w:pPr>
        <w:pStyle w:val="TextBody"/>
        <w:bidi w:val="0"/>
        <w:spacing w:before="360" w:after="0"/>
        <w:jc w:val="left"/>
        <w:rPr>
          <w:rFonts w:ascii="arial" w:hAnsi="arial"/>
          <w:sz w:val="30"/>
        </w:rPr>
      </w:pPr>
      <w:r>
        <w:rPr>
          <w:rFonts w:ascii="arial" w:hAnsi="arial"/>
          <w:sz w:val="30"/>
        </w:rPr>
        <w:t xml:space="preserve">Report of the Audit Committee </w:t>
      </w:r>
    </w:p>
    <w:p>
      <w:pPr>
        <w:pStyle w:val="TextBody"/>
        <w:bidi w:val="0"/>
        <w:spacing w:before="120" w:after="0"/>
        <w:jc w:val="left"/>
        <w:rPr>
          <w:rFonts w:ascii="arial" w:hAnsi="arial"/>
          <w:sz w:val="18"/>
        </w:rPr>
      </w:pPr>
      <w:r>
        <w:rPr>
          <w:rFonts w:ascii="arial" w:hAnsi="arial"/>
          <w:sz w:val="18"/>
        </w:rPr>
        <w:t xml:space="preserve">The Audit Committee is instrumental in the Board’s fulfillment of its oversight responsibilities relating to (i) the integrity of VS&amp;Co’s financial statements, (ii) VS&amp;Co’s compliance with legal and regulatory requirements, (iii) the qualifications, independence and performance of VS&amp;Co’s independent auditors and (iv) the performance of VS&amp;Co’s internal audit function, as set forth and required by our written charter. </w:t>
      </w:r>
    </w:p>
    <w:p>
      <w:pPr>
        <w:pStyle w:val="TextBody"/>
        <w:bidi w:val="0"/>
        <w:spacing w:before="120" w:after="0"/>
        <w:jc w:val="left"/>
        <w:rPr>
          <w:rFonts w:ascii="arial" w:hAnsi="arial"/>
          <w:sz w:val="18"/>
        </w:rPr>
      </w:pPr>
      <w:r>
        <w:rPr>
          <w:rFonts w:ascii="arial" w:hAnsi="arial"/>
          <w:sz w:val="18"/>
        </w:rPr>
        <w:t xml:space="preserve">It is not the duty of the Audit Committee to plan or conduct audits or to determine that VS&amp;Co’s financial statements are complete and accurate and are in accordance with generally accepted accounting principles. This is the responsibility of management and the independent auditors. Furthermore, while we are responsible for reviewing VS&amp;Co’s policies and practices with respect to risk assessment and management, it is the responsibility of the CEO and our senior management team to determine the appropriate level of VS&amp;Co’s exposure to risk. </w:t>
      </w:r>
    </w:p>
    <w:p>
      <w:pPr>
        <w:pStyle w:val="TextBody"/>
        <w:bidi w:val="0"/>
        <w:spacing w:before="120" w:after="0"/>
        <w:jc w:val="left"/>
        <w:rPr>
          <w:rFonts w:ascii="arial" w:hAnsi="arial"/>
          <w:sz w:val="18"/>
        </w:rPr>
      </w:pPr>
      <w:r>
        <w:rPr>
          <w:rFonts w:ascii="arial" w:hAnsi="arial"/>
          <w:sz w:val="18"/>
        </w:rPr>
        <w:t xml:space="preserve">We have reviewed and discussed VS&amp;Co’s audited financial statements as of and for the year ended February 3, 2024 and met with both management and our independent auditors to discuss the financial statements. Management has represented to us that the financial statements were prepared in accordance with generally accepted accounting principles. We have reviewed with the internal auditors and independent auditors the overall scope and plans for their respective audits. We also met with the internal auditors and independent auditors, with and without management present, to discuss the results of their examinations. </w:t>
      </w:r>
    </w:p>
    <w:p>
      <w:pPr>
        <w:pStyle w:val="TextBody"/>
        <w:bidi w:val="0"/>
        <w:spacing w:before="120" w:after="0"/>
        <w:jc w:val="left"/>
        <w:rPr>
          <w:rFonts w:ascii="arial" w:hAnsi="arial"/>
          <w:sz w:val="18"/>
        </w:rPr>
      </w:pPr>
      <w:r>
        <w:rPr>
          <w:rFonts w:ascii="arial" w:hAnsi="arial"/>
          <w:sz w:val="18"/>
        </w:rPr>
        <w:t xml:space="preserve">We have also discussed with the independent auditors the matters required to be discussed by the applicable requirements of the Public Company Accounting Oversight Board (the “PCAOB”) and the SEC. VS&amp;Co’s independent auditors also provided to us the written disclosures and the letter required by applicable requirements of the PCAOB regarding the independent auditor’s communications with the audit committee concerning independence, and we discussed with the independent auditors their independence from VS&amp;Co. We considered whether the provision of non-audit services by the independent auditors to VS&amp;Co is compatible with maintaining their independence. </w:t>
      </w:r>
    </w:p>
    <w:p>
      <w:pPr>
        <w:pStyle w:val="TextBody"/>
        <w:bidi w:val="0"/>
        <w:spacing w:before="120" w:after="0"/>
        <w:jc w:val="left"/>
        <w:rPr>
          <w:rFonts w:ascii="arial" w:hAnsi="arial"/>
          <w:sz w:val="18"/>
        </w:rPr>
      </w:pPr>
      <w:r>
        <w:rPr>
          <w:rFonts w:ascii="arial" w:hAnsi="arial"/>
          <w:sz w:val="18"/>
        </w:rPr>
        <w:t xml:space="preserve">Based on the reviews and discussions summarized in this Report, and subject to the limitations on our role and responsibilities, certain of which are referred to above and in the Audit Committee charter, we recommended to the Board that VS&amp;Co’s audited financial statements be included in its 2023 Annual Report for filing with the SEC. </w:t>
      </w:r>
    </w:p>
    <w:p>
      <w:pPr>
        <w:pStyle w:val="TextBody"/>
        <w:bidi w:val="0"/>
        <w:spacing w:before="120" w:after="0"/>
        <w:jc w:val="left"/>
        <w:rPr>
          <w:rFonts w:ascii="arial" w:hAnsi="arial"/>
          <w:sz w:val="18"/>
        </w:rPr>
      </w:pPr>
      <w:r>
        <w:rPr>
          <w:rFonts w:ascii="arial" w:hAnsi="arial"/>
          <w:sz w:val="18"/>
        </w:rPr>
        <w:t xml:space="preserve">We have appointed Ernst &amp; Young LLP as VS&amp;Co’s independent registered public accounting firm for fiscal year 2024. </w:t>
      </w:r>
    </w:p>
    <w:p>
      <w:pPr>
        <w:pStyle w:val="TextBody"/>
        <w:bidi w:val="0"/>
        <w:spacing w:before="120" w:after="0"/>
        <w:jc w:val="left"/>
        <w:rPr>
          <w:rFonts w:ascii="arial" w:hAnsi="arial"/>
          <w:sz w:val="18"/>
        </w:rPr>
      </w:pPr>
      <w:r>
        <w:rPr>
          <w:rFonts w:ascii="arial" w:hAnsi="arial"/>
          <w:sz w:val="18"/>
        </w:rPr>
        <w:t xml:space="preserve">Audit Committee </w:t>
      </w:r>
    </w:p>
    <w:p>
      <w:pPr>
        <w:pStyle w:val="TextBody"/>
        <w:bidi w:val="0"/>
        <w:spacing w:before="240" w:after="0"/>
        <w:jc w:val="left"/>
        <w:rPr>
          <w:rFonts w:ascii="arial" w:hAnsi="arial"/>
          <w:sz w:val="18"/>
        </w:rPr>
      </w:pPr>
      <w:r>
        <w:rPr>
          <w:rFonts w:ascii="arial" w:hAnsi="arial"/>
          <w:sz w:val="18"/>
        </w:rPr>
        <w:t xml:space="preserve">Sarah Davis, Chair </w:t>
      </w:r>
    </w:p>
    <w:p>
      <w:pPr>
        <w:pStyle w:val="TextBody"/>
        <w:bidi w:val="0"/>
        <w:spacing w:before="0" w:after="0"/>
        <w:jc w:val="left"/>
        <w:rPr>
          <w:rFonts w:ascii="arial" w:hAnsi="arial"/>
          <w:sz w:val="18"/>
        </w:rPr>
      </w:pPr>
      <w:r>
        <w:rPr>
          <w:rFonts w:ascii="arial" w:hAnsi="arial"/>
          <w:sz w:val="18"/>
        </w:rPr>
        <w:t xml:space="preserve">Irene Chang Britt </w:t>
      </w:r>
    </w:p>
    <w:p>
      <w:pPr>
        <w:pStyle w:val="TextBody"/>
        <w:bidi w:val="0"/>
        <w:spacing w:before="0" w:after="0"/>
        <w:jc w:val="left"/>
        <w:rPr>
          <w:rFonts w:ascii="arial" w:hAnsi="arial"/>
          <w:sz w:val="18"/>
        </w:rPr>
      </w:pPr>
      <w:r>
        <w:rPr>
          <w:rFonts w:ascii="arial" w:hAnsi="arial"/>
          <w:sz w:val="18"/>
        </w:rPr>
        <w:t xml:space="preserve">Donna James </w:t>
      </w:r>
    </w:p>
    <w:p>
      <w:pPr>
        <w:pStyle w:val="TextBody"/>
        <w:bidi w:val="0"/>
        <w:spacing w:before="0" w:after="0"/>
        <w:jc w:val="left"/>
        <w:rPr>
          <w:rFonts w:ascii="arial" w:hAnsi="arial"/>
          <w:sz w:val="18"/>
        </w:rPr>
      </w:pPr>
      <w:r>
        <w:rPr>
          <w:rFonts w:ascii="arial" w:hAnsi="arial"/>
          <w:sz w:val="18"/>
        </w:rPr>
        <w:t xml:space="preserve">Lauren Peters </w:t>
      </w:r>
    </w:p>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47"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36" descr=""/>
                          <pic:cNvPicPr>
                            <a:picLocks noChangeAspect="1" noChangeArrowheads="1"/>
                          </pic:cNvPicPr>
                        </pic:nvPicPr>
                        <pic:blipFill>
                          <a:blip r:embed="rId137"/>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88 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PROPOSAL FIVE: RATIFICATION OF APPOINTMENT OF INDEPENDENT REGISTERED PUBLIC ACCOUNTING FIRM </w:t>
      </w:r>
    </w:p>
    <w:p>
      <w:pPr>
        <w:pStyle w:val="TextBody"/>
        <w:bidi w:val="0"/>
        <w:spacing w:before="0" w:after="0"/>
        <w:jc w:val="left"/>
        <w:rPr/>
      </w:pPr>
      <w:r>
        <w:rPr/>
        <w:t> </w:t>
      </w:r>
    </w:p>
    <w:p>
      <w:pPr>
        <w:pStyle w:val="TextBody"/>
        <w:bidi w:val="0"/>
        <w:spacing w:before="0" w:after="0"/>
        <w:jc w:val="center"/>
        <w:rPr>
          <w:rFonts w:ascii="Times New Roman" w:hAnsi="Times New Roman"/>
          <w:i/>
          <w:sz w:val="36"/>
        </w:rPr>
      </w:pPr>
      <w:bookmarkStart w:id="32" w:name="toc540996_25"/>
      <w:bookmarkEnd w:id="32"/>
      <w:r>
        <w:rPr>
          <w:rFonts w:ascii="Times New Roman" w:hAnsi="Times New Roman"/>
          <w:i/>
          <w:sz w:val="36"/>
        </w:rPr>
        <w:t xml:space="preserve">Proposal Five: </w:t>
      </w:r>
    </w:p>
    <w:p>
      <w:pPr>
        <w:pStyle w:val="TextBody"/>
        <w:bidi w:val="0"/>
        <w:spacing w:before="0" w:after="0"/>
        <w:jc w:val="center"/>
        <w:rPr>
          <w:rFonts w:ascii="Times New Roman" w:hAnsi="Times New Roman"/>
          <w:b/>
          <w:sz w:val="60"/>
        </w:rPr>
      </w:pPr>
      <w:bookmarkStart w:id="33" w:name="txa540996_105"/>
      <w:bookmarkEnd w:id="33"/>
      <w:r>
        <w:rPr>
          <w:rFonts w:ascii="Times New Roman" w:hAnsi="Times New Roman"/>
          <w:b/>
          <w:sz w:val="60"/>
        </w:rPr>
        <w:t xml:space="preserve">RATIFICATION OF APPOINTMENT OF INDEPENDENT REGISTERED PUBLIC ACCOUNTING FIRM </w:t>
      </w:r>
    </w:p>
    <w:p>
      <w:pPr>
        <w:pStyle w:val="TextBody"/>
        <w:bidi w:val="0"/>
        <w:spacing w:before="0" w:after="0"/>
        <w:jc w:val="left"/>
        <w:rPr/>
      </w:pPr>
      <w:r>
        <w:rPr/>
        <w:t> </w:t>
      </w:r>
    </w:p>
    <w:p>
      <w:pPr>
        <w:pStyle w:val="TextBody"/>
        <w:pBdr>
          <w:bottom w:val="single" w:sz="2" w:space="1" w:color="000000"/>
        </w:pBdr>
        <w:bidi w:val="0"/>
        <w:spacing w:lineRule="atLeast" w:line="142" w:before="0" w:after="40"/>
        <w:jc w:val="center"/>
        <w:rPr/>
      </w:pPr>
      <w:r>
        <w:rPr/>
        <w:t> </w:t>
      </w:r>
    </w:p>
    <w:p>
      <w:pPr>
        <w:pStyle w:val="TextBody"/>
        <w:bidi w:val="0"/>
        <w:spacing w:before="360" w:after="0"/>
        <w:jc w:val="left"/>
        <w:rPr>
          <w:rFonts w:ascii="arial" w:hAnsi="arial"/>
          <w:sz w:val="18"/>
        </w:rPr>
      </w:pPr>
      <w:r>
        <w:rPr>
          <w:rFonts w:ascii="arial" w:hAnsi="arial"/>
          <w:sz w:val="18"/>
        </w:rPr>
        <w:t xml:space="preserve">Ernst &amp; Young LLP has been VS&amp;Co’s independent registered public accounting firm since the spin-off from L Brands in 2021, including for purposes of performing an audit of the financial statements included in our Annual Report on Form 10-K for the fiscal year ended February 3, 2024. On March 19, 2024, the Audit Committee approved the engagement of Ernst &amp; Young LLP to serve as our independent registered public accounting firm and to perform the audit of our financial statements and internal control over financial reporting for the fiscal year ending February 1, 2025. Representatives of Ernst &amp; Young LLP are expected to be present at the 2024 Annual Meeting and will have the opportunity to make a statement if they so desire and to respond to appropriate questions. </w:t>
      </w:r>
    </w:p>
    <w:p>
      <w:pPr>
        <w:pStyle w:val="TextBody"/>
        <w:bidi w:val="0"/>
        <w:spacing w:before="120" w:after="0"/>
        <w:jc w:val="left"/>
        <w:rPr>
          <w:rFonts w:ascii="arial" w:hAnsi="arial"/>
          <w:sz w:val="18"/>
        </w:rPr>
      </w:pPr>
      <w:r>
        <w:rPr>
          <w:rFonts w:ascii="arial" w:hAnsi="arial"/>
          <w:sz w:val="18"/>
        </w:rPr>
        <w:t xml:space="preserve">Although ratification of the Audit Committee’s appointment of Ernst &amp; Young LLP is not required by law or our governing documents, the Board is submitting the appointment of Ernst &amp; Young LLP as our independent registered public accounting firm to our stockholders for ratification because we value our stockholders’ views on this matter. If stockholders do not ratify the appointment, the Audit Committee will investigate the reasons behind the rejection and reconsider its appointment. Even if the appointment is ratified, the Audit Committee, in its discretion, may select a different independent registered public accounting firm at any time during the year if it determines that such a change would be in the best interests of VS&amp;Co and its stockholders. </w:t>
      </w:r>
    </w:p>
    <w:p>
      <w:pPr>
        <w:pStyle w:val="TextBody"/>
        <w:bidi w:val="0"/>
        <w:spacing w:before="240" w:after="0"/>
        <w:jc w:val="left"/>
        <w:rPr>
          <w:rFonts w:ascii="arial" w:hAnsi="arial"/>
          <w:b/>
          <w:color w:val="F7ACBA"/>
          <w:sz w:val="24"/>
        </w:rPr>
      </w:pPr>
      <w:r>
        <w:rPr>
          <w:rFonts w:ascii="arial" w:hAnsi="arial"/>
          <w:b/>
          <w:color w:val="F7ACBA"/>
          <w:sz w:val="24"/>
        </w:rPr>
        <w:t xml:space="preserve">Fees of Independent Registered Public Accounting Firm </w:t>
      </w:r>
    </w:p>
    <w:p>
      <w:pPr>
        <w:pStyle w:val="TextBody"/>
        <w:bidi w:val="0"/>
        <w:spacing w:before="60" w:after="0"/>
        <w:jc w:val="left"/>
        <w:rPr>
          <w:rFonts w:ascii="arial" w:hAnsi="arial"/>
          <w:sz w:val="18"/>
        </w:rPr>
      </w:pPr>
      <w:r>
        <w:rPr>
          <w:rFonts w:ascii="arial" w:hAnsi="arial"/>
          <w:sz w:val="18"/>
        </w:rPr>
        <w:t xml:space="preserve">During our 2023 fiscal year, Ernst &amp; Young LLP served as VS&amp;Co’s independent registered public accounting firm and in that capacity rendered an opinion on our consolidated financial statements as of and for the fiscal year ended February 3, 2024. The Audit Committee has selected Ernst &amp; Young LLP as VS&amp;Co’s independent registered public accounting firm for the current fiscal year. </w:t>
      </w:r>
    </w:p>
    <w:p>
      <w:pPr>
        <w:pStyle w:val="TextBody"/>
        <w:bidi w:val="0"/>
        <w:spacing w:before="240" w:after="0"/>
        <w:jc w:val="left"/>
        <w:rPr>
          <w:rFonts w:ascii="Times New Roman" w:hAnsi="Times New Roman"/>
          <w:i/>
          <w:sz w:val="20"/>
        </w:rPr>
      </w:pPr>
      <w:r>
        <w:rPr>
          <w:rFonts w:ascii="Times New Roman" w:hAnsi="Times New Roman"/>
          <w:i/>
          <w:sz w:val="20"/>
        </w:rPr>
        <w:t xml:space="preserve">Audit Fees </w:t>
      </w:r>
    </w:p>
    <w:p>
      <w:pPr>
        <w:pStyle w:val="TextBody"/>
        <w:bidi w:val="0"/>
        <w:spacing w:before="60" w:after="0"/>
        <w:jc w:val="left"/>
        <w:rPr>
          <w:rFonts w:ascii="arial" w:hAnsi="arial"/>
          <w:sz w:val="18"/>
        </w:rPr>
      </w:pPr>
      <w:r>
        <w:rPr>
          <w:rFonts w:ascii="arial" w:hAnsi="arial"/>
          <w:sz w:val="18"/>
        </w:rPr>
        <w:t xml:space="preserve">The aggregate audit fees payable to Ernst &amp; Young LLP by VS&amp;Co for fiscal 2023 and 2022 were approximately $5,163,000 and $4,822,000, respectively. These amounts include fees for professional services rendered by Ernst &amp; Young LLP in connection with the audit of our consolidated financial statements and reviews of our unaudited consolidated interim financial statements, as well as fees for services that generally only the independent auditor can reasonably be expected to provide, including consultation regarding financial accounting and/or reporting standards. These amounts also include fees for services rendered in connection with the audit of our internal control over financial reporting and fees for services rendered in connection with statutory audits of our international subsidiaries’ financial statements. </w:t>
      </w:r>
    </w:p>
    <w:p>
      <w:pPr>
        <w:pStyle w:val="TextBody"/>
        <w:bidi w:val="0"/>
        <w:spacing w:before="240" w:after="0"/>
        <w:jc w:val="left"/>
        <w:rPr>
          <w:rFonts w:ascii="Times New Roman" w:hAnsi="Times New Roman"/>
          <w:i/>
          <w:sz w:val="20"/>
        </w:rPr>
      </w:pPr>
      <w:r>
        <w:rPr>
          <w:rFonts w:ascii="Times New Roman" w:hAnsi="Times New Roman"/>
          <w:i/>
          <w:sz w:val="20"/>
        </w:rPr>
        <w:t xml:space="preserve">Audit Related Fees </w:t>
      </w:r>
    </w:p>
    <w:p>
      <w:pPr>
        <w:pStyle w:val="TextBody"/>
        <w:bidi w:val="0"/>
        <w:spacing w:before="60" w:after="0"/>
        <w:jc w:val="left"/>
        <w:rPr>
          <w:rFonts w:ascii="arial" w:hAnsi="arial"/>
          <w:sz w:val="18"/>
        </w:rPr>
      </w:pPr>
      <w:r>
        <w:rPr>
          <w:rFonts w:ascii="arial" w:hAnsi="arial"/>
          <w:sz w:val="18"/>
        </w:rPr>
        <w:t xml:space="preserve">The aggregate fees for assurance and related services rendered by Ernst &amp; Young LLP that were reasonably related to the audit of our consolidated financial statements for fiscal 2023 and 2022 were approximately $141,000 and $937,000, respectively. The fees under this category are for assurance and related services that are traditionally performed by the independent auditor and include audits of employee benefit plans and other attest engagements. Fees associated with the financial due diligence associated with the Adore Me acquisition are included in the 2022 fees. </w:t>
      </w:r>
    </w:p>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48"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37" descr=""/>
                          <pic:cNvPicPr>
                            <a:picLocks noChangeAspect="1" noChangeArrowheads="1"/>
                          </pic:cNvPicPr>
                        </pic:nvPicPr>
                        <pic:blipFill>
                          <a:blip r:embed="rId138"/>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89 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PROPOSAL FIVE: RATIFICATION OF APPOINTMENT OF INDEPENDENT REGISTERED PUBLIC ACCOUNTING FIRM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Tax Fees </w:t>
      </w:r>
    </w:p>
    <w:p>
      <w:pPr>
        <w:pStyle w:val="TextBody"/>
        <w:bidi w:val="0"/>
        <w:spacing w:before="60" w:after="0"/>
        <w:jc w:val="left"/>
        <w:rPr>
          <w:rFonts w:ascii="arial" w:hAnsi="arial"/>
          <w:sz w:val="18"/>
        </w:rPr>
      </w:pPr>
      <w:r>
        <w:rPr>
          <w:rFonts w:ascii="arial" w:hAnsi="arial"/>
          <w:sz w:val="18"/>
        </w:rPr>
        <w:t xml:space="preserve">The aggregate fees for tax related services rendered by Ernst &amp; Young LLP for fiscal 2023 and 2022 were approximately $225,000 and $410,000, respectively. Tax fees include tax compliance and advisory services. </w:t>
      </w:r>
    </w:p>
    <w:p>
      <w:pPr>
        <w:pStyle w:val="TextBody"/>
        <w:bidi w:val="0"/>
        <w:spacing w:before="240" w:after="0"/>
        <w:jc w:val="left"/>
        <w:rPr>
          <w:rFonts w:ascii="Times New Roman" w:hAnsi="Times New Roman"/>
          <w:i/>
          <w:sz w:val="20"/>
        </w:rPr>
      </w:pPr>
      <w:r>
        <w:rPr>
          <w:rFonts w:ascii="Times New Roman" w:hAnsi="Times New Roman"/>
          <w:i/>
          <w:sz w:val="20"/>
        </w:rPr>
        <w:t xml:space="preserve">All Other Fees </w:t>
      </w:r>
    </w:p>
    <w:p>
      <w:pPr>
        <w:pStyle w:val="TextBody"/>
        <w:bidi w:val="0"/>
        <w:spacing w:before="60" w:after="0"/>
        <w:jc w:val="left"/>
        <w:rPr>
          <w:rFonts w:ascii="arial" w:hAnsi="arial"/>
          <w:sz w:val="18"/>
        </w:rPr>
      </w:pPr>
      <w:r>
        <w:rPr>
          <w:rFonts w:ascii="arial" w:hAnsi="arial"/>
          <w:sz w:val="18"/>
        </w:rPr>
        <w:t xml:space="preserve">No fees for other services were paid to Ernst &amp; Young LLP for fiscal 2023 and 2022. </w:t>
      </w:r>
    </w:p>
    <w:p>
      <w:pPr>
        <w:pStyle w:val="TextBody"/>
        <w:bidi w:val="0"/>
        <w:spacing w:before="240" w:after="0"/>
        <w:jc w:val="left"/>
        <w:rPr>
          <w:rFonts w:ascii="Times New Roman" w:hAnsi="Times New Roman"/>
          <w:i/>
          <w:sz w:val="20"/>
        </w:rPr>
      </w:pPr>
      <w:r>
        <w:rPr>
          <w:rFonts w:ascii="Times New Roman" w:hAnsi="Times New Roman"/>
          <w:i/>
          <w:sz w:val="20"/>
        </w:rPr>
        <w:t xml:space="preserve">Pre-Approval Policies and Procedures </w:t>
      </w:r>
    </w:p>
    <w:p>
      <w:pPr>
        <w:pStyle w:val="TextBody"/>
        <w:bidi w:val="0"/>
        <w:spacing w:before="60" w:after="0"/>
        <w:jc w:val="left"/>
        <w:rPr>
          <w:rFonts w:ascii="arial" w:hAnsi="arial"/>
          <w:sz w:val="18"/>
        </w:rPr>
      </w:pPr>
      <w:r>
        <w:rPr>
          <w:rFonts w:ascii="arial" w:hAnsi="arial"/>
          <w:sz w:val="18"/>
        </w:rPr>
        <w:t xml:space="preserve">The Audit Committee pre-approves all audit and non-audit services to be provided by Ernst &amp; Young LLP in a given fiscal year.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81"/>
        <w:gridCol w:w="120"/>
        <w:gridCol w:w="9604"/>
      </w:tblGrid>
      <w:tr>
        <w:trPr/>
        <w:tc>
          <w:tcPr>
            <w:tcW w:w="4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04" w:type="dxa"/>
            <w:tcBorders/>
            <w:vAlign w:val="center"/>
          </w:tcPr>
          <w:p>
            <w:pPr>
              <w:pStyle w:val="TableContents"/>
              <w:bidi w:val="0"/>
              <w:spacing w:before="0" w:after="283"/>
              <w:jc w:val="left"/>
              <w:rPr>
                <w:sz w:val="4"/>
                <w:szCs w:val="4"/>
              </w:rPr>
            </w:pPr>
            <w:r>
              <w:rPr>
                <w:sz w:val="4"/>
                <w:szCs w:val="4"/>
              </w:rPr>
            </w:r>
          </w:p>
        </w:tc>
      </w:tr>
      <w:tr>
        <w:trPr/>
        <w:tc>
          <w:tcPr>
            <w:tcW w:w="481" w:type="dxa"/>
            <w:tcBorders>
              <w:bottom w:val="single" w:sz="6" w:space="0" w:color="000000"/>
            </w:tcBorders>
            <w:tcMar>
              <w:bottom w:w="28" w:type="dxa"/>
            </w:tcMar>
            <w:vAlign w:val="center"/>
          </w:tcPr>
          <w:p>
            <w:pPr>
              <w:pStyle w:val="TableContents"/>
              <w:bidi w:val="0"/>
              <w:spacing w:before="0" w:after="283"/>
              <w:jc w:val="left"/>
              <w:rPr/>
            </w:pPr>
            <w:r>
              <w:rPr/>
              <w:t xml:space="preserve">   </w:t>
            </w:r>
            <w:r>
              <w:rPr/>
              <w:drawing>
                <wp:inline distT="0" distB="0" distL="0" distR="0">
                  <wp:extent cx="100330" cy="55880"/>
                  <wp:effectExtent l="0" t="0" r="0" b="0"/>
                  <wp:docPr id="149"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38" descr=""/>
                          <pic:cNvPicPr>
                            <a:picLocks noChangeAspect="1" noChangeArrowheads="1"/>
                          </pic:cNvPicPr>
                        </pic:nvPicPr>
                        <pic:blipFill>
                          <a:blip r:embed="rId139"/>
                          <a:stretch>
                            <a:fillRect/>
                          </a:stretch>
                        </pic:blipFill>
                        <pic:spPr bwMode="auto">
                          <a:xfrm>
                            <a:off x="0" y="0"/>
                            <a:ext cx="100330" cy="55880"/>
                          </a:xfrm>
                          <a:prstGeom prst="rect">
                            <a:avLst/>
                          </a:prstGeom>
                        </pic:spPr>
                      </pic:pic>
                    </a:graphicData>
                  </a:graphic>
                </wp:inline>
              </w:drawing>
            </w:r>
            <w:r>
              <w:rPr/>
              <w:t xml:space="preserve">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604" w:type="dxa"/>
            <w:tcBorders>
              <w:bottom w:val="single" w:sz="6" w:space="0" w:color="000000"/>
            </w:tcBorders>
            <w:tcMar>
              <w:bottom w:w="28" w:type="dxa"/>
            </w:tcMar>
            <w:vAlign w:val="center"/>
          </w:tcPr>
          <w:p>
            <w:pPr>
              <w:pStyle w:val="TableContents"/>
              <w:bidi w:val="0"/>
              <w:spacing w:before="0" w:after="0"/>
              <w:jc w:val="left"/>
              <w:rPr>
                <w:rFonts w:ascii="Times New Roman" w:hAnsi="Times New Roman"/>
                <w:i/>
                <w:sz w:val="28"/>
              </w:rPr>
            </w:pPr>
            <w:r>
              <w:rPr>
                <w:rFonts w:ascii="Times New Roman" w:hAnsi="Times New Roman"/>
                <w:i/>
                <w:sz w:val="28"/>
              </w:rPr>
              <w:t>The Board unanimously recommends a vote “FOR” the ratification of the appointment of Ernst &amp; Young LLP as our independent registered public accounting firm for fiscal year 2024.</w:t>
            </w:r>
          </w:p>
          <w:p>
            <w:pPr>
              <w:pStyle w:val="TableContents"/>
              <w:bidi w:val="0"/>
              <w:spacing w:before="0" w:after="20"/>
              <w:jc w:val="left"/>
              <w:rPr/>
            </w:pPr>
            <w:r>
              <w:rPr/>
              <w:t> </w:t>
            </w:r>
          </w:p>
        </w:tc>
      </w:tr>
    </w:tbl>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50"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39" descr=""/>
                          <pic:cNvPicPr>
                            <a:picLocks noChangeAspect="1" noChangeArrowheads="1"/>
                          </pic:cNvPicPr>
                        </pic:nvPicPr>
                        <pic:blipFill>
                          <a:blip r:embed="rId140"/>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90 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STOCKHOLDER PROPOSALS FOR THE 2025 ANNUAL MEETING </w:t>
      </w:r>
    </w:p>
    <w:p>
      <w:pPr>
        <w:pStyle w:val="TextBody"/>
        <w:bidi w:val="0"/>
        <w:spacing w:before="0" w:after="0"/>
        <w:jc w:val="left"/>
        <w:rPr/>
      </w:pPr>
      <w:r>
        <w:rPr/>
        <w:t> </w:t>
      </w:r>
    </w:p>
    <w:p>
      <w:pPr>
        <w:pStyle w:val="TextBody"/>
        <w:bidi w:val="0"/>
        <w:spacing w:before="0" w:after="0"/>
        <w:jc w:val="center"/>
        <w:rPr>
          <w:rFonts w:ascii="Times New Roman" w:hAnsi="Times New Roman"/>
          <w:b/>
          <w:sz w:val="60"/>
        </w:rPr>
      </w:pPr>
      <w:bookmarkStart w:id="34" w:name="toc540996_26"/>
      <w:bookmarkEnd w:id="34"/>
      <w:r>
        <w:rPr>
          <w:rFonts w:ascii="Times New Roman" w:hAnsi="Times New Roman"/>
          <w:b/>
          <w:sz w:val="60"/>
        </w:rPr>
        <w:t xml:space="preserve">STOCKHOLDER PROPOSALS FOR THE 2025 ANNUAL MEETING </w:t>
      </w:r>
    </w:p>
    <w:p>
      <w:pPr>
        <w:pStyle w:val="TextBody"/>
        <w:bidi w:val="0"/>
        <w:spacing w:before="0" w:after="0"/>
        <w:jc w:val="left"/>
        <w:rPr/>
      </w:pPr>
      <w:r>
        <w:rPr/>
        <w:t> </w:t>
      </w:r>
    </w:p>
    <w:p>
      <w:pPr>
        <w:pStyle w:val="TextBody"/>
        <w:pBdr>
          <w:bottom w:val="single" w:sz="2" w:space="1" w:color="000000"/>
        </w:pBdr>
        <w:bidi w:val="0"/>
        <w:spacing w:lineRule="atLeast" w:line="142" w:before="0" w:after="40"/>
        <w:jc w:val="center"/>
        <w:rPr/>
      </w:pPr>
      <w:r>
        <w:rPr/>
        <w:t> </w:t>
      </w:r>
    </w:p>
    <w:p>
      <w:pPr>
        <w:pStyle w:val="TextBody"/>
        <w:bidi w:val="0"/>
        <w:spacing w:before="360" w:after="0"/>
        <w:jc w:val="left"/>
        <w:rPr>
          <w:rFonts w:ascii="arial" w:hAnsi="arial"/>
          <w:b/>
          <w:color w:val="F7ACBA"/>
          <w:sz w:val="24"/>
        </w:rPr>
      </w:pPr>
      <w:r>
        <w:rPr>
          <w:rFonts w:ascii="arial" w:hAnsi="arial"/>
          <w:b/>
          <w:color w:val="F7ACBA"/>
          <w:sz w:val="24"/>
        </w:rPr>
        <w:t xml:space="preserve">Requirements for Stockholder Nominations and Proposals </w:t>
      </w:r>
    </w:p>
    <w:p>
      <w:pPr>
        <w:pStyle w:val="TextBody"/>
        <w:bidi w:val="0"/>
        <w:spacing w:before="60" w:after="0"/>
        <w:jc w:val="left"/>
        <w:rPr>
          <w:rFonts w:ascii="arial" w:hAnsi="arial"/>
          <w:sz w:val="18"/>
        </w:rPr>
      </w:pPr>
      <w:r>
        <w:rPr>
          <w:rFonts w:ascii="arial" w:hAnsi="arial"/>
          <w:sz w:val="18"/>
        </w:rPr>
        <w:t xml:space="preserve">If a stockholder intends to present a proposal at the 2025 annual meeting of stockholders and desires to have us include that proposal in our proxy materials for that meeting under Rule 14a-8 under the Exchange Act, then the stockholder must ensure that we receive the proposal by January 3, 2025. For additional information, see “Proxy Access” below. </w:t>
      </w:r>
    </w:p>
    <w:p>
      <w:pPr>
        <w:pStyle w:val="TextBody"/>
        <w:bidi w:val="0"/>
        <w:spacing w:before="120" w:after="0"/>
        <w:jc w:val="left"/>
        <w:rPr>
          <w:rFonts w:ascii="arial" w:hAnsi="arial"/>
          <w:sz w:val="18"/>
        </w:rPr>
      </w:pPr>
      <w:r>
        <w:rPr>
          <w:rFonts w:ascii="arial" w:hAnsi="arial"/>
          <w:sz w:val="18"/>
        </w:rPr>
        <w:t xml:space="preserve">If a stockholder wants to nominate a person for election as director or bring other business before an annual meeting of stockholders that is not the subject of a proposal timely submitted for inclusion in our proxy materials, the stockholder must follow procedures outlined in our Bylaws. Our Bylaws provide that stockholders of record are able to nominate persons for election as a director or submit other proposals constituting a proper matter for stockholder action only by providing proper written notice to our Corporate Secretary. Proper notice generally must be received not less than 90 days nor more than 120 days prior to the first anniversary date of the annual meeting for the preceding year. For the annual stockholder meeting in 2025, the first anniversary date of the 2024 Annual Meeting is June 13, 2025, meaning proper notice must be delivered no earlier than February 13, 2025 and no later than March 15, 2025. However, a stockholder may deliver notice prior to the time period specified above if earlier delivery is required under Rule 14a-8 under the Exchange Act. Further, if the date of the annual meeting is advanced by more than 30 days prior to such anniversary or delayed more than 90 days after such anniversary, then to be timely, proper notice must be received no earlier than 120 days prior to the date of the annual meeting and no later than the later of 90 days prior to the date of the meeting or the tenth day following the day on which announcement of the date of the meeting was first made. The notice must include, among other information, the name and address of the stockholder giving the notice, information about the stockholder’s ownership of VS&amp;Co common stock, certain information relating to each person whom the stockholder proposes to nominate for election as a director, and a brief description of any business the stockholder proposes to bring before the meeting and the reasons for bringing such proposal. Any nomination or other proposal must also meet the other requirements of our Bylaws, Delaware law, Rule 14a-8 under the Exchange Act, and other applicable SEC rules relating to stockholder proposals. In addition to satisfying the requirements under our Bylaws, to comply with the SEC’s universal proxy rules, stockholders who intend to solicit proxies in support of director nominees other than our Board’s nominees must also comply with the additional requirements of Rule 14a-19 under the Exchange Act. </w:t>
      </w:r>
    </w:p>
    <w:p>
      <w:pPr>
        <w:pStyle w:val="TextBody"/>
        <w:bidi w:val="0"/>
        <w:spacing w:before="120" w:after="0"/>
        <w:jc w:val="left"/>
        <w:rPr>
          <w:rFonts w:ascii="arial" w:hAnsi="arial"/>
          <w:sz w:val="18"/>
        </w:rPr>
      </w:pPr>
      <w:r>
        <w:rPr>
          <w:rFonts w:ascii="arial" w:hAnsi="arial"/>
          <w:sz w:val="18"/>
        </w:rPr>
        <w:t xml:space="preserve">Stockholder nominations and proposals must be mailed to: Corporate Secretary, Four Limited Parkway, Reynoldsburg, Ohio 43068. </w:t>
      </w:r>
    </w:p>
    <w:p>
      <w:pPr>
        <w:pStyle w:val="TextBody"/>
        <w:bidi w:val="0"/>
        <w:spacing w:before="240" w:after="0"/>
        <w:jc w:val="left"/>
        <w:rPr>
          <w:rFonts w:ascii="arial" w:hAnsi="arial"/>
          <w:b/>
          <w:color w:val="F7ACBA"/>
          <w:sz w:val="24"/>
        </w:rPr>
      </w:pPr>
      <w:r>
        <w:rPr>
          <w:rFonts w:ascii="arial" w:hAnsi="arial"/>
          <w:b/>
          <w:color w:val="F7ACBA"/>
          <w:sz w:val="24"/>
        </w:rPr>
        <w:t xml:space="preserve">Proxy Access </w:t>
      </w:r>
    </w:p>
    <w:p>
      <w:pPr>
        <w:pStyle w:val="TextBody"/>
        <w:bidi w:val="0"/>
        <w:spacing w:before="60" w:after="0"/>
        <w:jc w:val="left"/>
        <w:rPr>
          <w:rFonts w:ascii="arial" w:hAnsi="arial"/>
          <w:sz w:val="18"/>
        </w:rPr>
      </w:pPr>
      <w:r>
        <w:rPr>
          <w:rFonts w:ascii="arial" w:hAnsi="arial"/>
          <w:sz w:val="18"/>
        </w:rPr>
        <w:t xml:space="preserve">Under our Bylaws, up to 20 stockholders owning 3% or more of VS&amp;Co’s outstanding common stock continuously for at least three years may nominate the greater of two directors or up to 20% of the Board, and include those nominees in our proxy materials. Proper notice of stockholder nominations for persons for election as a director that are to be included in our proxy materials must be mailed and received at our principal executive offices, addressed to: Corporate Secretary, Four Limited Parkway, Reynoldsburg, Ohio 43068, not less than 120 days nor more than 150 days prior to the first anniversary of the date that the proxy statement was first distributed to stockholders for the immediately preceding annual meeting of stockholders. For the annual stockholder meeting in 2025, the first anniversary of the date that the proxy statement for the 2024 Annual Meeting was distributed to stockholders is May 3, 2025. Accordingly, proper notice must be delivered no earlier than December 4, 2024 and no later than January 3, 2025. </w:t>
      </w:r>
    </w:p>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51"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40" descr=""/>
                          <pic:cNvPicPr>
                            <a:picLocks noChangeAspect="1" noChangeArrowheads="1"/>
                          </pic:cNvPicPr>
                        </pic:nvPicPr>
                        <pic:blipFill>
                          <a:blip r:embed="rId141"/>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91 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QUESTIONS AND ANSWERS </w:t>
      </w:r>
    </w:p>
    <w:p>
      <w:pPr>
        <w:pStyle w:val="TextBody"/>
        <w:bidi w:val="0"/>
        <w:spacing w:before="0" w:after="0"/>
        <w:jc w:val="left"/>
        <w:rPr/>
      </w:pPr>
      <w:r>
        <w:rPr/>
        <w:t> </w:t>
      </w:r>
    </w:p>
    <w:p>
      <w:pPr>
        <w:pStyle w:val="TextBody"/>
        <w:bidi w:val="0"/>
        <w:spacing w:before="0" w:after="0"/>
        <w:jc w:val="center"/>
        <w:rPr>
          <w:rFonts w:ascii="Times New Roman" w:hAnsi="Times New Roman"/>
          <w:b/>
          <w:sz w:val="60"/>
        </w:rPr>
      </w:pPr>
      <w:bookmarkStart w:id="35" w:name="toc540996_27"/>
      <w:bookmarkEnd w:id="35"/>
      <w:r>
        <w:rPr>
          <w:rFonts w:ascii="Times New Roman" w:hAnsi="Times New Roman"/>
          <w:b/>
          <w:sz w:val="60"/>
        </w:rPr>
        <w:t xml:space="preserve">QUESTIONS AND ANSWERS </w:t>
      </w:r>
    </w:p>
    <w:p>
      <w:pPr>
        <w:pStyle w:val="TextBody"/>
        <w:bidi w:val="0"/>
        <w:spacing w:before="0" w:after="0"/>
        <w:jc w:val="left"/>
        <w:rPr/>
      </w:pPr>
      <w:r>
        <w:rPr/>
        <w:t> </w:t>
      </w:r>
    </w:p>
    <w:p>
      <w:pPr>
        <w:pStyle w:val="TextBody"/>
        <w:pBdr>
          <w:bottom w:val="single" w:sz="2" w:space="1" w:color="000000"/>
        </w:pBdr>
        <w:bidi w:val="0"/>
        <w:spacing w:lineRule="atLeast" w:line="142" w:before="0" w:after="40"/>
        <w:jc w:val="center"/>
        <w:rPr/>
      </w:pPr>
      <w:r>
        <w:rPr/>
        <w:t> </w:t>
      </w:r>
    </w:p>
    <w:p>
      <w:pPr>
        <w:pStyle w:val="TextBody"/>
        <w:bidi w:val="0"/>
        <w:spacing w:before="360" w:after="0"/>
        <w:jc w:val="left"/>
        <w:rPr>
          <w:rFonts w:ascii="Times New Roman" w:hAnsi="Times New Roman"/>
          <w:i/>
          <w:sz w:val="20"/>
        </w:rPr>
      </w:pPr>
      <w:r>
        <w:rPr>
          <w:rFonts w:ascii="Times New Roman" w:hAnsi="Times New Roman"/>
          <w:i/>
          <w:sz w:val="20"/>
        </w:rPr>
        <w:t xml:space="preserve">When is the 2024 Annual Meeting? </w:t>
      </w:r>
    </w:p>
    <w:p>
      <w:pPr>
        <w:pStyle w:val="TextBody"/>
        <w:bidi w:val="0"/>
        <w:spacing w:before="60" w:after="0"/>
        <w:jc w:val="left"/>
        <w:rPr>
          <w:rFonts w:ascii="arial" w:hAnsi="arial"/>
          <w:sz w:val="18"/>
        </w:rPr>
      </w:pPr>
      <w:r>
        <w:rPr>
          <w:rFonts w:ascii="arial" w:hAnsi="arial"/>
          <w:sz w:val="18"/>
        </w:rPr>
        <w:t xml:space="preserve">The 2024 Annual Meeting will be held virtually, via live audio webcast, on Thursday, June 13, 2024, at 8:30 a.m. Eastern Time. </w:t>
      </w:r>
    </w:p>
    <w:p>
      <w:pPr>
        <w:pStyle w:val="TextBody"/>
        <w:bidi w:val="0"/>
        <w:spacing w:before="240" w:after="0"/>
        <w:jc w:val="left"/>
        <w:rPr>
          <w:rFonts w:ascii="Times New Roman" w:hAnsi="Times New Roman"/>
          <w:i/>
          <w:sz w:val="20"/>
        </w:rPr>
      </w:pPr>
      <w:r>
        <w:rPr>
          <w:rFonts w:ascii="Times New Roman" w:hAnsi="Times New Roman"/>
          <w:i/>
          <w:sz w:val="20"/>
        </w:rPr>
        <w:t xml:space="preserve">How can I attend the 2024 Annual Meeting? </w:t>
      </w:r>
    </w:p>
    <w:p>
      <w:pPr>
        <w:pStyle w:val="TextBody"/>
        <w:bidi w:val="0"/>
        <w:spacing w:before="60" w:after="0"/>
        <w:jc w:val="left"/>
        <w:rPr>
          <w:rFonts w:ascii="arial" w:hAnsi="arial"/>
          <w:sz w:val="18"/>
        </w:rPr>
      </w:pPr>
      <w:r>
        <w:rPr>
          <w:rFonts w:ascii="arial" w:hAnsi="arial"/>
          <w:sz w:val="18"/>
        </w:rPr>
        <w:t xml:space="preserve">In an effort to encourage all of our stockholders to attend the 2024 Annual Meeting virtually from any location convenient to them, as well as reduce the expense and environmental impact of traveling to an in-person meeting, the 2024 Annual Meeting will be conducted exclusively online via live audio webcast. Stockholders will not be able to attend the 2024 Annual Meeting in person. </w:t>
      </w:r>
    </w:p>
    <w:p>
      <w:pPr>
        <w:pStyle w:val="TextBody"/>
        <w:bidi w:val="0"/>
        <w:spacing w:before="120" w:after="0"/>
        <w:jc w:val="left"/>
        <w:rPr>
          <w:rFonts w:ascii="arial" w:hAnsi="arial"/>
          <w:sz w:val="18"/>
        </w:rPr>
      </w:pPr>
      <w:r>
        <w:rPr>
          <w:rFonts w:ascii="arial" w:hAnsi="arial"/>
          <w:sz w:val="18"/>
        </w:rPr>
        <w:t xml:space="preserve">To participate in the 2024 Annual Meeting, please visit </w:t>
      </w:r>
      <w:r>
        <w:rPr>
          <w:rFonts w:ascii="arial" w:hAnsi="arial"/>
          <w:i/>
          <w:sz w:val="18"/>
        </w:rPr>
        <w:t>www.proxydocs.com/VSCO</w:t>
      </w:r>
      <w:r>
        <w:rPr>
          <w:rFonts w:ascii="arial" w:hAnsi="arial"/>
          <w:sz w:val="18"/>
        </w:rPr>
        <w:t xml:space="preserve">. </w:t>
      </w:r>
    </w:p>
    <w:p>
      <w:pPr>
        <w:pStyle w:val="TextBody"/>
        <w:bidi w:val="0"/>
        <w:spacing w:before="120" w:after="0"/>
        <w:jc w:val="left"/>
        <w:rPr>
          <w:rFonts w:ascii="arial" w:hAnsi="arial"/>
          <w:sz w:val="18"/>
        </w:rPr>
      </w:pPr>
      <w:r>
        <w:rPr>
          <w:rFonts w:ascii="arial" w:hAnsi="arial"/>
          <w:sz w:val="18"/>
        </w:rPr>
        <w:t xml:space="preserve">If you are a stockholder of record, in order to attend the 2024 Annual Meeting, you must register in advance at </w:t>
      </w:r>
      <w:r>
        <w:rPr>
          <w:rFonts w:ascii="arial" w:hAnsi="arial"/>
          <w:i/>
          <w:sz w:val="18"/>
        </w:rPr>
        <w:t xml:space="preserve">www.proxydocs.com/VSCO </w:t>
      </w:r>
      <w:r>
        <w:rPr>
          <w:rFonts w:ascii="arial" w:hAnsi="arial"/>
          <w:sz w:val="18"/>
        </w:rPr>
        <w:t xml:space="preserve">using the 12 digit control number found on your Notice of Internet Availability of Proxy Materials or your proxy card. Upon completing your registration, you will receive further instructions via email, including information about your unique link that will allow you to attend the meeting and to vote and submit questions during the meeting. </w:t>
      </w:r>
    </w:p>
    <w:p>
      <w:pPr>
        <w:pStyle w:val="TextBody"/>
        <w:bidi w:val="0"/>
        <w:spacing w:before="120" w:after="0"/>
        <w:jc w:val="left"/>
        <w:rPr>
          <w:rFonts w:ascii="arial" w:hAnsi="arial"/>
          <w:sz w:val="18"/>
        </w:rPr>
      </w:pPr>
      <w:r>
        <w:rPr>
          <w:rFonts w:ascii="arial" w:hAnsi="arial"/>
          <w:sz w:val="18"/>
        </w:rPr>
        <w:t xml:space="preserve">If you are a beneficial owner of shares (that is, you hold your shares through a bank, broker, or other nominee in “street name”) you may use the control number given by your bank, broker or other nominee to register to attend the meeting in advance at </w:t>
      </w:r>
      <w:r>
        <w:rPr>
          <w:rFonts w:ascii="arial" w:hAnsi="arial"/>
          <w:i/>
          <w:sz w:val="18"/>
        </w:rPr>
        <w:t>www.proxydocs.com/VSCO</w:t>
      </w:r>
      <w:r>
        <w:rPr>
          <w:rFonts w:ascii="arial" w:hAnsi="arial"/>
          <w:sz w:val="18"/>
        </w:rPr>
        <w:t xml:space="preserve">. Upon completing your registration, you will receive further instructions via email, including information about your unique link that will allow you to attend the meeting and submit questions during the meeting. To vote, you may be required to obtain a legal proxy and you must follow the instructions you receive from your bank, broker, or other nominee as well as the instructions you receive via email upon your successful registration for the meeting. </w:t>
      </w:r>
    </w:p>
    <w:p>
      <w:pPr>
        <w:pStyle w:val="TextBody"/>
        <w:bidi w:val="0"/>
        <w:spacing w:before="240" w:after="0"/>
        <w:jc w:val="left"/>
        <w:rPr>
          <w:rFonts w:ascii="Times New Roman" w:hAnsi="Times New Roman"/>
          <w:i/>
          <w:sz w:val="20"/>
        </w:rPr>
      </w:pPr>
      <w:r>
        <w:rPr>
          <w:rFonts w:ascii="Times New Roman" w:hAnsi="Times New Roman"/>
          <w:i/>
          <w:sz w:val="20"/>
        </w:rPr>
        <w:t xml:space="preserve">How can I request technical assistance during the 2024 Annual Meeting? </w:t>
      </w:r>
    </w:p>
    <w:p>
      <w:pPr>
        <w:pStyle w:val="TextBody"/>
        <w:bidi w:val="0"/>
        <w:spacing w:before="60" w:after="0"/>
        <w:jc w:val="left"/>
        <w:rPr>
          <w:rFonts w:ascii="arial" w:hAnsi="arial"/>
          <w:sz w:val="18"/>
        </w:rPr>
      </w:pPr>
      <w:r>
        <w:rPr>
          <w:rFonts w:ascii="arial" w:hAnsi="arial"/>
          <w:sz w:val="18"/>
        </w:rPr>
        <w:t xml:space="preserve">There will be technicians ready to assist you with any technical difficulties you may have accessing the live audio webcast. Please be sure to log into the meeting at least 15 minutes prior to the start of the meeting so that any technical difficulties can be addressed before the meeting begins. Technical assistance will be available on the day of the meeting to anyone that is registered to attend the meeting. Instructions on how to access technical support will be provided in the confirmation email a stockholder receives upon registering for the meeting. </w:t>
      </w:r>
    </w:p>
    <w:p>
      <w:pPr>
        <w:pStyle w:val="TextBody"/>
        <w:bidi w:val="0"/>
        <w:spacing w:before="240" w:after="0"/>
        <w:jc w:val="left"/>
        <w:rPr>
          <w:rFonts w:ascii="Times New Roman" w:hAnsi="Times New Roman"/>
          <w:i/>
          <w:sz w:val="20"/>
        </w:rPr>
      </w:pPr>
      <w:r>
        <w:rPr>
          <w:rFonts w:ascii="Times New Roman" w:hAnsi="Times New Roman"/>
          <w:i/>
          <w:sz w:val="20"/>
        </w:rPr>
        <w:t xml:space="preserve">How can I ask a question at the 2024 Annual Meeting? </w:t>
      </w:r>
    </w:p>
    <w:p>
      <w:pPr>
        <w:pStyle w:val="TextBody"/>
        <w:bidi w:val="0"/>
        <w:spacing w:before="60" w:after="0"/>
        <w:jc w:val="left"/>
        <w:rPr>
          <w:rFonts w:ascii="arial" w:hAnsi="arial"/>
          <w:sz w:val="18"/>
        </w:rPr>
      </w:pPr>
      <w:r>
        <w:rPr>
          <w:rFonts w:ascii="arial" w:hAnsi="arial"/>
          <w:sz w:val="18"/>
        </w:rPr>
        <w:t xml:space="preserve">Stockholders can submit questions either before or during the meeting. Stockholders can submit questions in advance when registering for the meeting at </w:t>
      </w:r>
      <w:r>
        <w:rPr>
          <w:rFonts w:ascii="arial" w:hAnsi="arial"/>
          <w:i/>
          <w:sz w:val="18"/>
        </w:rPr>
        <w:t>www.proxydocs.com/VSCO</w:t>
      </w:r>
      <w:r>
        <w:rPr>
          <w:rFonts w:ascii="arial" w:hAnsi="arial"/>
          <w:sz w:val="18"/>
        </w:rPr>
        <w:t xml:space="preserve">. Stockholders who wish to submit a question in advance of the meeting will need to register for the meeting in advance using the 12 digit control number found on their Notice of Internet Availability of Proxy Materials or proxy card (or in the case of beneficial or “street name” stockholders, the control number given to them by their bank, broker or other nominee). Stockholders can submit questions during the virtual meeting in the meeting portal. During the formal business of the meeting, we will limit questions and statements to those relevant to the business of the meeting. After the 2024 Annual Meeting is adjourned, we will hold a live webcast Q&amp;A session and address questions and comments of a general nature. During the live Q&amp;A session, we intend to answer questions as they come in and address those asked in advance, to the extent time permits. This live Q&amp;A session will be conducted in accordance with certain Rules of Conduct that will be posted in the meeting portal. </w:t>
      </w:r>
    </w:p>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52"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41" descr=""/>
                          <pic:cNvPicPr>
                            <a:picLocks noChangeAspect="1" noChangeArrowheads="1"/>
                          </pic:cNvPicPr>
                        </pic:nvPicPr>
                        <pic:blipFill>
                          <a:blip r:embed="rId142"/>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92 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QUESTIONS AND ANSWERS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Who may vote at the 2024 Annual Meeting? </w:t>
      </w:r>
    </w:p>
    <w:p>
      <w:pPr>
        <w:pStyle w:val="TextBody"/>
        <w:bidi w:val="0"/>
        <w:spacing w:before="60" w:after="0"/>
        <w:jc w:val="left"/>
        <w:rPr>
          <w:rFonts w:ascii="arial" w:hAnsi="arial"/>
          <w:sz w:val="18"/>
        </w:rPr>
      </w:pPr>
      <w:r>
        <w:rPr>
          <w:rFonts w:ascii="arial" w:hAnsi="arial"/>
          <w:sz w:val="18"/>
        </w:rPr>
        <w:t xml:space="preserve">Only holders of record of VS&amp;Co common stock at the close of business on April 15, 2024, the Record Date of the 2024 Annual Meeting, are entitled to notice of, and to vote at, the 2024 Annual Meeting and any adjournments or postponements thereof. As of the Record Date, VS&amp;Co had 78,288,227 shares of common stock issued and outstanding. Holders of shares of common stock are entitled to one vote per share. </w:t>
      </w:r>
    </w:p>
    <w:p>
      <w:pPr>
        <w:pStyle w:val="TextBody"/>
        <w:bidi w:val="0"/>
        <w:spacing w:before="240" w:after="0"/>
        <w:jc w:val="left"/>
        <w:rPr>
          <w:rFonts w:ascii="Times New Roman" w:hAnsi="Times New Roman"/>
          <w:i/>
          <w:sz w:val="20"/>
        </w:rPr>
      </w:pPr>
      <w:r>
        <w:rPr>
          <w:rFonts w:ascii="Times New Roman" w:hAnsi="Times New Roman"/>
          <w:i/>
          <w:sz w:val="20"/>
        </w:rPr>
        <w:t xml:space="preserve">What constitutes a quorum? </w:t>
      </w:r>
    </w:p>
    <w:p>
      <w:pPr>
        <w:pStyle w:val="TextBody"/>
        <w:bidi w:val="0"/>
        <w:spacing w:before="60" w:after="0"/>
        <w:jc w:val="left"/>
        <w:rPr>
          <w:rFonts w:ascii="arial" w:hAnsi="arial"/>
          <w:sz w:val="18"/>
        </w:rPr>
      </w:pPr>
      <w:r>
        <w:rPr>
          <w:rFonts w:ascii="arial" w:hAnsi="arial"/>
          <w:sz w:val="18"/>
        </w:rPr>
        <w:t xml:space="preserve">The transaction of business at any meeting of stockholders cannot occur unless a quorum is present. At the 2024 Annual Meeting, the presence in person or by proxy of stockholders holding at least one-third of VS&amp;Co’s outstanding common stock will constitute a quorum. </w:t>
      </w:r>
    </w:p>
    <w:p>
      <w:pPr>
        <w:pStyle w:val="TextBody"/>
        <w:bidi w:val="0"/>
        <w:spacing w:before="120" w:after="0"/>
        <w:jc w:val="left"/>
        <w:rPr>
          <w:rFonts w:ascii="arial" w:hAnsi="arial"/>
          <w:sz w:val="18"/>
        </w:rPr>
      </w:pPr>
      <w:r>
        <w:rPr>
          <w:rFonts w:ascii="arial" w:hAnsi="arial"/>
          <w:sz w:val="18"/>
        </w:rPr>
        <w:t xml:space="preserve">If a meeting cannot be organized because a quorum is not present, a majority of the stockholders present in person or by proxy or the chair of the meeting may adjourn the meeting to such date and time (but not more than 30 days after the previously adjourned meeting) and place as they may determine, without notice other than by announcement at the meeting of the time and place of the adjourned meeting. At any such adjourned meeting at which a quorum is present, any business may be transacted which could have been transacted at the meeting as originally called. </w:t>
      </w:r>
    </w:p>
    <w:p>
      <w:pPr>
        <w:pStyle w:val="TextBody"/>
        <w:bidi w:val="0"/>
        <w:spacing w:before="240" w:after="0"/>
        <w:jc w:val="left"/>
        <w:rPr>
          <w:rFonts w:ascii="Times New Roman" w:hAnsi="Times New Roman"/>
          <w:i/>
          <w:sz w:val="20"/>
        </w:rPr>
      </w:pPr>
      <w:r>
        <w:rPr>
          <w:rFonts w:ascii="Times New Roman" w:hAnsi="Times New Roman"/>
          <w:i/>
          <w:sz w:val="20"/>
        </w:rPr>
        <w:t xml:space="preserve">Why did I receive a Notice of Internet Availability of Proxy Materials instead of a paper copy of the proxy materials? </w:t>
      </w:r>
    </w:p>
    <w:p>
      <w:pPr>
        <w:pStyle w:val="TextBody"/>
        <w:bidi w:val="0"/>
        <w:spacing w:before="60" w:after="0"/>
        <w:jc w:val="left"/>
        <w:rPr>
          <w:rFonts w:ascii="arial" w:hAnsi="arial"/>
          <w:sz w:val="18"/>
        </w:rPr>
      </w:pPr>
      <w:r>
        <w:rPr>
          <w:rFonts w:ascii="arial" w:hAnsi="arial"/>
          <w:sz w:val="18"/>
        </w:rPr>
        <w:t xml:space="preserve">In order to reduce the expense and environmental impact of mailing proxy materials, we have elected to use the SEC’s Notice and Access model, which allows us to make the Proxy Statement, our 2023 Annual Report, and other proxy materials available on the Internet as the primary means of furnishing the proxy materials to stockholders. On or about May 3, 2024, we mailed to stockholders a Notice of Internet Availability of Proxy Materials containing instructions on how to gain access, free of charge, to the proxy materials and how to request a printed set of proxy materials. The Proxy Statement, Annual Report on Form 10-K for the fiscal year ended February 3, 2024, and Notice of Annual Meeting of Stockholders are available at </w:t>
      </w:r>
      <w:r>
        <w:rPr>
          <w:rFonts w:ascii="arial" w:hAnsi="arial"/>
          <w:i/>
          <w:sz w:val="18"/>
        </w:rPr>
        <w:t>www.proxydocs.com/VSCO</w:t>
      </w:r>
      <w:r>
        <w:rPr>
          <w:rFonts w:ascii="arial" w:hAnsi="arial"/>
          <w:sz w:val="18"/>
        </w:rPr>
        <w:t xml:space="preserve">. </w:t>
      </w:r>
    </w:p>
    <w:p>
      <w:pPr>
        <w:pStyle w:val="TextBody"/>
        <w:bidi w:val="0"/>
        <w:spacing w:before="120" w:after="0"/>
        <w:jc w:val="left"/>
        <w:rPr>
          <w:rFonts w:ascii="arial" w:hAnsi="arial"/>
          <w:sz w:val="18"/>
        </w:rPr>
      </w:pPr>
      <w:r>
        <w:rPr>
          <w:rFonts w:ascii="arial" w:hAnsi="arial"/>
          <w:sz w:val="18"/>
        </w:rPr>
        <w:t xml:space="preserve">If you receive a Notice of Internet Availability of Proxy Materials, you will not receive a printed copy of the proxy materials in the mail unless you request it. If you would like to receive a printed copy of the proxy materials by mail, please follow the instructions for requesting such materials included in the Notice. </w:t>
      </w:r>
    </w:p>
    <w:p>
      <w:pPr>
        <w:pStyle w:val="TextBody"/>
        <w:bidi w:val="0"/>
        <w:spacing w:before="240" w:after="0"/>
        <w:jc w:val="left"/>
        <w:rPr>
          <w:rFonts w:ascii="Times New Roman" w:hAnsi="Times New Roman"/>
          <w:i/>
          <w:sz w:val="20"/>
        </w:rPr>
      </w:pPr>
      <w:r>
        <w:rPr>
          <w:rFonts w:ascii="Times New Roman" w:hAnsi="Times New Roman"/>
          <w:i/>
          <w:sz w:val="20"/>
        </w:rPr>
        <w:t xml:space="preserve">How does the Board recommend I vote on these proposals? </w:t>
      </w:r>
    </w:p>
    <w:p>
      <w:pPr>
        <w:pStyle w:val="TextBody"/>
        <w:bidi w:val="0"/>
        <w:spacing w:before="60" w:after="0"/>
        <w:jc w:val="left"/>
        <w:rPr>
          <w:rFonts w:ascii="arial" w:hAnsi="arial"/>
          <w:sz w:val="18"/>
        </w:rPr>
      </w:pPr>
      <w:r>
        <w:rPr>
          <w:rFonts w:ascii="arial" w:hAnsi="arial"/>
          <w:sz w:val="18"/>
        </w:rPr>
        <w:t xml:space="preserve">The Board unanimously recommends a vote: </w:t>
      </w:r>
    </w:p>
    <w:p>
      <w:pPr>
        <w:pStyle w:val="TextBody"/>
        <w:bidi w:val="0"/>
        <w:spacing w:before="0" w:after="0"/>
        <w:jc w:val="left"/>
        <w:rPr/>
      </w:pPr>
      <w:r>
        <w:rPr/>
        <w:t> </w:t>
      </w:r>
    </w:p>
    <w:tbl>
      <w:tblPr>
        <w:tblW w:w="7075" w:type="dxa"/>
        <w:jc w:val="left"/>
        <w:tblInd w:w="0" w:type="dxa"/>
        <w:tblLayout w:type="fixed"/>
        <w:tblCellMar>
          <w:top w:w="0" w:type="dxa"/>
          <w:left w:w="0" w:type="dxa"/>
          <w:bottom w:w="0" w:type="dxa"/>
          <w:right w:w="0" w:type="dxa"/>
        </w:tblCellMar>
      </w:tblPr>
      <w:tblGrid>
        <w:gridCol w:w="125"/>
        <w:gridCol w:w="60"/>
        <w:gridCol w:w="689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6890" w:type="dxa"/>
            <w:tcBorders/>
            <w:vAlign w:val="center"/>
          </w:tcPr>
          <w:p>
            <w:pPr>
              <w:pStyle w:val="TableContents"/>
              <w:bidi w:val="0"/>
              <w:spacing w:before="0" w:after="0"/>
              <w:jc w:val="left"/>
              <w:rPr>
                <w:rFonts w:ascii="arial" w:hAnsi="arial"/>
                <w:sz w:val="18"/>
              </w:rPr>
            </w:pPr>
            <w:r>
              <w:rPr>
                <w:rFonts w:ascii="arial" w:hAnsi="arial"/>
                <w:sz w:val="18"/>
              </w:rPr>
              <w:t xml:space="preserve">FOR the election of the nine nominees for director presented in this Proxy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FOR the approval of an amendment to our Certificate of Incorporation to permit the exculpation of our officers as permitted by Delaware law </w:t>
            </w:r>
          </w:p>
        </w:tc>
      </w:tr>
    </w:tbl>
    <w:p>
      <w:pPr>
        <w:pStyle w:val="TextBody"/>
        <w:bidi w:val="0"/>
        <w:spacing w:before="0" w:after="0"/>
        <w:jc w:val="left"/>
        <w:rPr/>
      </w:pPr>
      <w:r>
        <w:rPr/>
        <w:t> </w:t>
      </w:r>
    </w:p>
    <w:tbl>
      <w:tblPr>
        <w:tblW w:w="7795" w:type="dxa"/>
        <w:jc w:val="left"/>
        <w:tblInd w:w="0" w:type="dxa"/>
        <w:tblLayout w:type="fixed"/>
        <w:tblCellMar>
          <w:top w:w="0" w:type="dxa"/>
          <w:left w:w="0" w:type="dxa"/>
          <w:bottom w:w="0" w:type="dxa"/>
          <w:right w:w="0" w:type="dxa"/>
        </w:tblCellMar>
      </w:tblPr>
      <w:tblGrid>
        <w:gridCol w:w="125"/>
        <w:gridCol w:w="60"/>
        <w:gridCol w:w="761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0"/>
              <w:jc w:val="left"/>
              <w:rPr>
                <w:rFonts w:ascii="arial" w:hAnsi="arial"/>
                <w:sz w:val="18"/>
              </w:rPr>
            </w:pPr>
            <w:r>
              <w:rPr>
                <w:rFonts w:ascii="arial" w:hAnsi="arial"/>
                <w:sz w:val="18"/>
              </w:rPr>
              <w:t xml:space="preserve">FOR the approval, on an advisory basis, of the compensation of our named executive officers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FOR the approval of an amendment to the VS 2021 Stock Plan to increase the number of shares available for issuance thereunder by 4,800,000 shares </w:t>
            </w:r>
          </w:p>
        </w:tc>
      </w:tr>
    </w:tbl>
    <w:p>
      <w:pPr>
        <w:pStyle w:val="TextBody"/>
        <w:bidi w:val="0"/>
        <w:spacing w:before="0" w:after="0"/>
        <w:jc w:val="left"/>
        <w:rPr/>
      </w:pPr>
      <w:r>
        <w:rPr/>
        <w:t> </w:t>
      </w:r>
    </w:p>
    <w:tbl>
      <w:tblPr>
        <w:tblW w:w="9535" w:type="dxa"/>
        <w:jc w:val="left"/>
        <w:tblInd w:w="0" w:type="dxa"/>
        <w:tblLayout w:type="fixed"/>
        <w:tblCellMar>
          <w:top w:w="0" w:type="dxa"/>
          <w:left w:w="0" w:type="dxa"/>
          <w:bottom w:w="0" w:type="dxa"/>
          <w:right w:w="0" w:type="dxa"/>
        </w:tblCellMar>
      </w:tblPr>
      <w:tblGrid>
        <w:gridCol w:w="125"/>
        <w:gridCol w:w="60"/>
        <w:gridCol w:w="935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9350" w:type="dxa"/>
            <w:tcBorders/>
            <w:vAlign w:val="center"/>
          </w:tcPr>
          <w:p>
            <w:pPr>
              <w:pStyle w:val="TableContents"/>
              <w:bidi w:val="0"/>
              <w:spacing w:before="0" w:after="0"/>
              <w:jc w:val="left"/>
              <w:rPr>
                <w:rFonts w:ascii="arial" w:hAnsi="arial"/>
                <w:sz w:val="18"/>
              </w:rPr>
            </w:pPr>
            <w:r>
              <w:rPr>
                <w:rFonts w:ascii="arial" w:hAnsi="arial"/>
                <w:sz w:val="18"/>
              </w:rPr>
              <w:t xml:space="preserve">FOR the ratification of Ernst &amp; Young LLP as our independent registered public accounting firm for fiscal year 2024 </w:t>
            </w:r>
          </w:p>
        </w:tc>
      </w:tr>
    </w:tbl>
    <w:p>
      <w:pPr>
        <w:pStyle w:val="TextBody"/>
        <w:bidi w:val="0"/>
        <w:spacing w:before="120" w:after="0"/>
        <w:jc w:val="left"/>
        <w:rPr>
          <w:rFonts w:ascii="arial" w:hAnsi="arial"/>
          <w:sz w:val="18"/>
        </w:rPr>
      </w:pPr>
      <w:r>
        <w:rPr>
          <w:rFonts w:ascii="arial" w:hAnsi="arial"/>
          <w:sz w:val="18"/>
        </w:rPr>
        <w:t xml:space="preserve">If you submit a proxy without giving voting instructions, your shares will be voted as recommended by the Board. </w:t>
      </w:r>
    </w:p>
    <w:p>
      <w:pPr>
        <w:pStyle w:val="TextBody"/>
        <w:bidi w:val="0"/>
        <w:spacing w:before="120" w:after="0"/>
        <w:jc w:val="left"/>
        <w:rPr>
          <w:rFonts w:ascii="arial" w:hAnsi="arial"/>
          <w:sz w:val="18"/>
        </w:rPr>
      </w:pPr>
      <w:r>
        <w:rPr>
          <w:rFonts w:ascii="arial" w:hAnsi="arial"/>
          <w:sz w:val="18"/>
        </w:rPr>
        <w:t xml:space="preserve">As of the date of this Proxy Statement, we do not know of any other matters that will be considered at the 2024 Annual Meeting other than those described in this Proxy Statement. If any matter other than the proposals described in this Proxy Statement is properly presented at the 2024 Annual Meeting, by submitting your proxy for the 2024 Annual Meeting, you instruct the Board-designated proxy holders to vote your shares in their discretion in accordance with the recommendations of the Board. </w:t>
      </w:r>
    </w:p>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53"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42" descr=""/>
                          <pic:cNvPicPr>
                            <a:picLocks noChangeAspect="1" noChangeArrowheads="1"/>
                          </pic:cNvPicPr>
                        </pic:nvPicPr>
                        <pic:blipFill>
                          <a:blip r:embed="rId143"/>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93 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QUESTIONS AND ANSWERS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How do I vote my shares? </w:t>
      </w:r>
    </w:p>
    <w:p>
      <w:pPr>
        <w:pStyle w:val="TextBody"/>
        <w:bidi w:val="0"/>
        <w:spacing w:before="60" w:after="0"/>
        <w:jc w:val="left"/>
        <w:rPr>
          <w:rFonts w:ascii="arial" w:hAnsi="arial"/>
          <w:sz w:val="18"/>
        </w:rPr>
      </w:pPr>
      <w:r>
        <w:rPr>
          <w:rFonts w:ascii="arial" w:hAnsi="arial"/>
          <w:sz w:val="18"/>
        </w:rPr>
        <w:t xml:space="preserve">Stockholders are encouraged to vote their shares before the 2024 Annual Meeting, even if they plan on attending the virtual meeting. Please read the Proxy Statement and vote right away. </w:t>
      </w:r>
    </w:p>
    <w:p>
      <w:pPr>
        <w:pStyle w:val="TextBody"/>
        <w:bidi w:val="0"/>
        <w:spacing w:before="120" w:after="0"/>
        <w:jc w:val="left"/>
        <w:rPr>
          <w:rFonts w:ascii="arial" w:hAnsi="arial"/>
          <w:sz w:val="18"/>
        </w:rPr>
      </w:pPr>
      <w:r>
        <w:rPr>
          <w:rFonts w:ascii="arial" w:hAnsi="arial"/>
          <w:sz w:val="18"/>
        </w:rPr>
        <w:t xml:space="preserve">If your shares are registered directly in your name with our transfer agent, American Stock Transfer &amp; Trust Company, LLC (in other words, you are a “stockholder of record”), you can vote using any of the following methods: </w:t>
      </w:r>
    </w:p>
    <w:p>
      <w:pPr>
        <w:pStyle w:val="TextBody"/>
        <w:bidi w:val="0"/>
        <w:spacing w:before="0" w:after="0"/>
        <w:jc w:val="left"/>
        <w:rPr/>
      </w:pPr>
      <w:r>
        <w:rPr/>
        <w:t> </w:t>
      </w:r>
    </w:p>
    <w:tbl>
      <w:tblPr>
        <w:tblW w:w="3595" w:type="dxa"/>
        <w:jc w:val="left"/>
        <w:tblInd w:w="0" w:type="dxa"/>
        <w:tblLayout w:type="fixed"/>
        <w:tblCellMar>
          <w:top w:w="0" w:type="dxa"/>
          <w:left w:w="0" w:type="dxa"/>
          <w:bottom w:w="0" w:type="dxa"/>
          <w:right w:w="0" w:type="dxa"/>
        </w:tblCellMar>
      </w:tblPr>
      <w:tblGrid>
        <w:gridCol w:w="125"/>
        <w:gridCol w:w="60"/>
        <w:gridCol w:w="341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3410" w:type="dxa"/>
            <w:tcBorders/>
            <w:vAlign w:val="center"/>
          </w:tcPr>
          <w:p>
            <w:pPr>
              <w:pStyle w:val="TableContents"/>
              <w:bidi w:val="0"/>
              <w:spacing w:before="0" w:after="0"/>
              <w:jc w:val="left"/>
              <w:rPr>
                <w:rFonts w:ascii="arial" w:hAnsi="arial"/>
                <w:sz w:val="18"/>
              </w:rPr>
            </w:pPr>
            <w:r>
              <w:rPr>
                <w:rFonts w:ascii="arial" w:hAnsi="arial"/>
                <w:sz w:val="18"/>
              </w:rPr>
              <w:t xml:space="preserve">by Internet at </w:t>
            </w:r>
            <w:r>
              <w:rPr>
                <w:rFonts w:ascii="arial" w:hAnsi="arial"/>
                <w:i/>
                <w:sz w:val="18"/>
              </w:rPr>
              <w:t>www.proxydocs.com/VSCO</w:t>
            </w:r>
            <w:r>
              <w:rPr>
                <w:rFonts w:ascii="arial" w:hAnsi="arial"/>
                <w:sz w:val="18"/>
              </w:rPr>
              <w:t xml:space="preserve"> </w:t>
            </w:r>
          </w:p>
        </w:tc>
      </w:tr>
    </w:tbl>
    <w:p>
      <w:pPr>
        <w:pStyle w:val="TextBody"/>
        <w:bidi w:val="0"/>
        <w:spacing w:before="0" w:after="0"/>
        <w:jc w:val="left"/>
        <w:rPr/>
      </w:pPr>
      <w:r>
        <w:rPr/>
        <w:t> </w:t>
      </w:r>
    </w:p>
    <w:tbl>
      <w:tblPr>
        <w:tblW w:w="2905" w:type="dxa"/>
        <w:jc w:val="left"/>
        <w:tblInd w:w="0" w:type="dxa"/>
        <w:tblLayout w:type="fixed"/>
        <w:tblCellMar>
          <w:top w:w="0" w:type="dxa"/>
          <w:left w:w="0" w:type="dxa"/>
          <w:bottom w:w="0" w:type="dxa"/>
          <w:right w:w="0" w:type="dxa"/>
        </w:tblCellMar>
      </w:tblPr>
      <w:tblGrid>
        <w:gridCol w:w="125"/>
        <w:gridCol w:w="60"/>
        <w:gridCol w:w="27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0"/>
              <w:jc w:val="left"/>
              <w:rPr>
                <w:rFonts w:ascii="arial" w:hAnsi="arial"/>
                <w:sz w:val="18"/>
              </w:rPr>
            </w:pPr>
            <w:r>
              <w:rPr>
                <w:rFonts w:ascii="arial" w:hAnsi="arial"/>
                <w:sz w:val="18"/>
              </w:rPr>
              <w:t xml:space="preserve">by telephone at 1-866-977-5067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color w:val="F7ACBA"/>
              </w:rPr>
            </w:pPr>
            <w:r>
              <w:rPr>
                <w:color w:val="F7ACBA"/>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by mail by requesting a printed set of proxy materials and then completing, signing, and returning the proxy card you receive in response to your request </w:t>
            </w:r>
          </w:p>
        </w:tc>
      </w:tr>
    </w:tbl>
    <w:p>
      <w:pPr>
        <w:pStyle w:val="TextBody"/>
        <w:bidi w:val="0"/>
        <w:spacing w:before="120" w:after="0"/>
        <w:jc w:val="left"/>
        <w:rPr>
          <w:rFonts w:ascii="arial" w:hAnsi="arial"/>
          <w:sz w:val="18"/>
        </w:rPr>
      </w:pPr>
      <w:r>
        <w:rPr>
          <w:rFonts w:ascii="arial" w:hAnsi="arial"/>
          <w:sz w:val="18"/>
        </w:rPr>
        <w:t xml:space="preserve">If your shares are registered in the name of your bank, broker, or other nominee (in other words, you are a “beneficial stockholder”), you will receive instructions from your bank, broker, or other nominee that you will need to follow in order to vote your shares. </w:t>
      </w:r>
    </w:p>
    <w:p>
      <w:pPr>
        <w:pStyle w:val="TextBody"/>
        <w:bidi w:val="0"/>
        <w:spacing w:before="240" w:after="0"/>
        <w:jc w:val="left"/>
        <w:rPr>
          <w:rFonts w:ascii="Times New Roman" w:hAnsi="Times New Roman"/>
          <w:i/>
          <w:sz w:val="20"/>
        </w:rPr>
      </w:pPr>
      <w:r>
        <w:rPr>
          <w:rFonts w:ascii="Times New Roman" w:hAnsi="Times New Roman"/>
          <w:i/>
          <w:sz w:val="20"/>
        </w:rPr>
        <w:t xml:space="preserve">Can I change or revoke my proxy? </w:t>
      </w:r>
    </w:p>
    <w:p>
      <w:pPr>
        <w:pStyle w:val="TextBody"/>
        <w:bidi w:val="0"/>
        <w:spacing w:before="60" w:after="0"/>
        <w:jc w:val="left"/>
        <w:rPr>
          <w:rFonts w:ascii="arial" w:hAnsi="arial"/>
          <w:sz w:val="18"/>
        </w:rPr>
      </w:pPr>
      <w:r>
        <w:rPr>
          <w:rFonts w:ascii="arial" w:hAnsi="arial"/>
          <w:sz w:val="18"/>
        </w:rPr>
        <w:t xml:space="preserve">Yes. All proxies delivered pursuant to this Proxy Statement are revocable at any time before they are voted. If you are a stockholder of record, you can revoke your proxy by mailing written notice of revocation to: Corporate Secretary, Four Limited Parkway, Reynoldsburg, Ohio 43068. You may also change or revoke your proxy by submitting a properly executed proxy bearing a later date or by attending the virtual meeting and voting online during the meeting. If you are a beneficial stockholder, you may revoke your proxy by submitting new voting instructions to your bank, broker, or other nominee or, if you have obtained legal proxy from your bank, broker, or other nominee, by attending the virtual meeting and voting online during the meeting. If you are revoking your proxy by sending a notice of revocation or new proxy card or voting instruction form, you should ensure that you send your notice of revocation or new proxy card or voting instruction form in sufficient time for it to be received prior to the taking of the vote at the 2024 Annual Meeting. </w:t>
      </w:r>
    </w:p>
    <w:p>
      <w:pPr>
        <w:pStyle w:val="TextBody"/>
        <w:bidi w:val="0"/>
        <w:spacing w:before="240" w:after="0"/>
        <w:jc w:val="left"/>
        <w:rPr>
          <w:rFonts w:ascii="Times New Roman" w:hAnsi="Times New Roman"/>
          <w:i/>
          <w:sz w:val="20"/>
        </w:rPr>
      </w:pPr>
      <w:r>
        <w:rPr>
          <w:rFonts w:ascii="Times New Roman" w:hAnsi="Times New Roman"/>
          <w:i/>
          <w:sz w:val="20"/>
        </w:rPr>
        <w:t xml:space="preserve">What vote is required to approve each proposal?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72"/>
        <w:gridCol w:w="120"/>
        <w:gridCol w:w="2439"/>
        <w:gridCol w:w="120"/>
        <w:gridCol w:w="3117"/>
        <w:gridCol w:w="120"/>
        <w:gridCol w:w="1417"/>
      </w:tblGrid>
      <w:tr>
        <w:trPr/>
        <w:tc>
          <w:tcPr>
            <w:tcW w:w="287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r>
      <w:tr>
        <w:trPr/>
        <w:tc>
          <w:tcPr>
            <w:tcW w:w="2872" w:type="dxa"/>
            <w:tcBorders/>
            <w:shd w:fill="FDEEF1" w:val="clear"/>
            <w:vAlign w:val="center"/>
          </w:tcPr>
          <w:p>
            <w:pPr>
              <w:pStyle w:val="TableContents"/>
              <w:bidi w:val="0"/>
              <w:spacing w:before="0" w:after="283"/>
              <w:jc w:val="left"/>
              <w:rPr>
                <w:sz w:val="4"/>
                <w:szCs w:val="4"/>
              </w:rPr>
            </w:pPr>
            <w:r>
              <w:rPr>
                <w:sz w:val="4"/>
                <w:szCs w:val="4"/>
              </w:rPr>
            </w:r>
          </w:p>
        </w:tc>
        <w:tc>
          <w:tcPr>
            <w:tcW w:w="2559" w:type="dxa"/>
            <w:gridSpan w:val="2"/>
            <w:tcBorders/>
            <w:shd w:fill="FDEEF1" w:val="clear"/>
            <w:vAlign w:val="center"/>
          </w:tcPr>
          <w:p>
            <w:pPr>
              <w:pStyle w:val="TableContents"/>
              <w:bidi w:val="0"/>
              <w:spacing w:before="0" w:after="283"/>
              <w:jc w:val="left"/>
              <w:rPr>
                <w:sz w:val="4"/>
                <w:szCs w:val="4"/>
              </w:rPr>
            </w:pPr>
            <w:r>
              <w:rPr>
                <w:sz w:val="4"/>
                <w:szCs w:val="4"/>
              </w:rPr>
            </w:r>
          </w:p>
        </w:tc>
        <w:tc>
          <w:tcPr>
            <w:tcW w:w="3237" w:type="dxa"/>
            <w:gridSpan w:val="2"/>
            <w:tcBorders/>
            <w:shd w:fill="FDEEF1" w:val="clear"/>
            <w:vAlign w:val="center"/>
          </w:tcPr>
          <w:p>
            <w:pPr>
              <w:pStyle w:val="TableContents"/>
              <w:bidi w:val="0"/>
              <w:spacing w:before="0" w:after="283"/>
              <w:jc w:val="left"/>
              <w:rPr>
                <w:sz w:val="4"/>
                <w:szCs w:val="4"/>
              </w:rPr>
            </w:pPr>
            <w:r>
              <w:rPr>
                <w:sz w:val="4"/>
                <w:szCs w:val="4"/>
              </w:rPr>
            </w:r>
          </w:p>
        </w:tc>
        <w:tc>
          <w:tcPr>
            <w:tcW w:w="1537" w:type="dxa"/>
            <w:gridSpan w:val="2"/>
            <w:tcBorders/>
            <w:shd w:fill="FDEEF1" w:val="clear"/>
            <w:vAlign w:val="center"/>
          </w:tcPr>
          <w:p>
            <w:pPr>
              <w:pStyle w:val="TableContents"/>
              <w:bidi w:val="0"/>
              <w:spacing w:before="0" w:after="283"/>
              <w:jc w:val="left"/>
              <w:rPr>
                <w:sz w:val="4"/>
                <w:szCs w:val="4"/>
              </w:rPr>
            </w:pPr>
            <w:r>
              <w:rPr>
                <w:sz w:val="4"/>
                <w:szCs w:val="4"/>
              </w:rPr>
            </w:r>
          </w:p>
        </w:tc>
      </w:tr>
      <w:tr>
        <w:trPr/>
        <w:tc>
          <w:tcPr>
            <w:tcW w:w="2872" w:type="dxa"/>
            <w:tcBorders/>
            <w:shd w:fill="FDEEF1" w:val="clear"/>
            <w:vAlign w:val="center"/>
          </w:tcPr>
          <w:p>
            <w:pPr>
              <w:pStyle w:val="TableContents"/>
              <w:bidi w:val="0"/>
              <w:spacing w:before="0" w:after="0"/>
              <w:jc w:val="left"/>
              <w:rPr>
                <w:rFonts w:ascii="arial" w:hAnsi="arial"/>
                <w:b/>
                <w:sz w:val="16"/>
              </w:rPr>
            </w:pPr>
            <w:r>
              <w:rPr>
                <w:rFonts w:ascii="arial" w:hAnsi="arial"/>
                <w:b/>
                <w:sz w:val="16"/>
              </w:rPr>
              <w:t>Proposal</w:t>
            </w:r>
          </w:p>
        </w:tc>
        <w:tc>
          <w:tcPr>
            <w:tcW w:w="120" w:type="dxa"/>
            <w:tcBorders/>
            <w:shd w:fill="FDEEF1" w:val="clear"/>
            <w:vAlign w:val="center"/>
          </w:tcPr>
          <w:p>
            <w:pPr>
              <w:pStyle w:val="TableContents"/>
              <w:bidi w:val="0"/>
              <w:spacing w:before="0" w:after="283"/>
              <w:jc w:val="left"/>
              <w:rPr/>
            </w:pPr>
            <w:r>
              <w:rPr/>
              <w:t>  </w:t>
            </w:r>
          </w:p>
        </w:tc>
        <w:tc>
          <w:tcPr>
            <w:tcW w:w="2439" w:type="dxa"/>
            <w:tcBorders/>
            <w:shd w:fill="FDEEF1" w:val="clear"/>
            <w:vAlign w:val="center"/>
          </w:tcPr>
          <w:p>
            <w:pPr>
              <w:pStyle w:val="TableContents"/>
              <w:bidi w:val="0"/>
              <w:spacing w:before="0" w:after="283"/>
              <w:jc w:val="center"/>
              <w:rPr>
                <w:b/>
              </w:rPr>
            </w:pPr>
            <w:r>
              <w:rPr>
                <w:b/>
              </w:rPr>
              <w:t>Voting Options</w:t>
            </w:r>
          </w:p>
        </w:tc>
        <w:tc>
          <w:tcPr>
            <w:tcW w:w="120" w:type="dxa"/>
            <w:tcBorders/>
            <w:shd w:fill="FDEEF1" w:val="clear"/>
            <w:vAlign w:val="center"/>
          </w:tcPr>
          <w:p>
            <w:pPr>
              <w:pStyle w:val="TableContents"/>
              <w:bidi w:val="0"/>
              <w:spacing w:before="0" w:after="283"/>
              <w:jc w:val="left"/>
              <w:rPr/>
            </w:pPr>
            <w:r>
              <w:rPr/>
              <w:t>  </w:t>
            </w:r>
          </w:p>
        </w:tc>
        <w:tc>
          <w:tcPr>
            <w:tcW w:w="3117" w:type="dxa"/>
            <w:tcBorders/>
            <w:shd w:fill="FDEEF1" w:val="clear"/>
            <w:vAlign w:val="center"/>
          </w:tcPr>
          <w:p>
            <w:pPr>
              <w:pStyle w:val="TableContents"/>
              <w:bidi w:val="0"/>
              <w:spacing w:before="0" w:after="283"/>
              <w:jc w:val="center"/>
              <w:rPr>
                <w:b/>
              </w:rPr>
            </w:pPr>
            <w:r>
              <w:rPr>
                <w:b/>
              </w:rPr>
              <w:t>Vote Required for Approval</w:t>
            </w:r>
          </w:p>
        </w:tc>
        <w:tc>
          <w:tcPr>
            <w:tcW w:w="120" w:type="dxa"/>
            <w:tcBorders/>
            <w:shd w:fill="FDEEF1" w:val="clear"/>
            <w:vAlign w:val="center"/>
          </w:tcPr>
          <w:p>
            <w:pPr>
              <w:pStyle w:val="TableContents"/>
              <w:bidi w:val="0"/>
              <w:spacing w:before="0" w:after="283"/>
              <w:jc w:val="left"/>
              <w:rPr/>
            </w:pPr>
            <w:r>
              <w:rPr/>
              <w:t>  </w:t>
            </w:r>
          </w:p>
        </w:tc>
        <w:tc>
          <w:tcPr>
            <w:tcW w:w="1417" w:type="dxa"/>
            <w:tcBorders/>
            <w:shd w:fill="FDEEF1" w:val="clear"/>
            <w:vAlign w:val="center"/>
          </w:tcPr>
          <w:p>
            <w:pPr>
              <w:pStyle w:val="TableContents"/>
              <w:bidi w:val="0"/>
              <w:spacing w:before="0" w:after="283"/>
              <w:jc w:val="center"/>
              <w:rPr>
                <w:b/>
              </w:rPr>
            </w:pPr>
            <w:r>
              <w:rPr>
                <w:b/>
              </w:rPr>
              <w:t>Is Broker</w:t>
              <w:br/>
              <w:t>Discretionary</w:t>
              <w:br/>
              <w:t>Voting</w:t>
              <w:br/>
              <w:t>Allowed?</w:t>
            </w:r>
          </w:p>
        </w:tc>
      </w:tr>
      <w:tr>
        <w:trPr/>
        <w:tc>
          <w:tcPr>
            <w:tcW w:w="2872" w:type="dxa"/>
            <w:tcBorders/>
            <w:vAlign w:val="center"/>
          </w:tcPr>
          <w:p>
            <w:pPr>
              <w:pStyle w:val="TableContents"/>
              <w:bidi w:val="0"/>
              <w:spacing w:before="0" w:after="283"/>
              <w:jc w:val="left"/>
              <w:rPr>
                <w:sz w:val="4"/>
                <w:szCs w:val="4"/>
              </w:rPr>
            </w:pPr>
            <w:r>
              <w:rPr>
                <w:sz w:val="4"/>
                <w:szCs w:val="4"/>
              </w:rPr>
            </w:r>
          </w:p>
        </w:tc>
        <w:tc>
          <w:tcPr>
            <w:tcW w:w="2559" w:type="dxa"/>
            <w:gridSpan w:val="2"/>
            <w:tcBorders/>
            <w:vAlign w:val="center"/>
          </w:tcPr>
          <w:p>
            <w:pPr>
              <w:pStyle w:val="TableContents"/>
              <w:bidi w:val="0"/>
              <w:spacing w:before="0" w:after="283"/>
              <w:jc w:val="left"/>
              <w:rPr>
                <w:sz w:val="4"/>
                <w:szCs w:val="4"/>
              </w:rPr>
            </w:pPr>
            <w:r>
              <w:rPr>
                <w:sz w:val="4"/>
                <w:szCs w:val="4"/>
              </w:rPr>
            </w:r>
          </w:p>
        </w:tc>
        <w:tc>
          <w:tcPr>
            <w:tcW w:w="3237" w:type="dxa"/>
            <w:gridSpan w:val="2"/>
            <w:tcBorders/>
            <w:vAlign w:val="center"/>
          </w:tcPr>
          <w:p>
            <w:pPr>
              <w:pStyle w:val="TableContents"/>
              <w:bidi w:val="0"/>
              <w:spacing w:before="0" w:after="283"/>
              <w:jc w:val="left"/>
              <w:rPr>
                <w:sz w:val="4"/>
                <w:szCs w:val="4"/>
              </w:rPr>
            </w:pPr>
            <w:r>
              <w:rPr>
                <w:sz w:val="4"/>
                <w:szCs w:val="4"/>
              </w:rPr>
            </w:r>
          </w:p>
        </w:tc>
        <w:tc>
          <w:tcPr>
            <w:tcW w:w="1537" w:type="dxa"/>
            <w:gridSpan w:val="2"/>
            <w:tcBorders/>
            <w:vAlign w:val="center"/>
          </w:tcPr>
          <w:p>
            <w:pPr>
              <w:pStyle w:val="TableContents"/>
              <w:bidi w:val="0"/>
              <w:spacing w:before="0" w:after="283"/>
              <w:jc w:val="left"/>
              <w:rPr>
                <w:sz w:val="4"/>
                <w:szCs w:val="4"/>
              </w:rPr>
            </w:pPr>
            <w:r>
              <w:rPr>
                <w:sz w:val="4"/>
                <w:szCs w:val="4"/>
              </w:rPr>
            </w:r>
          </w:p>
        </w:tc>
      </w:tr>
      <w:tr>
        <w:trPr/>
        <w:tc>
          <w:tcPr>
            <w:tcW w:w="2872"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1.  Election of Nine Directors</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439" w:type="dxa"/>
            <w:tcBorders>
              <w:bottom w:val="single" w:sz="6" w:space="0" w:color="FBDDE3"/>
            </w:tcBorders>
            <w:tcMar>
              <w:bottom w:w="60" w:type="dxa"/>
            </w:tcMar>
            <w:vAlign w:val="center"/>
          </w:tcPr>
          <w:p>
            <w:pPr>
              <w:pStyle w:val="TableContents"/>
              <w:bidi w:val="0"/>
              <w:spacing w:before="0" w:after="283"/>
              <w:jc w:val="left"/>
              <w:rPr/>
            </w:pPr>
            <w:r>
              <w:rPr/>
              <w:t>“</w:t>
            </w:r>
            <w:r>
              <w:rPr/>
              <w:t>FOR,” “AGAINST,” or “ABSTAIN” for each nominee</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3117" w:type="dxa"/>
            <w:tcBorders>
              <w:bottom w:val="single" w:sz="6" w:space="0" w:color="FBDDE3"/>
            </w:tcBorders>
            <w:tcMar>
              <w:bottom w:w="60" w:type="dxa"/>
            </w:tcMar>
            <w:vAlign w:val="center"/>
          </w:tcPr>
          <w:p>
            <w:pPr>
              <w:pStyle w:val="TableContents"/>
              <w:bidi w:val="0"/>
              <w:spacing w:before="0" w:after="283"/>
              <w:jc w:val="left"/>
              <w:rPr/>
            </w:pPr>
            <w:r>
              <w:rPr/>
              <w:t>Majority of votes cast for each nominee</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17" w:type="dxa"/>
            <w:tcBorders>
              <w:bottom w:val="single" w:sz="6" w:space="0" w:color="FBDDE3"/>
            </w:tcBorders>
            <w:tcMar>
              <w:bottom w:w="60" w:type="dxa"/>
            </w:tcMar>
            <w:vAlign w:val="center"/>
          </w:tcPr>
          <w:p>
            <w:pPr>
              <w:pStyle w:val="TableContents"/>
              <w:bidi w:val="0"/>
              <w:spacing w:before="0" w:after="283"/>
              <w:jc w:val="center"/>
              <w:rPr>
                <w:b/>
              </w:rPr>
            </w:pPr>
            <w:r>
              <w:rPr>
                <w:b/>
              </w:rPr>
              <w:t>No</w:t>
            </w:r>
          </w:p>
        </w:tc>
      </w:tr>
      <w:tr>
        <w:trPr/>
        <w:tc>
          <w:tcPr>
            <w:tcW w:w="2872" w:type="dxa"/>
            <w:tcBorders/>
            <w:vAlign w:val="center"/>
          </w:tcPr>
          <w:p>
            <w:pPr>
              <w:pStyle w:val="TableContents"/>
              <w:bidi w:val="0"/>
              <w:spacing w:before="0" w:after="283"/>
              <w:jc w:val="left"/>
              <w:rPr>
                <w:sz w:val="4"/>
                <w:szCs w:val="4"/>
              </w:rPr>
            </w:pPr>
            <w:r>
              <w:rPr>
                <w:sz w:val="4"/>
                <w:szCs w:val="4"/>
              </w:rPr>
            </w:r>
          </w:p>
        </w:tc>
        <w:tc>
          <w:tcPr>
            <w:tcW w:w="2559" w:type="dxa"/>
            <w:gridSpan w:val="2"/>
            <w:tcBorders/>
            <w:vAlign w:val="center"/>
          </w:tcPr>
          <w:p>
            <w:pPr>
              <w:pStyle w:val="TableContents"/>
              <w:bidi w:val="0"/>
              <w:spacing w:before="0" w:after="283"/>
              <w:jc w:val="left"/>
              <w:rPr>
                <w:sz w:val="4"/>
                <w:szCs w:val="4"/>
              </w:rPr>
            </w:pPr>
            <w:r>
              <w:rPr>
                <w:sz w:val="4"/>
                <w:szCs w:val="4"/>
              </w:rPr>
            </w:r>
          </w:p>
        </w:tc>
        <w:tc>
          <w:tcPr>
            <w:tcW w:w="3237" w:type="dxa"/>
            <w:gridSpan w:val="2"/>
            <w:tcBorders/>
            <w:vAlign w:val="center"/>
          </w:tcPr>
          <w:p>
            <w:pPr>
              <w:pStyle w:val="TableContents"/>
              <w:bidi w:val="0"/>
              <w:spacing w:before="0" w:after="283"/>
              <w:jc w:val="left"/>
              <w:rPr>
                <w:sz w:val="4"/>
                <w:szCs w:val="4"/>
              </w:rPr>
            </w:pPr>
            <w:r>
              <w:rPr>
                <w:sz w:val="4"/>
                <w:szCs w:val="4"/>
              </w:rPr>
            </w:r>
          </w:p>
        </w:tc>
        <w:tc>
          <w:tcPr>
            <w:tcW w:w="1537" w:type="dxa"/>
            <w:gridSpan w:val="2"/>
            <w:tcBorders/>
            <w:vAlign w:val="center"/>
          </w:tcPr>
          <w:p>
            <w:pPr>
              <w:pStyle w:val="TableContents"/>
              <w:bidi w:val="0"/>
              <w:spacing w:before="0" w:after="283"/>
              <w:jc w:val="left"/>
              <w:rPr>
                <w:sz w:val="4"/>
                <w:szCs w:val="4"/>
              </w:rPr>
            </w:pPr>
            <w:r>
              <w:rPr>
                <w:sz w:val="4"/>
                <w:szCs w:val="4"/>
              </w:rPr>
            </w:r>
          </w:p>
        </w:tc>
      </w:tr>
      <w:tr>
        <w:trPr/>
        <w:tc>
          <w:tcPr>
            <w:tcW w:w="2872"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2.  Amendment to Certificate of Incorporation</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439" w:type="dxa"/>
            <w:tcBorders>
              <w:bottom w:val="single" w:sz="6" w:space="0" w:color="FBDDE3"/>
            </w:tcBorders>
            <w:tcMar>
              <w:bottom w:w="60" w:type="dxa"/>
            </w:tcMar>
            <w:vAlign w:val="center"/>
          </w:tcPr>
          <w:p>
            <w:pPr>
              <w:pStyle w:val="TableContents"/>
              <w:bidi w:val="0"/>
              <w:spacing w:before="0" w:after="283"/>
              <w:jc w:val="left"/>
              <w:rPr/>
            </w:pPr>
            <w:r>
              <w:rPr/>
              <w:t>“</w:t>
            </w:r>
            <w:r>
              <w:rPr/>
              <w:t>FOR,” “AGAINST,” or “ABSTAIN”</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3117" w:type="dxa"/>
            <w:tcBorders>
              <w:bottom w:val="single" w:sz="6" w:space="0" w:color="FBDDE3"/>
            </w:tcBorders>
            <w:tcMar>
              <w:bottom w:w="60" w:type="dxa"/>
            </w:tcMar>
            <w:vAlign w:val="center"/>
          </w:tcPr>
          <w:p>
            <w:pPr>
              <w:pStyle w:val="TableContents"/>
              <w:bidi w:val="0"/>
              <w:spacing w:before="0" w:after="283"/>
              <w:jc w:val="left"/>
              <w:rPr/>
            </w:pPr>
            <w:r>
              <w:rPr/>
              <w:t>Majority of the outstanding shares entitled to vote at the 2024 Annual Meeting</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17" w:type="dxa"/>
            <w:tcBorders>
              <w:bottom w:val="single" w:sz="6" w:space="0" w:color="FBDDE3"/>
            </w:tcBorders>
            <w:tcMar>
              <w:bottom w:w="60" w:type="dxa"/>
            </w:tcMar>
            <w:vAlign w:val="center"/>
          </w:tcPr>
          <w:p>
            <w:pPr>
              <w:pStyle w:val="TableContents"/>
              <w:bidi w:val="0"/>
              <w:spacing w:before="0" w:after="283"/>
              <w:jc w:val="center"/>
              <w:rPr>
                <w:b/>
              </w:rPr>
            </w:pPr>
            <w:r>
              <w:rPr>
                <w:b/>
              </w:rPr>
              <w:t>No</w:t>
            </w:r>
          </w:p>
        </w:tc>
      </w:tr>
      <w:tr>
        <w:trPr/>
        <w:tc>
          <w:tcPr>
            <w:tcW w:w="2872" w:type="dxa"/>
            <w:tcBorders/>
            <w:vAlign w:val="center"/>
          </w:tcPr>
          <w:p>
            <w:pPr>
              <w:pStyle w:val="TableContents"/>
              <w:bidi w:val="0"/>
              <w:spacing w:before="0" w:after="283"/>
              <w:jc w:val="left"/>
              <w:rPr>
                <w:sz w:val="4"/>
                <w:szCs w:val="4"/>
              </w:rPr>
            </w:pPr>
            <w:r>
              <w:rPr>
                <w:sz w:val="4"/>
                <w:szCs w:val="4"/>
              </w:rPr>
            </w:r>
          </w:p>
        </w:tc>
        <w:tc>
          <w:tcPr>
            <w:tcW w:w="2559" w:type="dxa"/>
            <w:gridSpan w:val="2"/>
            <w:tcBorders/>
            <w:vAlign w:val="center"/>
          </w:tcPr>
          <w:p>
            <w:pPr>
              <w:pStyle w:val="TableContents"/>
              <w:bidi w:val="0"/>
              <w:spacing w:before="0" w:after="283"/>
              <w:jc w:val="left"/>
              <w:rPr>
                <w:sz w:val="4"/>
                <w:szCs w:val="4"/>
              </w:rPr>
            </w:pPr>
            <w:r>
              <w:rPr>
                <w:sz w:val="4"/>
                <w:szCs w:val="4"/>
              </w:rPr>
            </w:r>
          </w:p>
        </w:tc>
        <w:tc>
          <w:tcPr>
            <w:tcW w:w="3237" w:type="dxa"/>
            <w:gridSpan w:val="2"/>
            <w:tcBorders/>
            <w:vAlign w:val="center"/>
          </w:tcPr>
          <w:p>
            <w:pPr>
              <w:pStyle w:val="TableContents"/>
              <w:bidi w:val="0"/>
              <w:spacing w:before="0" w:after="283"/>
              <w:jc w:val="left"/>
              <w:rPr>
                <w:sz w:val="4"/>
                <w:szCs w:val="4"/>
              </w:rPr>
            </w:pPr>
            <w:r>
              <w:rPr>
                <w:sz w:val="4"/>
                <w:szCs w:val="4"/>
              </w:rPr>
            </w:r>
          </w:p>
        </w:tc>
        <w:tc>
          <w:tcPr>
            <w:tcW w:w="1537" w:type="dxa"/>
            <w:gridSpan w:val="2"/>
            <w:tcBorders/>
            <w:vAlign w:val="center"/>
          </w:tcPr>
          <w:p>
            <w:pPr>
              <w:pStyle w:val="TableContents"/>
              <w:bidi w:val="0"/>
              <w:spacing w:before="0" w:after="283"/>
              <w:jc w:val="left"/>
              <w:rPr>
                <w:sz w:val="4"/>
                <w:szCs w:val="4"/>
              </w:rPr>
            </w:pPr>
            <w:r>
              <w:rPr>
                <w:sz w:val="4"/>
                <w:szCs w:val="4"/>
              </w:rPr>
            </w:r>
          </w:p>
        </w:tc>
      </w:tr>
      <w:tr>
        <w:trPr/>
        <w:tc>
          <w:tcPr>
            <w:tcW w:w="2872"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3.  Advisory Vote on Executive Compensation</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439" w:type="dxa"/>
            <w:tcBorders>
              <w:bottom w:val="single" w:sz="6" w:space="0" w:color="FBDDE3"/>
            </w:tcBorders>
            <w:tcMar>
              <w:bottom w:w="60" w:type="dxa"/>
            </w:tcMar>
            <w:vAlign w:val="center"/>
          </w:tcPr>
          <w:p>
            <w:pPr>
              <w:pStyle w:val="TableContents"/>
              <w:bidi w:val="0"/>
              <w:spacing w:before="0" w:after="283"/>
              <w:jc w:val="left"/>
              <w:rPr/>
            </w:pPr>
            <w:r>
              <w:rPr/>
              <w:t>“</w:t>
            </w:r>
            <w:r>
              <w:rPr/>
              <w:t>FOR,” “AGAINST,” or “ABSTAIN”</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3117" w:type="dxa"/>
            <w:tcBorders>
              <w:bottom w:val="single" w:sz="6" w:space="0" w:color="FBDDE3"/>
            </w:tcBorders>
            <w:tcMar>
              <w:bottom w:w="60" w:type="dxa"/>
            </w:tcMar>
            <w:vAlign w:val="center"/>
          </w:tcPr>
          <w:p>
            <w:pPr>
              <w:pStyle w:val="TableContents"/>
              <w:bidi w:val="0"/>
              <w:spacing w:before="0" w:after="283"/>
              <w:jc w:val="left"/>
              <w:rPr/>
            </w:pPr>
            <w:r>
              <w:rPr/>
              <w:t>Majority of votes cast</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17" w:type="dxa"/>
            <w:tcBorders>
              <w:bottom w:val="single" w:sz="6" w:space="0" w:color="FBDDE3"/>
            </w:tcBorders>
            <w:tcMar>
              <w:bottom w:w="60" w:type="dxa"/>
            </w:tcMar>
            <w:vAlign w:val="center"/>
          </w:tcPr>
          <w:p>
            <w:pPr>
              <w:pStyle w:val="TableContents"/>
              <w:bidi w:val="0"/>
              <w:spacing w:before="0" w:after="283"/>
              <w:jc w:val="center"/>
              <w:rPr>
                <w:b/>
              </w:rPr>
            </w:pPr>
            <w:r>
              <w:rPr>
                <w:b/>
              </w:rPr>
              <w:t>No</w:t>
            </w:r>
          </w:p>
        </w:tc>
      </w:tr>
      <w:tr>
        <w:trPr/>
        <w:tc>
          <w:tcPr>
            <w:tcW w:w="2872" w:type="dxa"/>
            <w:tcBorders/>
            <w:vAlign w:val="center"/>
          </w:tcPr>
          <w:p>
            <w:pPr>
              <w:pStyle w:val="TableContents"/>
              <w:bidi w:val="0"/>
              <w:spacing w:before="0" w:after="283"/>
              <w:jc w:val="left"/>
              <w:rPr>
                <w:sz w:val="4"/>
                <w:szCs w:val="4"/>
              </w:rPr>
            </w:pPr>
            <w:r>
              <w:rPr>
                <w:sz w:val="4"/>
                <w:szCs w:val="4"/>
              </w:rPr>
            </w:r>
          </w:p>
        </w:tc>
        <w:tc>
          <w:tcPr>
            <w:tcW w:w="2559" w:type="dxa"/>
            <w:gridSpan w:val="2"/>
            <w:tcBorders/>
            <w:vAlign w:val="center"/>
          </w:tcPr>
          <w:p>
            <w:pPr>
              <w:pStyle w:val="TableContents"/>
              <w:bidi w:val="0"/>
              <w:spacing w:before="0" w:after="283"/>
              <w:jc w:val="left"/>
              <w:rPr>
                <w:sz w:val="4"/>
                <w:szCs w:val="4"/>
              </w:rPr>
            </w:pPr>
            <w:r>
              <w:rPr>
                <w:sz w:val="4"/>
                <w:szCs w:val="4"/>
              </w:rPr>
            </w:r>
          </w:p>
        </w:tc>
        <w:tc>
          <w:tcPr>
            <w:tcW w:w="3237" w:type="dxa"/>
            <w:gridSpan w:val="2"/>
            <w:tcBorders/>
            <w:vAlign w:val="center"/>
          </w:tcPr>
          <w:p>
            <w:pPr>
              <w:pStyle w:val="TableContents"/>
              <w:bidi w:val="0"/>
              <w:spacing w:before="0" w:after="283"/>
              <w:jc w:val="left"/>
              <w:rPr>
                <w:sz w:val="4"/>
                <w:szCs w:val="4"/>
              </w:rPr>
            </w:pPr>
            <w:r>
              <w:rPr>
                <w:sz w:val="4"/>
                <w:szCs w:val="4"/>
              </w:rPr>
            </w:r>
          </w:p>
        </w:tc>
        <w:tc>
          <w:tcPr>
            <w:tcW w:w="1537" w:type="dxa"/>
            <w:gridSpan w:val="2"/>
            <w:tcBorders/>
            <w:vAlign w:val="center"/>
          </w:tcPr>
          <w:p>
            <w:pPr>
              <w:pStyle w:val="TableContents"/>
              <w:bidi w:val="0"/>
              <w:spacing w:before="0" w:after="283"/>
              <w:jc w:val="left"/>
              <w:rPr>
                <w:sz w:val="4"/>
                <w:szCs w:val="4"/>
              </w:rPr>
            </w:pPr>
            <w:r>
              <w:rPr>
                <w:sz w:val="4"/>
                <w:szCs w:val="4"/>
              </w:rPr>
            </w:r>
          </w:p>
        </w:tc>
      </w:tr>
      <w:tr>
        <w:trPr/>
        <w:tc>
          <w:tcPr>
            <w:tcW w:w="2872"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4.  Amendment to VS 2021 Stock Plan</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439" w:type="dxa"/>
            <w:tcBorders>
              <w:bottom w:val="single" w:sz="6" w:space="0" w:color="FBDDE3"/>
            </w:tcBorders>
            <w:tcMar>
              <w:bottom w:w="60" w:type="dxa"/>
            </w:tcMar>
            <w:vAlign w:val="center"/>
          </w:tcPr>
          <w:p>
            <w:pPr>
              <w:pStyle w:val="TableContents"/>
              <w:bidi w:val="0"/>
              <w:spacing w:before="0" w:after="283"/>
              <w:jc w:val="left"/>
              <w:rPr/>
            </w:pPr>
            <w:r>
              <w:rPr/>
              <w:t>“</w:t>
            </w:r>
            <w:r>
              <w:rPr/>
              <w:t>FOR,” “AGAINST,” or “ABSTAIN”</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3117" w:type="dxa"/>
            <w:tcBorders>
              <w:bottom w:val="single" w:sz="6" w:space="0" w:color="FBDDE3"/>
            </w:tcBorders>
            <w:tcMar>
              <w:bottom w:w="60" w:type="dxa"/>
            </w:tcMar>
            <w:vAlign w:val="center"/>
          </w:tcPr>
          <w:p>
            <w:pPr>
              <w:pStyle w:val="TableContents"/>
              <w:bidi w:val="0"/>
              <w:spacing w:before="0" w:after="283"/>
              <w:jc w:val="left"/>
              <w:rPr/>
            </w:pPr>
            <w:r>
              <w:rPr/>
              <w:t>Majority of votes cast</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17" w:type="dxa"/>
            <w:tcBorders>
              <w:bottom w:val="single" w:sz="6" w:space="0" w:color="FBDDE3"/>
            </w:tcBorders>
            <w:tcMar>
              <w:bottom w:w="60" w:type="dxa"/>
            </w:tcMar>
            <w:vAlign w:val="center"/>
          </w:tcPr>
          <w:p>
            <w:pPr>
              <w:pStyle w:val="TableContents"/>
              <w:bidi w:val="0"/>
              <w:spacing w:before="0" w:after="283"/>
              <w:jc w:val="center"/>
              <w:rPr>
                <w:b/>
              </w:rPr>
            </w:pPr>
            <w:r>
              <w:rPr>
                <w:b/>
              </w:rPr>
              <w:t>No</w:t>
            </w:r>
          </w:p>
        </w:tc>
      </w:tr>
      <w:tr>
        <w:trPr/>
        <w:tc>
          <w:tcPr>
            <w:tcW w:w="2872" w:type="dxa"/>
            <w:tcBorders/>
            <w:vAlign w:val="center"/>
          </w:tcPr>
          <w:p>
            <w:pPr>
              <w:pStyle w:val="TableContents"/>
              <w:bidi w:val="0"/>
              <w:spacing w:before="0" w:after="283"/>
              <w:jc w:val="left"/>
              <w:rPr>
                <w:sz w:val="4"/>
                <w:szCs w:val="4"/>
              </w:rPr>
            </w:pPr>
            <w:r>
              <w:rPr>
                <w:sz w:val="4"/>
                <w:szCs w:val="4"/>
              </w:rPr>
            </w:r>
          </w:p>
        </w:tc>
        <w:tc>
          <w:tcPr>
            <w:tcW w:w="2559" w:type="dxa"/>
            <w:gridSpan w:val="2"/>
            <w:tcBorders/>
            <w:vAlign w:val="center"/>
          </w:tcPr>
          <w:p>
            <w:pPr>
              <w:pStyle w:val="TableContents"/>
              <w:bidi w:val="0"/>
              <w:spacing w:before="0" w:after="283"/>
              <w:jc w:val="left"/>
              <w:rPr>
                <w:sz w:val="4"/>
                <w:szCs w:val="4"/>
              </w:rPr>
            </w:pPr>
            <w:r>
              <w:rPr>
                <w:sz w:val="4"/>
                <w:szCs w:val="4"/>
              </w:rPr>
            </w:r>
          </w:p>
        </w:tc>
        <w:tc>
          <w:tcPr>
            <w:tcW w:w="3237" w:type="dxa"/>
            <w:gridSpan w:val="2"/>
            <w:tcBorders/>
            <w:vAlign w:val="center"/>
          </w:tcPr>
          <w:p>
            <w:pPr>
              <w:pStyle w:val="TableContents"/>
              <w:bidi w:val="0"/>
              <w:spacing w:before="0" w:after="283"/>
              <w:jc w:val="left"/>
              <w:rPr>
                <w:sz w:val="4"/>
                <w:szCs w:val="4"/>
              </w:rPr>
            </w:pPr>
            <w:r>
              <w:rPr>
                <w:sz w:val="4"/>
                <w:szCs w:val="4"/>
              </w:rPr>
            </w:r>
          </w:p>
        </w:tc>
        <w:tc>
          <w:tcPr>
            <w:tcW w:w="1537" w:type="dxa"/>
            <w:gridSpan w:val="2"/>
            <w:tcBorders/>
            <w:vAlign w:val="center"/>
          </w:tcPr>
          <w:p>
            <w:pPr>
              <w:pStyle w:val="TableContents"/>
              <w:bidi w:val="0"/>
              <w:spacing w:before="0" w:after="283"/>
              <w:jc w:val="left"/>
              <w:rPr>
                <w:sz w:val="4"/>
                <w:szCs w:val="4"/>
              </w:rPr>
            </w:pPr>
            <w:r>
              <w:rPr>
                <w:sz w:val="4"/>
                <w:szCs w:val="4"/>
              </w:rPr>
            </w:r>
          </w:p>
        </w:tc>
      </w:tr>
      <w:tr>
        <w:trPr/>
        <w:tc>
          <w:tcPr>
            <w:tcW w:w="2872" w:type="dxa"/>
            <w:tcBorders>
              <w:bottom w:val="single" w:sz="6" w:space="0" w:color="FBDDE3"/>
            </w:tcBorders>
            <w:tcMar>
              <w:bottom w:w="60" w:type="dxa"/>
            </w:tcMar>
            <w:vAlign w:val="center"/>
          </w:tcPr>
          <w:p>
            <w:pPr>
              <w:pStyle w:val="TableContents"/>
              <w:bidi w:val="0"/>
              <w:spacing w:before="0" w:after="0"/>
              <w:jc w:val="left"/>
              <w:rPr>
                <w:rFonts w:ascii="arial" w:hAnsi="arial"/>
                <w:sz w:val="18"/>
              </w:rPr>
            </w:pPr>
            <w:r>
              <w:rPr>
                <w:rFonts w:ascii="arial" w:hAnsi="arial"/>
                <w:sz w:val="18"/>
              </w:rPr>
              <w:t>5.  Ratification of Appointment of Ernst &amp; Young LLP as Independent Registered Public Accounting Firm</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2439" w:type="dxa"/>
            <w:tcBorders>
              <w:bottom w:val="single" w:sz="6" w:space="0" w:color="FBDDE3"/>
            </w:tcBorders>
            <w:tcMar>
              <w:bottom w:w="60" w:type="dxa"/>
            </w:tcMar>
            <w:vAlign w:val="center"/>
          </w:tcPr>
          <w:p>
            <w:pPr>
              <w:pStyle w:val="TableContents"/>
              <w:bidi w:val="0"/>
              <w:spacing w:before="0" w:after="283"/>
              <w:jc w:val="left"/>
              <w:rPr/>
            </w:pPr>
            <w:r>
              <w:rPr/>
              <w:t>“</w:t>
            </w:r>
            <w:r>
              <w:rPr/>
              <w:t>FOR,” “AGAINST,” or “ABSTAIN”</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3117" w:type="dxa"/>
            <w:tcBorders>
              <w:bottom w:val="single" w:sz="6" w:space="0" w:color="FBDDE3"/>
            </w:tcBorders>
            <w:tcMar>
              <w:bottom w:w="60" w:type="dxa"/>
            </w:tcMar>
            <w:vAlign w:val="center"/>
          </w:tcPr>
          <w:p>
            <w:pPr>
              <w:pStyle w:val="TableContents"/>
              <w:bidi w:val="0"/>
              <w:spacing w:before="0" w:after="283"/>
              <w:jc w:val="left"/>
              <w:rPr/>
            </w:pPr>
            <w:r>
              <w:rPr/>
              <w:t>Majority of votes cast</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17" w:type="dxa"/>
            <w:tcBorders>
              <w:bottom w:val="single" w:sz="6" w:space="0" w:color="FBDDE3"/>
            </w:tcBorders>
            <w:tcMar>
              <w:bottom w:w="60" w:type="dxa"/>
            </w:tcMar>
            <w:vAlign w:val="center"/>
          </w:tcPr>
          <w:p>
            <w:pPr>
              <w:pStyle w:val="TableContents"/>
              <w:bidi w:val="0"/>
              <w:spacing w:before="0" w:after="283"/>
              <w:jc w:val="center"/>
              <w:rPr>
                <w:b/>
              </w:rPr>
            </w:pPr>
            <w:r>
              <w:rPr>
                <w:b/>
              </w:rPr>
              <w:t>Yes</w:t>
            </w:r>
          </w:p>
        </w:tc>
      </w:tr>
    </w:tbl>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54"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43" descr=""/>
                          <pic:cNvPicPr>
                            <a:picLocks noChangeAspect="1" noChangeArrowheads="1"/>
                          </pic:cNvPicPr>
                        </pic:nvPicPr>
                        <pic:blipFill>
                          <a:blip r:embed="rId144"/>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color w:val="F7ACBA"/>
              </w:rPr>
            </w:pPr>
            <w:r>
              <w:rPr>
                <w:color w:val="F7ACBA"/>
              </w:rPr>
              <w:t> </w:t>
            </w:r>
            <w:r>
              <w:rPr>
                <w:b/>
                <w:color w:val="F7ACBA"/>
              </w:rPr>
              <w:t>94 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QUESTIONS AND ANSWERS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For all proposals other than the Proposal 2, abstentions and broker non-votes do not count as votes cast, and therefore will have no effect on vote outcomes. For Proposal 2, abstentions and broker non-votes will have the effect of a vote cast against the proposal. </w:t>
      </w:r>
    </w:p>
    <w:p>
      <w:pPr>
        <w:pStyle w:val="TextBody"/>
        <w:bidi w:val="0"/>
        <w:spacing w:before="120" w:after="0"/>
        <w:jc w:val="left"/>
        <w:rPr>
          <w:rFonts w:ascii="arial" w:hAnsi="arial"/>
          <w:sz w:val="18"/>
        </w:rPr>
      </w:pPr>
      <w:r>
        <w:rPr>
          <w:rFonts w:ascii="arial" w:hAnsi="arial"/>
          <w:sz w:val="18"/>
        </w:rPr>
        <w:t xml:space="preserve">The vote to approve the compensation of our named executive officers is advisory in nature and non-binding. The Board and the Human Capital and Compensation Committee will carefully consider the voting results on this proposal and, if there are a significant number of negative votes, seek to understand the concerns that influenced those votes and address them in future decisions about our executive compensation program. </w:t>
      </w:r>
    </w:p>
    <w:p>
      <w:pPr>
        <w:pStyle w:val="TextBody"/>
        <w:bidi w:val="0"/>
        <w:spacing w:before="240" w:after="0"/>
        <w:jc w:val="left"/>
        <w:rPr>
          <w:rFonts w:ascii="Times New Roman" w:hAnsi="Times New Roman"/>
          <w:i/>
          <w:sz w:val="20"/>
        </w:rPr>
      </w:pPr>
      <w:r>
        <w:rPr>
          <w:rFonts w:ascii="Times New Roman" w:hAnsi="Times New Roman"/>
          <w:i/>
          <w:sz w:val="20"/>
        </w:rPr>
        <w:t xml:space="preserve">Who bears the costs of this solicitation? </w:t>
      </w:r>
    </w:p>
    <w:p>
      <w:pPr>
        <w:pStyle w:val="TextBody"/>
        <w:bidi w:val="0"/>
        <w:spacing w:before="60" w:after="0"/>
        <w:jc w:val="left"/>
        <w:rPr>
          <w:rFonts w:ascii="arial" w:hAnsi="arial"/>
          <w:sz w:val="18"/>
        </w:rPr>
      </w:pPr>
      <w:r>
        <w:rPr>
          <w:rFonts w:ascii="arial" w:hAnsi="arial"/>
          <w:sz w:val="18"/>
        </w:rPr>
        <w:t xml:space="preserve">All expenses incurred in connection with the solicitation of proxies for the 2024 Annual Meeting will be borne by VS&amp;Co. We will reimburse brokers, fiduciaries, and custodians for their costs in forwarding our proxy materials to beneficial stockholders. </w:t>
      </w:r>
    </w:p>
    <w:p>
      <w:pPr>
        <w:pStyle w:val="TextBody"/>
        <w:bidi w:val="0"/>
        <w:spacing w:before="120" w:after="0"/>
        <w:jc w:val="left"/>
        <w:rPr>
          <w:rFonts w:ascii="arial" w:hAnsi="arial"/>
          <w:sz w:val="18"/>
        </w:rPr>
      </w:pPr>
      <w:r>
        <w:rPr>
          <w:rFonts w:ascii="arial" w:hAnsi="arial"/>
          <w:sz w:val="18"/>
        </w:rPr>
        <w:t xml:space="preserve">We may solicit proxies by mail, telephone, electronic means, and personal contact by our directors, officers, and associates, who will not receive additional compensation for these services. </w:t>
      </w:r>
    </w:p>
    <w:p>
      <w:pPr>
        <w:pStyle w:val="TextBody"/>
        <w:bidi w:val="0"/>
        <w:spacing w:before="240" w:after="0"/>
        <w:jc w:val="left"/>
        <w:rPr>
          <w:rFonts w:ascii="Times New Roman" w:hAnsi="Times New Roman"/>
          <w:i/>
          <w:sz w:val="20"/>
        </w:rPr>
      </w:pPr>
      <w:r>
        <w:rPr>
          <w:rFonts w:ascii="Times New Roman" w:hAnsi="Times New Roman"/>
          <w:i/>
          <w:sz w:val="20"/>
        </w:rPr>
        <w:t xml:space="preserve">Who will count the votes? </w:t>
      </w:r>
    </w:p>
    <w:p>
      <w:pPr>
        <w:pStyle w:val="TextBody"/>
        <w:bidi w:val="0"/>
        <w:spacing w:before="60" w:after="0"/>
        <w:jc w:val="left"/>
        <w:rPr>
          <w:rFonts w:ascii="arial" w:hAnsi="arial"/>
          <w:sz w:val="18"/>
        </w:rPr>
      </w:pPr>
      <w:r>
        <w:rPr>
          <w:rFonts w:ascii="arial" w:hAnsi="arial"/>
          <w:sz w:val="18"/>
        </w:rPr>
        <w:t xml:space="preserve">Representatives of Mediant Communications Inc. will tabulate the votes and act as inspectors of election for the 2024 Annual Meeting. </w:t>
      </w:r>
    </w:p>
    <w:p>
      <w:pPr>
        <w:pStyle w:val="TextBody"/>
        <w:bidi w:val="0"/>
        <w:spacing w:before="240" w:after="0"/>
        <w:jc w:val="left"/>
        <w:rPr>
          <w:rFonts w:ascii="Times New Roman" w:hAnsi="Times New Roman"/>
          <w:i/>
          <w:sz w:val="20"/>
        </w:rPr>
      </w:pPr>
      <w:r>
        <w:rPr>
          <w:rFonts w:ascii="Times New Roman" w:hAnsi="Times New Roman"/>
          <w:i/>
          <w:sz w:val="20"/>
        </w:rPr>
        <w:t xml:space="preserve">When and where will the voting results be published? </w:t>
      </w:r>
    </w:p>
    <w:p>
      <w:pPr>
        <w:pStyle w:val="TextBody"/>
        <w:bidi w:val="0"/>
        <w:spacing w:before="60" w:after="0"/>
        <w:jc w:val="left"/>
        <w:rPr>
          <w:rFonts w:ascii="arial" w:hAnsi="arial"/>
          <w:sz w:val="18"/>
        </w:rPr>
      </w:pPr>
      <w:r>
        <w:rPr>
          <w:rFonts w:ascii="arial" w:hAnsi="arial"/>
          <w:sz w:val="18"/>
        </w:rPr>
        <w:t xml:space="preserve">The official results of the voting at the 2024 Annual Meeting will be available on a Current Report on Form 8-K that we will file with the SEC within four business days after the meeting. </w:t>
      </w:r>
    </w:p>
    <w:p>
      <w:pPr>
        <w:pStyle w:val="TextBody"/>
        <w:bidi w:val="0"/>
        <w:spacing w:before="0" w:after="0"/>
        <w:jc w:val="left"/>
        <w:rPr/>
      </w:pPr>
      <w:r>
        <w:rPr/>
        <w:t> </w:t>
      </w:r>
    </w:p>
    <w:tbl>
      <w:tblPr>
        <w:tblW w:w="2957" w:type="dxa"/>
        <w:jc w:val="left"/>
        <w:tblInd w:w="0" w:type="dxa"/>
        <w:tblLayout w:type="fixed"/>
        <w:tblCellMar>
          <w:top w:w="0" w:type="dxa"/>
          <w:left w:w="0" w:type="dxa"/>
          <w:bottom w:w="0" w:type="dxa"/>
          <w:right w:w="0" w:type="dxa"/>
        </w:tblCellMar>
      </w:tblPr>
      <w:tblGrid>
        <w:gridCol w:w="292"/>
        <w:gridCol w:w="60"/>
        <w:gridCol w:w="50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55"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44" descr=""/>
                          <pic:cNvPicPr>
                            <a:picLocks noChangeAspect="1" noChangeArrowheads="1"/>
                          </pic:cNvPicPr>
                        </pic:nvPicPr>
                        <pic:blipFill>
                          <a:blip r:embed="rId145"/>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lineRule="atLeast" w:line="180" w:before="0" w:after="0"/>
              <w:jc w:val="center"/>
              <w:rPr>
                <w:color w:val="F7ACBA"/>
              </w:rPr>
            </w:pPr>
            <w:r>
              <w:rPr>
                <w:color w:val="F7ACBA"/>
              </w:rPr>
              <w:t> </w:t>
            </w:r>
            <w:r>
              <w:rPr>
                <w:rFonts w:ascii="Times New Roman" w:hAnsi="Times New Roman"/>
                <w:b/>
                <w:color w:val="F7ACBA"/>
                <w:sz w:val="24"/>
              </w:rPr>
              <w:t>95 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APPENDIX A </w:t>
      </w:r>
    </w:p>
    <w:p>
      <w:pPr>
        <w:pStyle w:val="TextBody"/>
        <w:bidi w:val="0"/>
        <w:spacing w:before="0" w:after="0"/>
        <w:jc w:val="left"/>
        <w:rPr/>
      </w:pPr>
      <w:r>
        <w:rPr/>
        <w:t> </w:t>
      </w:r>
    </w:p>
    <w:p>
      <w:pPr>
        <w:pStyle w:val="TextBody"/>
        <w:bidi w:val="0"/>
        <w:spacing w:before="0" w:after="0"/>
        <w:jc w:val="center"/>
        <w:rPr>
          <w:rFonts w:ascii="Times New Roman" w:hAnsi="Times New Roman"/>
          <w:b/>
          <w:sz w:val="60"/>
        </w:rPr>
      </w:pPr>
      <w:r>
        <w:rPr>
          <w:rFonts w:ascii="Times New Roman" w:hAnsi="Times New Roman"/>
          <w:b/>
          <w:sz w:val="60"/>
        </w:rPr>
        <w:t xml:space="preserve">APPENDIX A </w:t>
      </w:r>
    </w:p>
    <w:p>
      <w:pPr>
        <w:pStyle w:val="TextBody"/>
        <w:bidi w:val="0"/>
        <w:spacing w:before="360" w:after="0"/>
        <w:jc w:val="left"/>
        <w:rPr>
          <w:rFonts w:ascii="arial" w:hAnsi="arial"/>
          <w:b/>
          <w:color w:val="F7ACBA"/>
          <w:sz w:val="24"/>
        </w:rPr>
      </w:pPr>
      <w:r>
        <w:rPr>
          <w:rFonts w:ascii="arial" w:hAnsi="arial"/>
          <w:b/>
          <w:color w:val="F7ACBA"/>
          <w:sz w:val="24"/>
        </w:rPr>
        <w:t xml:space="preserve">Non-GAAP Financial Measures </w:t>
      </w:r>
    </w:p>
    <w:p>
      <w:pPr>
        <w:pStyle w:val="TextBody"/>
        <w:bidi w:val="0"/>
        <w:spacing w:before="120" w:after="0"/>
        <w:jc w:val="left"/>
        <w:rPr>
          <w:rFonts w:ascii="arial" w:hAnsi="arial"/>
          <w:sz w:val="18"/>
        </w:rPr>
      </w:pPr>
      <w:r>
        <w:rPr>
          <w:rFonts w:ascii="arial" w:hAnsi="arial"/>
          <w:sz w:val="18"/>
        </w:rPr>
        <w:t xml:space="preserve">In addition to our results provided in accordance with U.S. generally accepted accounting principles (“GAAP”), this Proxy Statement provides non-GAAP financial measures that present gross profit rate, general, administrative, and store operating expenses, operating income, operating income rate, net income per diluted share and free cash flow in fiscal 2023 and fiscal 2022 on an adjusted basis, which remove certain non-recurring, infrequent or unusual items that we believe are not indicative of the results of our ongoing operations due to their size and nature. The intangible asset amortization excluded from these non-GAAP financial measures is excluded because the amortization, unlike the related revenue, is not affected by operations of any particular period unless an intangible asset becomes impaired or the estimated useful life of an intangible asset is revised. We use adjusted financial information as key performance measures of our results of operations for the purpose of evaluating performance internally. These non-GAAP measurements are not intended to replace the presentation of our financial results in accordance with GAAP. Instead, we believe that the presentation of adjusted financial information provides additional information to investors to facilitate the comparison of past and present operations. Further, our definition of non-GAAP financial measures may differ from similarly titled measures used by other companies. The table below reconciles the most directly comparable GAAP financial measure to the non-GAAP financial measure. </w:t>
      </w:r>
    </w:p>
    <w:p>
      <w:pPr>
        <w:pStyle w:val="TextBody"/>
        <w:bidi w:val="0"/>
        <w:spacing w:before="480" w:after="0"/>
        <w:jc w:val="center"/>
        <w:rPr>
          <w:rFonts w:ascii="arial" w:hAnsi="arial"/>
          <w:b/>
          <w:sz w:val="24"/>
        </w:rPr>
      </w:pPr>
      <w:r>
        <w:rPr>
          <w:rFonts w:ascii="arial" w:hAnsi="arial"/>
          <w:b/>
          <w:sz w:val="24"/>
        </w:rPr>
        <w:t xml:space="preserve">VICTORIA’S SECRET &amp; CO. </w:t>
      </w:r>
    </w:p>
    <w:p>
      <w:pPr>
        <w:pStyle w:val="TextBody"/>
        <w:bidi w:val="0"/>
        <w:spacing w:before="0" w:after="0"/>
        <w:jc w:val="center"/>
        <w:rPr>
          <w:rFonts w:ascii="arial" w:hAnsi="arial"/>
          <w:b/>
          <w:sz w:val="24"/>
        </w:rPr>
      </w:pPr>
      <w:r>
        <w:rPr>
          <w:rFonts w:ascii="arial" w:hAnsi="arial"/>
          <w:b/>
          <w:sz w:val="24"/>
        </w:rPr>
        <w:t xml:space="preserve">NON-GAAP FINANCIAL INFORMATION </w:t>
      </w:r>
    </w:p>
    <w:p>
      <w:pPr>
        <w:pStyle w:val="TextBody"/>
        <w:bidi w:val="0"/>
        <w:spacing w:before="0" w:after="0"/>
        <w:jc w:val="center"/>
        <w:rPr>
          <w:rFonts w:ascii="arial" w:hAnsi="arial"/>
          <w:b/>
          <w:sz w:val="24"/>
        </w:rPr>
      </w:pPr>
      <w:r>
        <w:rPr>
          <w:rFonts w:ascii="arial" w:hAnsi="arial"/>
          <w:b/>
          <w:sz w:val="24"/>
        </w:rPr>
        <w:t xml:space="preserve">(Unaudited) </w:t>
      </w:r>
    </w:p>
    <w:p>
      <w:pPr>
        <w:pStyle w:val="TextBody"/>
        <w:bidi w:val="0"/>
        <w:spacing w:before="0" w:after="0"/>
        <w:jc w:val="center"/>
        <w:rPr>
          <w:rFonts w:ascii="arial" w:hAnsi="arial"/>
          <w:b/>
          <w:sz w:val="24"/>
        </w:rPr>
      </w:pPr>
      <w:r>
        <w:rPr>
          <w:rFonts w:ascii="arial" w:hAnsi="arial"/>
          <w:b/>
          <w:sz w:val="24"/>
        </w:rPr>
        <w:t xml:space="preserve">(In millions except per share amounts) </w:t>
      </w:r>
    </w:p>
    <w:p>
      <w:pPr>
        <w:pStyle w:val="TextBody"/>
        <w:bidi w:val="0"/>
        <w:spacing w:before="0" w:after="0"/>
        <w:jc w:val="left"/>
        <w:rPr/>
      </w:pPr>
      <w:r>
        <w:rPr/>
        <w:t> </w:t>
      </w:r>
    </w:p>
    <w:tbl>
      <w:tblPr>
        <w:tblW w:w="9950" w:type="dxa"/>
        <w:jc w:val="left"/>
        <w:tblInd w:w="0" w:type="dxa"/>
        <w:tblLayout w:type="fixed"/>
        <w:tblCellMar>
          <w:top w:w="0" w:type="dxa"/>
          <w:left w:w="0" w:type="dxa"/>
          <w:bottom w:w="0" w:type="dxa"/>
          <w:right w:w="0" w:type="dxa"/>
        </w:tblCellMar>
      </w:tblPr>
      <w:tblGrid>
        <w:gridCol w:w="7505"/>
        <w:gridCol w:w="120"/>
        <w:gridCol w:w="140"/>
        <w:gridCol w:w="800"/>
        <w:gridCol w:w="155"/>
        <w:gridCol w:w="120"/>
        <w:gridCol w:w="140"/>
        <w:gridCol w:w="800"/>
        <w:gridCol w:w="170"/>
      </w:tblGrid>
      <w:tr>
        <w:trPr/>
        <w:tc>
          <w:tcPr>
            <w:tcW w:w="75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505" w:type="dxa"/>
            <w:tcBorders/>
            <w:shd w:fill="FDEEF1" w:val="clear"/>
            <w:vAlign w:val="center"/>
          </w:tcPr>
          <w:p>
            <w:pPr>
              <w:pStyle w:val="TableContents"/>
              <w:bidi w:val="0"/>
              <w:spacing w:before="0" w:after="283"/>
              <w:jc w:val="left"/>
              <w:rPr>
                <w:sz w:val="4"/>
                <w:szCs w:val="4"/>
              </w:rPr>
            </w:pPr>
            <w:r>
              <w:rPr>
                <w:sz w:val="4"/>
                <w:szCs w:val="4"/>
              </w:rPr>
            </w:r>
          </w:p>
        </w:tc>
        <w:tc>
          <w:tcPr>
            <w:tcW w:w="2445" w:type="dxa"/>
            <w:gridSpan w:val="8"/>
            <w:tcBorders/>
            <w:shd w:fill="FDEEF1" w:val="clear"/>
            <w:vAlign w:val="center"/>
          </w:tcPr>
          <w:p>
            <w:pPr>
              <w:pStyle w:val="TableContents"/>
              <w:bidi w:val="0"/>
              <w:spacing w:before="0" w:after="283"/>
              <w:jc w:val="left"/>
              <w:rPr>
                <w:sz w:val="4"/>
                <w:szCs w:val="4"/>
              </w:rPr>
            </w:pPr>
            <w:r>
              <w:rPr>
                <w:sz w:val="4"/>
                <w:szCs w:val="4"/>
              </w:rPr>
            </w:r>
          </w:p>
        </w:tc>
      </w:tr>
      <w:tr>
        <w:trPr/>
        <w:tc>
          <w:tcPr>
            <w:tcW w:w="7505" w:type="dxa"/>
            <w:tcBorders/>
            <w:shd w:fill="FDEEF1" w:val="clear"/>
            <w:vAlign w:val="center"/>
          </w:tcPr>
          <w:p>
            <w:pPr>
              <w:pStyle w:val="TableContents"/>
              <w:bidi w:val="0"/>
              <w:jc w:val="left"/>
              <w:rPr/>
            </w:pPr>
            <w:r>
              <w:rPr/>
              <w:t> </w:t>
            </w:r>
          </w:p>
          <w:p>
            <w:pPr>
              <w:pStyle w:val="TableContents"/>
              <w:bidi w:val="0"/>
              <w:spacing w:before="0" w:after="0"/>
              <w:jc w:val="left"/>
              <w:rPr/>
            </w:pPr>
            <w:r>
              <w:rPr/>
              <w:t> </w:t>
            </w:r>
          </w:p>
        </w:tc>
        <w:tc>
          <w:tcPr>
            <w:tcW w:w="120" w:type="dxa"/>
            <w:tcBorders/>
            <w:shd w:fill="FDEEF1" w:val="clear"/>
            <w:vAlign w:val="center"/>
          </w:tcPr>
          <w:p>
            <w:pPr>
              <w:pStyle w:val="TableContents"/>
              <w:bidi w:val="0"/>
              <w:spacing w:before="0" w:after="283"/>
              <w:jc w:val="left"/>
              <w:rPr/>
            </w:pPr>
            <w:r>
              <w:rPr/>
              <w:t>  </w:t>
            </w:r>
          </w:p>
        </w:tc>
        <w:tc>
          <w:tcPr>
            <w:tcW w:w="2155" w:type="dxa"/>
            <w:gridSpan w:val="6"/>
            <w:tcBorders/>
            <w:shd w:fill="FDEEF1" w:val="clear"/>
            <w:vAlign w:val="center"/>
          </w:tcPr>
          <w:p>
            <w:pPr>
              <w:pStyle w:val="TableContents"/>
              <w:bidi w:val="0"/>
              <w:spacing w:before="0" w:after="283"/>
              <w:jc w:val="center"/>
              <w:rPr>
                <w:b/>
              </w:rPr>
            </w:pPr>
            <w:r>
              <w:rPr>
                <w:b/>
              </w:rPr>
              <w:t>Fiscal Year</w:t>
            </w:r>
          </w:p>
        </w:tc>
        <w:tc>
          <w:tcPr>
            <w:tcW w:w="170" w:type="dxa"/>
            <w:tcBorders/>
            <w:shd w:fill="FDEEF1" w:val="clear"/>
            <w:vAlign w:val="center"/>
          </w:tcPr>
          <w:p>
            <w:pPr>
              <w:pStyle w:val="TableContents"/>
              <w:bidi w:val="0"/>
              <w:spacing w:before="0" w:after="283"/>
              <w:jc w:val="left"/>
              <w:rPr/>
            </w:pPr>
            <w:r>
              <w:rPr/>
              <w:t> </w:t>
            </w:r>
          </w:p>
        </w:tc>
      </w:tr>
      <w:tr>
        <w:trPr/>
        <w:tc>
          <w:tcPr>
            <w:tcW w:w="7505" w:type="dxa"/>
            <w:tcBorders/>
            <w:shd w:fill="FDEEF1" w:val="clear"/>
            <w:vAlign w:val="center"/>
          </w:tcPr>
          <w:p>
            <w:pPr>
              <w:pStyle w:val="TableContents"/>
              <w:bidi w:val="0"/>
              <w:spacing w:before="0" w:after="283"/>
              <w:jc w:val="left"/>
              <w:rPr>
                <w:sz w:val="4"/>
                <w:szCs w:val="4"/>
              </w:rPr>
            </w:pPr>
            <w:r>
              <w:rPr>
                <w:sz w:val="4"/>
                <w:szCs w:val="4"/>
              </w:rPr>
            </w:r>
          </w:p>
        </w:tc>
        <w:tc>
          <w:tcPr>
            <w:tcW w:w="1215" w:type="dxa"/>
            <w:gridSpan w:val="4"/>
            <w:tcBorders/>
            <w:shd w:fill="FDEEF1" w:val="clear"/>
            <w:vAlign w:val="center"/>
          </w:tcPr>
          <w:p>
            <w:pPr>
              <w:pStyle w:val="TableContents"/>
              <w:bidi w:val="0"/>
              <w:spacing w:before="0" w:after="283"/>
              <w:jc w:val="left"/>
              <w:rPr>
                <w:sz w:val="4"/>
                <w:szCs w:val="4"/>
              </w:rPr>
            </w:pPr>
            <w:r>
              <w:rPr>
                <w:sz w:val="4"/>
                <w:szCs w:val="4"/>
              </w:rPr>
            </w:r>
          </w:p>
        </w:tc>
        <w:tc>
          <w:tcPr>
            <w:tcW w:w="1230" w:type="dxa"/>
            <w:gridSpan w:val="4"/>
            <w:tcBorders/>
            <w:shd w:fill="FDEEF1" w:val="clear"/>
            <w:vAlign w:val="center"/>
          </w:tcPr>
          <w:p>
            <w:pPr>
              <w:pStyle w:val="TableContents"/>
              <w:bidi w:val="0"/>
              <w:spacing w:before="0" w:after="283"/>
              <w:jc w:val="left"/>
              <w:rPr>
                <w:sz w:val="4"/>
                <w:szCs w:val="4"/>
              </w:rPr>
            </w:pPr>
            <w:r>
              <w:rPr>
                <w:sz w:val="4"/>
                <w:szCs w:val="4"/>
              </w:rPr>
            </w:r>
          </w:p>
        </w:tc>
      </w:tr>
      <w:tr>
        <w:trPr/>
        <w:tc>
          <w:tcPr>
            <w:tcW w:w="7505" w:type="dxa"/>
            <w:tcBorders/>
            <w:shd w:fill="FDEEF1" w:val="clear"/>
            <w:vAlign w:val="center"/>
          </w:tcPr>
          <w:p>
            <w:pPr>
              <w:pStyle w:val="TableContents"/>
              <w:bidi w:val="0"/>
              <w:jc w:val="left"/>
              <w:rPr/>
            </w:pPr>
            <w:r>
              <w:rPr/>
              <w:t> </w:t>
            </w:r>
          </w:p>
          <w:p>
            <w:pPr>
              <w:pStyle w:val="TableContents"/>
              <w:bidi w:val="0"/>
              <w:spacing w:before="0" w:after="0"/>
              <w:jc w:val="left"/>
              <w:rPr/>
            </w:pPr>
            <w:r>
              <w:rPr/>
              <w:t> </w:t>
            </w:r>
          </w:p>
        </w:tc>
        <w:tc>
          <w:tcPr>
            <w:tcW w:w="120" w:type="dxa"/>
            <w:tcBorders/>
            <w:shd w:fill="FDEEF1" w:val="clear"/>
            <w:vAlign w:val="center"/>
          </w:tcPr>
          <w:p>
            <w:pPr>
              <w:pStyle w:val="TableContents"/>
              <w:bidi w:val="0"/>
              <w:spacing w:before="0" w:after="283"/>
              <w:jc w:val="left"/>
              <w:rPr/>
            </w:pPr>
            <w:r>
              <w:rPr/>
              <w:t>  </w:t>
            </w:r>
          </w:p>
        </w:tc>
        <w:tc>
          <w:tcPr>
            <w:tcW w:w="940" w:type="dxa"/>
            <w:gridSpan w:val="2"/>
            <w:tcBorders/>
            <w:shd w:fill="FDEEF1" w:val="clear"/>
            <w:vAlign w:val="center"/>
          </w:tcPr>
          <w:p>
            <w:pPr>
              <w:pStyle w:val="TableContents"/>
              <w:bidi w:val="0"/>
              <w:spacing w:before="0" w:after="283"/>
              <w:jc w:val="center"/>
              <w:rPr>
                <w:b/>
              </w:rPr>
            </w:pPr>
            <w:r>
              <w:rPr>
                <w:b/>
              </w:rPr>
              <w:t>2023</w:t>
            </w:r>
          </w:p>
        </w:tc>
        <w:tc>
          <w:tcPr>
            <w:tcW w:w="155" w:type="dxa"/>
            <w:tcBorders/>
            <w:shd w:fill="FDEEF1" w:val="clear"/>
            <w:vAlign w:val="center"/>
          </w:tcPr>
          <w:p>
            <w:pPr>
              <w:pStyle w:val="TableContents"/>
              <w:bidi w:val="0"/>
              <w:spacing w:before="0" w:after="283"/>
              <w:jc w:val="left"/>
              <w:rPr/>
            </w:pPr>
            <w:r>
              <w:rPr/>
              <w:t> </w:t>
            </w:r>
          </w:p>
        </w:tc>
        <w:tc>
          <w:tcPr>
            <w:tcW w:w="120" w:type="dxa"/>
            <w:tcBorders/>
            <w:shd w:fill="FDEEF1" w:val="clear"/>
            <w:vAlign w:val="center"/>
          </w:tcPr>
          <w:p>
            <w:pPr>
              <w:pStyle w:val="TableContents"/>
              <w:bidi w:val="0"/>
              <w:spacing w:before="0" w:after="283"/>
              <w:jc w:val="left"/>
              <w:rPr/>
            </w:pPr>
            <w:r>
              <w:rPr/>
              <w:t>  </w:t>
            </w:r>
          </w:p>
        </w:tc>
        <w:tc>
          <w:tcPr>
            <w:tcW w:w="940" w:type="dxa"/>
            <w:gridSpan w:val="2"/>
            <w:tcBorders/>
            <w:shd w:fill="FDEEF1" w:val="clear"/>
            <w:vAlign w:val="center"/>
          </w:tcPr>
          <w:p>
            <w:pPr>
              <w:pStyle w:val="TableContents"/>
              <w:bidi w:val="0"/>
              <w:spacing w:before="0" w:after="283"/>
              <w:jc w:val="center"/>
              <w:rPr>
                <w:b/>
              </w:rPr>
            </w:pPr>
            <w:r>
              <w:rPr>
                <w:b/>
              </w:rPr>
              <w:t>2022</w:t>
            </w:r>
          </w:p>
        </w:tc>
        <w:tc>
          <w:tcPr>
            <w:tcW w:w="170" w:type="dxa"/>
            <w:tcBorders/>
            <w:shd w:fill="FDEEF1" w:val="clear"/>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r>
      <w:tr>
        <w:trPr/>
        <w:tc>
          <w:tcPr>
            <w:tcW w:w="7505" w:type="dxa"/>
            <w:tcBorders>
              <w:bottom w:val="single" w:sz="6" w:space="0" w:color="FBDDE3"/>
            </w:tcBorders>
            <w:tcMar>
              <w:bottom w:w="60" w:type="dxa"/>
            </w:tcMar>
            <w:vAlign w:val="center"/>
          </w:tcPr>
          <w:p>
            <w:pPr>
              <w:pStyle w:val="TableContents"/>
              <w:bidi w:val="0"/>
              <w:spacing w:before="0" w:after="0"/>
              <w:jc w:val="left"/>
              <w:rPr>
                <w:rFonts w:ascii="arial" w:hAnsi="arial"/>
                <w:b/>
                <w:sz w:val="16"/>
              </w:rPr>
            </w:pPr>
            <w:r>
              <w:rPr>
                <w:rFonts w:ascii="arial" w:hAnsi="arial"/>
                <w:b/>
                <w:sz w:val="16"/>
              </w:rPr>
              <w:t>Reconciliation of Net Cash Provided by Operating Activities to Free Cash Flow</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0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5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0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7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7505"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r>
      <w:tr>
        <w:trPr/>
        <w:tc>
          <w:tcPr>
            <w:tcW w:w="7505" w:type="dxa"/>
            <w:tcBorders>
              <w:bottom w:val="single" w:sz="6" w:space="0" w:color="FBDDE3"/>
            </w:tcBorders>
            <w:tcMar>
              <w:bottom w:w="60" w:type="dxa"/>
            </w:tcMar>
            <w:vAlign w:val="center"/>
          </w:tcPr>
          <w:p>
            <w:pPr>
              <w:pStyle w:val="TableContents"/>
              <w:bidi w:val="0"/>
              <w:spacing w:before="0" w:after="0"/>
              <w:jc w:val="left"/>
              <w:rPr>
                <w:rFonts w:ascii="arial" w:hAnsi="arial"/>
                <w:sz w:val="16"/>
              </w:rPr>
            </w:pPr>
            <w:r>
              <w:rPr>
                <w:rFonts w:ascii="arial" w:hAnsi="arial"/>
                <w:sz w:val="16"/>
              </w:rPr>
              <w:t>Net Cash Provided by Operating Activities</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w:t>
            </w:r>
          </w:p>
        </w:tc>
        <w:tc>
          <w:tcPr>
            <w:tcW w:w="800" w:type="dxa"/>
            <w:tcBorders>
              <w:bottom w:val="single" w:sz="6" w:space="0" w:color="FBDDE3"/>
            </w:tcBorders>
            <w:tcMar>
              <w:bottom w:w="60" w:type="dxa"/>
            </w:tcMar>
            <w:vAlign w:val="center"/>
          </w:tcPr>
          <w:p>
            <w:pPr>
              <w:pStyle w:val="TableContents"/>
              <w:bidi w:val="0"/>
              <w:spacing w:before="0" w:after="283"/>
              <w:jc w:val="right"/>
              <w:rPr/>
            </w:pPr>
            <w:r>
              <w:rPr/>
              <w:t>389</w:t>
            </w:r>
          </w:p>
        </w:tc>
        <w:tc>
          <w:tcPr>
            <w:tcW w:w="155"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w:t>
            </w:r>
          </w:p>
        </w:tc>
        <w:tc>
          <w:tcPr>
            <w:tcW w:w="800" w:type="dxa"/>
            <w:tcBorders>
              <w:bottom w:val="single" w:sz="6" w:space="0" w:color="FBDDE3"/>
            </w:tcBorders>
            <w:tcMar>
              <w:bottom w:w="60" w:type="dxa"/>
            </w:tcMar>
            <w:vAlign w:val="center"/>
          </w:tcPr>
          <w:p>
            <w:pPr>
              <w:pStyle w:val="TableContents"/>
              <w:bidi w:val="0"/>
              <w:spacing w:before="0" w:after="283"/>
              <w:jc w:val="right"/>
              <w:rPr/>
            </w:pPr>
            <w:r>
              <w:rPr/>
              <w:t>437</w:t>
            </w:r>
          </w:p>
        </w:tc>
        <w:tc>
          <w:tcPr>
            <w:tcW w:w="170"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r>
      <w:tr>
        <w:trPr/>
        <w:tc>
          <w:tcPr>
            <w:tcW w:w="7505" w:type="dxa"/>
            <w:tcBorders>
              <w:bottom w:val="single" w:sz="6" w:space="0" w:color="FBDDE3"/>
            </w:tcBorders>
            <w:tcMar>
              <w:bottom w:w="60" w:type="dxa"/>
            </w:tcMar>
            <w:vAlign w:val="center"/>
          </w:tcPr>
          <w:p>
            <w:pPr>
              <w:pStyle w:val="TableContents"/>
              <w:bidi w:val="0"/>
              <w:spacing w:before="0" w:after="0"/>
              <w:jc w:val="left"/>
              <w:rPr>
                <w:rFonts w:ascii="arial" w:hAnsi="arial"/>
                <w:sz w:val="16"/>
              </w:rPr>
            </w:pPr>
            <w:r>
              <w:rPr>
                <w:rFonts w:ascii="arial" w:hAnsi="arial"/>
                <w:sz w:val="16"/>
              </w:rPr>
              <w:t>Capital Expenditures</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(256</w:t>
            </w:r>
          </w:p>
        </w:tc>
        <w:tc>
          <w:tcPr>
            <w:tcW w:w="155"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(164</w:t>
            </w:r>
          </w:p>
        </w:tc>
        <w:tc>
          <w:tcPr>
            <w:tcW w:w="170"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r>
      <w:tr>
        <w:trPr/>
        <w:tc>
          <w:tcPr>
            <w:tcW w:w="7505" w:type="dxa"/>
            <w:tcBorders>
              <w:bottom w:val="single" w:sz="6" w:space="0" w:color="FBDDE3"/>
            </w:tcBorders>
            <w:tcMar>
              <w:bottom w:w="60" w:type="dxa"/>
            </w:tcMar>
            <w:vAlign w:val="center"/>
          </w:tcPr>
          <w:p>
            <w:pPr>
              <w:pStyle w:val="TableContents"/>
              <w:bidi w:val="0"/>
              <w:spacing w:before="0" w:after="0"/>
              <w:jc w:val="left"/>
              <w:rPr>
                <w:rFonts w:ascii="arial" w:hAnsi="arial"/>
                <w:sz w:val="16"/>
              </w:rPr>
            </w:pPr>
            <w:r>
              <w:rPr>
                <w:rFonts w:ascii="arial" w:hAnsi="arial"/>
                <w:sz w:val="16"/>
              </w:rPr>
              <w:t>Free Cash Flow</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w:t>
            </w:r>
          </w:p>
        </w:tc>
        <w:tc>
          <w:tcPr>
            <w:tcW w:w="800" w:type="dxa"/>
            <w:tcBorders>
              <w:bottom w:val="single" w:sz="6" w:space="0" w:color="FBDDE3"/>
            </w:tcBorders>
            <w:tcMar>
              <w:bottom w:w="60" w:type="dxa"/>
            </w:tcMar>
            <w:vAlign w:val="center"/>
          </w:tcPr>
          <w:p>
            <w:pPr>
              <w:pStyle w:val="TableContents"/>
              <w:bidi w:val="0"/>
              <w:spacing w:before="0" w:after="283"/>
              <w:jc w:val="right"/>
              <w:rPr/>
            </w:pPr>
            <w:r>
              <w:rPr/>
              <w:t>133</w:t>
            </w:r>
          </w:p>
        </w:tc>
        <w:tc>
          <w:tcPr>
            <w:tcW w:w="155"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w:t>
            </w:r>
          </w:p>
        </w:tc>
        <w:tc>
          <w:tcPr>
            <w:tcW w:w="800" w:type="dxa"/>
            <w:tcBorders>
              <w:bottom w:val="single" w:sz="6" w:space="0" w:color="FBDDE3"/>
            </w:tcBorders>
            <w:tcMar>
              <w:bottom w:w="60" w:type="dxa"/>
            </w:tcMar>
            <w:vAlign w:val="center"/>
          </w:tcPr>
          <w:p>
            <w:pPr>
              <w:pStyle w:val="TableContents"/>
              <w:bidi w:val="0"/>
              <w:spacing w:before="0" w:after="283"/>
              <w:jc w:val="right"/>
              <w:rPr/>
            </w:pPr>
            <w:r>
              <w:rPr/>
              <w:t>273</w:t>
            </w:r>
          </w:p>
        </w:tc>
        <w:tc>
          <w:tcPr>
            <w:tcW w:w="170"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r>
      <w:tr>
        <w:trPr/>
        <w:tc>
          <w:tcPr>
            <w:tcW w:w="7505" w:type="dxa"/>
            <w:tcBorders>
              <w:bottom w:val="single" w:sz="6" w:space="0" w:color="FBDDE3"/>
            </w:tcBorders>
            <w:tcMar>
              <w:bottom w:w="60" w:type="dxa"/>
            </w:tcMar>
            <w:vAlign w:val="center"/>
          </w:tcPr>
          <w:p>
            <w:pPr>
              <w:pStyle w:val="TableContents"/>
              <w:bidi w:val="0"/>
              <w:spacing w:before="0" w:after="0"/>
              <w:jc w:val="left"/>
              <w:rPr>
                <w:rFonts w:ascii="arial" w:hAnsi="arial"/>
                <w:b/>
                <w:sz w:val="16"/>
              </w:rPr>
            </w:pPr>
            <w:r>
              <w:rPr>
                <w:rFonts w:ascii="arial" w:hAnsi="arial"/>
                <w:b/>
                <w:sz w:val="16"/>
              </w:rPr>
              <w:t>Reconciliation of Reported to Adjusted Gross Profit</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0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5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0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7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7505"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r>
      <w:tr>
        <w:trPr/>
        <w:tc>
          <w:tcPr>
            <w:tcW w:w="7505" w:type="dxa"/>
            <w:tcBorders>
              <w:bottom w:val="single" w:sz="6" w:space="0" w:color="FBDDE3"/>
            </w:tcBorders>
            <w:tcMar>
              <w:bottom w:w="60" w:type="dxa"/>
            </w:tcMar>
            <w:vAlign w:val="center"/>
          </w:tcPr>
          <w:p>
            <w:pPr>
              <w:pStyle w:val="TableContents"/>
              <w:bidi w:val="0"/>
              <w:spacing w:before="0" w:after="0"/>
              <w:jc w:val="left"/>
              <w:rPr>
                <w:rFonts w:ascii="arial" w:hAnsi="arial"/>
                <w:sz w:val="16"/>
              </w:rPr>
            </w:pPr>
            <w:r>
              <w:rPr>
                <w:rFonts w:ascii="arial" w:hAnsi="arial"/>
                <w:sz w:val="16"/>
              </w:rPr>
              <w:t>Reported Gross Profit—GAAP</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w:t>
            </w:r>
          </w:p>
        </w:tc>
        <w:tc>
          <w:tcPr>
            <w:tcW w:w="800" w:type="dxa"/>
            <w:tcBorders>
              <w:bottom w:val="single" w:sz="6" w:space="0" w:color="FBDDE3"/>
            </w:tcBorders>
            <w:tcMar>
              <w:bottom w:w="60" w:type="dxa"/>
            </w:tcMar>
            <w:vAlign w:val="center"/>
          </w:tcPr>
          <w:p>
            <w:pPr>
              <w:pStyle w:val="TableContents"/>
              <w:bidi w:val="0"/>
              <w:spacing w:before="0" w:after="283"/>
              <w:jc w:val="right"/>
              <w:rPr/>
            </w:pPr>
            <w:r>
              <w:rPr/>
              <w:t>  </w:t>
            </w:r>
            <w:r>
              <w:rPr/>
              <w:t>2,242</w:t>
            </w:r>
          </w:p>
        </w:tc>
        <w:tc>
          <w:tcPr>
            <w:tcW w:w="155"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w:t>
            </w:r>
          </w:p>
        </w:tc>
        <w:tc>
          <w:tcPr>
            <w:tcW w:w="800" w:type="dxa"/>
            <w:tcBorders>
              <w:bottom w:val="single" w:sz="6" w:space="0" w:color="FBDDE3"/>
            </w:tcBorders>
            <w:tcMar>
              <w:bottom w:w="60" w:type="dxa"/>
            </w:tcMar>
            <w:vAlign w:val="center"/>
          </w:tcPr>
          <w:p>
            <w:pPr>
              <w:pStyle w:val="TableContents"/>
              <w:bidi w:val="0"/>
              <w:spacing w:before="0" w:after="283"/>
              <w:jc w:val="right"/>
              <w:rPr/>
            </w:pPr>
            <w:r>
              <w:rPr/>
              <w:t>  </w:t>
            </w:r>
            <w:r>
              <w:rPr/>
              <w:t>2,258</w:t>
            </w:r>
          </w:p>
        </w:tc>
        <w:tc>
          <w:tcPr>
            <w:tcW w:w="170"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r>
      <w:tr>
        <w:trPr/>
        <w:tc>
          <w:tcPr>
            <w:tcW w:w="7505" w:type="dxa"/>
            <w:tcBorders>
              <w:bottom w:val="single" w:sz="6" w:space="0" w:color="FBDDE3"/>
            </w:tcBorders>
            <w:tcMar>
              <w:bottom w:w="60" w:type="dxa"/>
            </w:tcMar>
            <w:vAlign w:val="center"/>
          </w:tcPr>
          <w:p>
            <w:pPr>
              <w:pStyle w:val="TableContents"/>
              <w:bidi w:val="0"/>
              <w:spacing w:before="0" w:after="0"/>
              <w:jc w:val="left"/>
              <w:rPr>
                <w:rFonts w:ascii="arial" w:hAnsi="arial"/>
                <w:i/>
                <w:sz w:val="16"/>
              </w:rPr>
            </w:pPr>
            <w:r>
              <w:rPr>
                <w:rFonts w:ascii="arial" w:hAnsi="arial"/>
                <w:i/>
                <w:sz w:val="16"/>
              </w:rPr>
              <w:t>% Net Sales</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i/>
              </w:rPr>
            </w:pPr>
            <w:r>
              <w:rPr>
                <w:i/>
              </w:rPr>
              <w:t>36.3%</w:t>
            </w:r>
          </w:p>
        </w:tc>
        <w:tc>
          <w:tcPr>
            <w:tcW w:w="155"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i/>
              </w:rPr>
            </w:pPr>
            <w:r>
              <w:rPr>
                <w:i/>
              </w:rPr>
              <w:t>35.6%</w:t>
            </w:r>
          </w:p>
        </w:tc>
        <w:tc>
          <w:tcPr>
            <w:tcW w:w="170"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r>
      <w:tr>
        <w:trPr/>
        <w:tc>
          <w:tcPr>
            <w:tcW w:w="7505" w:type="dxa"/>
            <w:tcBorders>
              <w:bottom w:val="single" w:sz="6" w:space="0" w:color="FBDDE3"/>
            </w:tcBorders>
            <w:tcMar>
              <w:bottom w:w="60" w:type="dxa"/>
            </w:tcMar>
            <w:vAlign w:val="center"/>
          </w:tcPr>
          <w:p>
            <w:pPr>
              <w:pStyle w:val="TableContents"/>
              <w:bidi w:val="0"/>
              <w:spacing w:before="0" w:after="0"/>
              <w:jc w:val="left"/>
              <w:rPr>
                <w:rFonts w:ascii="arial" w:hAnsi="arial"/>
                <w:sz w:val="16"/>
              </w:rPr>
            </w:pPr>
            <w:r>
              <w:rPr>
                <w:rFonts w:ascii="arial" w:hAnsi="arial"/>
                <w:sz w:val="16"/>
              </w:rPr>
              <w:t>Adore Me Acquisition-Related Items(a)</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29</w:t>
            </w:r>
          </w:p>
        </w:tc>
        <w:tc>
          <w:tcPr>
            <w:tcW w:w="155"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w:t>
            </w:r>
          </w:p>
        </w:tc>
        <w:tc>
          <w:tcPr>
            <w:tcW w:w="170"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r>
      <w:tr>
        <w:trPr/>
        <w:tc>
          <w:tcPr>
            <w:tcW w:w="7505" w:type="dxa"/>
            <w:tcBorders>
              <w:bottom w:val="single" w:sz="6" w:space="0" w:color="FBDDE3"/>
            </w:tcBorders>
            <w:tcMar>
              <w:bottom w:w="60" w:type="dxa"/>
            </w:tcMar>
            <w:vAlign w:val="center"/>
          </w:tcPr>
          <w:p>
            <w:pPr>
              <w:pStyle w:val="TableContents"/>
              <w:bidi w:val="0"/>
              <w:spacing w:before="0" w:after="0"/>
              <w:jc w:val="left"/>
              <w:rPr>
                <w:rFonts w:ascii="arial" w:hAnsi="arial"/>
                <w:sz w:val="16"/>
              </w:rPr>
            </w:pPr>
            <w:r>
              <w:rPr>
                <w:rFonts w:ascii="arial" w:hAnsi="arial"/>
                <w:sz w:val="16"/>
              </w:rPr>
              <w:t>Restructuring Charges(c)</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3</w:t>
            </w:r>
          </w:p>
        </w:tc>
        <w:tc>
          <w:tcPr>
            <w:tcW w:w="155"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14</w:t>
            </w:r>
          </w:p>
        </w:tc>
        <w:tc>
          <w:tcPr>
            <w:tcW w:w="170"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r>
      <w:tr>
        <w:trPr/>
        <w:tc>
          <w:tcPr>
            <w:tcW w:w="7505" w:type="dxa"/>
            <w:tcBorders>
              <w:bottom w:val="single" w:sz="6" w:space="0" w:color="FBDDE3"/>
            </w:tcBorders>
            <w:tcMar>
              <w:bottom w:w="60" w:type="dxa"/>
            </w:tcMar>
            <w:vAlign w:val="center"/>
          </w:tcPr>
          <w:p>
            <w:pPr>
              <w:pStyle w:val="TableContents"/>
              <w:bidi w:val="0"/>
              <w:spacing w:before="0" w:after="0"/>
              <w:jc w:val="left"/>
              <w:rPr>
                <w:rFonts w:ascii="arial" w:hAnsi="arial"/>
                <w:sz w:val="16"/>
              </w:rPr>
            </w:pPr>
            <w:r>
              <w:rPr>
                <w:rFonts w:ascii="arial" w:hAnsi="arial"/>
                <w:sz w:val="16"/>
              </w:rPr>
              <w:t>Occupancy-Related Legal Matter(d)</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w:t>
            </w:r>
          </w:p>
        </w:tc>
        <w:tc>
          <w:tcPr>
            <w:tcW w:w="155"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22</w:t>
            </w:r>
          </w:p>
        </w:tc>
        <w:tc>
          <w:tcPr>
            <w:tcW w:w="170"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r>
      <w:tr>
        <w:trPr/>
        <w:tc>
          <w:tcPr>
            <w:tcW w:w="7505" w:type="dxa"/>
            <w:tcBorders>
              <w:bottom w:val="single" w:sz="6" w:space="0" w:color="FBDDE3"/>
            </w:tcBorders>
            <w:tcMar>
              <w:bottom w:w="60" w:type="dxa"/>
            </w:tcMar>
            <w:vAlign w:val="center"/>
          </w:tcPr>
          <w:p>
            <w:pPr>
              <w:pStyle w:val="TableContents"/>
              <w:bidi w:val="0"/>
              <w:spacing w:before="0" w:after="0"/>
              <w:jc w:val="left"/>
              <w:rPr>
                <w:rFonts w:ascii="arial" w:hAnsi="arial"/>
                <w:sz w:val="16"/>
              </w:rPr>
            </w:pPr>
            <w:r>
              <w:rPr>
                <w:rFonts w:ascii="arial" w:hAnsi="arial"/>
                <w:sz w:val="16"/>
              </w:rPr>
              <w:t>Happy Nation Restructuring Charge(e)</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w:t>
            </w:r>
          </w:p>
        </w:tc>
        <w:tc>
          <w:tcPr>
            <w:tcW w:w="155"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15</w:t>
            </w:r>
          </w:p>
        </w:tc>
        <w:tc>
          <w:tcPr>
            <w:tcW w:w="170"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r>
      <w:tr>
        <w:trPr/>
        <w:tc>
          <w:tcPr>
            <w:tcW w:w="7505" w:type="dxa"/>
            <w:tcBorders>
              <w:bottom w:val="single" w:sz="8" w:space="0" w:color="F7ACBA"/>
            </w:tcBorders>
            <w:tcMar>
              <w:bottom w:w="80" w:type="dxa"/>
            </w:tcMar>
            <w:vAlign w:val="center"/>
          </w:tcPr>
          <w:p>
            <w:pPr>
              <w:pStyle w:val="TableContents"/>
              <w:bidi w:val="0"/>
              <w:spacing w:before="0" w:after="0"/>
              <w:jc w:val="left"/>
              <w:rPr>
                <w:rFonts w:ascii="arial" w:hAnsi="arial"/>
                <w:sz w:val="16"/>
              </w:rPr>
            </w:pPr>
            <w:r>
              <w:rPr>
                <w:rFonts w:ascii="arial" w:hAnsi="arial"/>
                <w:sz w:val="16"/>
              </w:rPr>
              <w:t>Adjusted Gross Profit</w:t>
            </w:r>
          </w:p>
        </w:tc>
        <w:tc>
          <w:tcPr>
            <w:tcW w:w="120" w:type="dxa"/>
            <w:tcBorders>
              <w:bottom w:val="single" w:sz="8" w:space="0" w:color="F7ACBA"/>
            </w:tcBorders>
            <w:tcMar>
              <w:bottom w:w="28" w:type="dxa"/>
            </w:tcMar>
            <w:vAlign w:val="center"/>
          </w:tcPr>
          <w:p>
            <w:pPr>
              <w:pStyle w:val="TableContents"/>
              <w:bidi w:val="0"/>
              <w:spacing w:before="0" w:after="283"/>
              <w:jc w:val="left"/>
              <w:rPr/>
            </w:pPr>
            <w:r>
              <w:rPr/>
              <w:t>  </w:t>
            </w:r>
          </w:p>
        </w:tc>
        <w:tc>
          <w:tcPr>
            <w:tcW w:w="140" w:type="dxa"/>
            <w:tcBorders>
              <w:bottom w:val="single" w:sz="8" w:space="0" w:color="F7ACBA"/>
            </w:tcBorders>
            <w:tcMar>
              <w:bottom w:w="80" w:type="dxa"/>
            </w:tcMar>
            <w:vAlign w:val="center"/>
          </w:tcPr>
          <w:p>
            <w:pPr>
              <w:pStyle w:val="TableContents"/>
              <w:bidi w:val="0"/>
              <w:spacing w:before="0" w:after="283"/>
              <w:jc w:val="left"/>
              <w:rPr/>
            </w:pPr>
            <w:r>
              <w:rPr/>
              <w:t>$</w:t>
            </w:r>
          </w:p>
        </w:tc>
        <w:tc>
          <w:tcPr>
            <w:tcW w:w="800" w:type="dxa"/>
            <w:tcBorders>
              <w:bottom w:val="single" w:sz="8" w:space="0" w:color="F7ACBA"/>
            </w:tcBorders>
            <w:tcMar>
              <w:bottom w:w="80" w:type="dxa"/>
            </w:tcMar>
            <w:vAlign w:val="center"/>
          </w:tcPr>
          <w:p>
            <w:pPr>
              <w:pStyle w:val="TableContents"/>
              <w:bidi w:val="0"/>
              <w:spacing w:before="0" w:after="283"/>
              <w:jc w:val="right"/>
              <w:rPr/>
            </w:pPr>
            <w:r>
              <w:rPr/>
              <w:t>2,274</w:t>
            </w:r>
          </w:p>
        </w:tc>
        <w:tc>
          <w:tcPr>
            <w:tcW w:w="155" w:type="dxa"/>
            <w:tcBorders>
              <w:bottom w:val="single" w:sz="8" w:space="0" w:color="F7ACBA"/>
            </w:tcBorders>
            <w:tcMar>
              <w:bottom w:w="80" w:type="dxa"/>
            </w:tcMar>
            <w:vAlign w:val="center"/>
          </w:tcPr>
          <w:p>
            <w:pPr>
              <w:pStyle w:val="TableContents"/>
              <w:bidi w:val="0"/>
              <w:spacing w:before="0" w:after="283"/>
              <w:jc w:val="left"/>
              <w:rPr/>
            </w:pPr>
            <w:r>
              <w:rPr/>
              <w:t> </w:t>
            </w:r>
          </w:p>
        </w:tc>
        <w:tc>
          <w:tcPr>
            <w:tcW w:w="120" w:type="dxa"/>
            <w:tcBorders>
              <w:bottom w:val="single" w:sz="8" w:space="0" w:color="F7ACBA"/>
            </w:tcBorders>
            <w:tcMar>
              <w:bottom w:w="28" w:type="dxa"/>
            </w:tcMar>
            <w:vAlign w:val="center"/>
          </w:tcPr>
          <w:p>
            <w:pPr>
              <w:pStyle w:val="TableContents"/>
              <w:bidi w:val="0"/>
              <w:spacing w:before="0" w:after="283"/>
              <w:jc w:val="left"/>
              <w:rPr/>
            </w:pPr>
            <w:r>
              <w:rPr/>
              <w:t>  </w:t>
            </w:r>
          </w:p>
        </w:tc>
        <w:tc>
          <w:tcPr>
            <w:tcW w:w="140" w:type="dxa"/>
            <w:tcBorders>
              <w:bottom w:val="single" w:sz="8" w:space="0" w:color="F7ACBA"/>
            </w:tcBorders>
            <w:tcMar>
              <w:bottom w:w="80" w:type="dxa"/>
            </w:tcMar>
            <w:vAlign w:val="center"/>
          </w:tcPr>
          <w:p>
            <w:pPr>
              <w:pStyle w:val="TableContents"/>
              <w:bidi w:val="0"/>
              <w:spacing w:before="0" w:after="283"/>
              <w:jc w:val="left"/>
              <w:rPr/>
            </w:pPr>
            <w:r>
              <w:rPr/>
              <w:t>$</w:t>
            </w:r>
          </w:p>
        </w:tc>
        <w:tc>
          <w:tcPr>
            <w:tcW w:w="800" w:type="dxa"/>
            <w:tcBorders>
              <w:bottom w:val="single" w:sz="8" w:space="0" w:color="F7ACBA"/>
            </w:tcBorders>
            <w:tcMar>
              <w:bottom w:w="80" w:type="dxa"/>
            </w:tcMar>
            <w:vAlign w:val="center"/>
          </w:tcPr>
          <w:p>
            <w:pPr>
              <w:pStyle w:val="TableContents"/>
              <w:bidi w:val="0"/>
              <w:spacing w:before="0" w:after="283"/>
              <w:jc w:val="right"/>
              <w:rPr/>
            </w:pPr>
            <w:r>
              <w:rPr/>
              <w:t>2,309</w:t>
            </w:r>
          </w:p>
        </w:tc>
        <w:tc>
          <w:tcPr>
            <w:tcW w:w="170" w:type="dxa"/>
            <w:tcBorders>
              <w:bottom w:val="single" w:sz="8" w:space="0" w:color="F7ACBA"/>
            </w:tcBorders>
            <w:tcMar>
              <w:bottom w:w="80" w:type="dxa"/>
            </w:tcMar>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r>
      <w:tr>
        <w:trPr/>
        <w:tc>
          <w:tcPr>
            <w:tcW w:w="7505" w:type="dxa"/>
            <w:tcBorders>
              <w:bottom w:val="single" w:sz="6" w:space="0" w:color="FBDDE3"/>
            </w:tcBorders>
            <w:tcMar>
              <w:bottom w:w="60" w:type="dxa"/>
            </w:tcMar>
            <w:vAlign w:val="center"/>
          </w:tcPr>
          <w:p>
            <w:pPr>
              <w:pStyle w:val="TableContents"/>
              <w:bidi w:val="0"/>
              <w:spacing w:before="0" w:after="0"/>
              <w:jc w:val="left"/>
              <w:rPr>
                <w:rFonts w:ascii="arial" w:hAnsi="arial"/>
                <w:i/>
                <w:sz w:val="16"/>
              </w:rPr>
            </w:pPr>
            <w:r>
              <w:rPr>
                <w:rFonts w:ascii="arial" w:hAnsi="arial"/>
                <w:i/>
                <w:sz w:val="16"/>
              </w:rPr>
              <w:t>% Net Sales</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i/>
              </w:rPr>
            </w:pPr>
            <w:r>
              <w:rPr>
                <w:i/>
              </w:rPr>
              <w:t>36.8%</w:t>
            </w:r>
          </w:p>
        </w:tc>
        <w:tc>
          <w:tcPr>
            <w:tcW w:w="155"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i/>
              </w:rPr>
            </w:pPr>
            <w:r>
              <w:rPr>
                <w:i/>
              </w:rPr>
              <w:t>36.4%</w:t>
            </w:r>
          </w:p>
        </w:tc>
        <w:tc>
          <w:tcPr>
            <w:tcW w:w="170"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r>
      <w:tr>
        <w:trPr/>
        <w:tc>
          <w:tcPr>
            <w:tcW w:w="7505" w:type="dxa"/>
            <w:tcBorders>
              <w:bottom w:val="single" w:sz="6" w:space="0" w:color="FBDDE3"/>
            </w:tcBorders>
            <w:tcMar>
              <w:bottom w:w="60" w:type="dxa"/>
            </w:tcMar>
            <w:vAlign w:val="center"/>
          </w:tcPr>
          <w:p>
            <w:pPr>
              <w:pStyle w:val="TableContents"/>
              <w:bidi w:val="0"/>
              <w:spacing w:before="0" w:after="0"/>
              <w:jc w:val="left"/>
              <w:rPr>
                <w:rFonts w:ascii="arial" w:hAnsi="arial"/>
                <w:b/>
                <w:sz w:val="16"/>
              </w:rPr>
            </w:pPr>
            <w:r>
              <w:rPr>
                <w:rFonts w:ascii="arial" w:hAnsi="arial"/>
                <w:b/>
                <w:sz w:val="16"/>
              </w:rPr>
              <w:t>Reconciliation of Reported to Adjusted General, Administrative and Store Operating Expenses</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0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5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0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7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7505"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r>
      <w:tr>
        <w:trPr/>
        <w:tc>
          <w:tcPr>
            <w:tcW w:w="7505" w:type="dxa"/>
            <w:tcBorders>
              <w:bottom w:val="single" w:sz="6" w:space="0" w:color="FBDDE3"/>
            </w:tcBorders>
            <w:tcMar>
              <w:bottom w:w="60" w:type="dxa"/>
            </w:tcMar>
            <w:vAlign w:val="center"/>
          </w:tcPr>
          <w:p>
            <w:pPr>
              <w:pStyle w:val="TableContents"/>
              <w:bidi w:val="0"/>
              <w:spacing w:before="0" w:after="0"/>
              <w:jc w:val="left"/>
              <w:rPr>
                <w:rFonts w:ascii="arial" w:hAnsi="arial"/>
                <w:sz w:val="16"/>
              </w:rPr>
            </w:pPr>
            <w:r>
              <w:rPr>
                <w:rFonts w:ascii="arial" w:hAnsi="arial"/>
                <w:sz w:val="16"/>
              </w:rPr>
              <w:t>Reported General, Administrative and Store Operating Expenses—GAAP</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w:t>
            </w:r>
          </w:p>
        </w:tc>
        <w:tc>
          <w:tcPr>
            <w:tcW w:w="800" w:type="dxa"/>
            <w:tcBorders>
              <w:bottom w:val="single" w:sz="6" w:space="0" w:color="FBDDE3"/>
            </w:tcBorders>
            <w:tcMar>
              <w:bottom w:w="60" w:type="dxa"/>
            </w:tcMar>
            <w:vAlign w:val="center"/>
          </w:tcPr>
          <w:p>
            <w:pPr>
              <w:pStyle w:val="TableContents"/>
              <w:bidi w:val="0"/>
              <w:spacing w:before="0" w:after="283"/>
              <w:jc w:val="right"/>
              <w:rPr/>
            </w:pPr>
            <w:r>
              <w:rPr/>
              <w:t>1,996</w:t>
            </w:r>
          </w:p>
        </w:tc>
        <w:tc>
          <w:tcPr>
            <w:tcW w:w="155"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w:t>
            </w:r>
          </w:p>
        </w:tc>
        <w:tc>
          <w:tcPr>
            <w:tcW w:w="800" w:type="dxa"/>
            <w:tcBorders>
              <w:bottom w:val="single" w:sz="6" w:space="0" w:color="FBDDE3"/>
            </w:tcBorders>
            <w:tcMar>
              <w:bottom w:w="60" w:type="dxa"/>
            </w:tcMar>
            <w:vAlign w:val="center"/>
          </w:tcPr>
          <w:p>
            <w:pPr>
              <w:pStyle w:val="TableContents"/>
              <w:bidi w:val="0"/>
              <w:spacing w:before="0" w:after="283"/>
              <w:jc w:val="right"/>
              <w:rPr/>
            </w:pPr>
            <w:r>
              <w:rPr/>
              <w:t>1,780</w:t>
            </w:r>
          </w:p>
        </w:tc>
        <w:tc>
          <w:tcPr>
            <w:tcW w:w="170"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r>
      <w:tr>
        <w:trPr/>
        <w:tc>
          <w:tcPr>
            <w:tcW w:w="7505" w:type="dxa"/>
            <w:tcBorders>
              <w:bottom w:val="single" w:sz="6" w:space="0" w:color="FBDDE3"/>
            </w:tcBorders>
            <w:tcMar>
              <w:bottom w:w="60" w:type="dxa"/>
            </w:tcMar>
            <w:vAlign w:val="center"/>
          </w:tcPr>
          <w:p>
            <w:pPr>
              <w:pStyle w:val="TableContents"/>
              <w:bidi w:val="0"/>
              <w:spacing w:before="0" w:after="0"/>
              <w:jc w:val="left"/>
              <w:rPr>
                <w:rFonts w:ascii="arial" w:hAnsi="arial"/>
                <w:i/>
                <w:sz w:val="16"/>
              </w:rPr>
            </w:pPr>
            <w:r>
              <w:rPr>
                <w:rFonts w:ascii="arial" w:hAnsi="arial"/>
                <w:i/>
                <w:sz w:val="16"/>
              </w:rPr>
              <w:t>% Net Sales</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i/>
              </w:rPr>
            </w:pPr>
            <w:r>
              <w:rPr>
                <w:i/>
              </w:rPr>
              <w:t>32.3%</w:t>
            </w:r>
          </w:p>
        </w:tc>
        <w:tc>
          <w:tcPr>
            <w:tcW w:w="155"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i/>
              </w:rPr>
            </w:pPr>
            <w:r>
              <w:rPr>
                <w:i/>
              </w:rPr>
              <w:t>28.1%</w:t>
            </w:r>
          </w:p>
        </w:tc>
        <w:tc>
          <w:tcPr>
            <w:tcW w:w="170"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7505"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r>
      <w:tr>
        <w:trPr/>
        <w:tc>
          <w:tcPr>
            <w:tcW w:w="7505" w:type="dxa"/>
            <w:tcBorders>
              <w:bottom w:val="single" w:sz="6" w:space="0" w:color="FBDDE3"/>
            </w:tcBorders>
            <w:tcMar>
              <w:bottom w:w="60" w:type="dxa"/>
            </w:tcMar>
            <w:vAlign w:val="center"/>
          </w:tcPr>
          <w:p>
            <w:pPr>
              <w:pStyle w:val="TableContents"/>
              <w:bidi w:val="0"/>
              <w:spacing w:before="0" w:after="0"/>
              <w:jc w:val="left"/>
              <w:rPr>
                <w:rFonts w:ascii="arial" w:hAnsi="arial"/>
                <w:sz w:val="16"/>
              </w:rPr>
            </w:pPr>
            <w:r>
              <w:rPr>
                <w:rFonts w:ascii="arial" w:hAnsi="arial"/>
                <w:sz w:val="16"/>
              </w:rPr>
              <w:t>Adore Me Acquisition-Related Items(a)</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(16</w:t>
            </w:r>
          </w:p>
        </w:tc>
        <w:tc>
          <w:tcPr>
            <w:tcW w:w="155"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(15</w:t>
            </w:r>
          </w:p>
        </w:tc>
        <w:tc>
          <w:tcPr>
            <w:tcW w:w="170" w:type="dxa"/>
            <w:tcBorders>
              <w:bottom w:val="single" w:sz="6" w:space="0" w:color="FBDDE3"/>
            </w:tcBorders>
            <w:tcMar>
              <w:bottom w:w="6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092" w:type="dxa"/>
        <w:jc w:val="left"/>
        <w:tblInd w:w="0" w:type="dxa"/>
        <w:tblLayout w:type="fixed"/>
        <w:tblCellMar>
          <w:top w:w="0" w:type="dxa"/>
          <w:left w:w="0" w:type="dxa"/>
          <w:bottom w:w="0" w:type="dxa"/>
          <w:right w:w="0" w:type="dxa"/>
        </w:tblCellMar>
      </w:tblPr>
      <w:tblGrid>
        <w:gridCol w:w="292"/>
        <w:gridCol w:w="60"/>
        <w:gridCol w:w="635"/>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56"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45" descr=""/>
                          <pic:cNvPicPr>
                            <a:picLocks noChangeAspect="1" noChangeArrowheads="1"/>
                          </pic:cNvPicPr>
                        </pic:nvPicPr>
                        <pic:blipFill>
                          <a:blip r:embed="rId146"/>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color w:val="F7ACBA"/>
              </w:rPr>
            </w:pPr>
            <w:r>
              <w:rPr>
                <w:color w:val="F7ACBA"/>
              </w:rPr>
              <w:t> </w:t>
            </w:r>
            <w:r>
              <w:rPr>
                <w:b/>
                <w:color w:val="F7ACBA"/>
              </w:rPr>
              <w:t>A-1 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APPENDIX A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760"/>
        <w:gridCol w:w="120"/>
        <w:gridCol w:w="140"/>
        <w:gridCol w:w="800"/>
        <w:gridCol w:w="155"/>
        <w:gridCol w:w="120"/>
        <w:gridCol w:w="140"/>
        <w:gridCol w:w="800"/>
        <w:gridCol w:w="170"/>
      </w:tblGrid>
      <w:tr>
        <w:trPr/>
        <w:tc>
          <w:tcPr>
            <w:tcW w:w="7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760" w:type="dxa"/>
            <w:tcBorders/>
            <w:shd w:fill="FDEEF1" w:val="clear"/>
            <w:vAlign w:val="center"/>
          </w:tcPr>
          <w:p>
            <w:pPr>
              <w:pStyle w:val="TableContents"/>
              <w:bidi w:val="0"/>
              <w:spacing w:before="0" w:after="283"/>
              <w:jc w:val="left"/>
              <w:rPr>
                <w:sz w:val="4"/>
                <w:szCs w:val="4"/>
              </w:rPr>
            </w:pPr>
            <w:r>
              <w:rPr>
                <w:sz w:val="4"/>
                <w:szCs w:val="4"/>
              </w:rPr>
            </w:r>
          </w:p>
        </w:tc>
        <w:tc>
          <w:tcPr>
            <w:tcW w:w="2445" w:type="dxa"/>
            <w:gridSpan w:val="8"/>
            <w:tcBorders/>
            <w:shd w:fill="FDEEF1" w:val="clear"/>
            <w:vAlign w:val="center"/>
          </w:tcPr>
          <w:p>
            <w:pPr>
              <w:pStyle w:val="TableContents"/>
              <w:bidi w:val="0"/>
              <w:spacing w:before="0" w:after="283"/>
              <w:jc w:val="left"/>
              <w:rPr>
                <w:sz w:val="4"/>
                <w:szCs w:val="4"/>
              </w:rPr>
            </w:pPr>
            <w:r>
              <w:rPr>
                <w:sz w:val="4"/>
                <w:szCs w:val="4"/>
              </w:rPr>
            </w:r>
          </w:p>
        </w:tc>
      </w:tr>
      <w:tr>
        <w:trPr/>
        <w:tc>
          <w:tcPr>
            <w:tcW w:w="7760" w:type="dxa"/>
            <w:tcBorders/>
            <w:shd w:fill="FDEEF1" w:val="clear"/>
            <w:vAlign w:val="center"/>
          </w:tcPr>
          <w:p>
            <w:pPr>
              <w:pStyle w:val="TableContents"/>
              <w:bidi w:val="0"/>
              <w:jc w:val="left"/>
              <w:rPr/>
            </w:pPr>
            <w:r>
              <w:rPr/>
              <w:t> </w:t>
            </w:r>
          </w:p>
          <w:p>
            <w:pPr>
              <w:pStyle w:val="TableContents"/>
              <w:bidi w:val="0"/>
              <w:spacing w:before="0" w:after="0"/>
              <w:jc w:val="left"/>
              <w:rPr/>
            </w:pPr>
            <w:r>
              <w:rPr/>
              <w:t> </w:t>
            </w:r>
          </w:p>
        </w:tc>
        <w:tc>
          <w:tcPr>
            <w:tcW w:w="120" w:type="dxa"/>
            <w:tcBorders/>
            <w:shd w:fill="FDEEF1" w:val="clear"/>
            <w:vAlign w:val="center"/>
          </w:tcPr>
          <w:p>
            <w:pPr>
              <w:pStyle w:val="TableContents"/>
              <w:bidi w:val="0"/>
              <w:spacing w:before="0" w:after="283"/>
              <w:jc w:val="left"/>
              <w:rPr/>
            </w:pPr>
            <w:r>
              <w:rPr/>
              <w:t>  </w:t>
            </w:r>
          </w:p>
        </w:tc>
        <w:tc>
          <w:tcPr>
            <w:tcW w:w="2155" w:type="dxa"/>
            <w:gridSpan w:val="6"/>
            <w:tcBorders/>
            <w:shd w:fill="FDEEF1" w:val="clear"/>
            <w:vAlign w:val="center"/>
          </w:tcPr>
          <w:p>
            <w:pPr>
              <w:pStyle w:val="TableContents"/>
              <w:bidi w:val="0"/>
              <w:spacing w:before="0" w:after="283"/>
              <w:jc w:val="center"/>
              <w:rPr>
                <w:b/>
              </w:rPr>
            </w:pPr>
            <w:r>
              <w:rPr>
                <w:b/>
              </w:rPr>
              <w:t>Fiscal Year</w:t>
            </w:r>
          </w:p>
        </w:tc>
        <w:tc>
          <w:tcPr>
            <w:tcW w:w="170" w:type="dxa"/>
            <w:tcBorders/>
            <w:shd w:fill="FDEEF1" w:val="clear"/>
            <w:vAlign w:val="center"/>
          </w:tcPr>
          <w:p>
            <w:pPr>
              <w:pStyle w:val="TableContents"/>
              <w:bidi w:val="0"/>
              <w:spacing w:before="0" w:after="283"/>
              <w:jc w:val="left"/>
              <w:rPr/>
            </w:pPr>
            <w:r>
              <w:rPr/>
              <w:t> </w:t>
            </w:r>
          </w:p>
        </w:tc>
      </w:tr>
      <w:tr>
        <w:trPr/>
        <w:tc>
          <w:tcPr>
            <w:tcW w:w="7760" w:type="dxa"/>
            <w:tcBorders/>
            <w:shd w:fill="FDEEF1" w:val="clear"/>
            <w:vAlign w:val="center"/>
          </w:tcPr>
          <w:p>
            <w:pPr>
              <w:pStyle w:val="TableContents"/>
              <w:bidi w:val="0"/>
              <w:spacing w:before="0" w:after="283"/>
              <w:jc w:val="left"/>
              <w:rPr>
                <w:sz w:val="4"/>
                <w:szCs w:val="4"/>
              </w:rPr>
            </w:pPr>
            <w:r>
              <w:rPr>
                <w:sz w:val="4"/>
                <w:szCs w:val="4"/>
              </w:rPr>
            </w:r>
          </w:p>
        </w:tc>
        <w:tc>
          <w:tcPr>
            <w:tcW w:w="1215" w:type="dxa"/>
            <w:gridSpan w:val="4"/>
            <w:tcBorders/>
            <w:shd w:fill="FDEEF1" w:val="clear"/>
            <w:vAlign w:val="center"/>
          </w:tcPr>
          <w:p>
            <w:pPr>
              <w:pStyle w:val="TableContents"/>
              <w:bidi w:val="0"/>
              <w:spacing w:before="0" w:after="283"/>
              <w:jc w:val="left"/>
              <w:rPr>
                <w:sz w:val="4"/>
                <w:szCs w:val="4"/>
              </w:rPr>
            </w:pPr>
            <w:r>
              <w:rPr>
                <w:sz w:val="4"/>
                <w:szCs w:val="4"/>
              </w:rPr>
            </w:r>
          </w:p>
        </w:tc>
        <w:tc>
          <w:tcPr>
            <w:tcW w:w="1230" w:type="dxa"/>
            <w:gridSpan w:val="4"/>
            <w:tcBorders/>
            <w:shd w:fill="FDEEF1" w:val="clear"/>
            <w:vAlign w:val="center"/>
          </w:tcPr>
          <w:p>
            <w:pPr>
              <w:pStyle w:val="TableContents"/>
              <w:bidi w:val="0"/>
              <w:spacing w:before="0" w:after="283"/>
              <w:jc w:val="left"/>
              <w:rPr>
                <w:sz w:val="4"/>
                <w:szCs w:val="4"/>
              </w:rPr>
            </w:pPr>
            <w:r>
              <w:rPr>
                <w:sz w:val="4"/>
                <w:szCs w:val="4"/>
              </w:rPr>
            </w:r>
          </w:p>
        </w:tc>
      </w:tr>
      <w:tr>
        <w:trPr/>
        <w:tc>
          <w:tcPr>
            <w:tcW w:w="7760" w:type="dxa"/>
            <w:tcBorders/>
            <w:shd w:fill="FDEEF1" w:val="clear"/>
            <w:vAlign w:val="center"/>
          </w:tcPr>
          <w:p>
            <w:pPr>
              <w:pStyle w:val="TableContents"/>
              <w:bidi w:val="0"/>
              <w:jc w:val="left"/>
              <w:rPr/>
            </w:pPr>
            <w:r>
              <w:rPr/>
              <w:t> </w:t>
            </w:r>
          </w:p>
          <w:p>
            <w:pPr>
              <w:pStyle w:val="TableContents"/>
              <w:bidi w:val="0"/>
              <w:spacing w:before="0" w:after="0"/>
              <w:jc w:val="left"/>
              <w:rPr/>
            </w:pPr>
            <w:r>
              <w:rPr/>
              <w:t> </w:t>
            </w:r>
          </w:p>
        </w:tc>
        <w:tc>
          <w:tcPr>
            <w:tcW w:w="120" w:type="dxa"/>
            <w:tcBorders/>
            <w:shd w:fill="FDEEF1" w:val="clear"/>
            <w:vAlign w:val="center"/>
          </w:tcPr>
          <w:p>
            <w:pPr>
              <w:pStyle w:val="TableContents"/>
              <w:bidi w:val="0"/>
              <w:spacing w:before="0" w:after="283"/>
              <w:jc w:val="left"/>
              <w:rPr/>
            </w:pPr>
            <w:r>
              <w:rPr/>
              <w:t>  </w:t>
            </w:r>
          </w:p>
        </w:tc>
        <w:tc>
          <w:tcPr>
            <w:tcW w:w="940" w:type="dxa"/>
            <w:gridSpan w:val="2"/>
            <w:tcBorders/>
            <w:shd w:fill="FDEEF1" w:val="clear"/>
            <w:vAlign w:val="center"/>
          </w:tcPr>
          <w:p>
            <w:pPr>
              <w:pStyle w:val="TableContents"/>
              <w:bidi w:val="0"/>
              <w:spacing w:before="0" w:after="283"/>
              <w:jc w:val="center"/>
              <w:rPr>
                <w:b/>
              </w:rPr>
            </w:pPr>
            <w:r>
              <w:rPr>
                <w:b/>
              </w:rPr>
              <w:t>2023</w:t>
            </w:r>
          </w:p>
        </w:tc>
        <w:tc>
          <w:tcPr>
            <w:tcW w:w="155" w:type="dxa"/>
            <w:tcBorders/>
            <w:shd w:fill="FDEEF1" w:val="clear"/>
            <w:vAlign w:val="center"/>
          </w:tcPr>
          <w:p>
            <w:pPr>
              <w:pStyle w:val="TableContents"/>
              <w:bidi w:val="0"/>
              <w:spacing w:before="0" w:after="283"/>
              <w:jc w:val="left"/>
              <w:rPr/>
            </w:pPr>
            <w:r>
              <w:rPr/>
              <w:t> </w:t>
            </w:r>
          </w:p>
        </w:tc>
        <w:tc>
          <w:tcPr>
            <w:tcW w:w="120" w:type="dxa"/>
            <w:tcBorders/>
            <w:shd w:fill="FDEEF1" w:val="clear"/>
            <w:vAlign w:val="center"/>
          </w:tcPr>
          <w:p>
            <w:pPr>
              <w:pStyle w:val="TableContents"/>
              <w:bidi w:val="0"/>
              <w:spacing w:before="0" w:after="283"/>
              <w:jc w:val="left"/>
              <w:rPr/>
            </w:pPr>
            <w:r>
              <w:rPr/>
              <w:t>  </w:t>
            </w:r>
          </w:p>
        </w:tc>
        <w:tc>
          <w:tcPr>
            <w:tcW w:w="940" w:type="dxa"/>
            <w:gridSpan w:val="2"/>
            <w:tcBorders/>
            <w:shd w:fill="FDEEF1" w:val="clear"/>
            <w:vAlign w:val="center"/>
          </w:tcPr>
          <w:p>
            <w:pPr>
              <w:pStyle w:val="TableContents"/>
              <w:bidi w:val="0"/>
              <w:spacing w:before="0" w:after="283"/>
              <w:jc w:val="center"/>
              <w:rPr>
                <w:b/>
              </w:rPr>
            </w:pPr>
            <w:r>
              <w:rPr>
                <w:b/>
              </w:rPr>
              <w:t>2022</w:t>
            </w:r>
          </w:p>
        </w:tc>
        <w:tc>
          <w:tcPr>
            <w:tcW w:w="170" w:type="dxa"/>
            <w:tcBorders/>
            <w:shd w:fill="FDEEF1" w:val="clear"/>
            <w:vAlign w:val="center"/>
          </w:tcPr>
          <w:p>
            <w:pPr>
              <w:pStyle w:val="TableContents"/>
              <w:bidi w:val="0"/>
              <w:spacing w:before="0" w:after="283"/>
              <w:jc w:val="left"/>
              <w:rPr/>
            </w:pPr>
            <w:r>
              <w:rPr/>
              <w:t> </w:t>
            </w:r>
          </w:p>
        </w:tc>
      </w:tr>
      <w:tr>
        <w:trPr/>
        <w:tc>
          <w:tcPr>
            <w:tcW w:w="7760"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r>
      <w:tr>
        <w:trPr/>
        <w:tc>
          <w:tcPr>
            <w:tcW w:w="7760" w:type="dxa"/>
            <w:tcBorders>
              <w:bottom w:val="single" w:sz="6" w:space="0" w:color="FBDDE3"/>
            </w:tcBorders>
            <w:tcMar>
              <w:bottom w:w="60" w:type="dxa"/>
            </w:tcMar>
            <w:vAlign w:val="center"/>
          </w:tcPr>
          <w:p>
            <w:pPr>
              <w:pStyle w:val="TableContents"/>
              <w:bidi w:val="0"/>
              <w:spacing w:before="0" w:after="0"/>
              <w:jc w:val="left"/>
              <w:rPr>
                <w:rFonts w:ascii="arial" w:hAnsi="arial"/>
                <w:sz w:val="16"/>
              </w:rPr>
            </w:pPr>
            <w:r>
              <w:rPr>
                <w:rFonts w:ascii="arial" w:hAnsi="arial"/>
                <w:sz w:val="16"/>
              </w:rPr>
              <w:t>Amortization of Intangible Assets(b)</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(25</w:t>
            </w:r>
          </w:p>
        </w:tc>
        <w:tc>
          <w:tcPr>
            <w:tcW w:w="155"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w:t>
            </w:r>
          </w:p>
        </w:tc>
        <w:tc>
          <w:tcPr>
            <w:tcW w:w="170"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7760"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r>
      <w:tr>
        <w:trPr/>
        <w:tc>
          <w:tcPr>
            <w:tcW w:w="7760" w:type="dxa"/>
            <w:tcBorders>
              <w:bottom w:val="single" w:sz="6" w:space="0" w:color="FBDDE3"/>
            </w:tcBorders>
            <w:tcMar>
              <w:bottom w:w="60" w:type="dxa"/>
            </w:tcMar>
            <w:vAlign w:val="center"/>
          </w:tcPr>
          <w:p>
            <w:pPr>
              <w:pStyle w:val="TableContents"/>
              <w:bidi w:val="0"/>
              <w:spacing w:before="0" w:after="0"/>
              <w:jc w:val="left"/>
              <w:rPr>
                <w:rFonts w:ascii="arial" w:hAnsi="arial"/>
                <w:sz w:val="16"/>
              </w:rPr>
            </w:pPr>
            <w:r>
              <w:rPr>
                <w:rFonts w:ascii="arial" w:hAnsi="arial"/>
                <w:sz w:val="16"/>
              </w:rPr>
              <w:t>Restructuring Charges(c)</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(8</w:t>
            </w:r>
          </w:p>
        </w:tc>
        <w:tc>
          <w:tcPr>
            <w:tcW w:w="155"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(21</w:t>
            </w:r>
          </w:p>
        </w:tc>
        <w:tc>
          <w:tcPr>
            <w:tcW w:w="170"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7760"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r>
      <w:tr>
        <w:trPr/>
        <w:tc>
          <w:tcPr>
            <w:tcW w:w="7760" w:type="dxa"/>
            <w:tcBorders>
              <w:bottom w:val="single" w:sz="6" w:space="0" w:color="FBDDE3"/>
            </w:tcBorders>
            <w:tcMar>
              <w:bottom w:w="60" w:type="dxa"/>
            </w:tcMar>
            <w:vAlign w:val="center"/>
          </w:tcPr>
          <w:p>
            <w:pPr>
              <w:pStyle w:val="TableContents"/>
              <w:bidi w:val="0"/>
              <w:spacing w:before="0" w:after="0"/>
              <w:jc w:val="left"/>
              <w:rPr>
                <w:rFonts w:ascii="arial" w:hAnsi="arial"/>
                <w:sz w:val="16"/>
              </w:rPr>
            </w:pPr>
            <w:r>
              <w:rPr>
                <w:rFonts w:ascii="arial" w:hAnsi="arial"/>
                <w:sz w:val="16"/>
              </w:rPr>
              <w:t>Happy Nation Restructuring Charge(e)</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w:t>
            </w:r>
          </w:p>
        </w:tc>
        <w:tc>
          <w:tcPr>
            <w:tcW w:w="155"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(1</w:t>
            </w:r>
          </w:p>
        </w:tc>
        <w:tc>
          <w:tcPr>
            <w:tcW w:w="170"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7760"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r>
      <w:tr>
        <w:trPr/>
        <w:tc>
          <w:tcPr>
            <w:tcW w:w="7760" w:type="dxa"/>
            <w:tcBorders>
              <w:bottom w:val="single" w:sz="8" w:space="0" w:color="F7ACBA"/>
            </w:tcBorders>
            <w:tcMar>
              <w:bottom w:w="80" w:type="dxa"/>
            </w:tcMar>
            <w:vAlign w:val="center"/>
          </w:tcPr>
          <w:p>
            <w:pPr>
              <w:pStyle w:val="TableContents"/>
              <w:bidi w:val="0"/>
              <w:spacing w:before="0" w:after="0"/>
              <w:jc w:val="left"/>
              <w:rPr>
                <w:rFonts w:ascii="arial" w:hAnsi="arial"/>
                <w:sz w:val="16"/>
              </w:rPr>
            </w:pPr>
            <w:r>
              <w:rPr>
                <w:rFonts w:ascii="arial" w:hAnsi="arial"/>
                <w:sz w:val="16"/>
              </w:rPr>
              <w:t>Adjusted General, Administrative and Store Operating Expenses</w:t>
            </w:r>
          </w:p>
        </w:tc>
        <w:tc>
          <w:tcPr>
            <w:tcW w:w="120" w:type="dxa"/>
            <w:tcBorders>
              <w:bottom w:val="single" w:sz="8" w:space="0" w:color="F7ACBA"/>
            </w:tcBorders>
            <w:tcMar>
              <w:bottom w:w="28" w:type="dxa"/>
            </w:tcMar>
            <w:vAlign w:val="center"/>
          </w:tcPr>
          <w:p>
            <w:pPr>
              <w:pStyle w:val="TableContents"/>
              <w:bidi w:val="0"/>
              <w:spacing w:before="0" w:after="283"/>
              <w:jc w:val="left"/>
              <w:rPr/>
            </w:pPr>
            <w:r>
              <w:rPr/>
              <w:t>  </w:t>
            </w:r>
          </w:p>
        </w:tc>
        <w:tc>
          <w:tcPr>
            <w:tcW w:w="140" w:type="dxa"/>
            <w:tcBorders>
              <w:bottom w:val="single" w:sz="8" w:space="0" w:color="F7ACBA"/>
            </w:tcBorders>
            <w:tcMar>
              <w:bottom w:w="80" w:type="dxa"/>
            </w:tcMar>
            <w:vAlign w:val="center"/>
          </w:tcPr>
          <w:p>
            <w:pPr>
              <w:pStyle w:val="TableContents"/>
              <w:bidi w:val="0"/>
              <w:spacing w:before="0" w:after="283"/>
              <w:jc w:val="left"/>
              <w:rPr/>
            </w:pPr>
            <w:r>
              <w:rPr/>
              <w:t>$</w:t>
            </w:r>
          </w:p>
        </w:tc>
        <w:tc>
          <w:tcPr>
            <w:tcW w:w="800" w:type="dxa"/>
            <w:tcBorders>
              <w:bottom w:val="single" w:sz="8" w:space="0" w:color="F7ACBA"/>
            </w:tcBorders>
            <w:tcMar>
              <w:bottom w:w="80" w:type="dxa"/>
            </w:tcMar>
            <w:vAlign w:val="center"/>
          </w:tcPr>
          <w:p>
            <w:pPr>
              <w:pStyle w:val="TableContents"/>
              <w:bidi w:val="0"/>
              <w:spacing w:before="0" w:after="283"/>
              <w:jc w:val="right"/>
              <w:rPr/>
            </w:pPr>
            <w:r>
              <w:rPr/>
              <w:t>  </w:t>
            </w:r>
            <w:r>
              <w:rPr/>
              <w:t>1,947</w:t>
            </w:r>
          </w:p>
        </w:tc>
        <w:tc>
          <w:tcPr>
            <w:tcW w:w="155" w:type="dxa"/>
            <w:tcBorders>
              <w:bottom w:val="single" w:sz="8" w:space="0" w:color="F7ACBA"/>
            </w:tcBorders>
            <w:tcMar>
              <w:bottom w:w="80" w:type="dxa"/>
            </w:tcMar>
            <w:vAlign w:val="center"/>
          </w:tcPr>
          <w:p>
            <w:pPr>
              <w:pStyle w:val="TableContents"/>
              <w:bidi w:val="0"/>
              <w:spacing w:before="0" w:after="283"/>
              <w:jc w:val="left"/>
              <w:rPr/>
            </w:pPr>
            <w:r>
              <w:rPr/>
              <w:t> </w:t>
            </w:r>
          </w:p>
        </w:tc>
        <w:tc>
          <w:tcPr>
            <w:tcW w:w="120" w:type="dxa"/>
            <w:tcBorders>
              <w:bottom w:val="single" w:sz="8" w:space="0" w:color="F7ACBA"/>
            </w:tcBorders>
            <w:tcMar>
              <w:bottom w:w="28" w:type="dxa"/>
            </w:tcMar>
            <w:vAlign w:val="center"/>
          </w:tcPr>
          <w:p>
            <w:pPr>
              <w:pStyle w:val="TableContents"/>
              <w:bidi w:val="0"/>
              <w:spacing w:before="0" w:after="283"/>
              <w:jc w:val="left"/>
              <w:rPr/>
            </w:pPr>
            <w:r>
              <w:rPr/>
              <w:t>  </w:t>
            </w:r>
          </w:p>
        </w:tc>
        <w:tc>
          <w:tcPr>
            <w:tcW w:w="140" w:type="dxa"/>
            <w:tcBorders>
              <w:bottom w:val="single" w:sz="8" w:space="0" w:color="F7ACBA"/>
            </w:tcBorders>
            <w:tcMar>
              <w:bottom w:w="80" w:type="dxa"/>
            </w:tcMar>
            <w:vAlign w:val="center"/>
          </w:tcPr>
          <w:p>
            <w:pPr>
              <w:pStyle w:val="TableContents"/>
              <w:bidi w:val="0"/>
              <w:spacing w:before="0" w:after="283"/>
              <w:jc w:val="left"/>
              <w:rPr/>
            </w:pPr>
            <w:r>
              <w:rPr/>
              <w:t>$</w:t>
            </w:r>
          </w:p>
        </w:tc>
        <w:tc>
          <w:tcPr>
            <w:tcW w:w="800" w:type="dxa"/>
            <w:tcBorders>
              <w:bottom w:val="single" w:sz="8" w:space="0" w:color="F7ACBA"/>
            </w:tcBorders>
            <w:tcMar>
              <w:bottom w:w="80" w:type="dxa"/>
            </w:tcMar>
            <w:vAlign w:val="center"/>
          </w:tcPr>
          <w:p>
            <w:pPr>
              <w:pStyle w:val="TableContents"/>
              <w:bidi w:val="0"/>
              <w:spacing w:before="0" w:after="283"/>
              <w:jc w:val="right"/>
              <w:rPr/>
            </w:pPr>
            <w:r>
              <w:rPr/>
              <w:t>  </w:t>
            </w:r>
            <w:r>
              <w:rPr/>
              <w:t>1,743</w:t>
            </w:r>
          </w:p>
        </w:tc>
        <w:tc>
          <w:tcPr>
            <w:tcW w:w="170" w:type="dxa"/>
            <w:tcBorders>
              <w:bottom w:val="single" w:sz="8" w:space="0" w:color="F7ACBA"/>
            </w:tcBorders>
            <w:tcMar>
              <w:bottom w:w="80" w:type="dxa"/>
            </w:tcMar>
            <w:vAlign w:val="center"/>
          </w:tcPr>
          <w:p>
            <w:pPr>
              <w:pStyle w:val="TableContents"/>
              <w:bidi w:val="0"/>
              <w:spacing w:before="0" w:after="283"/>
              <w:jc w:val="left"/>
              <w:rPr/>
            </w:pPr>
            <w:r>
              <w:rPr/>
              <w:t> </w:t>
            </w:r>
          </w:p>
        </w:tc>
      </w:tr>
      <w:tr>
        <w:trPr/>
        <w:tc>
          <w:tcPr>
            <w:tcW w:w="7760"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r>
      <w:tr>
        <w:trPr/>
        <w:tc>
          <w:tcPr>
            <w:tcW w:w="7760" w:type="dxa"/>
            <w:tcBorders>
              <w:bottom w:val="single" w:sz="6" w:space="0" w:color="FBDDE3"/>
            </w:tcBorders>
            <w:tcMar>
              <w:bottom w:w="60" w:type="dxa"/>
            </w:tcMar>
            <w:vAlign w:val="center"/>
          </w:tcPr>
          <w:p>
            <w:pPr>
              <w:pStyle w:val="TableContents"/>
              <w:bidi w:val="0"/>
              <w:spacing w:before="0" w:after="0"/>
              <w:jc w:val="left"/>
              <w:rPr>
                <w:rFonts w:ascii="arial" w:hAnsi="arial"/>
                <w:i/>
                <w:sz w:val="16"/>
              </w:rPr>
            </w:pPr>
            <w:r>
              <w:rPr>
                <w:rFonts w:ascii="arial" w:hAnsi="arial"/>
                <w:i/>
                <w:sz w:val="16"/>
              </w:rPr>
              <w:t>% Net Sales</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i/>
              </w:rPr>
            </w:pPr>
            <w:r>
              <w:rPr>
                <w:i/>
              </w:rPr>
              <w:t>31.5%</w:t>
            </w:r>
          </w:p>
        </w:tc>
        <w:tc>
          <w:tcPr>
            <w:tcW w:w="155"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i/>
              </w:rPr>
            </w:pPr>
            <w:r>
              <w:rPr>
                <w:i/>
              </w:rPr>
              <w:t>27.5%</w:t>
            </w:r>
          </w:p>
        </w:tc>
        <w:tc>
          <w:tcPr>
            <w:tcW w:w="170"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7760"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r>
      <w:tr>
        <w:trPr/>
        <w:tc>
          <w:tcPr>
            <w:tcW w:w="7760" w:type="dxa"/>
            <w:tcBorders>
              <w:bottom w:val="single" w:sz="6" w:space="0" w:color="FBDDE3"/>
            </w:tcBorders>
            <w:tcMar>
              <w:bottom w:w="60" w:type="dxa"/>
            </w:tcMar>
            <w:vAlign w:val="center"/>
          </w:tcPr>
          <w:p>
            <w:pPr>
              <w:pStyle w:val="TableContents"/>
              <w:bidi w:val="0"/>
              <w:spacing w:before="0" w:after="0"/>
              <w:jc w:val="left"/>
              <w:rPr>
                <w:rFonts w:ascii="arial" w:hAnsi="arial"/>
                <w:b/>
                <w:sz w:val="16"/>
              </w:rPr>
            </w:pPr>
            <w:r>
              <w:rPr>
                <w:rFonts w:ascii="arial" w:hAnsi="arial"/>
                <w:b/>
                <w:sz w:val="16"/>
              </w:rPr>
              <w:t>Reconciliation of Reported to Adjusted Operating Income</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0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5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0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7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7760"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r>
      <w:tr>
        <w:trPr/>
        <w:tc>
          <w:tcPr>
            <w:tcW w:w="7760" w:type="dxa"/>
            <w:tcBorders>
              <w:bottom w:val="single" w:sz="6" w:space="0" w:color="FBDDE3"/>
            </w:tcBorders>
            <w:tcMar>
              <w:bottom w:w="60" w:type="dxa"/>
            </w:tcMar>
            <w:vAlign w:val="center"/>
          </w:tcPr>
          <w:p>
            <w:pPr>
              <w:pStyle w:val="TableContents"/>
              <w:bidi w:val="0"/>
              <w:spacing w:before="0" w:after="0"/>
              <w:jc w:val="left"/>
              <w:rPr>
                <w:rFonts w:ascii="arial" w:hAnsi="arial"/>
                <w:sz w:val="16"/>
              </w:rPr>
            </w:pPr>
            <w:r>
              <w:rPr>
                <w:rFonts w:ascii="arial" w:hAnsi="arial"/>
                <w:sz w:val="16"/>
              </w:rPr>
              <w:t>Reported Operating Income—GAAP</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w:t>
            </w:r>
          </w:p>
        </w:tc>
        <w:tc>
          <w:tcPr>
            <w:tcW w:w="800" w:type="dxa"/>
            <w:tcBorders>
              <w:bottom w:val="single" w:sz="6" w:space="0" w:color="FBDDE3"/>
            </w:tcBorders>
            <w:tcMar>
              <w:bottom w:w="60" w:type="dxa"/>
            </w:tcMar>
            <w:vAlign w:val="center"/>
          </w:tcPr>
          <w:p>
            <w:pPr>
              <w:pStyle w:val="TableContents"/>
              <w:bidi w:val="0"/>
              <w:spacing w:before="0" w:after="283"/>
              <w:jc w:val="right"/>
              <w:rPr/>
            </w:pPr>
            <w:r>
              <w:rPr/>
              <w:t>246</w:t>
            </w:r>
          </w:p>
        </w:tc>
        <w:tc>
          <w:tcPr>
            <w:tcW w:w="155"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w:t>
            </w:r>
          </w:p>
        </w:tc>
        <w:tc>
          <w:tcPr>
            <w:tcW w:w="800" w:type="dxa"/>
            <w:tcBorders>
              <w:bottom w:val="single" w:sz="6" w:space="0" w:color="FBDDE3"/>
            </w:tcBorders>
            <w:tcMar>
              <w:bottom w:w="60" w:type="dxa"/>
            </w:tcMar>
            <w:vAlign w:val="center"/>
          </w:tcPr>
          <w:p>
            <w:pPr>
              <w:pStyle w:val="TableContents"/>
              <w:bidi w:val="0"/>
              <w:spacing w:before="0" w:after="283"/>
              <w:jc w:val="right"/>
              <w:rPr/>
            </w:pPr>
            <w:r>
              <w:rPr/>
              <w:t>478</w:t>
            </w:r>
          </w:p>
        </w:tc>
        <w:tc>
          <w:tcPr>
            <w:tcW w:w="170"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7760"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r>
      <w:tr>
        <w:trPr/>
        <w:tc>
          <w:tcPr>
            <w:tcW w:w="7760" w:type="dxa"/>
            <w:tcBorders>
              <w:bottom w:val="single" w:sz="6" w:space="0" w:color="FBDDE3"/>
            </w:tcBorders>
            <w:tcMar>
              <w:bottom w:w="60" w:type="dxa"/>
            </w:tcMar>
            <w:vAlign w:val="center"/>
          </w:tcPr>
          <w:p>
            <w:pPr>
              <w:pStyle w:val="TableContents"/>
              <w:bidi w:val="0"/>
              <w:spacing w:before="0" w:after="0"/>
              <w:jc w:val="left"/>
              <w:rPr>
                <w:rFonts w:ascii="arial" w:hAnsi="arial"/>
                <w:i/>
                <w:sz w:val="16"/>
              </w:rPr>
            </w:pPr>
            <w:r>
              <w:rPr>
                <w:rFonts w:ascii="arial" w:hAnsi="arial"/>
                <w:i/>
                <w:sz w:val="16"/>
              </w:rPr>
              <w:t>% Net Sales</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i/>
              </w:rPr>
            </w:pPr>
            <w:r>
              <w:rPr>
                <w:i/>
              </w:rPr>
              <w:t>4.0%</w:t>
            </w:r>
          </w:p>
        </w:tc>
        <w:tc>
          <w:tcPr>
            <w:tcW w:w="155"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i/>
              </w:rPr>
            </w:pPr>
            <w:r>
              <w:rPr>
                <w:i/>
              </w:rPr>
              <w:t>7.5%</w:t>
            </w:r>
          </w:p>
        </w:tc>
        <w:tc>
          <w:tcPr>
            <w:tcW w:w="170"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7760"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r>
      <w:tr>
        <w:trPr/>
        <w:tc>
          <w:tcPr>
            <w:tcW w:w="7760" w:type="dxa"/>
            <w:tcBorders>
              <w:bottom w:val="single" w:sz="6" w:space="0" w:color="FBDDE3"/>
            </w:tcBorders>
            <w:tcMar>
              <w:bottom w:w="60" w:type="dxa"/>
            </w:tcMar>
            <w:vAlign w:val="center"/>
          </w:tcPr>
          <w:p>
            <w:pPr>
              <w:pStyle w:val="TableContents"/>
              <w:bidi w:val="0"/>
              <w:spacing w:before="0" w:after="0"/>
              <w:jc w:val="left"/>
              <w:rPr>
                <w:rFonts w:ascii="arial" w:hAnsi="arial"/>
                <w:sz w:val="16"/>
              </w:rPr>
            </w:pPr>
            <w:r>
              <w:rPr>
                <w:rFonts w:ascii="arial" w:hAnsi="arial"/>
                <w:sz w:val="16"/>
              </w:rPr>
              <w:t>Adore Me Acquisition-Related Items(a)</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45</w:t>
            </w:r>
          </w:p>
        </w:tc>
        <w:tc>
          <w:tcPr>
            <w:tcW w:w="155"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15</w:t>
            </w:r>
          </w:p>
        </w:tc>
        <w:tc>
          <w:tcPr>
            <w:tcW w:w="170"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7760"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r>
      <w:tr>
        <w:trPr/>
        <w:tc>
          <w:tcPr>
            <w:tcW w:w="7760" w:type="dxa"/>
            <w:tcBorders>
              <w:bottom w:val="single" w:sz="6" w:space="0" w:color="FBDDE3"/>
            </w:tcBorders>
            <w:tcMar>
              <w:bottom w:w="60" w:type="dxa"/>
            </w:tcMar>
            <w:vAlign w:val="center"/>
          </w:tcPr>
          <w:p>
            <w:pPr>
              <w:pStyle w:val="TableContents"/>
              <w:bidi w:val="0"/>
              <w:spacing w:before="0" w:after="0"/>
              <w:jc w:val="left"/>
              <w:rPr>
                <w:rFonts w:ascii="arial" w:hAnsi="arial"/>
                <w:sz w:val="16"/>
              </w:rPr>
            </w:pPr>
            <w:r>
              <w:rPr>
                <w:rFonts w:ascii="arial" w:hAnsi="arial"/>
                <w:sz w:val="16"/>
              </w:rPr>
              <w:t>Amortization of Intangible Assets(b)</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25</w:t>
            </w:r>
          </w:p>
        </w:tc>
        <w:tc>
          <w:tcPr>
            <w:tcW w:w="155"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w:t>
            </w:r>
          </w:p>
        </w:tc>
        <w:tc>
          <w:tcPr>
            <w:tcW w:w="170"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7760"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r>
      <w:tr>
        <w:trPr/>
        <w:tc>
          <w:tcPr>
            <w:tcW w:w="7760" w:type="dxa"/>
            <w:tcBorders>
              <w:bottom w:val="single" w:sz="6" w:space="0" w:color="FBDDE3"/>
            </w:tcBorders>
            <w:tcMar>
              <w:bottom w:w="60" w:type="dxa"/>
            </w:tcMar>
            <w:vAlign w:val="center"/>
          </w:tcPr>
          <w:p>
            <w:pPr>
              <w:pStyle w:val="TableContents"/>
              <w:bidi w:val="0"/>
              <w:spacing w:before="0" w:after="0"/>
              <w:jc w:val="left"/>
              <w:rPr>
                <w:rFonts w:ascii="arial" w:hAnsi="arial"/>
                <w:sz w:val="16"/>
              </w:rPr>
            </w:pPr>
            <w:r>
              <w:rPr>
                <w:rFonts w:ascii="arial" w:hAnsi="arial"/>
                <w:sz w:val="16"/>
              </w:rPr>
              <w:t>Restructuring Charges(c)</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11</w:t>
            </w:r>
          </w:p>
        </w:tc>
        <w:tc>
          <w:tcPr>
            <w:tcW w:w="155"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35</w:t>
            </w:r>
          </w:p>
        </w:tc>
        <w:tc>
          <w:tcPr>
            <w:tcW w:w="170"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7760"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r>
      <w:tr>
        <w:trPr/>
        <w:tc>
          <w:tcPr>
            <w:tcW w:w="7760" w:type="dxa"/>
            <w:tcBorders>
              <w:bottom w:val="single" w:sz="6" w:space="0" w:color="FBDDE3"/>
            </w:tcBorders>
            <w:tcMar>
              <w:bottom w:w="60" w:type="dxa"/>
            </w:tcMar>
            <w:vAlign w:val="center"/>
          </w:tcPr>
          <w:p>
            <w:pPr>
              <w:pStyle w:val="TableContents"/>
              <w:bidi w:val="0"/>
              <w:spacing w:before="0" w:after="0"/>
              <w:jc w:val="left"/>
              <w:rPr>
                <w:rFonts w:ascii="arial" w:hAnsi="arial"/>
                <w:sz w:val="16"/>
              </w:rPr>
            </w:pPr>
            <w:r>
              <w:rPr>
                <w:rFonts w:ascii="arial" w:hAnsi="arial"/>
                <w:sz w:val="16"/>
              </w:rPr>
              <w:t>Occupancy-Related Legal Matter(d)</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w:t>
            </w:r>
          </w:p>
        </w:tc>
        <w:tc>
          <w:tcPr>
            <w:tcW w:w="155"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22</w:t>
            </w:r>
          </w:p>
        </w:tc>
        <w:tc>
          <w:tcPr>
            <w:tcW w:w="170"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7760"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r>
      <w:tr>
        <w:trPr/>
        <w:tc>
          <w:tcPr>
            <w:tcW w:w="7760" w:type="dxa"/>
            <w:tcBorders>
              <w:bottom w:val="single" w:sz="6" w:space="0" w:color="FBDDE3"/>
            </w:tcBorders>
            <w:tcMar>
              <w:bottom w:w="60" w:type="dxa"/>
            </w:tcMar>
            <w:vAlign w:val="center"/>
          </w:tcPr>
          <w:p>
            <w:pPr>
              <w:pStyle w:val="TableContents"/>
              <w:bidi w:val="0"/>
              <w:spacing w:before="0" w:after="0"/>
              <w:jc w:val="left"/>
              <w:rPr>
                <w:rFonts w:ascii="arial" w:hAnsi="arial"/>
                <w:sz w:val="16"/>
              </w:rPr>
            </w:pPr>
            <w:r>
              <w:rPr>
                <w:rFonts w:ascii="arial" w:hAnsi="arial"/>
                <w:sz w:val="16"/>
              </w:rPr>
              <w:t>Happy Nation Restructuring Charge(e)</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w:t>
            </w:r>
          </w:p>
        </w:tc>
        <w:tc>
          <w:tcPr>
            <w:tcW w:w="155"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16</w:t>
            </w:r>
          </w:p>
        </w:tc>
        <w:tc>
          <w:tcPr>
            <w:tcW w:w="170"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7760"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r>
      <w:tr>
        <w:trPr/>
        <w:tc>
          <w:tcPr>
            <w:tcW w:w="7760" w:type="dxa"/>
            <w:tcBorders>
              <w:bottom w:val="single" w:sz="8" w:space="0" w:color="F7ACBA"/>
            </w:tcBorders>
            <w:tcMar>
              <w:bottom w:w="80" w:type="dxa"/>
            </w:tcMar>
            <w:vAlign w:val="center"/>
          </w:tcPr>
          <w:p>
            <w:pPr>
              <w:pStyle w:val="TableContents"/>
              <w:bidi w:val="0"/>
              <w:spacing w:before="0" w:after="0"/>
              <w:jc w:val="left"/>
              <w:rPr>
                <w:rFonts w:ascii="arial" w:hAnsi="arial"/>
                <w:sz w:val="16"/>
              </w:rPr>
            </w:pPr>
            <w:r>
              <w:rPr>
                <w:rFonts w:ascii="arial" w:hAnsi="arial"/>
                <w:sz w:val="16"/>
              </w:rPr>
              <w:t>Adjusted Operating Income</w:t>
            </w:r>
          </w:p>
        </w:tc>
        <w:tc>
          <w:tcPr>
            <w:tcW w:w="120" w:type="dxa"/>
            <w:tcBorders>
              <w:bottom w:val="single" w:sz="8" w:space="0" w:color="F7ACBA"/>
            </w:tcBorders>
            <w:tcMar>
              <w:bottom w:w="28" w:type="dxa"/>
            </w:tcMar>
            <w:vAlign w:val="center"/>
          </w:tcPr>
          <w:p>
            <w:pPr>
              <w:pStyle w:val="TableContents"/>
              <w:bidi w:val="0"/>
              <w:spacing w:before="0" w:after="283"/>
              <w:jc w:val="left"/>
              <w:rPr/>
            </w:pPr>
            <w:r>
              <w:rPr/>
              <w:t>  </w:t>
            </w:r>
          </w:p>
        </w:tc>
        <w:tc>
          <w:tcPr>
            <w:tcW w:w="140" w:type="dxa"/>
            <w:tcBorders>
              <w:bottom w:val="single" w:sz="8" w:space="0" w:color="F7ACBA"/>
            </w:tcBorders>
            <w:tcMar>
              <w:bottom w:w="80" w:type="dxa"/>
            </w:tcMar>
            <w:vAlign w:val="center"/>
          </w:tcPr>
          <w:p>
            <w:pPr>
              <w:pStyle w:val="TableContents"/>
              <w:bidi w:val="0"/>
              <w:spacing w:before="0" w:after="283"/>
              <w:jc w:val="left"/>
              <w:rPr/>
            </w:pPr>
            <w:r>
              <w:rPr/>
              <w:t>$</w:t>
            </w:r>
          </w:p>
        </w:tc>
        <w:tc>
          <w:tcPr>
            <w:tcW w:w="800" w:type="dxa"/>
            <w:tcBorders>
              <w:bottom w:val="single" w:sz="8" w:space="0" w:color="F7ACBA"/>
            </w:tcBorders>
            <w:tcMar>
              <w:bottom w:w="80" w:type="dxa"/>
            </w:tcMar>
            <w:vAlign w:val="center"/>
          </w:tcPr>
          <w:p>
            <w:pPr>
              <w:pStyle w:val="TableContents"/>
              <w:bidi w:val="0"/>
              <w:spacing w:before="0" w:after="283"/>
              <w:jc w:val="right"/>
              <w:rPr/>
            </w:pPr>
            <w:r>
              <w:rPr/>
              <w:t>327</w:t>
            </w:r>
          </w:p>
        </w:tc>
        <w:tc>
          <w:tcPr>
            <w:tcW w:w="155" w:type="dxa"/>
            <w:tcBorders>
              <w:bottom w:val="single" w:sz="8" w:space="0" w:color="F7ACBA"/>
            </w:tcBorders>
            <w:tcMar>
              <w:bottom w:w="80" w:type="dxa"/>
            </w:tcMar>
            <w:vAlign w:val="center"/>
          </w:tcPr>
          <w:p>
            <w:pPr>
              <w:pStyle w:val="TableContents"/>
              <w:bidi w:val="0"/>
              <w:spacing w:before="0" w:after="283"/>
              <w:jc w:val="left"/>
              <w:rPr/>
            </w:pPr>
            <w:r>
              <w:rPr/>
              <w:t> </w:t>
            </w:r>
          </w:p>
        </w:tc>
        <w:tc>
          <w:tcPr>
            <w:tcW w:w="120" w:type="dxa"/>
            <w:tcBorders>
              <w:bottom w:val="single" w:sz="8" w:space="0" w:color="F7ACBA"/>
            </w:tcBorders>
            <w:tcMar>
              <w:bottom w:w="28" w:type="dxa"/>
            </w:tcMar>
            <w:vAlign w:val="center"/>
          </w:tcPr>
          <w:p>
            <w:pPr>
              <w:pStyle w:val="TableContents"/>
              <w:bidi w:val="0"/>
              <w:spacing w:before="0" w:after="283"/>
              <w:jc w:val="left"/>
              <w:rPr/>
            </w:pPr>
            <w:r>
              <w:rPr/>
              <w:t>  </w:t>
            </w:r>
          </w:p>
        </w:tc>
        <w:tc>
          <w:tcPr>
            <w:tcW w:w="140" w:type="dxa"/>
            <w:tcBorders>
              <w:bottom w:val="single" w:sz="8" w:space="0" w:color="F7ACBA"/>
            </w:tcBorders>
            <w:tcMar>
              <w:bottom w:w="80" w:type="dxa"/>
            </w:tcMar>
            <w:vAlign w:val="center"/>
          </w:tcPr>
          <w:p>
            <w:pPr>
              <w:pStyle w:val="TableContents"/>
              <w:bidi w:val="0"/>
              <w:spacing w:before="0" w:after="283"/>
              <w:jc w:val="left"/>
              <w:rPr/>
            </w:pPr>
            <w:r>
              <w:rPr/>
              <w:t>$</w:t>
            </w:r>
          </w:p>
        </w:tc>
        <w:tc>
          <w:tcPr>
            <w:tcW w:w="800" w:type="dxa"/>
            <w:tcBorders>
              <w:bottom w:val="single" w:sz="8" w:space="0" w:color="F7ACBA"/>
            </w:tcBorders>
            <w:tcMar>
              <w:bottom w:w="80" w:type="dxa"/>
            </w:tcMar>
            <w:vAlign w:val="center"/>
          </w:tcPr>
          <w:p>
            <w:pPr>
              <w:pStyle w:val="TableContents"/>
              <w:bidi w:val="0"/>
              <w:spacing w:before="0" w:after="283"/>
              <w:jc w:val="right"/>
              <w:rPr/>
            </w:pPr>
            <w:r>
              <w:rPr/>
              <w:t>566</w:t>
            </w:r>
          </w:p>
        </w:tc>
        <w:tc>
          <w:tcPr>
            <w:tcW w:w="170" w:type="dxa"/>
            <w:tcBorders>
              <w:bottom w:val="single" w:sz="8" w:space="0" w:color="F7ACBA"/>
            </w:tcBorders>
            <w:tcMar>
              <w:bottom w:w="80" w:type="dxa"/>
            </w:tcMar>
            <w:vAlign w:val="center"/>
          </w:tcPr>
          <w:p>
            <w:pPr>
              <w:pStyle w:val="TableContents"/>
              <w:bidi w:val="0"/>
              <w:spacing w:before="0" w:after="283"/>
              <w:jc w:val="left"/>
              <w:rPr/>
            </w:pPr>
            <w:r>
              <w:rPr/>
              <w:t> </w:t>
            </w:r>
          </w:p>
        </w:tc>
      </w:tr>
      <w:tr>
        <w:trPr/>
        <w:tc>
          <w:tcPr>
            <w:tcW w:w="7760"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r>
      <w:tr>
        <w:trPr/>
        <w:tc>
          <w:tcPr>
            <w:tcW w:w="7760" w:type="dxa"/>
            <w:tcBorders>
              <w:bottom w:val="single" w:sz="6" w:space="0" w:color="FBDDE3"/>
            </w:tcBorders>
            <w:tcMar>
              <w:bottom w:w="60" w:type="dxa"/>
            </w:tcMar>
            <w:vAlign w:val="center"/>
          </w:tcPr>
          <w:p>
            <w:pPr>
              <w:pStyle w:val="TableContents"/>
              <w:bidi w:val="0"/>
              <w:spacing w:before="0" w:after="0"/>
              <w:jc w:val="left"/>
              <w:rPr>
                <w:rFonts w:ascii="arial" w:hAnsi="arial"/>
                <w:i/>
                <w:sz w:val="16"/>
              </w:rPr>
            </w:pPr>
            <w:r>
              <w:rPr>
                <w:rFonts w:ascii="arial" w:hAnsi="arial"/>
                <w:i/>
                <w:sz w:val="16"/>
              </w:rPr>
              <w:t>% Net Sales</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i/>
              </w:rPr>
            </w:pPr>
            <w:r>
              <w:rPr>
                <w:i/>
              </w:rPr>
              <w:t>5.3%</w:t>
            </w:r>
          </w:p>
        </w:tc>
        <w:tc>
          <w:tcPr>
            <w:tcW w:w="155"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i/>
              </w:rPr>
            </w:pPr>
            <w:r>
              <w:rPr>
                <w:i/>
              </w:rPr>
              <w:t>8.9%</w:t>
            </w:r>
          </w:p>
        </w:tc>
        <w:tc>
          <w:tcPr>
            <w:tcW w:w="170"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7760"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r>
      <w:tr>
        <w:trPr/>
        <w:tc>
          <w:tcPr>
            <w:tcW w:w="7760" w:type="dxa"/>
            <w:tcBorders>
              <w:bottom w:val="single" w:sz="6" w:space="0" w:color="FBDDE3"/>
            </w:tcBorders>
            <w:tcMar>
              <w:bottom w:w="60" w:type="dxa"/>
            </w:tcMar>
            <w:vAlign w:val="center"/>
          </w:tcPr>
          <w:p>
            <w:pPr>
              <w:pStyle w:val="TableContents"/>
              <w:bidi w:val="0"/>
              <w:spacing w:before="0" w:after="0"/>
              <w:jc w:val="left"/>
              <w:rPr>
                <w:rFonts w:ascii="arial" w:hAnsi="arial"/>
                <w:b/>
                <w:sz w:val="16"/>
              </w:rPr>
            </w:pPr>
            <w:r>
              <w:rPr>
                <w:rFonts w:ascii="arial" w:hAnsi="arial"/>
                <w:b/>
                <w:sz w:val="16"/>
              </w:rPr>
              <w:t>Reconciliation of Reported to Adjusted Net Income Attributable to Victoria’s Secret &amp; Co.</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0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5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0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7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7760"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r>
      <w:tr>
        <w:trPr/>
        <w:tc>
          <w:tcPr>
            <w:tcW w:w="7760" w:type="dxa"/>
            <w:tcBorders>
              <w:bottom w:val="single" w:sz="6" w:space="0" w:color="FBDDE3"/>
            </w:tcBorders>
            <w:tcMar>
              <w:bottom w:w="60" w:type="dxa"/>
            </w:tcMar>
            <w:vAlign w:val="center"/>
          </w:tcPr>
          <w:p>
            <w:pPr>
              <w:pStyle w:val="TableContents"/>
              <w:bidi w:val="0"/>
              <w:spacing w:before="0" w:after="0"/>
              <w:jc w:val="left"/>
              <w:rPr>
                <w:rFonts w:ascii="arial" w:hAnsi="arial"/>
                <w:sz w:val="16"/>
              </w:rPr>
            </w:pPr>
            <w:r>
              <w:rPr>
                <w:rFonts w:ascii="arial" w:hAnsi="arial"/>
                <w:sz w:val="16"/>
              </w:rPr>
              <w:t>Reported Net Income Attributable to Victoria’s Secret &amp; Co.—GAAP</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w:t>
            </w:r>
          </w:p>
        </w:tc>
        <w:tc>
          <w:tcPr>
            <w:tcW w:w="800" w:type="dxa"/>
            <w:tcBorders>
              <w:bottom w:val="single" w:sz="6" w:space="0" w:color="FBDDE3"/>
            </w:tcBorders>
            <w:tcMar>
              <w:bottom w:w="60" w:type="dxa"/>
            </w:tcMar>
            <w:vAlign w:val="center"/>
          </w:tcPr>
          <w:p>
            <w:pPr>
              <w:pStyle w:val="TableContents"/>
              <w:bidi w:val="0"/>
              <w:spacing w:before="0" w:after="283"/>
              <w:jc w:val="right"/>
              <w:rPr/>
            </w:pPr>
            <w:r>
              <w:rPr/>
              <w:t>109</w:t>
            </w:r>
          </w:p>
        </w:tc>
        <w:tc>
          <w:tcPr>
            <w:tcW w:w="155"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w:t>
            </w:r>
          </w:p>
        </w:tc>
        <w:tc>
          <w:tcPr>
            <w:tcW w:w="800" w:type="dxa"/>
            <w:tcBorders>
              <w:bottom w:val="single" w:sz="6" w:space="0" w:color="FBDDE3"/>
            </w:tcBorders>
            <w:tcMar>
              <w:bottom w:w="60" w:type="dxa"/>
            </w:tcMar>
            <w:vAlign w:val="center"/>
          </w:tcPr>
          <w:p>
            <w:pPr>
              <w:pStyle w:val="TableContents"/>
              <w:bidi w:val="0"/>
              <w:spacing w:before="0" w:after="283"/>
              <w:jc w:val="right"/>
              <w:rPr/>
            </w:pPr>
            <w:r>
              <w:rPr/>
              <w:t>348</w:t>
            </w:r>
          </w:p>
        </w:tc>
        <w:tc>
          <w:tcPr>
            <w:tcW w:w="170"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7760"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r>
      <w:tr>
        <w:trPr/>
        <w:tc>
          <w:tcPr>
            <w:tcW w:w="7760" w:type="dxa"/>
            <w:tcBorders>
              <w:bottom w:val="single" w:sz="6" w:space="0" w:color="FBDDE3"/>
            </w:tcBorders>
            <w:tcMar>
              <w:bottom w:w="60" w:type="dxa"/>
            </w:tcMar>
            <w:vAlign w:val="center"/>
          </w:tcPr>
          <w:p>
            <w:pPr>
              <w:pStyle w:val="TableContents"/>
              <w:bidi w:val="0"/>
              <w:spacing w:before="0" w:after="0"/>
              <w:jc w:val="left"/>
              <w:rPr>
                <w:rFonts w:ascii="arial" w:hAnsi="arial"/>
                <w:sz w:val="16"/>
              </w:rPr>
            </w:pPr>
            <w:r>
              <w:rPr>
                <w:rFonts w:ascii="arial" w:hAnsi="arial"/>
                <w:sz w:val="16"/>
              </w:rPr>
              <w:t>Adore Me Acquisition-Related Items(a)</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50</w:t>
            </w:r>
          </w:p>
        </w:tc>
        <w:tc>
          <w:tcPr>
            <w:tcW w:w="155"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15</w:t>
            </w:r>
          </w:p>
        </w:tc>
        <w:tc>
          <w:tcPr>
            <w:tcW w:w="170"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7760"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r>
      <w:tr>
        <w:trPr/>
        <w:tc>
          <w:tcPr>
            <w:tcW w:w="7760" w:type="dxa"/>
            <w:tcBorders>
              <w:bottom w:val="single" w:sz="6" w:space="0" w:color="FBDDE3"/>
            </w:tcBorders>
            <w:tcMar>
              <w:bottom w:w="60" w:type="dxa"/>
            </w:tcMar>
            <w:vAlign w:val="center"/>
          </w:tcPr>
          <w:p>
            <w:pPr>
              <w:pStyle w:val="TableContents"/>
              <w:bidi w:val="0"/>
              <w:spacing w:before="0" w:after="0"/>
              <w:jc w:val="left"/>
              <w:rPr>
                <w:rFonts w:ascii="arial" w:hAnsi="arial"/>
                <w:sz w:val="16"/>
              </w:rPr>
            </w:pPr>
            <w:r>
              <w:rPr>
                <w:rFonts w:ascii="arial" w:hAnsi="arial"/>
                <w:sz w:val="16"/>
              </w:rPr>
              <w:t>Amortization of Intangible Assets(b)</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25</w:t>
            </w:r>
          </w:p>
        </w:tc>
        <w:tc>
          <w:tcPr>
            <w:tcW w:w="155"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w:t>
            </w:r>
          </w:p>
        </w:tc>
        <w:tc>
          <w:tcPr>
            <w:tcW w:w="170"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7760"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r>
      <w:tr>
        <w:trPr/>
        <w:tc>
          <w:tcPr>
            <w:tcW w:w="7760" w:type="dxa"/>
            <w:tcBorders>
              <w:bottom w:val="single" w:sz="6" w:space="0" w:color="FBDDE3"/>
            </w:tcBorders>
            <w:tcMar>
              <w:bottom w:w="60" w:type="dxa"/>
            </w:tcMar>
            <w:vAlign w:val="center"/>
          </w:tcPr>
          <w:p>
            <w:pPr>
              <w:pStyle w:val="TableContents"/>
              <w:bidi w:val="0"/>
              <w:spacing w:before="0" w:after="0"/>
              <w:jc w:val="left"/>
              <w:rPr>
                <w:rFonts w:ascii="arial" w:hAnsi="arial"/>
                <w:sz w:val="16"/>
              </w:rPr>
            </w:pPr>
            <w:r>
              <w:rPr>
                <w:rFonts w:ascii="arial" w:hAnsi="arial"/>
                <w:sz w:val="16"/>
              </w:rPr>
              <w:t>Restructuring Charges(c)</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11</w:t>
            </w:r>
          </w:p>
        </w:tc>
        <w:tc>
          <w:tcPr>
            <w:tcW w:w="155"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35</w:t>
            </w:r>
          </w:p>
        </w:tc>
        <w:tc>
          <w:tcPr>
            <w:tcW w:w="170"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7760"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r>
      <w:tr>
        <w:trPr/>
        <w:tc>
          <w:tcPr>
            <w:tcW w:w="7760" w:type="dxa"/>
            <w:tcBorders>
              <w:bottom w:val="single" w:sz="6" w:space="0" w:color="FBDDE3"/>
            </w:tcBorders>
            <w:tcMar>
              <w:bottom w:w="60" w:type="dxa"/>
            </w:tcMar>
            <w:vAlign w:val="center"/>
          </w:tcPr>
          <w:p>
            <w:pPr>
              <w:pStyle w:val="TableContents"/>
              <w:bidi w:val="0"/>
              <w:spacing w:before="0" w:after="0"/>
              <w:jc w:val="left"/>
              <w:rPr>
                <w:rFonts w:ascii="arial" w:hAnsi="arial"/>
                <w:sz w:val="16"/>
              </w:rPr>
            </w:pPr>
            <w:r>
              <w:rPr>
                <w:rFonts w:ascii="arial" w:hAnsi="arial"/>
                <w:sz w:val="16"/>
              </w:rPr>
              <w:t>Occupancy-Related Legal Matter(d)</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w:t>
            </w:r>
          </w:p>
        </w:tc>
        <w:tc>
          <w:tcPr>
            <w:tcW w:w="155"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22</w:t>
            </w:r>
          </w:p>
        </w:tc>
        <w:tc>
          <w:tcPr>
            <w:tcW w:w="170"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7760"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r>
      <w:tr>
        <w:trPr/>
        <w:tc>
          <w:tcPr>
            <w:tcW w:w="7760" w:type="dxa"/>
            <w:tcBorders>
              <w:bottom w:val="single" w:sz="6" w:space="0" w:color="FBDDE3"/>
            </w:tcBorders>
            <w:tcMar>
              <w:bottom w:w="60" w:type="dxa"/>
            </w:tcMar>
            <w:vAlign w:val="center"/>
          </w:tcPr>
          <w:p>
            <w:pPr>
              <w:pStyle w:val="TableContents"/>
              <w:bidi w:val="0"/>
              <w:spacing w:before="0" w:after="0"/>
              <w:jc w:val="left"/>
              <w:rPr>
                <w:rFonts w:ascii="arial" w:hAnsi="arial"/>
                <w:sz w:val="16"/>
              </w:rPr>
            </w:pPr>
            <w:r>
              <w:rPr>
                <w:rFonts w:ascii="arial" w:hAnsi="arial"/>
                <w:sz w:val="16"/>
              </w:rPr>
              <w:t>Happy Nation Restructuring Charge(e)</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w:t>
            </w:r>
          </w:p>
        </w:tc>
        <w:tc>
          <w:tcPr>
            <w:tcW w:w="155"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16</w:t>
            </w:r>
          </w:p>
        </w:tc>
        <w:tc>
          <w:tcPr>
            <w:tcW w:w="170"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7760"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r>
      <w:tr>
        <w:trPr/>
        <w:tc>
          <w:tcPr>
            <w:tcW w:w="7760" w:type="dxa"/>
            <w:tcBorders>
              <w:bottom w:val="single" w:sz="6" w:space="0" w:color="FBDDE3"/>
            </w:tcBorders>
            <w:tcMar>
              <w:bottom w:w="60" w:type="dxa"/>
            </w:tcMar>
            <w:vAlign w:val="center"/>
          </w:tcPr>
          <w:p>
            <w:pPr>
              <w:pStyle w:val="TableContents"/>
              <w:bidi w:val="0"/>
              <w:spacing w:before="0" w:after="0"/>
              <w:jc w:val="left"/>
              <w:rPr>
                <w:rFonts w:ascii="arial" w:hAnsi="arial"/>
                <w:sz w:val="16"/>
              </w:rPr>
            </w:pPr>
            <w:r>
              <w:rPr>
                <w:rFonts w:ascii="arial" w:hAnsi="arial"/>
                <w:sz w:val="16"/>
              </w:rPr>
              <w:t>Tax Effect of Adjusted Items</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(17</w:t>
            </w:r>
          </w:p>
        </w:tc>
        <w:tc>
          <w:tcPr>
            <w:tcW w:w="155"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(20</w:t>
            </w:r>
          </w:p>
        </w:tc>
        <w:tc>
          <w:tcPr>
            <w:tcW w:w="170"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7760"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r>
      <w:tr>
        <w:trPr/>
        <w:tc>
          <w:tcPr>
            <w:tcW w:w="7760" w:type="dxa"/>
            <w:tcBorders>
              <w:bottom w:val="single" w:sz="8" w:space="0" w:color="F7ACBA"/>
            </w:tcBorders>
            <w:tcMar>
              <w:bottom w:w="80" w:type="dxa"/>
            </w:tcMar>
            <w:vAlign w:val="center"/>
          </w:tcPr>
          <w:p>
            <w:pPr>
              <w:pStyle w:val="TableContents"/>
              <w:bidi w:val="0"/>
              <w:spacing w:before="0" w:after="0"/>
              <w:jc w:val="left"/>
              <w:rPr>
                <w:rFonts w:ascii="arial" w:hAnsi="arial"/>
                <w:sz w:val="16"/>
              </w:rPr>
            </w:pPr>
            <w:r>
              <w:rPr>
                <w:rFonts w:ascii="arial" w:hAnsi="arial"/>
                <w:sz w:val="16"/>
              </w:rPr>
              <w:t>Adjusted Net Income Attributable to Victoria’s Secret &amp; Co.</w:t>
            </w:r>
          </w:p>
        </w:tc>
        <w:tc>
          <w:tcPr>
            <w:tcW w:w="120" w:type="dxa"/>
            <w:tcBorders>
              <w:bottom w:val="single" w:sz="8" w:space="0" w:color="F7ACBA"/>
            </w:tcBorders>
            <w:tcMar>
              <w:bottom w:w="28" w:type="dxa"/>
            </w:tcMar>
            <w:vAlign w:val="center"/>
          </w:tcPr>
          <w:p>
            <w:pPr>
              <w:pStyle w:val="TableContents"/>
              <w:bidi w:val="0"/>
              <w:spacing w:before="0" w:after="283"/>
              <w:jc w:val="left"/>
              <w:rPr/>
            </w:pPr>
            <w:r>
              <w:rPr/>
              <w:t>  </w:t>
            </w:r>
          </w:p>
        </w:tc>
        <w:tc>
          <w:tcPr>
            <w:tcW w:w="140" w:type="dxa"/>
            <w:tcBorders>
              <w:bottom w:val="single" w:sz="8" w:space="0" w:color="F7ACBA"/>
            </w:tcBorders>
            <w:tcMar>
              <w:bottom w:w="80" w:type="dxa"/>
            </w:tcMar>
            <w:vAlign w:val="center"/>
          </w:tcPr>
          <w:p>
            <w:pPr>
              <w:pStyle w:val="TableContents"/>
              <w:bidi w:val="0"/>
              <w:spacing w:before="0" w:after="283"/>
              <w:jc w:val="left"/>
              <w:rPr/>
            </w:pPr>
            <w:r>
              <w:rPr/>
              <w:t>$</w:t>
            </w:r>
          </w:p>
        </w:tc>
        <w:tc>
          <w:tcPr>
            <w:tcW w:w="800" w:type="dxa"/>
            <w:tcBorders>
              <w:bottom w:val="single" w:sz="8" w:space="0" w:color="F7ACBA"/>
            </w:tcBorders>
            <w:tcMar>
              <w:bottom w:w="80" w:type="dxa"/>
            </w:tcMar>
            <w:vAlign w:val="center"/>
          </w:tcPr>
          <w:p>
            <w:pPr>
              <w:pStyle w:val="TableContents"/>
              <w:bidi w:val="0"/>
              <w:spacing w:before="0" w:after="283"/>
              <w:jc w:val="right"/>
              <w:rPr/>
            </w:pPr>
            <w:r>
              <w:rPr/>
              <w:t>178</w:t>
            </w:r>
          </w:p>
        </w:tc>
        <w:tc>
          <w:tcPr>
            <w:tcW w:w="155" w:type="dxa"/>
            <w:tcBorders>
              <w:bottom w:val="single" w:sz="8" w:space="0" w:color="F7ACBA"/>
            </w:tcBorders>
            <w:tcMar>
              <w:bottom w:w="80" w:type="dxa"/>
            </w:tcMar>
            <w:vAlign w:val="center"/>
          </w:tcPr>
          <w:p>
            <w:pPr>
              <w:pStyle w:val="TableContents"/>
              <w:bidi w:val="0"/>
              <w:spacing w:before="0" w:after="283"/>
              <w:jc w:val="left"/>
              <w:rPr/>
            </w:pPr>
            <w:r>
              <w:rPr/>
              <w:t> </w:t>
            </w:r>
          </w:p>
        </w:tc>
        <w:tc>
          <w:tcPr>
            <w:tcW w:w="120" w:type="dxa"/>
            <w:tcBorders>
              <w:bottom w:val="single" w:sz="8" w:space="0" w:color="F7ACBA"/>
            </w:tcBorders>
            <w:tcMar>
              <w:bottom w:w="28" w:type="dxa"/>
            </w:tcMar>
            <w:vAlign w:val="center"/>
          </w:tcPr>
          <w:p>
            <w:pPr>
              <w:pStyle w:val="TableContents"/>
              <w:bidi w:val="0"/>
              <w:spacing w:before="0" w:after="283"/>
              <w:jc w:val="left"/>
              <w:rPr/>
            </w:pPr>
            <w:r>
              <w:rPr/>
              <w:t>  </w:t>
            </w:r>
          </w:p>
        </w:tc>
        <w:tc>
          <w:tcPr>
            <w:tcW w:w="140" w:type="dxa"/>
            <w:tcBorders>
              <w:bottom w:val="single" w:sz="8" w:space="0" w:color="F7ACBA"/>
            </w:tcBorders>
            <w:tcMar>
              <w:bottom w:w="80" w:type="dxa"/>
            </w:tcMar>
            <w:vAlign w:val="center"/>
          </w:tcPr>
          <w:p>
            <w:pPr>
              <w:pStyle w:val="TableContents"/>
              <w:bidi w:val="0"/>
              <w:spacing w:before="0" w:after="283"/>
              <w:jc w:val="left"/>
              <w:rPr/>
            </w:pPr>
            <w:r>
              <w:rPr/>
              <w:t>$</w:t>
            </w:r>
          </w:p>
        </w:tc>
        <w:tc>
          <w:tcPr>
            <w:tcW w:w="800" w:type="dxa"/>
            <w:tcBorders>
              <w:bottom w:val="single" w:sz="8" w:space="0" w:color="F7ACBA"/>
            </w:tcBorders>
            <w:tcMar>
              <w:bottom w:w="80" w:type="dxa"/>
            </w:tcMar>
            <w:vAlign w:val="center"/>
          </w:tcPr>
          <w:p>
            <w:pPr>
              <w:pStyle w:val="TableContents"/>
              <w:bidi w:val="0"/>
              <w:spacing w:before="0" w:after="283"/>
              <w:jc w:val="right"/>
              <w:rPr/>
            </w:pPr>
            <w:r>
              <w:rPr/>
              <w:t>416</w:t>
            </w:r>
          </w:p>
        </w:tc>
        <w:tc>
          <w:tcPr>
            <w:tcW w:w="170" w:type="dxa"/>
            <w:tcBorders>
              <w:bottom w:val="single" w:sz="8" w:space="0" w:color="F7ACBA"/>
            </w:tcBorders>
            <w:tcMar>
              <w:bottom w:w="80" w:type="dxa"/>
            </w:tcMar>
            <w:vAlign w:val="center"/>
          </w:tcPr>
          <w:p>
            <w:pPr>
              <w:pStyle w:val="TableContents"/>
              <w:bidi w:val="0"/>
              <w:spacing w:before="0" w:after="283"/>
              <w:jc w:val="left"/>
              <w:rPr/>
            </w:pPr>
            <w:r>
              <w:rPr/>
              <w:t> </w:t>
            </w:r>
          </w:p>
        </w:tc>
      </w:tr>
      <w:tr>
        <w:trPr/>
        <w:tc>
          <w:tcPr>
            <w:tcW w:w="7760"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r>
      <w:tr>
        <w:trPr/>
        <w:tc>
          <w:tcPr>
            <w:tcW w:w="7760" w:type="dxa"/>
            <w:tcBorders>
              <w:bottom w:val="single" w:sz="6" w:space="0" w:color="FBDDE3"/>
            </w:tcBorders>
            <w:tcMar>
              <w:bottom w:w="60" w:type="dxa"/>
            </w:tcMar>
            <w:vAlign w:val="center"/>
          </w:tcPr>
          <w:p>
            <w:pPr>
              <w:pStyle w:val="TableContents"/>
              <w:bidi w:val="0"/>
              <w:spacing w:before="0" w:after="0"/>
              <w:jc w:val="left"/>
              <w:rPr>
                <w:rFonts w:ascii="arial" w:hAnsi="arial"/>
                <w:b/>
                <w:sz w:val="16"/>
              </w:rPr>
            </w:pPr>
            <w:r>
              <w:rPr>
                <w:rFonts w:ascii="arial" w:hAnsi="arial"/>
                <w:b/>
                <w:sz w:val="16"/>
              </w:rPr>
              <w:t>Reconciliation of Reported to Adjusted Net Income Per Diluted Share Attributable to Victoria’s Secret &amp; Co.</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0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55"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80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c>
          <w:tcPr>
            <w:tcW w:w="170" w:type="dxa"/>
            <w:tcBorders>
              <w:bottom w:val="single" w:sz="6" w:space="0" w:color="FBDDE3"/>
            </w:tcBorders>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7760"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r>
      <w:tr>
        <w:trPr/>
        <w:tc>
          <w:tcPr>
            <w:tcW w:w="7760" w:type="dxa"/>
            <w:tcBorders>
              <w:bottom w:val="single" w:sz="6" w:space="0" w:color="FBDDE3"/>
            </w:tcBorders>
            <w:tcMar>
              <w:bottom w:w="60" w:type="dxa"/>
            </w:tcMar>
            <w:vAlign w:val="center"/>
          </w:tcPr>
          <w:p>
            <w:pPr>
              <w:pStyle w:val="TableContents"/>
              <w:bidi w:val="0"/>
              <w:spacing w:before="0" w:after="0"/>
              <w:jc w:val="left"/>
              <w:rPr>
                <w:rFonts w:ascii="arial" w:hAnsi="arial"/>
                <w:sz w:val="16"/>
              </w:rPr>
            </w:pPr>
            <w:r>
              <w:rPr>
                <w:rFonts w:ascii="arial" w:hAnsi="arial"/>
                <w:sz w:val="16"/>
              </w:rPr>
              <w:t>Reported Net Income Per Diluted Share Attributable to Victoria’s Secret &amp; Co.—GAAP</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w:t>
            </w:r>
          </w:p>
        </w:tc>
        <w:tc>
          <w:tcPr>
            <w:tcW w:w="800" w:type="dxa"/>
            <w:tcBorders>
              <w:bottom w:val="single" w:sz="6" w:space="0" w:color="FBDDE3"/>
            </w:tcBorders>
            <w:tcMar>
              <w:bottom w:w="60" w:type="dxa"/>
            </w:tcMar>
            <w:vAlign w:val="center"/>
          </w:tcPr>
          <w:p>
            <w:pPr>
              <w:pStyle w:val="TableContents"/>
              <w:bidi w:val="0"/>
              <w:spacing w:before="0" w:after="283"/>
              <w:jc w:val="right"/>
              <w:rPr/>
            </w:pPr>
            <w:r>
              <w:rPr/>
              <w:t>1.39</w:t>
            </w:r>
          </w:p>
        </w:tc>
        <w:tc>
          <w:tcPr>
            <w:tcW w:w="155"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w:t>
            </w:r>
          </w:p>
        </w:tc>
        <w:tc>
          <w:tcPr>
            <w:tcW w:w="800" w:type="dxa"/>
            <w:tcBorders>
              <w:bottom w:val="single" w:sz="6" w:space="0" w:color="FBDDE3"/>
            </w:tcBorders>
            <w:tcMar>
              <w:bottom w:w="60" w:type="dxa"/>
            </w:tcMar>
            <w:vAlign w:val="center"/>
          </w:tcPr>
          <w:p>
            <w:pPr>
              <w:pStyle w:val="TableContents"/>
              <w:bidi w:val="0"/>
              <w:spacing w:before="0" w:after="283"/>
              <w:jc w:val="right"/>
              <w:rPr/>
            </w:pPr>
            <w:r>
              <w:rPr/>
              <w:t>4.14</w:t>
            </w:r>
          </w:p>
        </w:tc>
        <w:tc>
          <w:tcPr>
            <w:tcW w:w="170"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7760"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r>
      <w:tr>
        <w:trPr/>
        <w:tc>
          <w:tcPr>
            <w:tcW w:w="7760" w:type="dxa"/>
            <w:tcBorders>
              <w:bottom w:val="single" w:sz="6" w:space="0" w:color="FBDDE3"/>
            </w:tcBorders>
            <w:tcMar>
              <w:bottom w:w="60" w:type="dxa"/>
            </w:tcMar>
            <w:vAlign w:val="center"/>
          </w:tcPr>
          <w:p>
            <w:pPr>
              <w:pStyle w:val="TableContents"/>
              <w:bidi w:val="0"/>
              <w:spacing w:before="0" w:after="0"/>
              <w:jc w:val="left"/>
              <w:rPr>
                <w:rFonts w:ascii="arial" w:hAnsi="arial"/>
                <w:sz w:val="16"/>
              </w:rPr>
            </w:pPr>
            <w:r>
              <w:rPr>
                <w:rFonts w:ascii="arial" w:hAnsi="arial"/>
                <w:sz w:val="16"/>
              </w:rPr>
              <w:t>Adore Me Acquisition-Related Items(a)</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0.53</w:t>
            </w:r>
          </w:p>
        </w:tc>
        <w:tc>
          <w:tcPr>
            <w:tcW w:w="155"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0.16</w:t>
            </w:r>
          </w:p>
        </w:tc>
        <w:tc>
          <w:tcPr>
            <w:tcW w:w="170"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7760"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r>
      <w:tr>
        <w:trPr/>
        <w:tc>
          <w:tcPr>
            <w:tcW w:w="7760" w:type="dxa"/>
            <w:tcBorders>
              <w:bottom w:val="single" w:sz="6" w:space="0" w:color="FBDDE3"/>
            </w:tcBorders>
            <w:tcMar>
              <w:bottom w:w="60" w:type="dxa"/>
            </w:tcMar>
            <w:vAlign w:val="center"/>
          </w:tcPr>
          <w:p>
            <w:pPr>
              <w:pStyle w:val="TableContents"/>
              <w:bidi w:val="0"/>
              <w:spacing w:before="0" w:after="0"/>
              <w:jc w:val="left"/>
              <w:rPr>
                <w:rFonts w:ascii="arial" w:hAnsi="arial"/>
                <w:sz w:val="16"/>
              </w:rPr>
            </w:pPr>
            <w:r>
              <w:rPr>
                <w:rFonts w:ascii="arial" w:hAnsi="arial"/>
                <w:sz w:val="16"/>
              </w:rPr>
              <w:t>Amortization of Intangible Assets(b)</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0.24</w:t>
            </w:r>
          </w:p>
        </w:tc>
        <w:tc>
          <w:tcPr>
            <w:tcW w:w="155"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w:t>
            </w:r>
          </w:p>
        </w:tc>
        <w:tc>
          <w:tcPr>
            <w:tcW w:w="170"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7760"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r>
      <w:tr>
        <w:trPr/>
        <w:tc>
          <w:tcPr>
            <w:tcW w:w="7760" w:type="dxa"/>
            <w:tcBorders>
              <w:bottom w:val="single" w:sz="6" w:space="0" w:color="FBDDE3"/>
            </w:tcBorders>
            <w:tcMar>
              <w:bottom w:w="60" w:type="dxa"/>
            </w:tcMar>
            <w:vAlign w:val="center"/>
          </w:tcPr>
          <w:p>
            <w:pPr>
              <w:pStyle w:val="TableContents"/>
              <w:bidi w:val="0"/>
              <w:spacing w:before="0" w:after="0"/>
              <w:jc w:val="left"/>
              <w:rPr>
                <w:rFonts w:ascii="arial" w:hAnsi="arial"/>
                <w:sz w:val="16"/>
              </w:rPr>
            </w:pPr>
            <w:r>
              <w:rPr>
                <w:rFonts w:ascii="arial" w:hAnsi="arial"/>
                <w:sz w:val="16"/>
              </w:rPr>
              <w:t>Restructuring Charges(c)</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0.11</w:t>
            </w:r>
          </w:p>
        </w:tc>
        <w:tc>
          <w:tcPr>
            <w:tcW w:w="155"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0.31</w:t>
            </w:r>
          </w:p>
        </w:tc>
        <w:tc>
          <w:tcPr>
            <w:tcW w:w="170"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7760"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r>
      <w:tr>
        <w:trPr/>
        <w:tc>
          <w:tcPr>
            <w:tcW w:w="7760" w:type="dxa"/>
            <w:tcBorders>
              <w:bottom w:val="single" w:sz="6" w:space="0" w:color="FBDDE3"/>
            </w:tcBorders>
            <w:tcMar>
              <w:bottom w:w="60" w:type="dxa"/>
            </w:tcMar>
            <w:vAlign w:val="center"/>
          </w:tcPr>
          <w:p>
            <w:pPr>
              <w:pStyle w:val="TableContents"/>
              <w:bidi w:val="0"/>
              <w:spacing w:before="0" w:after="0"/>
              <w:jc w:val="left"/>
              <w:rPr>
                <w:rFonts w:ascii="arial" w:hAnsi="arial"/>
                <w:sz w:val="16"/>
              </w:rPr>
            </w:pPr>
            <w:r>
              <w:rPr>
                <w:rFonts w:ascii="arial" w:hAnsi="arial"/>
                <w:sz w:val="16"/>
              </w:rPr>
              <w:t>Occupancy-Related Legal Matter(d)</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w:t>
            </w:r>
          </w:p>
        </w:tc>
        <w:tc>
          <w:tcPr>
            <w:tcW w:w="155"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0.19</w:t>
            </w:r>
          </w:p>
        </w:tc>
        <w:tc>
          <w:tcPr>
            <w:tcW w:w="170"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7760"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r>
      <w:tr>
        <w:trPr/>
        <w:tc>
          <w:tcPr>
            <w:tcW w:w="7760" w:type="dxa"/>
            <w:tcBorders>
              <w:bottom w:val="single" w:sz="6" w:space="0" w:color="FBDDE3"/>
            </w:tcBorders>
            <w:tcMar>
              <w:bottom w:w="60" w:type="dxa"/>
            </w:tcMar>
            <w:vAlign w:val="center"/>
          </w:tcPr>
          <w:p>
            <w:pPr>
              <w:pStyle w:val="TableContents"/>
              <w:bidi w:val="0"/>
              <w:spacing w:before="0" w:after="0"/>
              <w:jc w:val="left"/>
              <w:rPr>
                <w:rFonts w:ascii="arial" w:hAnsi="arial"/>
                <w:sz w:val="16"/>
              </w:rPr>
            </w:pPr>
            <w:r>
              <w:rPr>
                <w:rFonts w:ascii="arial" w:hAnsi="arial"/>
                <w:sz w:val="16"/>
              </w:rPr>
              <w:t>Happy Nation Restructuring Charge(e)</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w:t>
            </w:r>
          </w:p>
        </w:tc>
        <w:tc>
          <w:tcPr>
            <w:tcW w:w="155" w:type="dxa"/>
            <w:tcBorders>
              <w:bottom w:val="single" w:sz="6" w:space="0" w:color="FBDDE3"/>
            </w:tcBorders>
            <w:tcMar>
              <w:bottom w:w="60" w:type="dxa"/>
            </w:tcMar>
            <w:vAlign w:val="center"/>
          </w:tcPr>
          <w:p>
            <w:pPr>
              <w:pStyle w:val="TableContents"/>
              <w:bidi w:val="0"/>
              <w:spacing w:before="0" w:after="283"/>
              <w:jc w:val="left"/>
              <w:rPr/>
            </w:pPr>
            <w:r>
              <w:rPr/>
              <w:t> </w:t>
            </w:r>
          </w:p>
        </w:tc>
        <w:tc>
          <w:tcPr>
            <w:tcW w:w="120" w:type="dxa"/>
            <w:tcBorders>
              <w:bottom w:val="single" w:sz="6" w:space="0" w:color="FBDDE3"/>
            </w:tcBorders>
            <w:tcMar>
              <w:bottom w:w="28" w:type="dxa"/>
            </w:tcMar>
            <w:vAlign w:val="center"/>
          </w:tcPr>
          <w:p>
            <w:pPr>
              <w:pStyle w:val="TableContents"/>
              <w:bidi w:val="0"/>
              <w:spacing w:before="0" w:after="283"/>
              <w:jc w:val="left"/>
              <w:rPr/>
            </w:pPr>
            <w:r>
              <w:rPr/>
              <w:t>  </w:t>
            </w:r>
          </w:p>
        </w:tc>
        <w:tc>
          <w:tcPr>
            <w:tcW w:w="140" w:type="dxa"/>
            <w:tcBorders>
              <w:bottom w:val="single" w:sz="6" w:space="0" w:color="FBDDE3"/>
            </w:tcBorders>
            <w:tcMar>
              <w:bottom w:w="60" w:type="dxa"/>
            </w:tcMar>
            <w:vAlign w:val="center"/>
          </w:tcPr>
          <w:p>
            <w:pPr>
              <w:pStyle w:val="TableContents"/>
              <w:bidi w:val="0"/>
              <w:spacing w:before="0" w:after="283"/>
              <w:jc w:val="left"/>
              <w:rPr/>
            </w:pPr>
            <w:r>
              <w:rPr/>
              <w:t> </w:t>
            </w:r>
          </w:p>
        </w:tc>
        <w:tc>
          <w:tcPr>
            <w:tcW w:w="800" w:type="dxa"/>
            <w:tcBorders>
              <w:bottom w:val="single" w:sz="6" w:space="0" w:color="FBDDE3"/>
            </w:tcBorders>
            <w:tcMar>
              <w:bottom w:w="60" w:type="dxa"/>
            </w:tcMar>
            <w:vAlign w:val="center"/>
          </w:tcPr>
          <w:p>
            <w:pPr>
              <w:pStyle w:val="TableContents"/>
              <w:bidi w:val="0"/>
              <w:spacing w:before="0" w:after="283"/>
              <w:jc w:val="right"/>
              <w:rPr/>
            </w:pPr>
            <w:r>
              <w:rPr/>
              <w:t>0.14</w:t>
            </w:r>
          </w:p>
        </w:tc>
        <w:tc>
          <w:tcPr>
            <w:tcW w:w="170" w:type="dxa"/>
            <w:tcBorders>
              <w:bottom w:val="single" w:sz="6" w:space="0" w:color="FBDDE3"/>
            </w:tcBorders>
            <w:tcMar>
              <w:bottom w:w="60" w:type="dxa"/>
            </w:tcMar>
            <w:vAlign w:val="center"/>
          </w:tcPr>
          <w:p>
            <w:pPr>
              <w:pStyle w:val="TableContents"/>
              <w:bidi w:val="0"/>
              <w:spacing w:before="0" w:after="283"/>
              <w:jc w:val="left"/>
              <w:rPr/>
            </w:pPr>
            <w:r>
              <w:rPr/>
              <w:t> </w:t>
            </w:r>
          </w:p>
        </w:tc>
      </w:tr>
      <w:tr>
        <w:trPr/>
        <w:tc>
          <w:tcPr>
            <w:tcW w:w="7760" w:type="dxa"/>
            <w:tcBorders/>
            <w:vAlign w:val="center"/>
          </w:tcPr>
          <w:p>
            <w:pPr>
              <w:pStyle w:val="TableContents"/>
              <w:bidi w:val="0"/>
              <w:spacing w:before="0" w:after="283"/>
              <w:jc w:val="left"/>
              <w:rPr>
                <w:sz w:val="4"/>
                <w:szCs w:val="4"/>
              </w:rPr>
            </w:pPr>
            <w:r>
              <w:rPr>
                <w:sz w:val="4"/>
                <w:szCs w:val="4"/>
              </w:rPr>
            </w:r>
          </w:p>
        </w:tc>
        <w:tc>
          <w:tcPr>
            <w:tcW w:w="1215" w:type="dxa"/>
            <w:gridSpan w:val="4"/>
            <w:tcBorders/>
            <w:vAlign w:val="center"/>
          </w:tcPr>
          <w:p>
            <w:pPr>
              <w:pStyle w:val="TableContents"/>
              <w:bidi w:val="0"/>
              <w:spacing w:before="0" w:after="283"/>
              <w:jc w:val="left"/>
              <w:rPr>
                <w:sz w:val="4"/>
                <w:szCs w:val="4"/>
              </w:rPr>
            </w:pPr>
            <w:r>
              <w:rPr>
                <w:sz w:val="4"/>
                <w:szCs w:val="4"/>
              </w:rPr>
            </w:r>
          </w:p>
        </w:tc>
        <w:tc>
          <w:tcPr>
            <w:tcW w:w="1230" w:type="dxa"/>
            <w:gridSpan w:val="4"/>
            <w:tcBorders/>
            <w:vAlign w:val="center"/>
          </w:tcPr>
          <w:p>
            <w:pPr>
              <w:pStyle w:val="TableContents"/>
              <w:bidi w:val="0"/>
              <w:spacing w:before="0" w:after="283"/>
              <w:jc w:val="left"/>
              <w:rPr>
                <w:sz w:val="4"/>
                <w:szCs w:val="4"/>
              </w:rPr>
            </w:pPr>
            <w:r>
              <w:rPr>
                <w:sz w:val="4"/>
                <w:szCs w:val="4"/>
              </w:rPr>
            </w:r>
          </w:p>
        </w:tc>
      </w:tr>
      <w:tr>
        <w:trPr/>
        <w:tc>
          <w:tcPr>
            <w:tcW w:w="7760" w:type="dxa"/>
            <w:tcBorders>
              <w:bottom w:val="single" w:sz="8" w:space="0" w:color="F7ACBA"/>
            </w:tcBorders>
            <w:tcMar>
              <w:bottom w:w="80" w:type="dxa"/>
            </w:tcMar>
            <w:vAlign w:val="center"/>
          </w:tcPr>
          <w:p>
            <w:pPr>
              <w:pStyle w:val="TableContents"/>
              <w:bidi w:val="0"/>
              <w:spacing w:before="0" w:after="0"/>
              <w:jc w:val="left"/>
              <w:rPr>
                <w:rFonts w:ascii="arial" w:hAnsi="arial"/>
                <w:sz w:val="16"/>
              </w:rPr>
            </w:pPr>
            <w:r>
              <w:rPr>
                <w:rFonts w:ascii="arial" w:hAnsi="arial"/>
                <w:sz w:val="16"/>
              </w:rPr>
              <w:t>Adjusted Net Income Per Diluted Share Attributable to Victoria’s Secret &amp; Co.</w:t>
            </w:r>
          </w:p>
        </w:tc>
        <w:tc>
          <w:tcPr>
            <w:tcW w:w="120" w:type="dxa"/>
            <w:tcBorders>
              <w:bottom w:val="single" w:sz="8" w:space="0" w:color="F7ACBA"/>
            </w:tcBorders>
            <w:tcMar>
              <w:bottom w:w="28" w:type="dxa"/>
            </w:tcMar>
            <w:vAlign w:val="center"/>
          </w:tcPr>
          <w:p>
            <w:pPr>
              <w:pStyle w:val="TableContents"/>
              <w:bidi w:val="0"/>
              <w:spacing w:before="0" w:after="283"/>
              <w:jc w:val="left"/>
              <w:rPr/>
            </w:pPr>
            <w:r>
              <w:rPr/>
              <w:t>  </w:t>
            </w:r>
          </w:p>
        </w:tc>
        <w:tc>
          <w:tcPr>
            <w:tcW w:w="140" w:type="dxa"/>
            <w:tcBorders>
              <w:bottom w:val="single" w:sz="8" w:space="0" w:color="F7ACBA"/>
            </w:tcBorders>
            <w:tcMar>
              <w:bottom w:w="80" w:type="dxa"/>
            </w:tcMar>
            <w:vAlign w:val="center"/>
          </w:tcPr>
          <w:p>
            <w:pPr>
              <w:pStyle w:val="TableContents"/>
              <w:bidi w:val="0"/>
              <w:spacing w:before="0" w:after="283"/>
              <w:jc w:val="left"/>
              <w:rPr/>
            </w:pPr>
            <w:r>
              <w:rPr/>
              <w:t>$</w:t>
            </w:r>
          </w:p>
        </w:tc>
        <w:tc>
          <w:tcPr>
            <w:tcW w:w="800" w:type="dxa"/>
            <w:tcBorders>
              <w:bottom w:val="single" w:sz="8" w:space="0" w:color="F7ACBA"/>
            </w:tcBorders>
            <w:tcMar>
              <w:bottom w:w="80" w:type="dxa"/>
            </w:tcMar>
            <w:vAlign w:val="center"/>
          </w:tcPr>
          <w:p>
            <w:pPr>
              <w:pStyle w:val="TableContents"/>
              <w:bidi w:val="0"/>
              <w:spacing w:before="0" w:after="283"/>
              <w:jc w:val="right"/>
              <w:rPr/>
            </w:pPr>
            <w:r>
              <w:rPr/>
              <w:t>2.27</w:t>
            </w:r>
          </w:p>
        </w:tc>
        <w:tc>
          <w:tcPr>
            <w:tcW w:w="155" w:type="dxa"/>
            <w:tcBorders>
              <w:bottom w:val="single" w:sz="8" w:space="0" w:color="F7ACBA"/>
            </w:tcBorders>
            <w:tcMar>
              <w:bottom w:w="80" w:type="dxa"/>
            </w:tcMar>
            <w:vAlign w:val="center"/>
          </w:tcPr>
          <w:p>
            <w:pPr>
              <w:pStyle w:val="TableContents"/>
              <w:bidi w:val="0"/>
              <w:spacing w:before="0" w:after="283"/>
              <w:jc w:val="left"/>
              <w:rPr/>
            </w:pPr>
            <w:r>
              <w:rPr/>
              <w:t> </w:t>
            </w:r>
          </w:p>
        </w:tc>
        <w:tc>
          <w:tcPr>
            <w:tcW w:w="120" w:type="dxa"/>
            <w:tcBorders>
              <w:bottom w:val="single" w:sz="8" w:space="0" w:color="F7ACBA"/>
            </w:tcBorders>
            <w:tcMar>
              <w:bottom w:w="28" w:type="dxa"/>
            </w:tcMar>
            <w:vAlign w:val="center"/>
          </w:tcPr>
          <w:p>
            <w:pPr>
              <w:pStyle w:val="TableContents"/>
              <w:bidi w:val="0"/>
              <w:spacing w:before="0" w:after="283"/>
              <w:jc w:val="left"/>
              <w:rPr/>
            </w:pPr>
            <w:r>
              <w:rPr/>
              <w:t>  </w:t>
            </w:r>
          </w:p>
        </w:tc>
        <w:tc>
          <w:tcPr>
            <w:tcW w:w="140" w:type="dxa"/>
            <w:tcBorders>
              <w:bottom w:val="single" w:sz="8" w:space="0" w:color="F7ACBA"/>
            </w:tcBorders>
            <w:tcMar>
              <w:bottom w:w="80" w:type="dxa"/>
            </w:tcMar>
            <w:vAlign w:val="center"/>
          </w:tcPr>
          <w:p>
            <w:pPr>
              <w:pStyle w:val="TableContents"/>
              <w:bidi w:val="0"/>
              <w:spacing w:before="0" w:after="283"/>
              <w:jc w:val="left"/>
              <w:rPr/>
            </w:pPr>
            <w:r>
              <w:rPr/>
              <w:t>$</w:t>
            </w:r>
          </w:p>
        </w:tc>
        <w:tc>
          <w:tcPr>
            <w:tcW w:w="800" w:type="dxa"/>
            <w:tcBorders>
              <w:bottom w:val="single" w:sz="8" w:space="0" w:color="F7ACBA"/>
            </w:tcBorders>
            <w:tcMar>
              <w:bottom w:w="80" w:type="dxa"/>
            </w:tcMar>
            <w:vAlign w:val="center"/>
          </w:tcPr>
          <w:p>
            <w:pPr>
              <w:pStyle w:val="TableContents"/>
              <w:bidi w:val="0"/>
              <w:spacing w:before="0" w:after="283"/>
              <w:jc w:val="right"/>
              <w:rPr/>
            </w:pPr>
            <w:r>
              <w:rPr/>
              <w:t>4.95</w:t>
            </w:r>
          </w:p>
        </w:tc>
        <w:tc>
          <w:tcPr>
            <w:tcW w:w="170" w:type="dxa"/>
            <w:tcBorders>
              <w:bottom w:val="single" w:sz="8" w:space="0" w:color="F7ACBA"/>
            </w:tcBorders>
            <w:tcMar>
              <w:bottom w:w="80" w:type="dxa"/>
            </w:tcMar>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14"/>
        </w:rPr>
      </w:pPr>
      <w:r>
        <w:rPr>
          <w:rFonts w:ascii="arial" w:hAnsi="arial"/>
          <w:sz w:val="14"/>
        </w:rPr>
        <w:t xml:space="preserve">Adjusted results exclude the following items: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left"/>
              <w:rPr/>
            </w:pPr>
            <w:r>
              <w:rPr/>
              <w:t>(a)</w:t>
            </w:r>
          </w:p>
        </w:tc>
        <w:tc>
          <w:tcPr>
            <w:tcW w:w="9974" w:type="dxa"/>
            <w:tcBorders/>
            <w:vAlign w:val="center"/>
          </w:tcPr>
          <w:p>
            <w:pPr>
              <w:pStyle w:val="TableContents"/>
              <w:bidi w:val="0"/>
              <w:spacing w:before="0" w:after="0"/>
              <w:jc w:val="left"/>
              <w:rPr>
                <w:rFonts w:ascii="arial" w:hAnsi="arial"/>
                <w:sz w:val="14"/>
              </w:rPr>
            </w:pPr>
            <w:r>
              <w:rPr>
                <w:rFonts w:ascii="arial" w:hAnsi="arial"/>
                <w:sz w:val="14"/>
              </w:rPr>
              <w:t xml:space="preserve">In 2023, we recognized pre-tax charges of $50 million ($42 million after-tax) within net income, $29 million included in costs of goods sold, buying and occupancy expense, $16 million included in general, administrative and store operating expense and $5 million included in interest expense, related to the financial impact of purchase accounting items and professional service costs related to the acquisition of Adore Me. In 2022, we recognized a pre-tax charge of $15 million ($14 million after-tax), included in general, administrative and store operating expense, related to professional services and other transaction-related costs associated with the acquisition of Adore Me. </w:t>
            </w:r>
          </w:p>
        </w:tc>
      </w:tr>
    </w:tbl>
    <w:p>
      <w:pPr>
        <w:pStyle w:val="TextBody"/>
        <w:bidi w:val="0"/>
        <w:spacing w:before="0" w:after="0"/>
        <w:jc w:val="left"/>
        <w:rPr/>
      </w:pPr>
      <w:r>
        <w:rPr/>
        <w:t> </w:t>
      </w:r>
    </w:p>
    <w:tbl>
      <w:tblPr>
        <w:tblW w:w="3092" w:type="dxa"/>
        <w:jc w:val="left"/>
        <w:tblInd w:w="0" w:type="dxa"/>
        <w:tblLayout w:type="fixed"/>
        <w:tblCellMar>
          <w:top w:w="0" w:type="dxa"/>
          <w:left w:w="0" w:type="dxa"/>
          <w:bottom w:w="0" w:type="dxa"/>
          <w:right w:w="0" w:type="dxa"/>
        </w:tblCellMar>
      </w:tblPr>
      <w:tblGrid>
        <w:gridCol w:w="292"/>
        <w:gridCol w:w="60"/>
        <w:gridCol w:w="635"/>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57"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46" descr=""/>
                          <pic:cNvPicPr>
                            <a:picLocks noChangeAspect="1" noChangeArrowheads="1"/>
                          </pic:cNvPicPr>
                        </pic:nvPicPr>
                        <pic:blipFill>
                          <a:blip r:embed="rId147"/>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center"/>
              <w:rPr>
                <w:color w:val="F7ACBA"/>
              </w:rPr>
            </w:pPr>
            <w:r>
              <w:rPr>
                <w:color w:val="F7ACBA"/>
              </w:rPr>
              <w:t> </w:t>
            </w:r>
            <w:r>
              <w:rPr>
                <w:b/>
                <w:color w:val="F7ACBA"/>
              </w:rPr>
              <w:t>A-2 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APPENDIX A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pPr>
            <w:r>
              <w:rPr/>
              <w:t>(b)</w:t>
            </w:r>
          </w:p>
        </w:tc>
        <w:tc>
          <w:tcPr>
            <w:tcW w:w="9901" w:type="dxa"/>
            <w:tcBorders/>
            <w:vAlign w:val="center"/>
          </w:tcPr>
          <w:p>
            <w:pPr>
              <w:pStyle w:val="TableContents"/>
              <w:bidi w:val="0"/>
              <w:spacing w:before="0" w:after="0"/>
              <w:jc w:val="left"/>
              <w:rPr>
                <w:rFonts w:ascii="arial" w:hAnsi="arial"/>
                <w:sz w:val="14"/>
              </w:rPr>
            </w:pPr>
            <w:r>
              <w:rPr>
                <w:rFonts w:ascii="arial" w:hAnsi="arial"/>
                <w:sz w:val="14"/>
              </w:rPr>
              <w:t xml:space="preserve">In 2023, we recognized $25 million ($19 million after-tax) included in general, administrative and store operating expense related to the acquisition of Adore 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pPr>
            <w:r>
              <w:rPr/>
              <w:t>(c)</w:t>
            </w:r>
          </w:p>
        </w:tc>
        <w:tc>
          <w:tcPr>
            <w:tcW w:w="9972" w:type="dxa"/>
            <w:tcBorders/>
            <w:vAlign w:val="center"/>
          </w:tcPr>
          <w:p>
            <w:pPr>
              <w:pStyle w:val="TableContents"/>
              <w:bidi w:val="0"/>
              <w:spacing w:before="0" w:after="0"/>
              <w:jc w:val="left"/>
              <w:rPr>
                <w:rFonts w:ascii="arial" w:hAnsi="arial"/>
                <w:sz w:val="14"/>
              </w:rPr>
            </w:pPr>
            <w:r>
              <w:rPr>
                <w:rFonts w:ascii="arial" w:hAnsi="arial"/>
                <w:sz w:val="14"/>
              </w:rPr>
              <w:t xml:space="preserve">In 2023, we recognized a pre-tax charge of $11 million ($8 million after-tax), $8 million included in general, administrative and store operating expense and $3 million included in buying and occupancy expense, related to restructuring activities to continue to reorganize and improve our organizational structure. In 2022, we recognized pre-tax charges of $35 million ($26 million after-tax), $21 million included in general, administrative and store operating expense and $14 million included in buying and occupancy expense, related to restructuring activities to continue to reorganize and improve our organizational structure.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283"/>
              <w:jc w:val="left"/>
              <w:rPr/>
            </w:pPr>
            <w:r>
              <w:rPr/>
              <w:t>(d)</w:t>
            </w:r>
          </w:p>
        </w:tc>
        <w:tc>
          <w:tcPr>
            <w:tcW w:w="9931" w:type="dxa"/>
            <w:tcBorders/>
            <w:vAlign w:val="center"/>
          </w:tcPr>
          <w:p>
            <w:pPr>
              <w:pStyle w:val="TableContents"/>
              <w:bidi w:val="0"/>
              <w:spacing w:before="0" w:after="0"/>
              <w:jc w:val="left"/>
              <w:rPr>
                <w:rFonts w:ascii="arial" w:hAnsi="arial"/>
                <w:sz w:val="14"/>
              </w:rPr>
            </w:pPr>
            <w:r>
              <w:rPr>
                <w:rFonts w:ascii="arial" w:hAnsi="arial"/>
                <w:sz w:val="14"/>
              </w:rPr>
              <w:t xml:space="preserve">In 2022, we recognized a pre-tax charge of $22 million ($16 million after-tax), included in buying and occupancy expense, related to a legal matter with a landlord regarding a high-profile store that we surrendered to the landlord prior to the spinoff from L Brands.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(e)</w:t>
            </w:r>
          </w:p>
        </w:tc>
        <w:tc>
          <w:tcPr>
            <w:tcW w:w="9954" w:type="dxa"/>
            <w:tcBorders/>
            <w:vAlign w:val="center"/>
          </w:tcPr>
          <w:p>
            <w:pPr>
              <w:pStyle w:val="TableContents"/>
              <w:bidi w:val="0"/>
              <w:spacing w:before="0" w:after="0"/>
              <w:jc w:val="left"/>
              <w:rPr>
                <w:rFonts w:ascii="arial" w:hAnsi="arial"/>
                <w:sz w:val="14"/>
              </w:rPr>
            </w:pPr>
            <w:r>
              <w:rPr>
                <w:rFonts w:ascii="arial" w:hAnsi="arial"/>
                <w:sz w:val="14"/>
              </w:rPr>
              <w:t xml:space="preserve">In 2022, we recognized a $16 million charge ($12 million after-tax), $15 million included in costs of goods sold, buying and occupancy expense and $1 million included in general, administrative and store operating expense, for inventory and other costs related to restructuring actions associated with Happy Nation. </w:t>
            </w:r>
          </w:p>
        </w:tc>
      </w:tr>
    </w:tbl>
    <w:p>
      <w:pPr>
        <w:pStyle w:val="TextBody"/>
        <w:bidi w:val="0"/>
        <w:spacing w:before="0" w:after="0"/>
        <w:jc w:val="left"/>
        <w:rPr/>
      </w:pPr>
      <w:r>
        <w:rPr/>
        <w:t> </w:t>
      </w:r>
    </w:p>
    <w:tbl>
      <w:tblPr>
        <w:tblW w:w="3092" w:type="dxa"/>
        <w:jc w:val="left"/>
        <w:tblInd w:w="0" w:type="dxa"/>
        <w:tblLayout w:type="fixed"/>
        <w:tblCellMar>
          <w:top w:w="0" w:type="dxa"/>
          <w:left w:w="0" w:type="dxa"/>
          <w:bottom w:w="0" w:type="dxa"/>
          <w:right w:w="0" w:type="dxa"/>
        </w:tblCellMar>
      </w:tblPr>
      <w:tblGrid>
        <w:gridCol w:w="292"/>
        <w:gridCol w:w="60"/>
        <w:gridCol w:w="635"/>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58"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47" descr=""/>
                          <pic:cNvPicPr>
                            <a:picLocks noChangeAspect="1" noChangeArrowheads="1"/>
                          </pic:cNvPicPr>
                        </pic:nvPicPr>
                        <pic:blipFill>
                          <a:blip r:embed="rId148"/>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tLeast" w:line="180" w:before="0" w:after="0"/>
              <w:jc w:val="center"/>
              <w:rPr>
                <w:color w:val="F7ACBA"/>
              </w:rPr>
            </w:pPr>
            <w:r>
              <w:rPr>
                <w:color w:val="F7ACBA"/>
              </w:rPr>
              <w:t> </w:t>
            </w:r>
            <w:r>
              <w:rPr>
                <w:rFonts w:ascii="Times New Roman" w:hAnsi="Times New Roman"/>
                <w:b/>
                <w:color w:val="F7ACBA"/>
                <w:sz w:val="24"/>
              </w:rPr>
              <w:t>A-3 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APPENDIX B </w:t>
      </w:r>
    </w:p>
    <w:p>
      <w:pPr>
        <w:pStyle w:val="TextBody"/>
        <w:bidi w:val="0"/>
        <w:spacing w:before="0" w:after="0"/>
        <w:jc w:val="left"/>
        <w:rPr/>
      </w:pPr>
      <w:r>
        <w:rPr/>
        <w:t> </w:t>
      </w:r>
    </w:p>
    <w:p>
      <w:pPr>
        <w:pStyle w:val="TextBody"/>
        <w:bidi w:val="0"/>
        <w:spacing w:before="0" w:after="0"/>
        <w:jc w:val="center"/>
        <w:rPr>
          <w:rFonts w:ascii="Times New Roman" w:hAnsi="Times New Roman"/>
          <w:b/>
          <w:sz w:val="60"/>
        </w:rPr>
      </w:pPr>
      <w:r>
        <w:rPr>
          <w:rFonts w:ascii="Times New Roman" w:hAnsi="Times New Roman"/>
          <w:b/>
          <w:sz w:val="60"/>
        </w:rPr>
        <w:t xml:space="preserve">APPENDIX B </w:t>
      </w:r>
    </w:p>
    <w:p>
      <w:pPr>
        <w:pStyle w:val="TextBody"/>
        <w:bidi w:val="0"/>
        <w:spacing w:before="480" w:after="0"/>
        <w:jc w:val="center"/>
        <w:rPr>
          <w:rFonts w:ascii="arial" w:hAnsi="arial"/>
          <w:b/>
          <w:sz w:val="24"/>
        </w:rPr>
      </w:pPr>
      <w:r>
        <w:rPr>
          <w:rFonts w:ascii="arial" w:hAnsi="arial"/>
          <w:b/>
          <w:sz w:val="24"/>
        </w:rPr>
        <w:t xml:space="preserve">AMENDED AND RESTATED CERTIFICATE OF INCORPORATION </w:t>
      </w:r>
    </w:p>
    <w:p>
      <w:pPr>
        <w:pStyle w:val="TextBody"/>
        <w:bidi w:val="0"/>
        <w:spacing w:before="120" w:after="0"/>
        <w:jc w:val="center"/>
        <w:rPr>
          <w:rFonts w:ascii="arial" w:hAnsi="arial"/>
          <w:b/>
          <w:sz w:val="24"/>
        </w:rPr>
      </w:pPr>
      <w:r>
        <w:rPr>
          <w:rFonts w:ascii="arial" w:hAnsi="arial"/>
          <w:b/>
          <w:sz w:val="24"/>
        </w:rPr>
        <w:t xml:space="preserve">OF </w:t>
      </w:r>
    </w:p>
    <w:p>
      <w:pPr>
        <w:pStyle w:val="TextBody"/>
        <w:bidi w:val="0"/>
        <w:spacing w:before="120" w:after="0"/>
        <w:jc w:val="center"/>
        <w:rPr>
          <w:rFonts w:ascii="arial" w:hAnsi="arial"/>
          <w:b/>
          <w:sz w:val="24"/>
        </w:rPr>
      </w:pPr>
      <w:r>
        <w:rPr>
          <w:rFonts w:ascii="arial" w:hAnsi="arial"/>
          <w:b/>
          <w:sz w:val="24"/>
        </w:rPr>
        <w:t xml:space="preserve">VICTORIA’S SECRET &amp; CO. </w:t>
      </w:r>
    </w:p>
    <w:p>
      <w:pPr>
        <w:pStyle w:val="TextBody"/>
        <w:bidi w:val="0"/>
        <w:spacing w:before="240" w:after="0"/>
        <w:jc w:val="left"/>
        <w:rPr>
          <w:rFonts w:ascii="arial" w:hAnsi="arial"/>
          <w:sz w:val="18"/>
        </w:rPr>
      </w:pPr>
      <w:r>
        <w:rPr>
          <w:rFonts w:ascii="arial" w:hAnsi="arial"/>
          <w:sz w:val="18"/>
        </w:rPr>
        <w:t xml:space="preserve">FIRST. The name of the Corporation is: Victoria’s Secret &amp; Co. </w:t>
      </w:r>
    </w:p>
    <w:p>
      <w:pPr>
        <w:pStyle w:val="TextBody"/>
        <w:bidi w:val="0"/>
        <w:spacing w:before="120" w:after="0"/>
        <w:jc w:val="left"/>
        <w:rPr>
          <w:rFonts w:ascii="arial" w:hAnsi="arial"/>
          <w:sz w:val="18"/>
        </w:rPr>
      </w:pPr>
      <w:r>
        <w:rPr>
          <w:rFonts w:ascii="arial" w:hAnsi="arial"/>
          <w:sz w:val="18"/>
        </w:rPr>
        <w:t xml:space="preserve">SECOND. The address of the registered office of the Corporation in the State of Delaware is 1209 Orange Street, Wilmington, Delaware, County of New Castle 19801, and the name of its registered agent at that address is The Corporation Trust Company. </w:t>
      </w:r>
    </w:p>
    <w:p>
      <w:pPr>
        <w:pStyle w:val="TextBody"/>
        <w:bidi w:val="0"/>
        <w:spacing w:before="120" w:after="0"/>
        <w:jc w:val="left"/>
        <w:rPr>
          <w:rFonts w:ascii="arial" w:hAnsi="arial"/>
          <w:sz w:val="18"/>
        </w:rPr>
      </w:pPr>
      <w:r>
        <w:rPr>
          <w:rFonts w:ascii="arial" w:hAnsi="arial"/>
          <w:sz w:val="18"/>
        </w:rPr>
        <w:t xml:space="preserve">THIRD. The purpose of the Corporation is to engage in any lawful act or activity for which corporations may be organized under the Delaware General Corporation Law (the “DGCL”). </w:t>
      </w:r>
    </w:p>
    <w:p>
      <w:pPr>
        <w:pStyle w:val="TextBody"/>
        <w:bidi w:val="0"/>
        <w:spacing w:before="120" w:after="0"/>
        <w:jc w:val="left"/>
        <w:rPr>
          <w:rFonts w:ascii="arial" w:hAnsi="arial"/>
          <w:sz w:val="18"/>
        </w:rPr>
      </w:pPr>
      <w:r>
        <w:rPr>
          <w:rFonts w:ascii="arial" w:hAnsi="arial"/>
          <w:sz w:val="18"/>
        </w:rPr>
        <w:t xml:space="preserve">FOURTH. </w:t>
      </w:r>
    </w:p>
    <w:p>
      <w:pPr>
        <w:pStyle w:val="TextBody"/>
        <w:bidi w:val="0"/>
        <w:spacing w:before="120" w:after="0"/>
        <w:jc w:val="left"/>
        <w:rPr>
          <w:rFonts w:ascii="arial" w:hAnsi="arial"/>
          <w:sz w:val="18"/>
        </w:rPr>
      </w:pPr>
      <w:r>
        <w:rPr>
          <w:rFonts w:ascii="arial" w:hAnsi="arial"/>
          <w:sz w:val="18"/>
        </w:rPr>
        <w:t xml:space="preserve">Section 1. </w:t>
      </w:r>
      <w:r>
        <w:rPr>
          <w:rFonts w:ascii="arial" w:hAnsi="arial"/>
          <w:sz w:val="18"/>
          <w:u w:val="single"/>
        </w:rPr>
        <w:t>Capital Stock</w:t>
      </w:r>
      <w:r>
        <w:rPr>
          <w:rFonts w:ascii="arial" w:hAnsi="arial"/>
          <w:sz w:val="18"/>
        </w:rPr>
        <w:t xml:space="preserve">. The Corporation shall be authorized to issue two classes of stock to be designated, respectively, “Preferred Stock” and “Common Stock”; the total number of shares which the Corporation shall have authority to issue is One Billion Ten Million (1,010,000,000); the total number of shares of Preferred Stock shall be Ten Million (10,000,000) and each such share shall have a par value of $0.01; and the total number of shares of Common Stock shall be One Billion (1,000,000,000) and each such share shall have a par value of $0.01. </w:t>
      </w:r>
    </w:p>
    <w:p>
      <w:pPr>
        <w:pStyle w:val="TextBody"/>
        <w:bidi w:val="0"/>
        <w:spacing w:before="120" w:after="0"/>
        <w:jc w:val="left"/>
        <w:rPr>
          <w:rFonts w:ascii="arial" w:hAnsi="arial"/>
          <w:sz w:val="18"/>
        </w:rPr>
      </w:pPr>
      <w:r>
        <w:rPr>
          <w:rFonts w:ascii="arial" w:hAnsi="arial"/>
          <w:sz w:val="18"/>
        </w:rPr>
        <w:t xml:space="preserve">Section 2. </w:t>
      </w:r>
      <w:r>
        <w:rPr>
          <w:rFonts w:ascii="arial" w:hAnsi="arial"/>
          <w:sz w:val="18"/>
          <w:u w:val="single"/>
        </w:rPr>
        <w:t>Preferred Stock</w:t>
      </w:r>
      <w:r>
        <w:rPr>
          <w:rFonts w:ascii="arial" w:hAnsi="arial"/>
          <w:sz w:val="18"/>
        </w:rPr>
        <w:t xml:space="preserve">. </w:t>
      </w:r>
    </w:p>
    <w:p>
      <w:pPr>
        <w:pStyle w:val="TextBody"/>
        <w:bidi w:val="0"/>
        <w:spacing w:before="120" w:after="0"/>
        <w:jc w:val="left"/>
        <w:rPr>
          <w:rFonts w:ascii="arial" w:hAnsi="arial"/>
          <w:sz w:val="18"/>
        </w:rPr>
      </w:pPr>
      <w:r>
        <w:rPr>
          <w:rFonts w:ascii="arial" w:hAnsi="arial"/>
          <w:sz w:val="18"/>
        </w:rPr>
        <w:t xml:space="preserve">2.1 </w:t>
      </w:r>
      <w:r>
        <w:rPr>
          <w:rFonts w:ascii="arial" w:hAnsi="arial"/>
          <w:sz w:val="18"/>
          <w:u w:val="single"/>
        </w:rPr>
        <w:t>Series and Limits of Variations between Series</w:t>
      </w:r>
      <w:r>
        <w:rPr>
          <w:rFonts w:ascii="arial" w:hAnsi="arial"/>
          <w:sz w:val="18"/>
        </w:rPr>
        <w:t xml:space="preserve">. Any unissued or treasury shares of the Preferred Stock may be issued from time to time in one or more series for such consideration as may be fixed from time to time by the Board of Directors and each share of a series shall be identical in all respects with the other shares of such series, except that, if the dividends thereon are cumulative, the date from which they shall be cumulative may differ. Before any shares of Preferred Stock of any particular series shall be issued, a certificate shall be filed with the Secretary of State of Delaware setting forth the designation, rights, privileges, restrictions, and conditions to be attached to the Preferred Stock of such series and such other matters as may be required, and the Board of Directors shall fix and determine, and is hereby expressly empowered to fix and determine, in the manner provided by law, the particulars of the shares of such series (so far as not inconsistent with the provisions of this Article applicable to all series of Preferred Stock), including, but not limited to, the following: </w:t>
      </w:r>
    </w:p>
    <w:p>
      <w:pPr>
        <w:pStyle w:val="TextBody"/>
        <w:bidi w:val="0"/>
        <w:spacing w:before="120" w:after="0"/>
        <w:jc w:val="left"/>
        <w:rPr>
          <w:rFonts w:ascii="arial" w:hAnsi="arial"/>
          <w:sz w:val="18"/>
        </w:rPr>
      </w:pPr>
      <w:r>
        <w:rPr>
          <w:rFonts w:ascii="arial" w:hAnsi="arial"/>
          <w:sz w:val="18"/>
        </w:rPr>
        <w:t xml:space="preserve">2.1.1 the distinctive designation of such series and the number of shares which shall constitute such series, which number may be increased (except where otherwise provided by the Board of Directors in creating such series) or decreased (but not below the number of shares thereof then outstanding) from time to time by like action of the Board of Directors; </w:t>
      </w:r>
    </w:p>
    <w:p>
      <w:pPr>
        <w:pStyle w:val="TextBody"/>
        <w:bidi w:val="0"/>
        <w:spacing w:before="120" w:after="0"/>
        <w:jc w:val="left"/>
        <w:rPr>
          <w:rFonts w:ascii="arial" w:hAnsi="arial"/>
          <w:sz w:val="18"/>
        </w:rPr>
      </w:pPr>
      <w:r>
        <w:rPr>
          <w:rFonts w:ascii="arial" w:hAnsi="arial"/>
          <w:sz w:val="18"/>
        </w:rPr>
        <w:t xml:space="preserve">2.1.2 the annual rate of dividends payable on shares of such series, the conditions upon which such dividends shall be payable and the date from which dividends shall be cumulative in the event the Board of Directors determines that dividends shall be cumulative; </w:t>
      </w:r>
    </w:p>
    <w:p>
      <w:pPr>
        <w:pStyle w:val="TextBody"/>
        <w:bidi w:val="0"/>
        <w:spacing w:before="120" w:after="0"/>
        <w:jc w:val="left"/>
        <w:rPr>
          <w:rFonts w:ascii="arial" w:hAnsi="arial"/>
          <w:sz w:val="18"/>
        </w:rPr>
      </w:pPr>
      <w:r>
        <w:rPr>
          <w:rFonts w:ascii="arial" w:hAnsi="arial"/>
          <w:sz w:val="18"/>
        </w:rPr>
        <w:t xml:space="preserve">2.1.3 whether such series shall have voting rights, in addition to the voting rights provided by law and, if so, the terms of such voting rights; </w:t>
      </w:r>
    </w:p>
    <w:p>
      <w:pPr>
        <w:pStyle w:val="TextBody"/>
        <w:bidi w:val="0"/>
        <w:spacing w:before="120" w:after="0"/>
        <w:jc w:val="left"/>
        <w:rPr>
          <w:rFonts w:ascii="arial" w:hAnsi="arial"/>
          <w:sz w:val="18"/>
        </w:rPr>
      </w:pPr>
      <w:r>
        <w:rPr>
          <w:rFonts w:ascii="arial" w:hAnsi="arial"/>
          <w:sz w:val="18"/>
        </w:rPr>
        <w:t xml:space="preserve">2.1.4 whether such series shall have conversion privileges and, if so, the terms and conditions of such conversion, including, but not limited to, provision for adjustment of the conversion rate upon such events and in such manner as the Board of Directors shall determine; </w:t>
      </w:r>
    </w:p>
    <w:p>
      <w:pPr>
        <w:pStyle w:val="TextBody"/>
        <w:bidi w:val="0"/>
        <w:spacing w:before="120" w:after="0"/>
        <w:jc w:val="left"/>
        <w:rPr>
          <w:rFonts w:ascii="arial" w:hAnsi="arial"/>
          <w:sz w:val="18"/>
        </w:rPr>
      </w:pPr>
      <w:r>
        <w:rPr>
          <w:rFonts w:ascii="arial" w:hAnsi="arial"/>
          <w:sz w:val="18"/>
        </w:rPr>
        <w:t xml:space="preserve">2.1.5 whether or not the shares of such series shall be redeemable and, if so, the terms and conditions of such redemption, including the date or dates upon or after which they shall be redeemable, and the amount per share payable in case of redemption, which amount may vary under different conditions and at different redemption dates; </w:t>
      </w:r>
    </w:p>
    <w:p>
      <w:pPr>
        <w:pStyle w:val="TextBody"/>
        <w:bidi w:val="0"/>
        <w:spacing w:before="0" w:after="0"/>
        <w:jc w:val="left"/>
        <w:rPr/>
      </w:pPr>
      <w:r>
        <w:rPr/>
        <w:t> </w:t>
      </w:r>
    </w:p>
    <w:tbl>
      <w:tblPr>
        <w:tblW w:w="3077" w:type="dxa"/>
        <w:jc w:val="left"/>
        <w:tblInd w:w="0" w:type="dxa"/>
        <w:tblLayout w:type="fixed"/>
        <w:tblCellMar>
          <w:top w:w="0" w:type="dxa"/>
          <w:left w:w="0" w:type="dxa"/>
          <w:bottom w:w="0" w:type="dxa"/>
          <w:right w:w="0" w:type="dxa"/>
        </w:tblCellMar>
      </w:tblPr>
      <w:tblGrid>
        <w:gridCol w:w="292"/>
        <w:gridCol w:w="60"/>
        <w:gridCol w:w="62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59"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48" descr=""/>
                          <pic:cNvPicPr>
                            <a:picLocks noChangeAspect="1" noChangeArrowheads="1"/>
                          </pic:cNvPicPr>
                        </pic:nvPicPr>
                        <pic:blipFill>
                          <a:blip r:embed="rId149"/>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lineRule="atLeast" w:line="180" w:before="0" w:after="0"/>
              <w:jc w:val="center"/>
              <w:rPr>
                <w:color w:val="F7ACBA"/>
              </w:rPr>
            </w:pPr>
            <w:r>
              <w:rPr>
                <w:color w:val="F7ACBA"/>
              </w:rPr>
              <w:t> </w:t>
            </w:r>
            <w:r>
              <w:rPr>
                <w:rFonts w:ascii="Times New Roman" w:hAnsi="Times New Roman"/>
                <w:b/>
                <w:color w:val="F7ACBA"/>
                <w:sz w:val="24"/>
              </w:rPr>
              <w:t>B-1 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APPENDIX B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2.1.6 whether such series shall have a sinking fund for the redemption or purchase of shares of that series and, if so, the terms and amount of such sinking fund; </w:t>
      </w:r>
    </w:p>
    <w:p>
      <w:pPr>
        <w:pStyle w:val="TextBody"/>
        <w:bidi w:val="0"/>
        <w:spacing w:before="120" w:after="0"/>
        <w:jc w:val="left"/>
        <w:rPr>
          <w:rFonts w:ascii="arial" w:hAnsi="arial"/>
          <w:sz w:val="18"/>
        </w:rPr>
      </w:pPr>
      <w:r>
        <w:rPr>
          <w:rFonts w:ascii="arial" w:hAnsi="arial"/>
          <w:sz w:val="18"/>
        </w:rPr>
        <w:t xml:space="preserve">2.1.7 the rights of the shares of such series in the event of voluntary or involuntary liquidation, dissolution or winding up of the Corporation, and the relative rights of priority, if any, of payment of shares of that series; and </w:t>
      </w:r>
    </w:p>
    <w:p>
      <w:pPr>
        <w:pStyle w:val="TextBody"/>
        <w:bidi w:val="0"/>
        <w:spacing w:before="120" w:after="0"/>
        <w:jc w:val="left"/>
        <w:rPr>
          <w:rFonts w:ascii="arial" w:hAnsi="arial"/>
          <w:sz w:val="18"/>
        </w:rPr>
      </w:pPr>
      <w:r>
        <w:rPr>
          <w:rFonts w:ascii="arial" w:hAnsi="arial"/>
          <w:sz w:val="18"/>
        </w:rPr>
        <w:t xml:space="preserve">2.1.8 any other relative rights, preferences and limitations of such series. </w:t>
      </w:r>
    </w:p>
    <w:p>
      <w:pPr>
        <w:pStyle w:val="TextBody"/>
        <w:bidi w:val="0"/>
        <w:spacing w:before="120" w:after="0"/>
        <w:jc w:val="left"/>
        <w:rPr>
          <w:rFonts w:ascii="arial" w:hAnsi="arial"/>
          <w:sz w:val="18"/>
        </w:rPr>
      </w:pPr>
      <w:r>
        <w:rPr>
          <w:rFonts w:ascii="arial" w:hAnsi="arial"/>
          <w:sz w:val="18"/>
        </w:rPr>
        <w:t xml:space="preserve">Section 3. </w:t>
      </w:r>
      <w:r>
        <w:rPr>
          <w:rFonts w:ascii="arial" w:hAnsi="arial"/>
          <w:sz w:val="18"/>
          <w:u w:val="single"/>
        </w:rPr>
        <w:t>Common Stock</w:t>
      </w:r>
      <w:r>
        <w:rPr>
          <w:rFonts w:ascii="arial" w:hAnsi="arial"/>
          <w:sz w:val="18"/>
        </w:rPr>
        <w:t xml:space="preserve">. </w:t>
      </w:r>
    </w:p>
    <w:p>
      <w:pPr>
        <w:pStyle w:val="TextBody"/>
        <w:bidi w:val="0"/>
        <w:spacing w:before="120" w:after="0"/>
        <w:jc w:val="left"/>
        <w:rPr>
          <w:rFonts w:ascii="arial" w:hAnsi="arial"/>
          <w:sz w:val="18"/>
        </w:rPr>
      </w:pPr>
      <w:r>
        <w:rPr>
          <w:rFonts w:ascii="arial" w:hAnsi="arial"/>
          <w:sz w:val="18"/>
        </w:rPr>
        <w:t xml:space="preserve">3.1 </w:t>
      </w:r>
      <w:r>
        <w:rPr>
          <w:rFonts w:ascii="arial" w:hAnsi="arial"/>
          <w:sz w:val="18"/>
          <w:u w:val="single"/>
        </w:rPr>
        <w:t>Issuance and Consideration</w:t>
      </w:r>
      <w:r>
        <w:rPr>
          <w:rFonts w:ascii="arial" w:hAnsi="arial"/>
          <w:sz w:val="18"/>
        </w:rPr>
        <w:t xml:space="preserve">. Any unissued or treasury shares of the Common Stock may be issued for such consideration as may be fixed in accordance with applicable law from time to time by the Board of Directors. </w:t>
      </w:r>
    </w:p>
    <w:p>
      <w:pPr>
        <w:pStyle w:val="TextBody"/>
        <w:bidi w:val="0"/>
        <w:spacing w:before="120" w:after="0"/>
        <w:jc w:val="left"/>
        <w:rPr>
          <w:rFonts w:ascii="arial" w:hAnsi="arial"/>
          <w:sz w:val="18"/>
        </w:rPr>
      </w:pPr>
      <w:r>
        <w:rPr>
          <w:rFonts w:ascii="arial" w:hAnsi="arial"/>
          <w:sz w:val="18"/>
        </w:rPr>
        <w:t xml:space="preserve">3.2 </w:t>
      </w:r>
      <w:r>
        <w:rPr>
          <w:rFonts w:ascii="arial" w:hAnsi="arial"/>
          <w:sz w:val="18"/>
          <w:u w:val="single"/>
        </w:rPr>
        <w:t>Voting Rights</w:t>
      </w:r>
      <w:r>
        <w:rPr>
          <w:rFonts w:ascii="arial" w:hAnsi="arial"/>
          <w:sz w:val="18"/>
        </w:rPr>
        <w:t xml:space="preserve">. At every meeting of the stockholders every holder of Common Stock shall be entitled to one vote, in person or by proxy, for each share of Common Stock standing in the name of such stockholder on the books of the Corporation, on each matter on which the stockholders generally are entitled to vote. </w:t>
      </w:r>
    </w:p>
    <w:p>
      <w:pPr>
        <w:pStyle w:val="TextBody"/>
        <w:bidi w:val="0"/>
        <w:spacing w:before="120" w:after="0"/>
        <w:jc w:val="left"/>
        <w:rPr>
          <w:rFonts w:ascii="arial" w:hAnsi="arial"/>
          <w:sz w:val="18"/>
        </w:rPr>
      </w:pPr>
      <w:r>
        <w:rPr>
          <w:rFonts w:ascii="arial" w:hAnsi="arial"/>
          <w:sz w:val="18"/>
        </w:rPr>
        <w:t xml:space="preserve">3.3 </w:t>
      </w:r>
      <w:r>
        <w:rPr>
          <w:rFonts w:ascii="arial" w:hAnsi="arial"/>
          <w:sz w:val="18"/>
          <w:u w:val="single"/>
        </w:rPr>
        <w:t>Dividends</w:t>
      </w:r>
      <w:r>
        <w:rPr>
          <w:rFonts w:ascii="arial" w:hAnsi="arial"/>
          <w:sz w:val="18"/>
        </w:rPr>
        <w:t xml:space="preserve">. Subject to the rights of holders of the Preferred Stock, the holders of the Common Stock shall be entitled to receive, when and as declared by the Board of Directors, out of the assets of the Corporation which are by law available therefor, dividends payable either in cash, in property, or in shares of stock and the holders of the Preferred Stock shall not be entitled to participate in any such dividends (unless otherwise provided by the Board of Directors in any resolution providing for the issue of a series of Preferred Stock). </w:t>
      </w:r>
    </w:p>
    <w:p>
      <w:pPr>
        <w:pStyle w:val="TextBody"/>
        <w:bidi w:val="0"/>
        <w:spacing w:before="120" w:after="0"/>
        <w:jc w:val="left"/>
        <w:rPr>
          <w:rFonts w:ascii="arial" w:hAnsi="arial"/>
          <w:sz w:val="18"/>
        </w:rPr>
      </w:pPr>
      <w:r>
        <w:rPr>
          <w:rFonts w:ascii="arial" w:hAnsi="arial"/>
          <w:sz w:val="18"/>
        </w:rPr>
        <w:t xml:space="preserve">3.4 </w:t>
      </w:r>
      <w:r>
        <w:rPr>
          <w:rFonts w:ascii="arial" w:hAnsi="arial"/>
          <w:sz w:val="18"/>
          <w:u w:val="single"/>
        </w:rPr>
        <w:t>Rights in Event of Dissolution</w:t>
      </w:r>
      <w:r>
        <w:rPr>
          <w:rFonts w:ascii="arial" w:hAnsi="arial"/>
          <w:sz w:val="18"/>
        </w:rPr>
        <w:t xml:space="preserve">. In the event of any dissolution, liquidation or winding up of the affairs of the Corporation, either voluntarily or involuntarily, the holders of the Common Stock shall be entitled, after payment or provision for payment of the debts and other liabilities of the Corporation and the amounts to which the holders of the Preferred Stock shall be entitled, to share ratably in the remaining assets of the Corporation to the exclusion of the Preferred Stock (unless otherwise provided by the Board of Directors in any resolution providing for the issue of a series of Preferred Stock). Neither the merger or consolidation of the Corporation, nor the sale, lease or conveyance of all or part of its assets, shall be deemed to be a liquidation, dissolution or winding up of the affairs of the Corporation within the meaning of this Section 3.4. </w:t>
      </w:r>
    </w:p>
    <w:p>
      <w:pPr>
        <w:pStyle w:val="TextBody"/>
        <w:bidi w:val="0"/>
        <w:spacing w:before="120" w:after="0"/>
        <w:jc w:val="left"/>
        <w:rPr>
          <w:rFonts w:ascii="arial" w:hAnsi="arial"/>
          <w:sz w:val="18"/>
        </w:rPr>
      </w:pPr>
      <w:r>
        <w:rPr>
          <w:rFonts w:ascii="arial" w:hAnsi="arial"/>
          <w:sz w:val="18"/>
        </w:rPr>
        <w:t xml:space="preserve">FIFTH. </w:t>
      </w:r>
      <w:r>
        <w:rPr>
          <w:rFonts w:ascii="arial" w:hAnsi="arial"/>
          <w:sz w:val="18"/>
          <w:u w:val="single"/>
        </w:rPr>
        <w:t>Amendment of Bylaws by Directors</w:t>
      </w:r>
      <w:r>
        <w:rPr>
          <w:rFonts w:ascii="arial" w:hAnsi="arial"/>
          <w:sz w:val="18"/>
        </w:rPr>
        <w:t xml:space="preserve">. In furtherance and not in limitation of the powers conferred by statute, the Board of Directors is expressly authorized to make, repeal, alter, amend and rescind the bylaws of the Corporation. </w:t>
      </w:r>
    </w:p>
    <w:p>
      <w:pPr>
        <w:pStyle w:val="TextBody"/>
        <w:bidi w:val="0"/>
        <w:spacing w:before="120" w:after="0"/>
        <w:jc w:val="left"/>
        <w:rPr>
          <w:rFonts w:ascii="arial" w:hAnsi="arial"/>
          <w:sz w:val="18"/>
        </w:rPr>
      </w:pPr>
      <w:r>
        <w:rPr>
          <w:rFonts w:ascii="arial" w:hAnsi="arial"/>
          <w:sz w:val="18"/>
        </w:rPr>
        <w:t xml:space="preserve">SIXTH. </w:t>
      </w:r>
    </w:p>
    <w:p>
      <w:pPr>
        <w:pStyle w:val="TextBody"/>
        <w:bidi w:val="0"/>
        <w:spacing w:before="120" w:after="0"/>
        <w:jc w:val="left"/>
        <w:rPr>
          <w:rFonts w:ascii="arial" w:hAnsi="arial"/>
          <w:sz w:val="18"/>
        </w:rPr>
      </w:pPr>
      <w:r>
        <w:rPr>
          <w:rFonts w:ascii="arial" w:hAnsi="arial"/>
          <w:sz w:val="18"/>
        </w:rPr>
        <w:t xml:space="preserve">Section 1. </w:t>
      </w:r>
      <w:r>
        <w:rPr>
          <w:rFonts w:ascii="arial" w:hAnsi="arial"/>
          <w:sz w:val="18"/>
          <w:u w:val="single"/>
        </w:rPr>
        <w:t>Election of Directors</w:t>
      </w:r>
      <w:r>
        <w:rPr>
          <w:rFonts w:ascii="arial" w:hAnsi="arial"/>
          <w:sz w:val="18"/>
        </w:rPr>
        <w:t xml:space="preserve">. Subject to the right of the holders of any class or series of Preferred Stock to elect one or more directors of the Corporation, each director shall be elected for a term expiring at the next annual meeting, and shall hold office until such director’s successor is elected and qualified or until such director’s earlier death, resignation or removal. </w:t>
      </w:r>
    </w:p>
    <w:p>
      <w:pPr>
        <w:pStyle w:val="TextBody"/>
        <w:bidi w:val="0"/>
        <w:spacing w:before="120" w:after="0"/>
        <w:jc w:val="left"/>
        <w:rPr>
          <w:rFonts w:ascii="arial" w:hAnsi="arial"/>
          <w:sz w:val="18"/>
        </w:rPr>
      </w:pPr>
      <w:r>
        <w:rPr>
          <w:rFonts w:ascii="arial" w:hAnsi="arial"/>
          <w:sz w:val="18"/>
        </w:rPr>
        <w:t xml:space="preserve">Section 2. </w:t>
      </w:r>
      <w:r>
        <w:rPr>
          <w:rFonts w:ascii="arial" w:hAnsi="arial"/>
          <w:sz w:val="18"/>
          <w:u w:val="single"/>
        </w:rPr>
        <w:t>Election by Holders of Preferred Stock</w:t>
      </w:r>
      <w:r>
        <w:rPr>
          <w:rFonts w:ascii="arial" w:hAnsi="arial"/>
          <w:sz w:val="18"/>
        </w:rPr>
        <w:t xml:space="preserve">. During any period when the holders of any Preferred Stock or any one or more series thereof, voting as a class, shall be entitled to elect a specified number of directors, by reason of divided arrearages or other provisions giving them the right to do so, then and during such time as such right continues (i) the then otherwise authorized number of directors shall be increased by such specified number of directors, and the holders of such Preferred Stock or such series thereof, voting as a class, shall be entitled to elect the additional directors so provided for, pursuant to the provisions of such Preferred Stock or series; (ii) each such additional director shall serve for such term, and have such voting powers, as shall be stated in the provisions pertaining to such Preferred Stock or series; and (iii) whenever the holders of any such Preferred Stock or series thereof are divested of such rights to elect a specified number of directors, voting as a class, pursuant to the provisions of such Preferred Stock or series, the terms of office of all directors elected by the holders of such Preferred Stock or series, voting as a class pursuant to such provisions or elected to fill any vacancies resulting from the death, resignation or removal of directors so elected by the holders of such Preferred Stock or series, shall forthwith terminate and the authorized number of directors shall be reduced accordingly. </w:t>
      </w:r>
    </w:p>
    <w:p>
      <w:pPr>
        <w:pStyle w:val="TextBody"/>
        <w:bidi w:val="0"/>
        <w:spacing w:before="120" w:after="0"/>
        <w:jc w:val="left"/>
        <w:rPr>
          <w:rFonts w:ascii="arial" w:hAnsi="arial"/>
          <w:sz w:val="18"/>
        </w:rPr>
      </w:pPr>
      <w:r>
        <w:rPr>
          <w:rFonts w:ascii="arial" w:hAnsi="arial"/>
          <w:sz w:val="18"/>
        </w:rPr>
        <w:t xml:space="preserve">Section 3. </w:t>
      </w:r>
      <w:r>
        <w:rPr>
          <w:rFonts w:ascii="arial" w:hAnsi="arial"/>
          <w:sz w:val="18"/>
          <w:u w:val="single"/>
        </w:rPr>
        <w:t>Cumulative Voting</w:t>
      </w:r>
      <w:r>
        <w:rPr>
          <w:rFonts w:ascii="arial" w:hAnsi="arial"/>
          <w:sz w:val="18"/>
        </w:rPr>
        <w:t xml:space="preserve">. There shall be no cumulative voting in the election of directors. </w:t>
      </w:r>
    </w:p>
    <w:p>
      <w:pPr>
        <w:pStyle w:val="TextBody"/>
        <w:bidi w:val="0"/>
        <w:spacing w:before="0" w:after="0"/>
        <w:jc w:val="left"/>
        <w:rPr/>
      </w:pPr>
      <w:r>
        <w:rPr/>
        <w:t> </w:t>
      </w:r>
    </w:p>
    <w:tbl>
      <w:tblPr>
        <w:tblW w:w="3077" w:type="dxa"/>
        <w:jc w:val="left"/>
        <w:tblInd w:w="0" w:type="dxa"/>
        <w:tblLayout w:type="fixed"/>
        <w:tblCellMar>
          <w:top w:w="0" w:type="dxa"/>
          <w:left w:w="0" w:type="dxa"/>
          <w:bottom w:w="0" w:type="dxa"/>
          <w:right w:w="0" w:type="dxa"/>
        </w:tblCellMar>
      </w:tblPr>
      <w:tblGrid>
        <w:gridCol w:w="292"/>
        <w:gridCol w:w="60"/>
        <w:gridCol w:w="62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60"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49" descr=""/>
                          <pic:cNvPicPr>
                            <a:picLocks noChangeAspect="1" noChangeArrowheads="1"/>
                          </pic:cNvPicPr>
                        </pic:nvPicPr>
                        <pic:blipFill>
                          <a:blip r:embed="rId150"/>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lineRule="atLeast" w:line="180" w:before="0" w:after="0"/>
              <w:jc w:val="center"/>
              <w:rPr>
                <w:color w:val="F7ACBA"/>
              </w:rPr>
            </w:pPr>
            <w:r>
              <w:rPr>
                <w:color w:val="F7ACBA"/>
              </w:rPr>
              <w:t> </w:t>
            </w:r>
            <w:r>
              <w:rPr>
                <w:rFonts w:ascii="Times New Roman" w:hAnsi="Times New Roman"/>
                <w:b/>
                <w:color w:val="F7ACBA"/>
                <w:sz w:val="24"/>
              </w:rPr>
              <w:t>B-2 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APPENDIX B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Section 4. </w:t>
      </w:r>
      <w:r>
        <w:rPr>
          <w:rFonts w:ascii="arial" w:hAnsi="arial"/>
          <w:sz w:val="18"/>
          <w:u w:val="single"/>
        </w:rPr>
        <w:t>Elimination of Certain Personal Liability of Directors</w:t>
      </w:r>
      <w:r>
        <w:rPr>
          <w:rFonts w:ascii="arial" w:hAnsi="arial"/>
          <w:sz w:val="18"/>
        </w:rPr>
        <w:t xml:space="preserve">. A director or officer of this Corporation shall not be personally liable to the Corporation or its stockholders for monetary damages for breach of any fiduciary duty as a director or officer, except for liability (i) for any breach of the director’s or officer’s duty of loyalty to the Corporation or its stockholders, (ii) for acts or omissions not in good faith or which involve intentional misconduct or a knowing violation of law, (iii) for directors under Section 174 of the DGCL, (iv) for any transaction from which the director derives an improper personal benefit, or (v) for an officer in any action by or in the right of the Corporation. If the DGCL is amended after approval by the stockholders of this Section to authorize corporate action further eliminating or limiting the personal liability of directors or officers, then the liability of a director or officer of the Corporation shall be eliminated or limited to the fullest extent permitted by the DGCL, as so amended. The foregoing limitation on liability shall not apply to acts or omissions occurring prior to the effective date of this Section. </w:t>
      </w:r>
    </w:p>
    <w:p>
      <w:pPr>
        <w:pStyle w:val="TextBody"/>
        <w:bidi w:val="0"/>
        <w:spacing w:before="120" w:after="0"/>
        <w:jc w:val="left"/>
        <w:rPr>
          <w:rFonts w:ascii="arial" w:hAnsi="arial"/>
          <w:sz w:val="18"/>
        </w:rPr>
      </w:pPr>
      <w:r>
        <w:rPr>
          <w:rFonts w:ascii="arial" w:hAnsi="arial"/>
          <w:sz w:val="18"/>
        </w:rPr>
        <w:t xml:space="preserve">SEVENTH. No action shall be taken by the stockholders except at an annual or special meeting of stockholders. </w:t>
      </w:r>
    </w:p>
    <w:p>
      <w:pPr>
        <w:pStyle w:val="TextBody"/>
        <w:bidi w:val="0"/>
        <w:spacing w:before="120" w:after="0"/>
        <w:jc w:val="left"/>
        <w:rPr>
          <w:rFonts w:ascii="arial" w:hAnsi="arial"/>
          <w:sz w:val="18"/>
        </w:rPr>
      </w:pPr>
      <w:r>
        <w:rPr>
          <w:rFonts w:ascii="arial" w:hAnsi="arial"/>
          <w:sz w:val="18"/>
        </w:rPr>
        <w:t xml:space="preserve">EIGHTH. Any director may be removed at any annual or special stockholders’ meeting, with or without cause, upon the affirmative vote of the holders of not less than a majority of the outstanding shares of capital stock of the Corporation at that time entitled to vote generally in the election of directors, voting together as a single class; provided, that directors who shall have been elected by the holders of a series or class of Preferred Stock, voting separately as a class, shall be removed only pursuant to the provisions establishing the rights of such series or class to elect such directors. </w:t>
      </w:r>
    </w:p>
    <w:p>
      <w:pPr>
        <w:pStyle w:val="TextBody"/>
        <w:bidi w:val="0"/>
        <w:spacing w:before="120" w:after="0"/>
        <w:jc w:val="left"/>
        <w:rPr>
          <w:rFonts w:ascii="arial" w:hAnsi="arial"/>
          <w:sz w:val="18"/>
        </w:rPr>
      </w:pPr>
      <w:r>
        <w:rPr>
          <w:rFonts w:ascii="arial" w:hAnsi="arial"/>
          <w:sz w:val="18"/>
        </w:rPr>
        <w:t xml:space="preserve">NINTH. </w:t>
      </w:r>
      <w:r>
        <w:rPr>
          <w:rFonts w:ascii="arial" w:hAnsi="arial"/>
          <w:sz w:val="18"/>
          <w:u w:val="single"/>
        </w:rPr>
        <w:t>Amendments Generally</w:t>
      </w:r>
      <w:r>
        <w:rPr>
          <w:rFonts w:ascii="arial" w:hAnsi="arial"/>
          <w:sz w:val="18"/>
        </w:rPr>
        <w:t xml:space="preserve">. The Corporation reserves the right to amend, alter, change or repeal any provision contained in this Certificate of Incorporation, in the manner now or hereafter prescribed by statute, and all rights conferred on stockholders herein are granted subject to this reservation. </w:t>
      </w:r>
    </w:p>
    <w:p>
      <w:pPr>
        <w:pStyle w:val="TextBody"/>
        <w:bidi w:val="0"/>
        <w:spacing w:before="0" w:after="0"/>
        <w:jc w:val="left"/>
        <w:rPr/>
      </w:pPr>
      <w:r>
        <w:rPr/>
        <w:t> </w:t>
      </w:r>
    </w:p>
    <w:tbl>
      <w:tblPr>
        <w:tblW w:w="3077" w:type="dxa"/>
        <w:jc w:val="left"/>
        <w:tblInd w:w="0" w:type="dxa"/>
        <w:tblLayout w:type="fixed"/>
        <w:tblCellMar>
          <w:top w:w="0" w:type="dxa"/>
          <w:left w:w="0" w:type="dxa"/>
          <w:bottom w:w="0" w:type="dxa"/>
          <w:right w:w="0" w:type="dxa"/>
        </w:tblCellMar>
      </w:tblPr>
      <w:tblGrid>
        <w:gridCol w:w="292"/>
        <w:gridCol w:w="60"/>
        <w:gridCol w:w="620"/>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61"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50" descr=""/>
                          <pic:cNvPicPr>
                            <a:picLocks noChangeAspect="1" noChangeArrowheads="1"/>
                          </pic:cNvPicPr>
                        </pic:nvPicPr>
                        <pic:blipFill>
                          <a:blip r:embed="rId151"/>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lineRule="atLeast" w:line="180" w:before="0" w:after="0"/>
              <w:jc w:val="center"/>
              <w:rPr>
                <w:color w:val="F7ACBA"/>
              </w:rPr>
            </w:pPr>
            <w:r>
              <w:rPr>
                <w:color w:val="F7ACBA"/>
              </w:rPr>
              <w:t> </w:t>
            </w:r>
            <w:r>
              <w:rPr>
                <w:rFonts w:ascii="Times New Roman" w:hAnsi="Times New Roman"/>
                <w:b/>
                <w:color w:val="F7ACBA"/>
                <w:sz w:val="24"/>
              </w:rPr>
              <w:t>B-3 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APPENDIX C </w:t>
      </w:r>
    </w:p>
    <w:p>
      <w:pPr>
        <w:pStyle w:val="TextBody"/>
        <w:bidi w:val="0"/>
        <w:spacing w:before="0" w:after="0"/>
        <w:jc w:val="left"/>
        <w:rPr/>
      </w:pPr>
      <w:r>
        <w:rPr/>
        <w:t> </w:t>
      </w:r>
    </w:p>
    <w:p>
      <w:pPr>
        <w:pStyle w:val="TextBody"/>
        <w:bidi w:val="0"/>
        <w:spacing w:before="0" w:after="0"/>
        <w:jc w:val="center"/>
        <w:rPr>
          <w:rFonts w:ascii="Times New Roman" w:hAnsi="Times New Roman"/>
          <w:b/>
          <w:sz w:val="60"/>
        </w:rPr>
      </w:pPr>
      <w:r>
        <w:rPr>
          <w:rFonts w:ascii="Times New Roman" w:hAnsi="Times New Roman"/>
          <w:b/>
          <w:sz w:val="60"/>
        </w:rPr>
        <w:t xml:space="preserve">APPENDIX C </w:t>
      </w:r>
    </w:p>
    <w:p>
      <w:pPr>
        <w:pStyle w:val="TextBody"/>
        <w:bidi w:val="0"/>
        <w:spacing w:before="480" w:after="0"/>
        <w:jc w:val="center"/>
        <w:rPr>
          <w:rFonts w:ascii="arial" w:hAnsi="arial"/>
          <w:b/>
          <w:sz w:val="24"/>
        </w:rPr>
      </w:pPr>
      <w:r>
        <w:rPr>
          <w:rFonts w:ascii="arial" w:hAnsi="arial"/>
          <w:b/>
          <w:sz w:val="24"/>
        </w:rPr>
        <w:t xml:space="preserve">VICTORIA’S SECRET &amp; CO. </w:t>
      </w:r>
    </w:p>
    <w:p>
      <w:pPr>
        <w:pStyle w:val="TextBody"/>
        <w:bidi w:val="0"/>
        <w:spacing w:before="0" w:after="0"/>
        <w:jc w:val="center"/>
        <w:rPr>
          <w:rFonts w:ascii="arial" w:hAnsi="arial"/>
          <w:b/>
          <w:sz w:val="24"/>
        </w:rPr>
      </w:pPr>
      <w:r>
        <w:rPr>
          <w:rFonts w:ascii="arial" w:hAnsi="arial"/>
          <w:b/>
          <w:sz w:val="24"/>
        </w:rPr>
        <w:t xml:space="preserve">2021 STOCK OPTION AND PERFORMANCE INCENTIVE PLAN </w:t>
      </w:r>
    </w:p>
    <w:p>
      <w:pPr>
        <w:pStyle w:val="TextBody"/>
        <w:bidi w:val="0"/>
        <w:spacing w:before="0" w:after="0"/>
        <w:jc w:val="center"/>
        <w:rPr>
          <w:rFonts w:ascii="arial" w:hAnsi="arial"/>
          <w:b/>
          <w:sz w:val="24"/>
        </w:rPr>
      </w:pPr>
      <w:r>
        <w:rPr>
          <w:rFonts w:ascii="arial" w:hAnsi="arial"/>
          <w:b/>
          <w:sz w:val="24"/>
        </w:rPr>
        <w:t xml:space="preserve">EFFECTIVE JULY 19, 2021 </w:t>
      </w:r>
    </w:p>
    <w:p>
      <w:pPr>
        <w:pStyle w:val="TextBody"/>
        <w:bidi w:val="0"/>
        <w:spacing w:before="240" w:after="0"/>
        <w:jc w:val="center"/>
        <w:rPr>
          <w:rFonts w:ascii="arial" w:hAnsi="arial"/>
          <w:b/>
          <w:sz w:val="24"/>
        </w:rPr>
      </w:pPr>
      <w:r>
        <w:rPr>
          <w:rFonts w:ascii="arial" w:hAnsi="arial"/>
          <w:b/>
          <w:sz w:val="24"/>
        </w:rPr>
        <w:t xml:space="preserve">ARTICLE I </w:t>
      </w:r>
    </w:p>
    <w:p>
      <w:pPr>
        <w:pStyle w:val="TextBody"/>
        <w:bidi w:val="0"/>
        <w:spacing w:before="120" w:after="0"/>
        <w:jc w:val="center"/>
        <w:rPr>
          <w:rFonts w:ascii="arial" w:hAnsi="arial"/>
          <w:b/>
          <w:sz w:val="24"/>
        </w:rPr>
      </w:pPr>
      <w:r>
        <w:rPr>
          <w:rFonts w:ascii="arial" w:hAnsi="arial"/>
          <w:b/>
          <w:sz w:val="24"/>
        </w:rPr>
        <w:t xml:space="preserve">ESTABLISHMENT AND PURPOSE </w:t>
      </w:r>
    </w:p>
    <w:p>
      <w:pPr>
        <w:pStyle w:val="TextBody"/>
        <w:bidi w:val="0"/>
        <w:spacing w:before="120" w:after="0"/>
        <w:jc w:val="left"/>
        <w:rPr>
          <w:rFonts w:ascii="arial" w:hAnsi="arial"/>
          <w:sz w:val="18"/>
        </w:rPr>
      </w:pPr>
      <w:r>
        <w:rPr>
          <w:rFonts w:ascii="arial" w:hAnsi="arial"/>
          <w:sz w:val="18"/>
        </w:rPr>
        <w:t>1.01. </w:t>
      </w:r>
      <w:r>
        <w:rPr>
          <w:rFonts w:ascii="arial" w:hAnsi="arial"/>
          <w:i/>
          <w:sz w:val="18"/>
        </w:rPr>
        <w:t>Establishment and Effective Date</w:t>
      </w:r>
      <w:r>
        <w:rPr>
          <w:rFonts w:ascii="arial" w:hAnsi="arial"/>
          <w:sz w:val="18"/>
        </w:rPr>
        <w:t>. Effective on July 19, 2021 (the “</w:t>
      </w:r>
      <w:r>
        <w:rPr>
          <w:rFonts w:ascii="arial" w:hAnsi="arial"/>
          <w:b/>
          <w:sz w:val="18"/>
        </w:rPr>
        <w:t>Effective Date</w:t>
      </w:r>
      <w:r>
        <w:rPr>
          <w:rFonts w:ascii="arial" w:hAnsi="arial"/>
          <w:sz w:val="18"/>
        </w:rPr>
        <w:t>”), Victoria’s Secret &amp; Co., a Delaware corporation (including any successor in name or interest thereto, the “</w:t>
      </w:r>
      <w:r>
        <w:rPr>
          <w:rFonts w:ascii="arial" w:hAnsi="arial"/>
          <w:b/>
          <w:sz w:val="18"/>
        </w:rPr>
        <w:t>Company</w:t>
      </w:r>
      <w:r>
        <w:rPr>
          <w:rFonts w:ascii="arial" w:hAnsi="arial"/>
          <w:sz w:val="18"/>
        </w:rPr>
        <w:t>”), hereby establishes this stock incentive plan known as the “Victoria’s Secret &amp; Co. 2021 Stock Option and Performance Incentive Plan” (the “</w:t>
      </w:r>
      <w:r>
        <w:rPr>
          <w:rFonts w:ascii="arial" w:hAnsi="arial"/>
          <w:b/>
          <w:sz w:val="18"/>
        </w:rPr>
        <w:t>Plan</w:t>
      </w:r>
      <w:r>
        <w:rPr>
          <w:rFonts w:ascii="arial" w:hAnsi="arial"/>
          <w:sz w:val="18"/>
        </w:rPr>
        <w:t xml:space="preserve">”). </w:t>
      </w:r>
    </w:p>
    <w:p>
      <w:pPr>
        <w:pStyle w:val="TextBody"/>
        <w:bidi w:val="0"/>
        <w:spacing w:before="120" w:after="0"/>
        <w:jc w:val="left"/>
        <w:rPr>
          <w:rFonts w:ascii="arial" w:hAnsi="arial"/>
          <w:sz w:val="18"/>
        </w:rPr>
      </w:pPr>
      <w:r>
        <w:rPr>
          <w:rFonts w:ascii="arial" w:hAnsi="arial"/>
          <w:sz w:val="18"/>
        </w:rPr>
        <w:t>1.02. </w:t>
      </w:r>
      <w:r>
        <w:rPr>
          <w:rFonts w:ascii="arial" w:hAnsi="arial"/>
          <w:i/>
          <w:sz w:val="18"/>
        </w:rPr>
        <w:t>Purpose</w:t>
      </w:r>
      <w:r>
        <w:rPr>
          <w:rFonts w:ascii="arial" w:hAnsi="arial"/>
          <w:sz w:val="18"/>
        </w:rPr>
        <w:t xml:space="preserve">. The Company desires to attract and retain the best available executive and key management associates, consultants and other advisors, for itself and its subsidiaries and affiliates and to encourage the highest level of performance by such individuals in order to serve the best interests of the Company and its stockholders. The Plan is expected to contribute to the attainment of these objectives by offering eligible associates, consultants and other advisors the opportunity to acquire stock ownership interests in the Company, and other rights with respect to stock of the Company, and to thereby provide them with incentives to put forth maximum effort for the success of the Company and its subsidiaries. </w:t>
      </w:r>
    </w:p>
    <w:p>
      <w:pPr>
        <w:pStyle w:val="TextBody"/>
        <w:bidi w:val="0"/>
        <w:spacing w:before="120" w:after="0"/>
        <w:jc w:val="left"/>
        <w:rPr>
          <w:rFonts w:ascii="arial" w:hAnsi="arial"/>
          <w:sz w:val="18"/>
        </w:rPr>
      </w:pPr>
      <w:r>
        <w:rPr>
          <w:rFonts w:ascii="arial" w:hAnsi="arial"/>
          <w:sz w:val="18"/>
        </w:rPr>
        <w:t>1.03. </w:t>
      </w:r>
      <w:r>
        <w:rPr>
          <w:rFonts w:ascii="arial" w:hAnsi="arial"/>
          <w:i/>
          <w:sz w:val="18"/>
        </w:rPr>
        <w:t>Definitions</w:t>
      </w:r>
      <w:r>
        <w:rPr>
          <w:rFonts w:ascii="arial" w:hAnsi="arial"/>
          <w:sz w:val="18"/>
        </w:rPr>
        <w:t xml:space="preserve">. Unless otherwise defined elsewhere in the Plan, all capitalized terms used in the Plan shall have the meanings set forth in Article XXI. </w:t>
      </w:r>
    </w:p>
    <w:p>
      <w:pPr>
        <w:pStyle w:val="TextBody"/>
        <w:bidi w:val="0"/>
        <w:spacing w:before="480" w:after="0"/>
        <w:jc w:val="center"/>
        <w:rPr>
          <w:rFonts w:ascii="arial" w:hAnsi="arial"/>
          <w:b/>
          <w:sz w:val="24"/>
        </w:rPr>
      </w:pPr>
      <w:r>
        <w:rPr>
          <w:rFonts w:ascii="arial" w:hAnsi="arial"/>
          <w:b/>
          <w:sz w:val="24"/>
        </w:rPr>
        <w:t xml:space="preserve">ARTICLE II </w:t>
      </w:r>
    </w:p>
    <w:p>
      <w:pPr>
        <w:pStyle w:val="TextBody"/>
        <w:bidi w:val="0"/>
        <w:spacing w:before="120" w:after="0"/>
        <w:jc w:val="center"/>
        <w:rPr>
          <w:rFonts w:ascii="arial" w:hAnsi="arial"/>
          <w:b/>
          <w:sz w:val="24"/>
        </w:rPr>
      </w:pPr>
      <w:r>
        <w:rPr>
          <w:rFonts w:ascii="arial" w:hAnsi="arial"/>
          <w:b/>
          <w:sz w:val="24"/>
        </w:rPr>
        <w:t xml:space="preserve">AWARDS </w:t>
      </w:r>
    </w:p>
    <w:p>
      <w:pPr>
        <w:pStyle w:val="TextBody"/>
        <w:bidi w:val="0"/>
        <w:spacing w:before="120" w:after="0"/>
        <w:jc w:val="left"/>
        <w:rPr>
          <w:rFonts w:ascii="arial" w:hAnsi="arial"/>
          <w:sz w:val="18"/>
        </w:rPr>
      </w:pPr>
      <w:r>
        <w:rPr>
          <w:rFonts w:ascii="arial" w:hAnsi="arial"/>
          <w:sz w:val="18"/>
        </w:rPr>
        <w:t>2.01. </w:t>
      </w:r>
      <w:r>
        <w:rPr>
          <w:rFonts w:ascii="arial" w:hAnsi="arial"/>
          <w:i/>
          <w:sz w:val="18"/>
        </w:rPr>
        <w:t>Form of Awards</w:t>
      </w:r>
      <w:r>
        <w:rPr>
          <w:rFonts w:ascii="arial" w:hAnsi="arial"/>
          <w:sz w:val="18"/>
        </w:rPr>
        <w:t>. Awards under the Plan may be granted in any one or all of the following forms: 1) incentive stock options (“</w:t>
      </w:r>
      <w:r>
        <w:rPr>
          <w:rFonts w:ascii="arial" w:hAnsi="arial"/>
          <w:b/>
          <w:sz w:val="18"/>
        </w:rPr>
        <w:t>Incentive Stock Options</w:t>
      </w:r>
      <w:r>
        <w:rPr>
          <w:rFonts w:ascii="arial" w:hAnsi="arial"/>
          <w:sz w:val="18"/>
        </w:rPr>
        <w:t>”) meeting the requirements of Section 422 of the Code; 2) nonstatutory stock options (“</w:t>
      </w:r>
      <w:r>
        <w:rPr>
          <w:rFonts w:ascii="arial" w:hAnsi="arial"/>
          <w:b/>
          <w:sz w:val="18"/>
        </w:rPr>
        <w:t>Nonstatutory Stock Options</w:t>
      </w:r>
      <w:r>
        <w:rPr>
          <w:rFonts w:ascii="arial" w:hAnsi="arial"/>
          <w:sz w:val="18"/>
        </w:rPr>
        <w:t>”) (unless otherwise indicated, references in the Plan to Options shall include both Incentive Stock Options and Nonstatutory Stock Options); 3) stock appreciation rights (“</w:t>
      </w:r>
      <w:r>
        <w:rPr>
          <w:rFonts w:ascii="arial" w:hAnsi="arial"/>
          <w:b/>
          <w:sz w:val="18"/>
        </w:rPr>
        <w:t>Stock Appreciation Rights</w:t>
      </w:r>
      <w:r>
        <w:rPr>
          <w:rFonts w:ascii="arial" w:hAnsi="arial"/>
          <w:sz w:val="18"/>
        </w:rPr>
        <w:t>”), as described in Article VII, which may be awarded either in tandem with Options (“</w:t>
      </w:r>
      <w:r>
        <w:rPr>
          <w:rFonts w:ascii="arial" w:hAnsi="arial"/>
          <w:b/>
          <w:sz w:val="18"/>
        </w:rPr>
        <w:t>Tandem Stock Appreciation Rights</w:t>
      </w:r>
      <w:r>
        <w:rPr>
          <w:rFonts w:ascii="arial" w:hAnsi="arial"/>
          <w:sz w:val="18"/>
        </w:rPr>
        <w:t>”) or on a stand-alone basis (“</w:t>
      </w:r>
      <w:r>
        <w:rPr>
          <w:rFonts w:ascii="arial" w:hAnsi="arial"/>
          <w:b/>
          <w:sz w:val="18"/>
        </w:rPr>
        <w:t>Nontandem Stock Appreciation Rights</w:t>
      </w:r>
      <w:r>
        <w:rPr>
          <w:rFonts w:ascii="arial" w:hAnsi="arial"/>
          <w:sz w:val="18"/>
        </w:rPr>
        <w:t>”); 4) shares of Common Stock which are subject to certain restrictions as provided in Article X (“</w:t>
      </w:r>
      <w:r>
        <w:rPr>
          <w:rFonts w:ascii="arial" w:hAnsi="arial"/>
          <w:b/>
          <w:sz w:val="18"/>
        </w:rPr>
        <w:t>Restricted Shares</w:t>
      </w:r>
      <w:r>
        <w:rPr>
          <w:rFonts w:ascii="arial" w:hAnsi="arial"/>
          <w:sz w:val="18"/>
        </w:rPr>
        <w:t>”); 5) units representing shares of Common Stock which are restricted as provided in Article XI (“</w:t>
      </w:r>
      <w:r>
        <w:rPr>
          <w:rFonts w:ascii="arial" w:hAnsi="arial"/>
          <w:b/>
          <w:sz w:val="18"/>
        </w:rPr>
        <w:t>Restricted Share Units</w:t>
      </w:r>
      <w:r>
        <w:rPr>
          <w:rFonts w:ascii="arial" w:hAnsi="arial"/>
          <w:sz w:val="18"/>
        </w:rPr>
        <w:t>” or “</w:t>
      </w:r>
      <w:r>
        <w:rPr>
          <w:rFonts w:ascii="arial" w:hAnsi="arial"/>
          <w:b/>
          <w:sz w:val="18"/>
        </w:rPr>
        <w:t>RSUs</w:t>
      </w:r>
      <w:r>
        <w:rPr>
          <w:rFonts w:ascii="arial" w:hAnsi="arial"/>
          <w:sz w:val="18"/>
        </w:rPr>
        <w:t>”); 6) units representing shares of Common Stock, as described in Article XII (“</w:t>
      </w:r>
      <w:r>
        <w:rPr>
          <w:rFonts w:ascii="arial" w:hAnsi="arial"/>
          <w:b/>
          <w:sz w:val="18"/>
        </w:rPr>
        <w:t>Performance Units</w:t>
      </w:r>
      <w:r>
        <w:rPr>
          <w:rFonts w:ascii="arial" w:hAnsi="arial"/>
          <w:sz w:val="18"/>
        </w:rPr>
        <w:t>”), and 7) shares of unrestricted Common Stock (“</w:t>
      </w:r>
      <w:r>
        <w:rPr>
          <w:rFonts w:ascii="arial" w:hAnsi="arial"/>
          <w:b/>
          <w:sz w:val="18"/>
        </w:rPr>
        <w:t>Unrestricted Shares</w:t>
      </w:r>
      <w:r>
        <w:rPr>
          <w:rFonts w:ascii="arial" w:hAnsi="arial"/>
          <w:sz w:val="18"/>
        </w:rPr>
        <w:t>”), as described in Article XIII. In addition, Awards may be granted as (i) “</w:t>
      </w:r>
      <w:r>
        <w:rPr>
          <w:rFonts w:ascii="arial" w:hAnsi="arial"/>
          <w:b/>
          <w:sz w:val="18"/>
        </w:rPr>
        <w:t>Substitute Awards</w:t>
      </w:r>
      <w:r>
        <w:rPr>
          <w:rFonts w:ascii="arial" w:hAnsi="arial"/>
          <w:sz w:val="18"/>
        </w:rPr>
        <w:t>,” which are Awards granted in assumption of, or in substitution for, any outstanding awards previously granted by a company acquired by the Company (or a subsidiary or affiliate thereof) or with which the Company (or a subsidiary or affiliate thereof) combines, (ii) “</w:t>
      </w:r>
      <w:r>
        <w:rPr>
          <w:rFonts w:ascii="arial" w:hAnsi="arial"/>
          <w:b/>
          <w:sz w:val="18"/>
        </w:rPr>
        <w:t>Converted Awards</w:t>
      </w:r>
      <w:r>
        <w:rPr>
          <w:rFonts w:ascii="arial" w:hAnsi="arial"/>
          <w:sz w:val="18"/>
        </w:rPr>
        <w:t>”, which are awards originally granted under an L Brands Equity Plan (as defined in the Employee Matters Agreement) that are converted into Awards with respect to shares of Common Stock pursuant to Section 8.01, 8.02 or 8.03 of the Employee Matters Agreement or (iii) “</w:t>
      </w:r>
      <w:r>
        <w:rPr>
          <w:rFonts w:ascii="arial" w:hAnsi="arial"/>
          <w:b/>
          <w:sz w:val="18"/>
        </w:rPr>
        <w:t>Replacement Awards</w:t>
      </w:r>
      <w:r>
        <w:rPr>
          <w:rFonts w:ascii="arial" w:hAnsi="arial"/>
          <w:sz w:val="18"/>
        </w:rPr>
        <w:t xml:space="preserve">,” which are “Replacement VS Awards” (as defined under the Employee Matters Agreement) granted pursuant to Section 8.05(a) of the Employee Matters Agreement. Substitute Awards shall be granted in accordance with procedures complying with Section 409A of the Code and the regulations thereunder. </w:t>
      </w:r>
    </w:p>
    <w:p>
      <w:pPr>
        <w:pStyle w:val="TextBody"/>
        <w:bidi w:val="0"/>
        <w:spacing w:before="120" w:after="0"/>
        <w:jc w:val="left"/>
        <w:rPr>
          <w:rFonts w:ascii="arial" w:hAnsi="arial"/>
          <w:sz w:val="18"/>
        </w:rPr>
      </w:pPr>
      <w:r>
        <w:rPr>
          <w:rFonts w:ascii="arial" w:hAnsi="arial"/>
          <w:sz w:val="18"/>
        </w:rPr>
        <w:t>2.02. </w:t>
      </w:r>
      <w:r>
        <w:rPr>
          <w:rFonts w:ascii="arial" w:hAnsi="arial"/>
          <w:i/>
          <w:sz w:val="18"/>
        </w:rPr>
        <w:t>Maximum Shares Available</w:t>
      </w:r>
      <w:r>
        <w:rPr>
          <w:rFonts w:ascii="arial" w:hAnsi="arial"/>
          <w:sz w:val="18"/>
        </w:rPr>
        <w:t>. Subject to adjustment pursuant to Article XVI, the maximum aggregate number of shares of Common Stock available for issuance pursuant to Awards (including any Replacement Awards) as of the Effective Date is (i) 10,595,172 shares of Common Stock, </w:t>
      </w:r>
      <w:r>
        <w:rPr>
          <w:rFonts w:ascii="arial" w:hAnsi="arial"/>
          <w:i/>
          <w:sz w:val="18"/>
        </w:rPr>
        <w:t>plus</w:t>
      </w:r>
      <w:r>
        <w:rPr>
          <w:rFonts w:ascii="arial" w:hAnsi="arial"/>
          <w:sz w:val="18"/>
        </w:rPr>
        <w:t xml:space="preserve"> (ii) the number of shares of Common Stock issuable upon the exercise or settlement of Substitute Awards and Converted Awards. </w:t>
      </w:r>
    </w:p>
    <w:p>
      <w:pPr>
        <w:pStyle w:val="TextBody"/>
        <w:bidi w:val="0"/>
        <w:spacing w:before="0" w:after="0"/>
        <w:jc w:val="left"/>
        <w:rPr/>
      </w:pPr>
      <w:r>
        <w:rPr/>
        <w:t> </w:t>
      </w:r>
    </w:p>
    <w:tbl>
      <w:tblPr>
        <w:tblW w:w="3092" w:type="dxa"/>
        <w:jc w:val="left"/>
        <w:tblInd w:w="0" w:type="dxa"/>
        <w:tblLayout w:type="fixed"/>
        <w:tblCellMar>
          <w:top w:w="0" w:type="dxa"/>
          <w:left w:w="0" w:type="dxa"/>
          <w:bottom w:w="0" w:type="dxa"/>
          <w:right w:w="0" w:type="dxa"/>
        </w:tblCellMar>
      </w:tblPr>
      <w:tblGrid>
        <w:gridCol w:w="292"/>
        <w:gridCol w:w="60"/>
        <w:gridCol w:w="635"/>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62"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51" descr=""/>
                          <pic:cNvPicPr>
                            <a:picLocks noChangeAspect="1" noChangeArrowheads="1"/>
                          </pic:cNvPicPr>
                        </pic:nvPicPr>
                        <pic:blipFill>
                          <a:blip r:embed="rId152"/>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tLeast" w:line="180" w:before="0" w:after="0"/>
              <w:jc w:val="center"/>
              <w:rPr>
                <w:color w:val="F7ACBA"/>
              </w:rPr>
            </w:pPr>
            <w:r>
              <w:rPr>
                <w:color w:val="F7ACBA"/>
              </w:rPr>
              <w:t> </w:t>
            </w:r>
            <w:r>
              <w:rPr>
                <w:rFonts w:ascii="Times New Roman" w:hAnsi="Times New Roman"/>
                <w:b/>
                <w:color w:val="F7ACBA"/>
                <w:sz w:val="24"/>
              </w:rPr>
              <w:t>C-1 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APPENDIX C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2.03. </w:t>
      </w:r>
      <w:r>
        <w:rPr>
          <w:rFonts w:ascii="arial" w:hAnsi="arial"/>
          <w:i/>
          <w:sz w:val="18"/>
        </w:rPr>
        <w:t>Share Recycling.</w:t>
      </w:r>
      <w:r>
        <w:rPr>
          <w:rFonts w:ascii="arial" w:hAnsi="arial"/>
          <w:sz w:val="18"/>
        </w:rPr>
        <w:t> Shares of Common Stock issued pursuant to the Plan may be either authorized but unissued shares or issued shares reacquired by the Company. In the event that any Award (including any Replacement Award) expires unexercised or is terminated, surrendered or canceled without being exercised or settled for shares for any reason, or any Restricted Share Award under the Plan is forfeited, then the shares of Common Stock to which any such Award relates may be made available for subsequent Awards, upon such terms as the Committee may determine; </w:t>
      </w:r>
      <w:r>
        <w:rPr>
          <w:rFonts w:ascii="arial" w:hAnsi="arial"/>
          <w:i/>
          <w:sz w:val="18"/>
        </w:rPr>
        <w:t>provided, however</w:t>
      </w:r>
      <w:r>
        <w:rPr>
          <w:rFonts w:ascii="arial" w:hAnsi="arial"/>
          <w:sz w:val="18"/>
        </w:rPr>
        <w:t xml:space="preserve">, that the foregoing shall not apply to or in respect of Substitute Awards or Converted Awards. The following shares of Common Stock may not again be made available for issuance as Awards: 1) shares of Common Stock not issued or delivered as a result of the net settlement of an outstanding Stock Appreciation Right or Option, or 2) shares of Common Stock used to pay the exercise price or withholding taxes related to settlement of an outstanding Award. </w:t>
      </w:r>
    </w:p>
    <w:p>
      <w:pPr>
        <w:pStyle w:val="TextBody"/>
        <w:bidi w:val="0"/>
        <w:spacing w:before="120" w:after="0"/>
        <w:jc w:val="left"/>
        <w:rPr>
          <w:rFonts w:ascii="arial" w:hAnsi="arial"/>
          <w:sz w:val="18"/>
        </w:rPr>
      </w:pPr>
      <w:r>
        <w:rPr>
          <w:rFonts w:ascii="arial" w:hAnsi="arial"/>
          <w:sz w:val="18"/>
        </w:rPr>
        <w:t>2.04. </w:t>
      </w:r>
      <w:r>
        <w:rPr>
          <w:rFonts w:ascii="arial" w:hAnsi="arial"/>
          <w:i/>
          <w:sz w:val="18"/>
        </w:rPr>
        <w:t>ISO Limit.</w:t>
      </w:r>
      <w:r>
        <w:rPr>
          <w:rFonts w:ascii="arial" w:hAnsi="arial"/>
          <w:sz w:val="18"/>
        </w:rPr>
        <w:t xml:space="preserve"> Notwithstanding anything to the contrary in the Plan, a maximum of 10,595,172 shares of Common Stock are available for award under the Plan in the form of Incentive Stock Options. </w:t>
      </w:r>
    </w:p>
    <w:p>
      <w:pPr>
        <w:pStyle w:val="TextBody"/>
        <w:bidi w:val="0"/>
        <w:spacing w:before="240" w:after="0"/>
        <w:jc w:val="center"/>
        <w:rPr>
          <w:rFonts w:ascii="arial" w:hAnsi="arial"/>
          <w:b/>
          <w:sz w:val="24"/>
        </w:rPr>
      </w:pPr>
      <w:r>
        <w:rPr>
          <w:rFonts w:ascii="arial" w:hAnsi="arial"/>
          <w:b/>
          <w:sz w:val="24"/>
        </w:rPr>
        <w:t xml:space="preserve">ARTICLE III </w:t>
      </w:r>
    </w:p>
    <w:p>
      <w:pPr>
        <w:pStyle w:val="TextBody"/>
        <w:bidi w:val="0"/>
        <w:spacing w:before="120" w:after="0"/>
        <w:jc w:val="center"/>
        <w:rPr>
          <w:rFonts w:ascii="arial" w:hAnsi="arial"/>
          <w:b/>
          <w:sz w:val="24"/>
        </w:rPr>
      </w:pPr>
      <w:r>
        <w:rPr>
          <w:rFonts w:ascii="arial" w:hAnsi="arial"/>
          <w:b/>
          <w:sz w:val="24"/>
        </w:rPr>
        <w:t xml:space="preserve">ADMINISTRATION </w:t>
      </w:r>
    </w:p>
    <w:p>
      <w:pPr>
        <w:pStyle w:val="TextBody"/>
        <w:bidi w:val="0"/>
        <w:spacing w:before="120" w:after="0"/>
        <w:jc w:val="left"/>
        <w:rPr>
          <w:rFonts w:ascii="arial" w:hAnsi="arial"/>
          <w:sz w:val="18"/>
        </w:rPr>
      </w:pPr>
      <w:r>
        <w:rPr>
          <w:rFonts w:ascii="arial" w:hAnsi="arial"/>
          <w:sz w:val="18"/>
        </w:rPr>
        <w:t>3.01. </w:t>
      </w:r>
      <w:r>
        <w:rPr>
          <w:rFonts w:ascii="arial" w:hAnsi="arial"/>
          <w:i/>
          <w:sz w:val="18"/>
        </w:rPr>
        <w:t>Committee</w:t>
      </w:r>
      <w:r>
        <w:rPr>
          <w:rFonts w:ascii="arial" w:hAnsi="arial"/>
          <w:sz w:val="18"/>
        </w:rPr>
        <w:t xml:space="preserve">. The Plan shall be administered by the Committee. Notwithstanding anything to the contrary contained herein, the Board may, in its sole discretion, at any time and from time to time, grant Awards under the Plan or administer the Plan. In any such case, the Board shall have all of the authority and responsibility granted to the Committee herein. </w:t>
      </w:r>
    </w:p>
    <w:p>
      <w:pPr>
        <w:pStyle w:val="TextBody"/>
        <w:bidi w:val="0"/>
        <w:spacing w:before="120" w:after="0"/>
        <w:jc w:val="left"/>
        <w:rPr>
          <w:rFonts w:ascii="arial" w:hAnsi="arial"/>
          <w:sz w:val="18"/>
        </w:rPr>
      </w:pPr>
      <w:r>
        <w:rPr>
          <w:rFonts w:ascii="arial" w:hAnsi="arial"/>
          <w:sz w:val="18"/>
        </w:rPr>
        <w:t>3.02. </w:t>
      </w:r>
      <w:r>
        <w:rPr>
          <w:rFonts w:ascii="arial" w:hAnsi="arial"/>
          <w:i/>
          <w:sz w:val="18"/>
        </w:rPr>
        <w:t>Powers of Committee</w:t>
      </w:r>
      <w:r>
        <w:rPr>
          <w:rFonts w:ascii="arial" w:hAnsi="arial"/>
          <w:sz w:val="18"/>
        </w:rPr>
        <w:t xml:space="preserve">. Subject to the express provisions of the Plan, the Committee shall have the power and authority 1) to grant Options and to determine the purchase price of the Common Stock covered by each Option, the term of each Option, the number of shares of Common Stock to be covered by each Option and any performance objectives or vesting standards applicable to each Option; 2) to designate Options as Incentive Stock Options or Nonstatutory Stock Options and to determine which Options, if any, shall be accompanied by Tandem Stock Appreciation Rights; 3) to grant Tandem Stock Appreciation Rights and Nontandem Stock Appreciation Rights and to determine the terms and conditions of such rights; 4) to grant Restricted Shares and Restricted Share Units and to determine the term of the Restricted Period (as described in Section 11.02) and other conditions and restrictions applicable to such grants; 5) to grant Performance Units and to determine the performance objectives, performance periods and other conditions applicable to such units; 6) to grant Unrestricted Shares (subject to the limitation contained in this plan); 7) to determine the associates to whom, and the time or times at which, Options, Stock Appreciation Rights, Restricted Shares, Restricted Share Units, Performance Units and Unrestricted Shares shall be granted; 8) to determine the terms and conditions of any Award and prescribe the form of each Award Agreement, which need not be identical for each Participant; 9) to determine whether, to what extent, under what circumstances and by which methods Awards may be settled or exercised in cash, shares, other awards, other property, net settlement (including broker-assisted cashless exercise), or any combination thereof, or canceled, forfeited or suspended; 10) to determine whether, to what extent and under what circumstances cash, shares, other awards, other property and other amounts payable with respect to an Award shall be deferred either automatically or at the election of the holder thereof or of the Committee; 11) to correct any defect, supply any omission and reconcile any inconsistency in the Plan or any Award Agreement, in the manner and to the extent it shall deem desirable to carry the Plan into effect; 12) to establish, amend, suspend or waive such rules and regulations and appoint such agents, trustees, brokers, depositories and advisors and determine such terms of their engagement as it shall deem appropriate for the proper administration of the Plan and due compliance with applicable law, stock market or exchange rules and regulations or accounting or tax rules and extent permitted under applicable regulations of any stock exchange on which the Company is listed; and 13) to make any other determination and take any other action that the Committee deems necessary or desirable for the administration of the Plan and due compliance with applicable law, stock market or exchange rules and regulations or accounting or tax rules and regulations. </w:t>
      </w:r>
    </w:p>
    <w:p>
      <w:pPr>
        <w:pStyle w:val="TextBody"/>
        <w:bidi w:val="0"/>
        <w:spacing w:before="120" w:after="0"/>
        <w:jc w:val="left"/>
        <w:rPr>
          <w:rFonts w:ascii="arial" w:hAnsi="arial"/>
          <w:sz w:val="18"/>
        </w:rPr>
      </w:pPr>
      <w:r>
        <w:rPr>
          <w:rFonts w:ascii="arial" w:hAnsi="arial"/>
          <w:sz w:val="18"/>
        </w:rPr>
        <w:t>3.03. </w:t>
      </w:r>
      <w:r>
        <w:rPr>
          <w:rFonts w:ascii="arial" w:hAnsi="arial"/>
          <w:i/>
          <w:sz w:val="18"/>
        </w:rPr>
        <w:t>Delegation</w:t>
      </w:r>
      <w:r>
        <w:rPr>
          <w:rFonts w:ascii="arial" w:hAnsi="arial"/>
          <w:sz w:val="18"/>
        </w:rPr>
        <w:t xml:space="preserve">. To the extent permitted by applicable law, including under Section 157(c) of the Delaware General Corporation Law, the Committee may delegate to one or more of its members, one or more committees of the Board (which may consist of solely one director) or any other person or persons, including, without limitation, the officers of the Company or such administrator as it deems appropriate, such duties and responsibilities (including any ministerial duties), including </w:t>
      </w:r>
    </w:p>
    <w:p>
      <w:pPr>
        <w:pStyle w:val="TextBody"/>
        <w:bidi w:val="0"/>
        <w:spacing w:before="0" w:after="0"/>
        <w:jc w:val="left"/>
        <w:rPr/>
      </w:pPr>
      <w:r>
        <w:rPr/>
        <w:t> </w:t>
      </w:r>
    </w:p>
    <w:tbl>
      <w:tblPr>
        <w:tblW w:w="3092" w:type="dxa"/>
        <w:jc w:val="left"/>
        <w:tblInd w:w="0" w:type="dxa"/>
        <w:tblLayout w:type="fixed"/>
        <w:tblCellMar>
          <w:top w:w="0" w:type="dxa"/>
          <w:left w:w="0" w:type="dxa"/>
          <w:bottom w:w="0" w:type="dxa"/>
          <w:right w:w="0" w:type="dxa"/>
        </w:tblCellMar>
      </w:tblPr>
      <w:tblGrid>
        <w:gridCol w:w="292"/>
        <w:gridCol w:w="60"/>
        <w:gridCol w:w="635"/>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63"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52" descr=""/>
                          <pic:cNvPicPr>
                            <a:picLocks noChangeAspect="1" noChangeArrowheads="1"/>
                          </pic:cNvPicPr>
                        </pic:nvPicPr>
                        <pic:blipFill>
                          <a:blip r:embed="rId153"/>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tLeast" w:line="180" w:before="0" w:after="0"/>
              <w:jc w:val="center"/>
              <w:rPr>
                <w:color w:val="F7ACBA"/>
              </w:rPr>
            </w:pPr>
            <w:r>
              <w:rPr>
                <w:color w:val="F7ACBA"/>
              </w:rPr>
              <w:t> </w:t>
            </w:r>
            <w:r>
              <w:rPr>
                <w:rFonts w:ascii="Times New Roman" w:hAnsi="Times New Roman"/>
                <w:b/>
                <w:color w:val="F7ACBA"/>
                <w:sz w:val="24"/>
              </w:rPr>
              <w:t>C-2 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APPENDIX C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the authority to grant Awards, as it may deem advisable; </w:t>
      </w:r>
      <w:r>
        <w:rPr>
          <w:rFonts w:ascii="arial" w:hAnsi="arial"/>
          <w:i/>
          <w:sz w:val="18"/>
        </w:rPr>
        <w:t>provided, however</w:t>
      </w:r>
      <w:r>
        <w:rPr>
          <w:rFonts w:ascii="arial" w:hAnsi="arial"/>
          <w:sz w:val="18"/>
        </w:rPr>
        <w:t xml:space="preserve">, that the Committee may not delegate any of its responsibilities hereunder if such delegation will cause transactions under the Plan to fail to comply with any intended exemption under Section 16 of the Act. The Committee may also employ attorneys, consultants, accountants or other professional advisors and shall be entitled to rely upon the advice, opinions or valuations of any such advisors. </w:t>
      </w:r>
    </w:p>
    <w:p>
      <w:pPr>
        <w:pStyle w:val="TextBody"/>
        <w:bidi w:val="0"/>
        <w:spacing w:before="120" w:after="0"/>
        <w:jc w:val="left"/>
        <w:rPr>
          <w:rFonts w:ascii="arial" w:hAnsi="arial"/>
          <w:sz w:val="18"/>
        </w:rPr>
      </w:pPr>
      <w:r>
        <w:rPr>
          <w:rFonts w:ascii="arial" w:hAnsi="arial"/>
          <w:sz w:val="18"/>
        </w:rPr>
        <w:t>3.04. </w:t>
      </w:r>
      <w:r>
        <w:rPr>
          <w:rFonts w:ascii="arial" w:hAnsi="arial"/>
          <w:i/>
          <w:sz w:val="18"/>
        </w:rPr>
        <w:t>Interpretations</w:t>
      </w:r>
      <w:r>
        <w:rPr>
          <w:rFonts w:ascii="arial" w:hAnsi="arial"/>
          <w:sz w:val="18"/>
        </w:rPr>
        <w:t xml:space="preserve">. The Committee shall have sole discretionary authority to interpret the terms of the Plan, to adopt and revise rules, regulations and policies to administer the Plan and to make any other factual determinations which it believes to be necessary or advisable for the administration of the Plan. All actions taken and interpretations and determinations made by the Committee in good faith shall be final and binding upon the Company, all associates who have received Awards and all other interested persons. </w:t>
      </w:r>
    </w:p>
    <w:p>
      <w:pPr>
        <w:pStyle w:val="TextBody"/>
        <w:bidi w:val="0"/>
        <w:spacing w:before="120" w:after="0"/>
        <w:jc w:val="left"/>
        <w:rPr>
          <w:rFonts w:ascii="arial" w:hAnsi="arial"/>
          <w:sz w:val="18"/>
        </w:rPr>
      </w:pPr>
      <w:r>
        <w:rPr>
          <w:rFonts w:ascii="arial" w:hAnsi="arial"/>
          <w:sz w:val="18"/>
        </w:rPr>
        <w:t>3.05. </w:t>
      </w:r>
      <w:r>
        <w:rPr>
          <w:rFonts w:ascii="arial" w:hAnsi="arial"/>
          <w:i/>
          <w:sz w:val="18"/>
        </w:rPr>
        <w:t>Liability; Indemnification</w:t>
      </w:r>
      <w:r>
        <w:rPr>
          <w:rFonts w:ascii="arial" w:hAnsi="arial"/>
          <w:sz w:val="18"/>
        </w:rPr>
        <w:t xml:space="preserve">. No member of the Committee, nor any person to whom duties have been delegated, shall be personally liable for any action, interpretation or determination made with respect to the Plan or Award Agreements made thereunder, and each member of the Committee shall be fully indemnified and protected by the Company with respect to any liability he or she may incur with respect to any such action, interpretation or determination, to the extent permitted by applicable law and to the extent provided in the Company’s Certificate of Incorporation and Bylaws, as amended from time to time. </w:t>
      </w:r>
    </w:p>
    <w:p>
      <w:pPr>
        <w:pStyle w:val="TextBody"/>
        <w:bidi w:val="0"/>
        <w:spacing w:before="240" w:after="0"/>
        <w:jc w:val="center"/>
        <w:rPr>
          <w:rFonts w:ascii="arial" w:hAnsi="arial"/>
          <w:b/>
          <w:sz w:val="24"/>
        </w:rPr>
      </w:pPr>
      <w:r>
        <w:rPr>
          <w:rFonts w:ascii="arial" w:hAnsi="arial"/>
          <w:b/>
          <w:sz w:val="24"/>
        </w:rPr>
        <w:t xml:space="preserve">ARTICLE IV </w:t>
      </w:r>
    </w:p>
    <w:p>
      <w:pPr>
        <w:pStyle w:val="TextBody"/>
        <w:bidi w:val="0"/>
        <w:spacing w:before="120" w:after="0"/>
        <w:jc w:val="center"/>
        <w:rPr>
          <w:rFonts w:ascii="arial" w:hAnsi="arial"/>
          <w:b/>
          <w:sz w:val="24"/>
        </w:rPr>
      </w:pPr>
      <w:r>
        <w:rPr>
          <w:rFonts w:ascii="arial" w:hAnsi="arial"/>
          <w:b/>
          <w:sz w:val="24"/>
        </w:rPr>
        <w:t xml:space="preserve">ELIGIBILITY </w:t>
      </w:r>
    </w:p>
    <w:p>
      <w:pPr>
        <w:pStyle w:val="TextBody"/>
        <w:bidi w:val="0"/>
        <w:spacing w:before="120" w:after="0"/>
        <w:jc w:val="left"/>
        <w:rPr>
          <w:rFonts w:ascii="arial" w:hAnsi="arial"/>
          <w:sz w:val="18"/>
        </w:rPr>
      </w:pPr>
      <w:r>
        <w:rPr>
          <w:rFonts w:ascii="arial" w:hAnsi="arial"/>
          <w:sz w:val="18"/>
        </w:rPr>
        <w:t>4.01. </w:t>
      </w:r>
      <w:r>
        <w:rPr>
          <w:rFonts w:ascii="arial" w:hAnsi="arial"/>
          <w:i/>
          <w:sz w:val="18"/>
        </w:rPr>
        <w:t>Eligibility</w:t>
      </w:r>
      <w:r>
        <w:rPr>
          <w:rFonts w:ascii="arial" w:hAnsi="arial"/>
          <w:sz w:val="18"/>
        </w:rPr>
        <w:t xml:space="preserve">. Any associate, consultant, director or other advisor of, or any other individual who provides services to (x) the Company or any subsidiary or affiliate or (y) any joint venture in which the Company or any subsidiary or affiliate holds at least a 20% interest, shall be eligible to be selected to receive a compensatory award under or to be a “participant” in the Plan. In determining the individuals to whom Awards shall be granted and the number of shares to be covered by each Award, the Committee shall take into account the nature of the services rendered by such individuals, their present and potential contributions to the success of the Company and its subsidiaries and such other factors as the Committee in its sole discretion shall deem relevant. The Committee shall ensure that Common Stock underlying any Award hereunder qualifies as “service recipient stock,” within the meaning of Section 409A of the Code and the regulations thereunder. Notwithstanding anything to the contrary herein, Converted Awards and Replacement Awards may be granted under the Plan in accordance with the terms of the Employee Matters Agreement. </w:t>
      </w:r>
    </w:p>
    <w:p>
      <w:pPr>
        <w:pStyle w:val="TextBody"/>
        <w:bidi w:val="0"/>
        <w:spacing w:before="120" w:after="0"/>
        <w:jc w:val="left"/>
        <w:rPr>
          <w:rFonts w:ascii="arial" w:hAnsi="arial"/>
          <w:sz w:val="18"/>
        </w:rPr>
      </w:pPr>
      <w:r>
        <w:rPr>
          <w:rFonts w:ascii="arial" w:hAnsi="arial"/>
          <w:sz w:val="18"/>
        </w:rPr>
        <w:t>4.02. </w:t>
      </w:r>
      <w:r>
        <w:rPr>
          <w:rFonts w:ascii="arial" w:hAnsi="arial"/>
          <w:i/>
          <w:sz w:val="18"/>
        </w:rPr>
        <w:t>Certain Limitations</w:t>
      </w:r>
      <w:r>
        <w:rPr>
          <w:rFonts w:ascii="arial" w:hAnsi="arial"/>
          <w:sz w:val="18"/>
        </w:rPr>
        <w:t xml:space="preserve">. Awards granted under the Plan shall be subject to a minimum one year vesting period following the grant date of such Award; provided that the following actions and Awards shall not be subject to the foregoing minimum vesting requirement: 1) the acceleration of Awards pursuant to Section 19.01, 2) the grant of Substitute Awards, Converted Awards or Replacement Awards or 3) the grant of Awards relating to 5% of the shares of Common Stock available for issuance under the Plan pursuant to Section 2.02; and, provided further, that the foregoing restriction does not apply to the provision for accelerated exercisability or vesting of an Award in cases of involuntary termination without Cause, Retirement, death or Disability. </w:t>
      </w:r>
    </w:p>
    <w:p>
      <w:pPr>
        <w:pStyle w:val="TextBody"/>
        <w:bidi w:val="0"/>
        <w:spacing w:before="120" w:after="0"/>
        <w:jc w:val="left"/>
        <w:rPr>
          <w:rFonts w:ascii="arial" w:hAnsi="arial"/>
          <w:sz w:val="18"/>
        </w:rPr>
      </w:pPr>
      <w:r>
        <w:rPr>
          <w:rFonts w:ascii="arial" w:hAnsi="arial"/>
          <w:sz w:val="18"/>
        </w:rPr>
        <w:t>4.03. </w:t>
      </w:r>
      <w:r>
        <w:rPr>
          <w:rFonts w:ascii="arial" w:hAnsi="arial"/>
          <w:i/>
          <w:sz w:val="18"/>
        </w:rPr>
        <w:t>Non-Employee Director Limitations</w:t>
      </w:r>
      <w:r>
        <w:rPr>
          <w:rFonts w:ascii="arial" w:hAnsi="arial"/>
          <w:sz w:val="18"/>
        </w:rPr>
        <w:t>. No non-employee director of the Company may receive compensation for any fiscal year in excess of $1,000,000 in the aggregate, including cash payments and Awards under the Plan (with the value of any Award for purposes of the limit in this Section 4.03 determined based on the grant date fair value of such Award for financial reporting purposes); </w:t>
      </w:r>
      <w:r>
        <w:rPr>
          <w:rFonts w:ascii="arial" w:hAnsi="arial"/>
          <w:i/>
          <w:sz w:val="18"/>
        </w:rPr>
        <w:t>provided</w:t>
      </w:r>
      <w:r>
        <w:rPr>
          <w:rFonts w:ascii="arial" w:hAnsi="arial"/>
          <w:sz w:val="18"/>
        </w:rPr>
        <w:t xml:space="preserve"> that the limit in this Section 4.03 shall not apply with respect to any Converted Awards or Replacement Awards. </w:t>
      </w:r>
    </w:p>
    <w:p>
      <w:pPr>
        <w:pStyle w:val="TextBody"/>
        <w:bidi w:val="0"/>
        <w:spacing w:before="240" w:after="0"/>
        <w:jc w:val="center"/>
        <w:rPr>
          <w:rFonts w:ascii="arial" w:hAnsi="arial"/>
          <w:b/>
          <w:sz w:val="24"/>
        </w:rPr>
      </w:pPr>
      <w:r>
        <w:rPr>
          <w:rFonts w:ascii="arial" w:hAnsi="arial"/>
          <w:b/>
          <w:sz w:val="24"/>
        </w:rPr>
        <w:t xml:space="preserve">ARTICLE V </w:t>
      </w:r>
    </w:p>
    <w:p>
      <w:pPr>
        <w:pStyle w:val="TextBody"/>
        <w:bidi w:val="0"/>
        <w:spacing w:before="120" w:after="0"/>
        <w:jc w:val="center"/>
        <w:rPr>
          <w:rFonts w:ascii="arial" w:hAnsi="arial"/>
          <w:b/>
          <w:sz w:val="24"/>
        </w:rPr>
      </w:pPr>
      <w:r>
        <w:rPr>
          <w:rFonts w:ascii="arial" w:hAnsi="arial"/>
          <w:b/>
          <w:sz w:val="24"/>
        </w:rPr>
        <w:t xml:space="preserve">STOCK OPTIONS </w:t>
      </w:r>
    </w:p>
    <w:p>
      <w:pPr>
        <w:pStyle w:val="TextBody"/>
        <w:bidi w:val="0"/>
        <w:spacing w:before="120" w:after="0"/>
        <w:jc w:val="left"/>
        <w:rPr>
          <w:rFonts w:ascii="arial" w:hAnsi="arial"/>
          <w:sz w:val="18"/>
        </w:rPr>
      </w:pPr>
      <w:r>
        <w:rPr>
          <w:rFonts w:ascii="arial" w:hAnsi="arial"/>
          <w:sz w:val="18"/>
        </w:rPr>
        <w:t>5.01. </w:t>
      </w:r>
      <w:r>
        <w:rPr>
          <w:rFonts w:ascii="arial" w:hAnsi="arial"/>
          <w:i/>
          <w:sz w:val="18"/>
        </w:rPr>
        <w:t>Grant of Options</w:t>
      </w:r>
      <w:r>
        <w:rPr>
          <w:rFonts w:ascii="arial" w:hAnsi="arial"/>
          <w:sz w:val="18"/>
        </w:rPr>
        <w:t xml:space="preserve">. Options may be granted under the Plan for the purchase of shares of Common Stock. Options shall be granted in such form and upon such terms and conditions, including the satisfaction of corporate or individual performance objectives and other vesting standards, as the Committee shall from time to time determine. On or before the </w:t>
      </w:r>
    </w:p>
    <w:p>
      <w:pPr>
        <w:pStyle w:val="TextBody"/>
        <w:bidi w:val="0"/>
        <w:spacing w:before="0" w:after="0"/>
        <w:jc w:val="left"/>
        <w:rPr/>
      </w:pPr>
      <w:r>
        <w:rPr/>
        <w:t> </w:t>
      </w:r>
    </w:p>
    <w:tbl>
      <w:tblPr>
        <w:tblW w:w="3092" w:type="dxa"/>
        <w:jc w:val="left"/>
        <w:tblInd w:w="0" w:type="dxa"/>
        <w:tblLayout w:type="fixed"/>
        <w:tblCellMar>
          <w:top w:w="0" w:type="dxa"/>
          <w:left w:w="0" w:type="dxa"/>
          <w:bottom w:w="0" w:type="dxa"/>
          <w:right w:w="0" w:type="dxa"/>
        </w:tblCellMar>
      </w:tblPr>
      <w:tblGrid>
        <w:gridCol w:w="292"/>
        <w:gridCol w:w="60"/>
        <w:gridCol w:w="635"/>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64"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53" descr=""/>
                          <pic:cNvPicPr>
                            <a:picLocks noChangeAspect="1" noChangeArrowheads="1"/>
                          </pic:cNvPicPr>
                        </pic:nvPicPr>
                        <pic:blipFill>
                          <a:blip r:embed="rId154"/>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tLeast" w:line="180" w:before="0" w:after="0"/>
              <w:jc w:val="center"/>
              <w:rPr>
                <w:color w:val="F7ACBA"/>
              </w:rPr>
            </w:pPr>
            <w:r>
              <w:rPr>
                <w:color w:val="F7ACBA"/>
              </w:rPr>
              <w:t> </w:t>
            </w:r>
            <w:r>
              <w:rPr>
                <w:rFonts w:ascii="Times New Roman" w:hAnsi="Times New Roman"/>
                <w:b/>
                <w:color w:val="F7ACBA"/>
                <w:sz w:val="24"/>
              </w:rPr>
              <w:t>C-3 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APPENDIX C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date of grant of an Option, the Committee shall designate the number of shares of Common Stock covered by such Option, the option price of such Option, and the recipient of the Option. </w:t>
      </w:r>
    </w:p>
    <w:p>
      <w:pPr>
        <w:pStyle w:val="TextBody"/>
        <w:bidi w:val="0"/>
        <w:spacing w:before="120" w:after="0"/>
        <w:jc w:val="left"/>
        <w:rPr>
          <w:rFonts w:ascii="arial" w:hAnsi="arial"/>
          <w:sz w:val="18"/>
        </w:rPr>
      </w:pPr>
      <w:r>
        <w:rPr>
          <w:rFonts w:ascii="arial" w:hAnsi="arial"/>
          <w:sz w:val="18"/>
        </w:rPr>
        <w:t>5.02. </w:t>
      </w:r>
      <w:r>
        <w:rPr>
          <w:rFonts w:ascii="arial" w:hAnsi="arial"/>
          <w:i/>
          <w:sz w:val="18"/>
        </w:rPr>
        <w:t>Option Price</w:t>
      </w:r>
      <w:r>
        <w:rPr>
          <w:rFonts w:ascii="arial" w:hAnsi="arial"/>
          <w:sz w:val="18"/>
        </w:rPr>
        <w:t xml:space="preserve">. The option price of each Option to purchase Common Stock shall be determined by the Committee not later than the date of the grant, but (except in the case of Converted Awards and Substitute Awards) shall not be less than 100 percent of the Fair Market Value of the Common Stock subject to such Option on the date of grant. The option price so determined shall also be applicable in connection with the exercise of any Tandem Stock Appreciation Right granted with respect to such Option. </w:t>
      </w:r>
    </w:p>
    <w:p>
      <w:pPr>
        <w:pStyle w:val="TextBody"/>
        <w:bidi w:val="0"/>
        <w:spacing w:before="120" w:after="0"/>
        <w:jc w:val="left"/>
        <w:rPr>
          <w:rFonts w:ascii="arial" w:hAnsi="arial"/>
          <w:sz w:val="18"/>
        </w:rPr>
      </w:pPr>
      <w:r>
        <w:rPr>
          <w:rFonts w:ascii="arial" w:hAnsi="arial"/>
          <w:sz w:val="18"/>
        </w:rPr>
        <w:t>5.03. </w:t>
      </w:r>
      <w:r>
        <w:rPr>
          <w:rFonts w:ascii="arial" w:hAnsi="arial"/>
          <w:i/>
          <w:sz w:val="18"/>
        </w:rPr>
        <w:t>Term of Options</w:t>
      </w:r>
      <w:r>
        <w:rPr>
          <w:rFonts w:ascii="arial" w:hAnsi="arial"/>
          <w:sz w:val="18"/>
        </w:rPr>
        <w:t xml:space="preserve">. The term of each Option granted under the Plan shall not exceed ten (10) years from the date of grant, subject to earlier termination as provided in Articles IX and X, except as otherwise provided in Section 6.01 with respect to ten (10) percent stockholders of the Company. </w:t>
      </w:r>
    </w:p>
    <w:p>
      <w:pPr>
        <w:pStyle w:val="TextBody"/>
        <w:bidi w:val="0"/>
        <w:spacing w:before="120" w:after="0"/>
        <w:jc w:val="left"/>
        <w:rPr>
          <w:rFonts w:ascii="arial" w:hAnsi="arial"/>
          <w:sz w:val="18"/>
        </w:rPr>
      </w:pPr>
      <w:r>
        <w:rPr>
          <w:rFonts w:ascii="arial" w:hAnsi="arial"/>
          <w:sz w:val="18"/>
        </w:rPr>
        <w:t>5.04. </w:t>
      </w:r>
      <w:r>
        <w:rPr>
          <w:rFonts w:ascii="arial" w:hAnsi="arial"/>
          <w:i/>
          <w:sz w:val="18"/>
        </w:rPr>
        <w:t>Exercise of Options</w:t>
      </w:r>
      <w:r>
        <w:rPr>
          <w:rFonts w:ascii="arial" w:hAnsi="arial"/>
          <w:sz w:val="18"/>
        </w:rPr>
        <w:t>. Subject to the provisions of Article XIX, an Option may be exercised, in whole or in part, at such time or times as the Committee shall determine; </w:t>
      </w:r>
      <w:r>
        <w:rPr>
          <w:rFonts w:ascii="arial" w:hAnsi="arial"/>
          <w:i/>
          <w:sz w:val="18"/>
        </w:rPr>
        <w:t>provided</w:t>
      </w:r>
      <w:r>
        <w:rPr>
          <w:rFonts w:ascii="arial" w:hAnsi="arial"/>
          <w:sz w:val="18"/>
        </w:rPr>
        <w:t>, </w:t>
      </w:r>
      <w:r>
        <w:rPr>
          <w:rFonts w:ascii="arial" w:hAnsi="arial"/>
          <w:i/>
          <w:sz w:val="18"/>
        </w:rPr>
        <w:t>however</w:t>
      </w:r>
      <w:r>
        <w:rPr>
          <w:rFonts w:ascii="arial" w:hAnsi="arial"/>
          <w:sz w:val="18"/>
        </w:rPr>
        <w:t xml:space="preserve">, that, except to the extent provided in Section 4.02 and Section 19.01, each Option granted under the Plan shall have a minimum vesting period of one year. Subject to the forgoing, the Committee may, in its discretion, accelerate the exercisability of any Option at any time. Options may be exercised by a Participant by giving notice in such manner as the Committee may permit, stating the number of shares of Common Stock with respect to which the Option is being exercised and tendering payment therefor. Payment for the shares of Common Stock issuable upon exercise of the Option shall be made in full in cash or by certified check or, if the Committee, in its sole discretion, permits, in shares of Common Stock (valued at Fair Market Value on the date of exercise). As soon as reasonably practicable following such exercise, a certificate representing the shares of Common Stock purchased, registered in the name of the Participant, shall be delivered to the Participant. Until the issuance of the shares of Common Stock upon the exercise of the Option, no right to vote or receive dividends or any other rights as a shareholder shall exist with respect to the shares of Common Stock that are subject to the Option. </w:t>
      </w:r>
    </w:p>
    <w:p>
      <w:pPr>
        <w:pStyle w:val="TextBody"/>
        <w:bidi w:val="0"/>
        <w:spacing w:before="120" w:after="0"/>
        <w:jc w:val="left"/>
        <w:rPr>
          <w:rFonts w:ascii="arial" w:hAnsi="arial"/>
          <w:sz w:val="18"/>
        </w:rPr>
      </w:pPr>
      <w:r>
        <w:rPr>
          <w:rFonts w:ascii="arial" w:hAnsi="arial"/>
          <w:sz w:val="18"/>
        </w:rPr>
        <w:t>5.05. </w:t>
      </w:r>
      <w:r>
        <w:rPr>
          <w:rFonts w:ascii="arial" w:hAnsi="arial"/>
          <w:i/>
          <w:sz w:val="18"/>
        </w:rPr>
        <w:t>Cancellation of Stock Appreciation Rights</w:t>
      </w:r>
      <w:r>
        <w:rPr>
          <w:rFonts w:ascii="arial" w:hAnsi="arial"/>
          <w:sz w:val="18"/>
        </w:rPr>
        <w:t xml:space="preserve">. Upon exercise of all or a portion of an Option, any related Tandem Stock Appreciation Rights shall be canceled with respect to an equal number of shares of Common Stock. </w:t>
      </w:r>
    </w:p>
    <w:p>
      <w:pPr>
        <w:pStyle w:val="TextBody"/>
        <w:bidi w:val="0"/>
        <w:spacing w:before="240" w:after="0"/>
        <w:jc w:val="center"/>
        <w:rPr>
          <w:rFonts w:ascii="arial" w:hAnsi="arial"/>
          <w:b/>
          <w:sz w:val="24"/>
        </w:rPr>
      </w:pPr>
      <w:r>
        <w:rPr>
          <w:rFonts w:ascii="arial" w:hAnsi="arial"/>
          <w:b/>
          <w:sz w:val="24"/>
        </w:rPr>
        <w:t xml:space="preserve">ARTICLE VI </w:t>
      </w:r>
    </w:p>
    <w:p>
      <w:pPr>
        <w:pStyle w:val="TextBody"/>
        <w:bidi w:val="0"/>
        <w:spacing w:before="120" w:after="0"/>
        <w:jc w:val="center"/>
        <w:rPr>
          <w:rFonts w:ascii="arial" w:hAnsi="arial"/>
          <w:b/>
          <w:sz w:val="24"/>
        </w:rPr>
      </w:pPr>
      <w:r>
        <w:rPr>
          <w:rFonts w:ascii="arial" w:hAnsi="arial"/>
          <w:b/>
          <w:sz w:val="24"/>
        </w:rPr>
        <w:t xml:space="preserve">SPECIAL RULES APPLICABLE TO INCENTIVE STOCK OPTIONS </w:t>
      </w:r>
    </w:p>
    <w:p>
      <w:pPr>
        <w:pStyle w:val="TextBody"/>
        <w:bidi w:val="0"/>
        <w:spacing w:before="120" w:after="0"/>
        <w:jc w:val="left"/>
        <w:rPr>
          <w:rFonts w:ascii="arial" w:hAnsi="arial"/>
          <w:sz w:val="18"/>
        </w:rPr>
      </w:pPr>
      <w:r>
        <w:rPr>
          <w:rFonts w:ascii="arial" w:hAnsi="arial"/>
          <w:sz w:val="18"/>
        </w:rPr>
        <w:t>6.01. </w:t>
      </w:r>
      <w:r>
        <w:rPr>
          <w:rFonts w:ascii="arial" w:hAnsi="arial"/>
          <w:i/>
          <w:sz w:val="18"/>
        </w:rPr>
        <w:t>Ten Percent Stockholder</w:t>
      </w:r>
      <w:r>
        <w:rPr>
          <w:rFonts w:ascii="arial" w:hAnsi="arial"/>
          <w:sz w:val="18"/>
        </w:rPr>
        <w:t xml:space="preserve">. Notwithstanding any other provision of the Plan to the contrary, any associates who are full-time employees of the Company and its present and future subsidiaries, shall be eligible for Awards of Incentive Stock Options. However, no such associate may receive an Incentive Stock Option under the Plan if such associate, at the time the Award is granted, owns (after application of the rules contained in Section 424(d) of the Code) stock possessing more than ten (10) percent of the total combined voting power of all classes of stock of the Company or its subsidiaries, unless 1) the option price for such Incentive Stock Option is at least 110 percent of the Fair Market Value of the Common Stock subject to such Incentive Stock Option on the date of grant and 2) such Option is not exercisable after the date five (5) years from the date such Incentive Stock Option is granted. </w:t>
      </w:r>
    </w:p>
    <w:p>
      <w:pPr>
        <w:pStyle w:val="TextBody"/>
        <w:bidi w:val="0"/>
        <w:spacing w:before="120" w:after="0"/>
        <w:jc w:val="left"/>
        <w:rPr>
          <w:rFonts w:ascii="arial" w:hAnsi="arial"/>
          <w:sz w:val="18"/>
        </w:rPr>
      </w:pPr>
      <w:r>
        <w:rPr>
          <w:rFonts w:ascii="arial" w:hAnsi="arial"/>
          <w:sz w:val="18"/>
        </w:rPr>
        <w:t>6.02. </w:t>
      </w:r>
      <w:r>
        <w:rPr>
          <w:rFonts w:ascii="arial" w:hAnsi="arial"/>
          <w:i/>
          <w:sz w:val="18"/>
        </w:rPr>
        <w:t>Limitation on Grants</w:t>
      </w:r>
      <w:r>
        <w:rPr>
          <w:rFonts w:ascii="arial" w:hAnsi="arial"/>
          <w:sz w:val="18"/>
        </w:rPr>
        <w:t xml:space="preserve">. The aggregate Fair Market Value (determined with respect to each Incentive Stock Option at the time such Incentive Stock Option is granted) of the shares of Common Stock with respect to which Incentive Stock Options are exercisable for the first time by an associate during any calendar year (under this Plan or any other plan of the Company or a subsidiary) shall not exceed $100,000. </w:t>
      </w:r>
    </w:p>
    <w:p>
      <w:pPr>
        <w:pStyle w:val="TextBody"/>
        <w:bidi w:val="0"/>
        <w:spacing w:before="120" w:after="0"/>
        <w:jc w:val="left"/>
        <w:rPr>
          <w:rFonts w:ascii="arial" w:hAnsi="arial"/>
          <w:sz w:val="18"/>
        </w:rPr>
      </w:pPr>
      <w:r>
        <w:rPr>
          <w:rFonts w:ascii="arial" w:hAnsi="arial"/>
          <w:sz w:val="18"/>
        </w:rPr>
        <w:t>6.03. </w:t>
      </w:r>
      <w:r>
        <w:rPr>
          <w:rFonts w:ascii="arial" w:hAnsi="arial"/>
          <w:i/>
          <w:sz w:val="18"/>
        </w:rPr>
        <w:t>Limitations on Time of Grant</w:t>
      </w:r>
      <w:r>
        <w:rPr>
          <w:rFonts w:ascii="arial" w:hAnsi="arial"/>
          <w:sz w:val="18"/>
        </w:rPr>
        <w:t xml:space="preserve">. No grant of an Incentive Stock Option shall be made under the Plan more than ten (10) years after the earlier of the date of adoption of the Plan by the Board or the date the Plan is approved by stockholders. </w:t>
      </w:r>
    </w:p>
    <w:p>
      <w:pPr>
        <w:pStyle w:val="TextBody"/>
        <w:bidi w:val="0"/>
        <w:spacing w:before="240" w:after="0"/>
        <w:jc w:val="center"/>
        <w:rPr>
          <w:rFonts w:ascii="arial" w:hAnsi="arial"/>
          <w:b/>
          <w:sz w:val="24"/>
        </w:rPr>
      </w:pPr>
      <w:r>
        <w:rPr>
          <w:rFonts w:ascii="arial" w:hAnsi="arial"/>
          <w:b/>
          <w:sz w:val="24"/>
        </w:rPr>
        <w:t xml:space="preserve">ARTICLE VII </w:t>
      </w:r>
    </w:p>
    <w:p>
      <w:pPr>
        <w:pStyle w:val="TextBody"/>
        <w:bidi w:val="0"/>
        <w:spacing w:before="120" w:after="0"/>
        <w:jc w:val="center"/>
        <w:rPr>
          <w:rFonts w:ascii="arial" w:hAnsi="arial"/>
          <w:b/>
          <w:sz w:val="24"/>
        </w:rPr>
      </w:pPr>
      <w:r>
        <w:rPr>
          <w:rFonts w:ascii="arial" w:hAnsi="arial"/>
          <w:b/>
          <w:sz w:val="24"/>
        </w:rPr>
        <w:t xml:space="preserve">STOCK APPRECIATION RIGHTS </w:t>
      </w:r>
    </w:p>
    <w:p>
      <w:pPr>
        <w:pStyle w:val="TextBody"/>
        <w:bidi w:val="0"/>
        <w:spacing w:before="120" w:after="0"/>
        <w:jc w:val="left"/>
        <w:rPr>
          <w:rFonts w:ascii="arial" w:hAnsi="arial"/>
          <w:sz w:val="18"/>
        </w:rPr>
      </w:pPr>
      <w:r>
        <w:rPr>
          <w:rFonts w:ascii="arial" w:hAnsi="arial"/>
          <w:sz w:val="18"/>
        </w:rPr>
        <w:t>7.01. </w:t>
      </w:r>
      <w:r>
        <w:rPr>
          <w:rFonts w:ascii="arial" w:hAnsi="arial"/>
          <w:i/>
          <w:sz w:val="18"/>
        </w:rPr>
        <w:t>Grants of Stock Appreciation Rights</w:t>
      </w:r>
      <w:r>
        <w:rPr>
          <w:rFonts w:ascii="arial" w:hAnsi="arial"/>
          <w:sz w:val="18"/>
        </w:rPr>
        <w:t xml:space="preserve">. Tandem Stock Appreciation Rights may be awarded by the Committee in connection with any Option granted under the Plan, at the time the Option is granted, and shall be subject to the same terms </w:t>
      </w:r>
    </w:p>
    <w:p>
      <w:pPr>
        <w:pStyle w:val="TextBody"/>
        <w:bidi w:val="0"/>
        <w:spacing w:before="0" w:after="0"/>
        <w:jc w:val="left"/>
        <w:rPr/>
      </w:pPr>
      <w:r>
        <w:rPr/>
        <w:t> </w:t>
      </w:r>
    </w:p>
    <w:tbl>
      <w:tblPr>
        <w:tblW w:w="3092" w:type="dxa"/>
        <w:jc w:val="left"/>
        <w:tblInd w:w="0" w:type="dxa"/>
        <w:tblLayout w:type="fixed"/>
        <w:tblCellMar>
          <w:top w:w="0" w:type="dxa"/>
          <w:left w:w="0" w:type="dxa"/>
          <w:bottom w:w="0" w:type="dxa"/>
          <w:right w:w="0" w:type="dxa"/>
        </w:tblCellMar>
      </w:tblPr>
      <w:tblGrid>
        <w:gridCol w:w="292"/>
        <w:gridCol w:w="60"/>
        <w:gridCol w:w="635"/>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65"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54" descr=""/>
                          <pic:cNvPicPr>
                            <a:picLocks noChangeAspect="1" noChangeArrowheads="1"/>
                          </pic:cNvPicPr>
                        </pic:nvPicPr>
                        <pic:blipFill>
                          <a:blip r:embed="rId155"/>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tLeast" w:line="180" w:before="0" w:after="0"/>
              <w:jc w:val="center"/>
              <w:rPr>
                <w:color w:val="F7ACBA"/>
              </w:rPr>
            </w:pPr>
            <w:r>
              <w:rPr>
                <w:color w:val="F7ACBA"/>
              </w:rPr>
              <w:t> </w:t>
            </w:r>
            <w:r>
              <w:rPr>
                <w:rFonts w:ascii="Times New Roman" w:hAnsi="Times New Roman"/>
                <w:b/>
                <w:color w:val="F7ACBA"/>
                <w:sz w:val="24"/>
              </w:rPr>
              <w:t>C-4 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APPENDIX C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and conditions as the related Option, except that the medium of payment may differ. Nontandem Stock Appreciation Rights may be granted by the Committee at any time. On or before the date of grant of a Nontandem Stock Appreciation Right, the Committee shall specify the number of shares of Common Stock covered by such right, the base price of shares of Common Stock to be used in connection with the calculation described in Section 7.05 below, and the recipient of the Award. Except in the case of a Converted Award or a Substitute Award, the base price of a Nontandem Stock Appreciation Right shall be not less than 100 percent of the Fair Market Value of a share of Common Stock on the date of grant. Stock Appreciation Rights shall be subject to such terms and conditions not inconsistent with the other provisions of this Plan as the Committee shall determine. Until the issuance of shares of Common Stock upon the surrender or exchange of Tandem Stock Appreciation Rights or exercise of Nontandem Stock Appreciation Right, no right to vote or receive dividends or any other rights as a shareholder shall exist with respect to the shares of Common Stock that are subject to the Tandem or Nontandem Stock Appreciation Right. </w:t>
      </w:r>
    </w:p>
    <w:p>
      <w:pPr>
        <w:pStyle w:val="TextBody"/>
        <w:bidi w:val="0"/>
        <w:spacing w:before="120" w:after="0"/>
        <w:jc w:val="left"/>
        <w:rPr>
          <w:rFonts w:ascii="arial" w:hAnsi="arial"/>
          <w:sz w:val="18"/>
        </w:rPr>
      </w:pPr>
      <w:r>
        <w:rPr>
          <w:rFonts w:ascii="arial" w:hAnsi="arial"/>
          <w:sz w:val="18"/>
        </w:rPr>
        <w:t>7.02. </w:t>
      </w:r>
      <w:r>
        <w:rPr>
          <w:rFonts w:ascii="arial" w:hAnsi="arial"/>
          <w:i/>
          <w:sz w:val="18"/>
        </w:rPr>
        <w:t>Limitations on Exercise</w:t>
      </w:r>
      <w:r>
        <w:rPr>
          <w:rFonts w:ascii="arial" w:hAnsi="arial"/>
          <w:sz w:val="18"/>
        </w:rPr>
        <w:t xml:space="preserve">. Subject to the provisions of Articles IX, X and XX, a Tandem Stock Appreciation Right shall be exercisable only to the extent that the related Option is exercisable and shall be subject to the same exercise period as the related Option, which shall be set forth in the applicable agreement on or before the date of grant. Upon the exercise of all or a portion of Tandem Stock Appreciation Rights, the related Option shall be canceled with respect to an equal number of shares of Common Stock. Shares of Common Stock subject to Options, or portions thereof, surrendered upon exercise of a Tandem Stock Appreciation Right, shall not be available for subsequent Awards. Subject to the provisions of Article XX, a Nontandem Stock Appreciation Right shall be exercisable during such period as the Committee shall determine, which shall be set forth in the applicable agreement on or before the date of grant. </w:t>
      </w:r>
    </w:p>
    <w:p>
      <w:pPr>
        <w:pStyle w:val="TextBody"/>
        <w:bidi w:val="0"/>
        <w:spacing w:before="120" w:after="0"/>
        <w:jc w:val="left"/>
        <w:rPr>
          <w:rFonts w:ascii="arial" w:hAnsi="arial"/>
          <w:sz w:val="18"/>
        </w:rPr>
      </w:pPr>
      <w:r>
        <w:rPr>
          <w:rFonts w:ascii="arial" w:hAnsi="arial"/>
          <w:sz w:val="18"/>
        </w:rPr>
        <w:t>7.03. </w:t>
      </w:r>
      <w:r>
        <w:rPr>
          <w:rFonts w:ascii="arial" w:hAnsi="arial"/>
          <w:i/>
          <w:sz w:val="18"/>
        </w:rPr>
        <w:t>Term of Stock Appreciation Rights.</w:t>
      </w:r>
      <w:r>
        <w:rPr>
          <w:rFonts w:ascii="arial" w:hAnsi="arial"/>
          <w:sz w:val="18"/>
        </w:rPr>
        <w:t xml:space="preserve"> The term of each Stock Appreciation Right granted under the Plan shall not exceed ten (10) years from the date of grant, subject to earlier termination as provided in Articles IX and X. </w:t>
      </w:r>
    </w:p>
    <w:p>
      <w:pPr>
        <w:pStyle w:val="TextBody"/>
        <w:bidi w:val="0"/>
        <w:spacing w:before="120" w:after="0"/>
        <w:jc w:val="left"/>
        <w:rPr>
          <w:rFonts w:ascii="arial" w:hAnsi="arial"/>
          <w:sz w:val="18"/>
        </w:rPr>
      </w:pPr>
      <w:r>
        <w:rPr>
          <w:rFonts w:ascii="arial" w:hAnsi="arial"/>
          <w:sz w:val="18"/>
        </w:rPr>
        <w:t>7.04. </w:t>
      </w:r>
      <w:r>
        <w:rPr>
          <w:rFonts w:ascii="arial" w:hAnsi="arial"/>
          <w:i/>
          <w:sz w:val="18"/>
        </w:rPr>
        <w:t>Surrender or Exchange of Tandem Stock Appreciation Rights</w:t>
      </w:r>
      <w:r>
        <w:rPr>
          <w:rFonts w:ascii="arial" w:hAnsi="arial"/>
          <w:sz w:val="18"/>
        </w:rPr>
        <w:t xml:space="preserve">. A Tandem Stock Appreciation Right shall entitle the Participant to surrender to the Company unexercised the related Option, or any portion thereof, and to receive from the Company in exchange therefor that number of shares of Common Stock having an aggregate Fair Market Value equal to (A) the excess of 1) the Fair Market Value of one (1) share of Common Stock as of the date the Tandem Stock Appreciation Right is exercised over 2) the option price per share specified in such Option, multiplied by (B) the number of shares of Common Stock subject to the Option, or portion thereof, which is surrendered. Cash shall be delivered in lieu of any fractional shares. </w:t>
      </w:r>
    </w:p>
    <w:p>
      <w:pPr>
        <w:pStyle w:val="TextBody"/>
        <w:bidi w:val="0"/>
        <w:spacing w:before="120" w:after="0"/>
        <w:jc w:val="left"/>
        <w:rPr>
          <w:rFonts w:ascii="arial" w:hAnsi="arial"/>
          <w:sz w:val="18"/>
        </w:rPr>
      </w:pPr>
      <w:r>
        <w:rPr>
          <w:rFonts w:ascii="arial" w:hAnsi="arial"/>
          <w:sz w:val="18"/>
        </w:rPr>
        <w:t>7.05. </w:t>
      </w:r>
      <w:r>
        <w:rPr>
          <w:rFonts w:ascii="arial" w:hAnsi="arial"/>
          <w:i/>
          <w:sz w:val="18"/>
        </w:rPr>
        <w:t>Exercise of Nontandem Stock Appreciation Rights</w:t>
      </w:r>
      <w:r>
        <w:rPr>
          <w:rFonts w:ascii="arial" w:hAnsi="arial"/>
          <w:sz w:val="18"/>
        </w:rPr>
        <w:t xml:space="preserve">. The exercise of a Nontandem Stock Appreciation Right shall entitle the Participant to receive from the Company that number of shares of Common Stock having an aggregate Fair Market Value equal to (A) the excess of 1) the Fair Market Value of one (1) share of Common Stock as of the date on which the Nontandem Stock Appreciation Right is exercised over 2) the base price of the shares covered by the Nontandem Stock Appreciation Right, multiplied by (B) the number of shares of Common Stock covered by the Nontandem Stock Appreciation Right, or the portion thereof being exercised. Cash shall be delivered in lieu of any fractional shares. </w:t>
      </w:r>
    </w:p>
    <w:p>
      <w:pPr>
        <w:pStyle w:val="TextBody"/>
        <w:bidi w:val="0"/>
        <w:spacing w:before="120" w:after="0"/>
        <w:jc w:val="left"/>
        <w:rPr>
          <w:rFonts w:ascii="arial" w:hAnsi="arial"/>
          <w:sz w:val="18"/>
        </w:rPr>
      </w:pPr>
      <w:r>
        <w:rPr>
          <w:rFonts w:ascii="arial" w:hAnsi="arial"/>
          <w:sz w:val="18"/>
        </w:rPr>
        <w:t>7.06. </w:t>
      </w:r>
      <w:r>
        <w:rPr>
          <w:rFonts w:ascii="arial" w:hAnsi="arial"/>
          <w:i/>
          <w:sz w:val="18"/>
        </w:rPr>
        <w:t>Settlement of Stock Appreciation Rights</w:t>
      </w:r>
      <w:r>
        <w:rPr>
          <w:rFonts w:ascii="arial" w:hAnsi="arial"/>
          <w:sz w:val="18"/>
        </w:rPr>
        <w:t xml:space="preserve">. As soon as is reasonably practicable after the exercise of a Stock Appreciation Right, the Company shall 1) issue, in the name of the Participant, stock certificates representing the total number of full shares of Common Stock to which the Participant is entitled pursuant to Section 7.04 or 7.05 hereof, and cash in an amount equal to the Fair Market Value, as of the date of exercise, of any resulting fractional shares and 2) if the Committee causes the Company to elect to settle all or part of its obligations arising out of the exercise of the Stock Appreciation Right in cash pursuant to Section 7.07, deliver to the Participant an amount in cash equal to the Fair Market Value, as of the date of exercise, of the shares of Common Stock it would otherwise be obligated to deliver. </w:t>
      </w:r>
    </w:p>
    <w:p>
      <w:pPr>
        <w:pStyle w:val="TextBody"/>
        <w:bidi w:val="0"/>
        <w:spacing w:before="120" w:after="0"/>
        <w:jc w:val="left"/>
        <w:rPr>
          <w:rFonts w:ascii="arial" w:hAnsi="arial"/>
          <w:sz w:val="18"/>
        </w:rPr>
      </w:pPr>
      <w:r>
        <w:rPr>
          <w:rFonts w:ascii="arial" w:hAnsi="arial"/>
          <w:sz w:val="18"/>
        </w:rPr>
        <w:t>7.07. </w:t>
      </w:r>
      <w:r>
        <w:rPr>
          <w:rFonts w:ascii="arial" w:hAnsi="arial"/>
          <w:i/>
          <w:sz w:val="18"/>
        </w:rPr>
        <w:t>Cash Settlement</w:t>
      </w:r>
      <w:r>
        <w:rPr>
          <w:rFonts w:ascii="arial" w:hAnsi="arial"/>
          <w:sz w:val="18"/>
        </w:rPr>
        <w:t xml:space="preserve">. The Committee, in its discretion, may cause the Company to settle all or any part of its obligation arising out of the exercise of a Stock Appreciation Right by the payment of cash in lieu of all or part of the shares of Common Stock it would otherwise be obligated to deliver in an amount equal to the Fair Market Value of such shares on the date of exercise. </w:t>
      </w:r>
    </w:p>
    <w:p>
      <w:pPr>
        <w:pStyle w:val="TextBody"/>
        <w:bidi w:val="0"/>
        <w:spacing w:before="0" w:after="0"/>
        <w:jc w:val="left"/>
        <w:rPr/>
      </w:pPr>
      <w:r>
        <w:rPr/>
        <w:t> </w:t>
      </w:r>
    </w:p>
    <w:tbl>
      <w:tblPr>
        <w:tblW w:w="3092" w:type="dxa"/>
        <w:jc w:val="left"/>
        <w:tblInd w:w="0" w:type="dxa"/>
        <w:tblLayout w:type="fixed"/>
        <w:tblCellMar>
          <w:top w:w="0" w:type="dxa"/>
          <w:left w:w="0" w:type="dxa"/>
          <w:bottom w:w="0" w:type="dxa"/>
          <w:right w:w="0" w:type="dxa"/>
        </w:tblCellMar>
      </w:tblPr>
      <w:tblGrid>
        <w:gridCol w:w="292"/>
        <w:gridCol w:w="60"/>
        <w:gridCol w:w="635"/>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66"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55" descr=""/>
                          <pic:cNvPicPr>
                            <a:picLocks noChangeAspect="1" noChangeArrowheads="1"/>
                          </pic:cNvPicPr>
                        </pic:nvPicPr>
                        <pic:blipFill>
                          <a:blip r:embed="rId156"/>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tLeast" w:line="180" w:before="0" w:after="0"/>
              <w:jc w:val="center"/>
              <w:rPr>
                <w:color w:val="F7ACBA"/>
              </w:rPr>
            </w:pPr>
            <w:r>
              <w:rPr>
                <w:color w:val="F7ACBA"/>
              </w:rPr>
              <w:t> </w:t>
            </w:r>
            <w:r>
              <w:rPr>
                <w:rFonts w:ascii="Times New Roman" w:hAnsi="Times New Roman"/>
                <w:b/>
                <w:color w:val="F7ACBA"/>
                <w:sz w:val="24"/>
              </w:rPr>
              <w:t>C-5 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APPENDIX C </w:t>
      </w:r>
    </w:p>
    <w:p>
      <w:pPr>
        <w:pStyle w:val="TextBody"/>
        <w:bidi w:val="0"/>
        <w:spacing w:before="0" w:after="0"/>
        <w:jc w:val="left"/>
        <w:rPr/>
      </w:pPr>
      <w:r>
        <w:rPr/>
        <w:t> </w:t>
      </w:r>
    </w:p>
    <w:p>
      <w:pPr>
        <w:pStyle w:val="TextBody"/>
        <w:bidi w:val="0"/>
        <w:spacing w:before="0" w:after="0"/>
        <w:jc w:val="center"/>
        <w:rPr>
          <w:rFonts w:ascii="arial" w:hAnsi="arial"/>
          <w:b/>
          <w:sz w:val="24"/>
        </w:rPr>
      </w:pPr>
      <w:r>
        <w:rPr>
          <w:rFonts w:ascii="arial" w:hAnsi="arial"/>
          <w:b/>
          <w:sz w:val="24"/>
        </w:rPr>
        <w:t xml:space="preserve">ARTICLE VIII </w:t>
      </w:r>
    </w:p>
    <w:p>
      <w:pPr>
        <w:pStyle w:val="TextBody"/>
        <w:bidi w:val="0"/>
        <w:spacing w:before="120" w:after="0"/>
        <w:jc w:val="center"/>
        <w:rPr>
          <w:rFonts w:ascii="arial" w:hAnsi="arial"/>
          <w:b/>
          <w:sz w:val="24"/>
        </w:rPr>
      </w:pPr>
      <w:r>
        <w:rPr>
          <w:rFonts w:ascii="arial" w:hAnsi="arial"/>
          <w:b/>
          <w:sz w:val="24"/>
        </w:rPr>
        <w:t xml:space="preserve">NONTRANSFERABILITY OF AWARDS </w:t>
      </w:r>
    </w:p>
    <w:p>
      <w:pPr>
        <w:pStyle w:val="TextBody"/>
        <w:bidi w:val="0"/>
        <w:spacing w:before="120" w:after="0"/>
        <w:jc w:val="left"/>
        <w:rPr>
          <w:rFonts w:ascii="arial" w:hAnsi="arial"/>
          <w:sz w:val="18"/>
        </w:rPr>
      </w:pPr>
      <w:r>
        <w:rPr>
          <w:rFonts w:ascii="arial" w:hAnsi="arial"/>
          <w:sz w:val="18"/>
        </w:rPr>
        <w:t>8.01. </w:t>
      </w:r>
      <w:r>
        <w:rPr>
          <w:rFonts w:ascii="arial" w:hAnsi="arial"/>
          <w:i/>
          <w:sz w:val="18"/>
        </w:rPr>
        <w:t>Nontransferability of Awards</w:t>
      </w:r>
      <w:r>
        <w:rPr>
          <w:rFonts w:ascii="arial" w:hAnsi="arial"/>
          <w:sz w:val="18"/>
        </w:rPr>
        <w:t xml:space="preserve">. Except to the extent permitted under Section 8.02, no Award may be transferred, assigned, pledged or hypothecated (whether by operation of law or otherwise), except as provided by will or the applicable laws of descent and distribution, and no Award shall be subject to execution, attachment or similar process. Any attempted assignment, transfer, pledge, hypothecation or other disposition of an Award not specifically permitted herein shall be null and void and without effect. An Award may be exercised by a Participant, or otherwise settle, only during the Participant’s lifetime, or following the Participant’s death, pursuant to Article X. </w:t>
      </w:r>
    </w:p>
    <w:p>
      <w:pPr>
        <w:pStyle w:val="TextBody"/>
        <w:bidi w:val="0"/>
        <w:spacing w:before="120" w:after="0"/>
        <w:jc w:val="left"/>
        <w:rPr>
          <w:rFonts w:ascii="arial" w:hAnsi="arial"/>
          <w:sz w:val="18"/>
        </w:rPr>
      </w:pPr>
      <w:r>
        <w:rPr>
          <w:rFonts w:ascii="arial" w:hAnsi="arial"/>
          <w:sz w:val="18"/>
        </w:rPr>
        <w:t>8.02. </w:t>
      </w:r>
      <w:r>
        <w:rPr>
          <w:rFonts w:ascii="arial" w:hAnsi="arial"/>
          <w:i/>
          <w:sz w:val="18"/>
        </w:rPr>
        <w:t>Limited Exception to Nontransferability</w:t>
      </w:r>
      <w:r>
        <w:rPr>
          <w:rFonts w:ascii="arial" w:hAnsi="arial"/>
          <w:sz w:val="18"/>
        </w:rPr>
        <w:t xml:space="preserve">. Notwithstanding Section 8.01, the Committee may determine that a Nonstatutory Stock Option may be transferred by a Participant to one or more members of such Participant’s immediate family, to a partnership of which the only partners are members of such Participant’s immediate family, or to a trust established by a Participant for the benefit of one or more members of such Participant’s immediate family. For this purpose, immediate family means a Participant’s spouse, parents, children, grandchildren and the spouses of such parents, children and grandchildren. A transferee described in this Section 8.02 may not further transfer such Nonstatutory Stock Option. A trust described in this Section 8.02 may not be amended to benefit any person other than a member of the Participant’s immediate family. A Nonstatutory Stock Option transferred pursuant to this Section 8.02 shall remain subject to the provisions of the Plan, including, but not limited to, the provisions of Articles 9 and 10 relating to the effect on the Nonstatutory Stock Option of the Termination of Service, Total Disability or death of the Participant, and shall be subject to such other rules as the Committee shall determine. </w:t>
      </w:r>
    </w:p>
    <w:p>
      <w:pPr>
        <w:pStyle w:val="TextBody"/>
        <w:bidi w:val="0"/>
        <w:spacing w:before="240" w:after="0"/>
        <w:jc w:val="center"/>
        <w:rPr>
          <w:rFonts w:ascii="arial" w:hAnsi="arial"/>
          <w:b/>
          <w:sz w:val="24"/>
        </w:rPr>
      </w:pPr>
      <w:r>
        <w:rPr>
          <w:rFonts w:ascii="arial" w:hAnsi="arial"/>
          <w:b/>
          <w:sz w:val="24"/>
        </w:rPr>
        <w:t xml:space="preserve">ARTICLE IX </w:t>
      </w:r>
    </w:p>
    <w:p>
      <w:pPr>
        <w:pStyle w:val="TextBody"/>
        <w:bidi w:val="0"/>
        <w:spacing w:before="120" w:after="0"/>
        <w:jc w:val="center"/>
        <w:rPr>
          <w:rFonts w:ascii="arial" w:hAnsi="arial"/>
          <w:b/>
          <w:sz w:val="24"/>
        </w:rPr>
      </w:pPr>
      <w:r>
        <w:rPr>
          <w:rFonts w:ascii="arial" w:hAnsi="arial"/>
          <w:b/>
          <w:sz w:val="24"/>
        </w:rPr>
        <w:t xml:space="preserve">TERMINATION OF SERVICE </w:t>
      </w:r>
    </w:p>
    <w:p>
      <w:pPr>
        <w:pStyle w:val="TextBody"/>
        <w:bidi w:val="0"/>
        <w:spacing w:before="120" w:after="0"/>
        <w:jc w:val="left"/>
        <w:rPr>
          <w:rFonts w:ascii="arial" w:hAnsi="arial"/>
          <w:sz w:val="18"/>
        </w:rPr>
      </w:pPr>
      <w:r>
        <w:rPr>
          <w:rFonts w:ascii="arial" w:hAnsi="arial"/>
          <w:sz w:val="18"/>
        </w:rPr>
        <w:t>9.01. </w:t>
      </w:r>
      <w:r>
        <w:rPr>
          <w:rFonts w:ascii="arial" w:hAnsi="arial"/>
          <w:i/>
          <w:sz w:val="18"/>
        </w:rPr>
        <w:t>Exercise after Termination of Service</w:t>
      </w:r>
      <w:r>
        <w:rPr>
          <w:rFonts w:ascii="arial" w:hAnsi="arial"/>
          <w:sz w:val="18"/>
        </w:rPr>
        <w:t>. Except as the Committee may at any time provide, in the event that the employment of a Participant shall be terminated either by the Participant or by the Participant’s employer (for reasons other than death, Total Disability or Cause), any Option or Stock Appreciation Right granted to such Participant may be exercised (to the extent that the Participant was entitled to do so at the time of Participant’s Termination of Service) at any time within one (1) year after such Termination of Service, but in no case later than the date of expiration of the original term of the Option or Stock Appreciation Right; </w:t>
      </w:r>
      <w:r>
        <w:rPr>
          <w:rFonts w:ascii="arial" w:hAnsi="arial"/>
          <w:i/>
          <w:sz w:val="18"/>
        </w:rPr>
        <w:t>provided, however</w:t>
      </w:r>
      <w:r>
        <w:rPr>
          <w:rFonts w:ascii="arial" w:hAnsi="arial"/>
          <w:sz w:val="18"/>
        </w:rPr>
        <w:t xml:space="preserve">, that if an Incentive Stock Option is not exercised within three (3) months following Termination of Service, it shall be treated as a Nonstatutory Stock Option. If the Participant’s employment is terminated by the Participant’s employer for Cause, except as the Committee may at any time provide, any Option or Stock Appreciation Right may be exercised (to the extent that the Participant was entitled to do so at the time of the Termination of Service) at any time within thirty (30) days after such Termination of Service, but in no case later than the date of expiration of the original term of the Option or Stock Appreciation Right. Except to the extent otherwise set forth herein, any Options or Stock Appreciation Rights that are not exercisable on the date of a Termination of Service for any reason shall lapse. In no event may an Option or Stock Appreciation Right be exercised after the expiration of the original term of the Option or Stock Appreciation Right. </w:t>
      </w:r>
    </w:p>
    <w:p>
      <w:pPr>
        <w:pStyle w:val="TextBody"/>
        <w:bidi w:val="0"/>
        <w:spacing w:before="120" w:after="0"/>
        <w:jc w:val="left"/>
        <w:rPr>
          <w:rFonts w:ascii="arial" w:hAnsi="arial"/>
          <w:sz w:val="18"/>
        </w:rPr>
      </w:pPr>
      <w:r>
        <w:rPr>
          <w:rFonts w:ascii="arial" w:hAnsi="arial"/>
          <w:sz w:val="18"/>
        </w:rPr>
        <w:t>9.02. </w:t>
      </w:r>
      <w:r>
        <w:rPr>
          <w:rFonts w:ascii="arial" w:hAnsi="arial"/>
          <w:i/>
          <w:sz w:val="18"/>
        </w:rPr>
        <w:t>Total Disability</w:t>
      </w:r>
      <w:r>
        <w:rPr>
          <w:rFonts w:ascii="arial" w:hAnsi="arial"/>
          <w:sz w:val="18"/>
        </w:rPr>
        <w:t xml:space="preserve">. If a Participant to whom an Option or Stock Appreciation Right has been granted under the Plan shall have incurred a Total Disability, such Option or Stock Appreciation Right, to the extent not vested on the date of such Participant’s Termination of Service due to Total Disability (it being understood that such termination occurs after nine (9) months of absence from work due to the Total Disability), shall continue to vest during the period of such Participant’s Total Disability, and, upon becoming vested, such Award shall be exercisable within the one (1) year period after the applicable vesting date, but in no event later than the date of expiration of the original term of the Option or Stock Appreciation Right. To the extent that an Option or Stock Appreciation Right held by a Participant is vested on the date of such Participant’s Termination of Service due to Total Disability, such Option or Stock Appreciation Right shall be exercisable within the one (1) year period after the date of such Termination of Service, but in no event later than the date of expiration of the original term of the Option or Stock Appreciation Right. In the event of the death of a Participant following such Participant’s Termination of Service due to Total Disability, any unvested Option or Stock Appreciation Right shall be fully </w:t>
      </w:r>
    </w:p>
    <w:p>
      <w:pPr>
        <w:pStyle w:val="TextBody"/>
        <w:bidi w:val="0"/>
        <w:spacing w:before="0" w:after="0"/>
        <w:jc w:val="left"/>
        <w:rPr/>
      </w:pPr>
      <w:r>
        <w:rPr/>
        <w:t> </w:t>
      </w:r>
    </w:p>
    <w:tbl>
      <w:tblPr>
        <w:tblW w:w="3092" w:type="dxa"/>
        <w:jc w:val="left"/>
        <w:tblInd w:w="0" w:type="dxa"/>
        <w:tblLayout w:type="fixed"/>
        <w:tblCellMar>
          <w:top w:w="0" w:type="dxa"/>
          <w:left w:w="0" w:type="dxa"/>
          <w:bottom w:w="0" w:type="dxa"/>
          <w:right w:w="0" w:type="dxa"/>
        </w:tblCellMar>
      </w:tblPr>
      <w:tblGrid>
        <w:gridCol w:w="292"/>
        <w:gridCol w:w="60"/>
        <w:gridCol w:w="635"/>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67"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56" descr=""/>
                          <pic:cNvPicPr>
                            <a:picLocks noChangeAspect="1" noChangeArrowheads="1"/>
                          </pic:cNvPicPr>
                        </pic:nvPicPr>
                        <pic:blipFill>
                          <a:blip r:embed="rId157"/>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tLeast" w:line="180" w:before="0" w:after="0"/>
              <w:jc w:val="center"/>
              <w:rPr>
                <w:color w:val="F7ACBA"/>
              </w:rPr>
            </w:pPr>
            <w:r>
              <w:rPr>
                <w:color w:val="F7ACBA"/>
              </w:rPr>
              <w:t> </w:t>
            </w:r>
            <w:r>
              <w:rPr>
                <w:rFonts w:ascii="Times New Roman" w:hAnsi="Times New Roman"/>
                <w:b/>
                <w:color w:val="F7ACBA"/>
                <w:sz w:val="24"/>
              </w:rPr>
              <w:t>C-6 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APPENDIX C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vested on the date of such Participant’s death and shall be exercisable within the one (1) year period after the date of such Participant’s death, but in no event later than the expiration of the original term of the Option or Stock Appreciation Right. </w:t>
      </w:r>
    </w:p>
    <w:p>
      <w:pPr>
        <w:pStyle w:val="TextBody"/>
        <w:bidi w:val="0"/>
        <w:spacing w:before="120" w:after="0"/>
        <w:jc w:val="left"/>
        <w:rPr>
          <w:rFonts w:ascii="arial" w:hAnsi="arial"/>
          <w:sz w:val="18"/>
        </w:rPr>
      </w:pPr>
      <w:r>
        <w:rPr>
          <w:rFonts w:ascii="arial" w:hAnsi="arial"/>
          <w:sz w:val="18"/>
        </w:rPr>
        <w:t xml:space="preserve">Notwithstanding the foregoing, for purposes of exercising Incentive Stock Options, a Participant shall be deemed to have a Termination of Service if the Participant is absent from work for three (3) months due to Total Disability, where the date of such Termination of Service shall be the last date of active employment before the three (3) month period; in this event, if such Participant fails to exercise his or her Incentive Stock Option within three (3) months following such deemed Termination of Service, such Incentive Stock Option shall be treated as a Nonstatutory Stock Option. </w:t>
      </w:r>
    </w:p>
    <w:p>
      <w:pPr>
        <w:pStyle w:val="TextBody"/>
        <w:bidi w:val="0"/>
        <w:spacing w:before="240" w:after="0"/>
        <w:jc w:val="center"/>
        <w:rPr>
          <w:rFonts w:ascii="arial" w:hAnsi="arial"/>
          <w:b/>
          <w:sz w:val="24"/>
        </w:rPr>
      </w:pPr>
      <w:r>
        <w:rPr>
          <w:rFonts w:ascii="arial" w:hAnsi="arial"/>
          <w:b/>
          <w:sz w:val="24"/>
        </w:rPr>
        <w:t xml:space="preserve">ARTICLE X </w:t>
      </w:r>
    </w:p>
    <w:p>
      <w:pPr>
        <w:pStyle w:val="TextBody"/>
        <w:bidi w:val="0"/>
        <w:spacing w:before="120" w:after="0"/>
        <w:jc w:val="center"/>
        <w:rPr>
          <w:rFonts w:ascii="arial" w:hAnsi="arial"/>
          <w:b/>
          <w:sz w:val="24"/>
        </w:rPr>
      </w:pPr>
      <w:r>
        <w:rPr>
          <w:rFonts w:ascii="arial" w:hAnsi="arial"/>
          <w:b/>
          <w:sz w:val="24"/>
        </w:rPr>
        <w:t xml:space="preserve">DEATH OF PARTICIPANT </w:t>
      </w:r>
    </w:p>
    <w:p>
      <w:pPr>
        <w:pStyle w:val="TextBody"/>
        <w:bidi w:val="0"/>
        <w:spacing w:before="120" w:after="0"/>
        <w:jc w:val="left"/>
        <w:rPr>
          <w:rFonts w:ascii="arial" w:hAnsi="arial"/>
          <w:sz w:val="18"/>
        </w:rPr>
      </w:pPr>
      <w:r>
        <w:rPr>
          <w:rFonts w:ascii="arial" w:hAnsi="arial"/>
          <w:sz w:val="18"/>
        </w:rPr>
        <w:t>10.01. </w:t>
      </w:r>
      <w:r>
        <w:rPr>
          <w:rFonts w:ascii="arial" w:hAnsi="arial"/>
          <w:i/>
          <w:sz w:val="18"/>
        </w:rPr>
        <w:t>Death of Participant While Employed</w:t>
      </w:r>
      <w:r>
        <w:rPr>
          <w:rFonts w:ascii="arial" w:hAnsi="arial"/>
          <w:sz w:val="18"/>
        </w:rPr>
        <w:t xml:space="preserve">. If a Participant to whom an Option or Stock Appreciation Right has been granted under the Plan shall die while employed by or otherwise providing services to the Company or one of its subsidiaries or affiliates, such Option or Stock Appreciation Right shall become fully exercisable by the Participant’s beneficiary (as designated by the Participant on the appropriate form provided by the Company), or if no beneficiary is so designated, then by the estate or person who acquires the right to exercise such Option or Stock Appreciation Right upon the Participant’s death by bequest or inheritance. Such exercise may occur at any time within one (1) year after the date of the Participant’s death (or such other period as the Committee may at any time provide), but in no case later than the date of expiration of the original term of the Option or Stock Appreciation Right. </w:t>
      </w:r>
    </w:p>
    <w:p>
      <w:pPr>
        <w:pStyle w:val="TextBody"/>
        <w:bidi w:val="0"/>
        <w:spacing w:before="120" w:after="0"/>
        <w:jc w:val="left"/>
        <w:rPr>
          <w:rFonts w:ascii="arial" w:hAnsi="arial"/>
          <w:sz w:val="18"/>
        </w:rPr>
      </w:pPr>
      <w:r>
        <w:rPr>
          <w:rFonts w:ascii="arial" w:hAnsi="arial"/>
          <w:sz w:val="18"/>
        </w:rPr>
        <w:t>10.02. </w:t>
      </w:r>
      <w:r>
        <w:rPr>
          <w:rFonts w:ascii="arial" w:hAnsi="arial"/>
          <w:i/>
          <w:sz w:val="18"/>
        </w:rPr>
        <w:t>Death of Participant Following Termination of Service</w:t>
      </w:r>
      <w:r>
        <w:rPr>
          <w:rFonts w:ascii="arial" w:hAnsi="arial"/>
          <w:sz w:val="18"/>
        </w:rPr>
        <w:t xml:space="preserve">. Except in the case of death during the period of Total Disability, which shall be governed by Section 9.02, if a Participant to whom an Option or Stock Appreciation Right has been granted under the Plan shall die after the date of the Participant’s Termination of Service, but before the end of the period provided under the Plan by which a terminated Participant may exercise such Option or Stock Appreciation Right, such Option or Stock Appreciation Right may be exercised, to the extent that the Participant was entitled to do so at the time of the Participant’s death, by the Participant’s beneficiary (as designated by the Participant on the appropriate form provided by the Company), or if no beneficiary is so designated, then by the estate or person who acquires the right to exercise such Option or Stock Appreciation Right upon the Participant’s death by bequest or inheritance. Such exercise may occur at any time within the period in which the terminated Participant could have exercised such Option or Stock Appreciation Right if the Participant had not died (or such other period as the Committee may at any time provide), but in no case later than the date of expiration of the original term of the Option or Stock Appreciation Right. </w:t>
      </w:r>
    </w:p>
    <w:p>
      <w:pPr>
        <w:pStyle w:val="TextBody"/>
        <w:bidi w:val="0"/>
        <w:spacing w:before="240" w:after="0"/>
        <w:jc w:val="center"/>
        <w:rPr>
          <w:rFonts w:ascii="arial" w:hAnsi="arial"/>
          <w:b/>
          <w:sz w:val="24"/>
        </w:rPr>
      </w:pPr>
      <w:r>
        <w:rPr>
          <w:rFonts w:ascii="arial" w:hAnsi="arial"/>
          <w:b/>
          <w:sz w:val="24"/>
        </w:rPr>
        <w:t xml:space="preserve">ARTICLE XI </w:t>
      </w:r>
    </w:p>
    <w:p>
      <w:pPr>
        <w:pStyle w:val="TextBody"/>
        <w:bidi w:val="0"/>
        <w:spacing w:before="120" w:after="0"/>
        <w:jc w:val="center"/>
        <w:rPr>
          <w:rFonts w:ascii="arial" w:hAnsi="arial"/>
          <w:b/>
          <w:sz w:val="24"/>
        </w:rPr>
      </w:pPr>
      <w:r>
        <w:rPr>
          <w:rFonts w:ascii="arial" w:hAnsi="arial"/>
          <w:b/>
          <w:sz w:val="24"/>
        </w:rPr>
        <w:t xml:space="preserve">RESTRICTED SHARES </w:t>
      </w:r>
    </w:p>
    <w:p>
      <w:pPr>
        <w:pStyle w:val="TextBody"/>
        <w:bidi w:val="0"/>
        <w:spacing w:before="0" w:after="0"/>
        <w:jc w:val="center"/>
        <w:rPr>
          <w:rFonts w:ascii="arial" w:hAnsi="arial"/>
          <w:b/>
          <w:sz w:val="24"/>
        </w:rPr>
      </w:pPr>
      <w:r>
        <w:rPr>
          <w:rFonts w:ascii="arial" w:hAnsi="arial"/>
          <w:b/>
          <w:sz w:val="24"/>
        </w:rPr>
        <w:t xml:space="preserve">AND </w:t>
      </w:r>
    </w:p>
    <w:p>
      <w:pPr>
        <w:pStyle w:val="TextBody"/>
        <w:bidi w:val="0"/>
        <w:spacing w:before="0" w:after="0"/>
        <w:jc w:val="center"/>
        <w:rPr>
          <w:rFonts w:ascii="arial" w:hAnsi="arial"/>
          <w:b/>
          <w:sz w:val="24"/>
        </w:rPr>
      </w:pPr>
      <w:r>
        <w:rPr>
          <w:rFonts w:ascii="arial" w:hAnsi="arial"/>
          <w:b/>
          <w:sz w:val="24"/>
        </w:rPr>
        <w:t xml:space="preserve">RESTRICTED SHARE UNITS </w:t>
      </w:r>
    </w:p>
    <w:p>
      <w:pPr>
        <w:pStyle w:val="TextBody"/>
        <w:bidi w:val="0"/>
        <w:spacing w:before="120" w:after="0"/>
        <w:jc w:val="left"/>
        <w:rPr>
          <w:rFonts w:ascii="arial" w:hAnsi="arial"/>
          <w:sz w:val="18"/>
        </w:rPr>
      </w:pPr>
      <w:r>
        <w:rPr>
          <w:rFonts w:ascii="arial" w:hAnsi="arial"/>
          <w:sz w:val="18"/>
        </w:rPr>
        <w:t>11.01. </w:t>
      </w:r>
      <w:r>
        <w:rPr>
          <w:rFonts w:ascii="arial" w:hAnsi="arial"/>
          <w:i/>
          <w:sz w:val="18"/>
        </w:rPr>
        <w:t>Grant of Restricted Shares and Restricted Share Units</w:t>
      </w:r>
      <w:r>
        <w:rPr>
          <w:rFonts w:ascii="arial" w:hAnsi="arial"/>
          <w:sz w:val="18"/>
        </w:rPr>
        <w:t xml:space="preserve">. The Committee may from time to time cause the Company to grant Restricted Shares and RSUs under the Plan to Participants, subject to such restrictions, conditions and other terms as the Committee may determine. Restricted Shares are shares of Common Stock which are subject to such conditions and restrictions as determined by the Committee, including conditions and restrictions relating to transferability. RSU Awards represent an unfunded promise to pay the Participant a specified number of shares of Common Stock (or cash equivalent, as applicable) in the future if the conditions of the RSU Award are satisfied and the RSU Award is not otherwise forfeited prior to the stated date of delivery, under the terms and conditions applicable to such Award. </w:t>
      </w:r>
    </w:p>
    <w:p>
      <w:pPr>
        <w:pStyle w:val="TextBody"/>
        <w:bidi w:val="0"/>
        <w:spacing w:before="120" w:after="0"/>
        <w:jc w:val="left"/>
        <w:rPr>
          <w:rFonts w:ascii="arial" w:hAnsi="arial"/>
          <w:sz w:val="18"/>
        </w:rPr>
      </w:pPr>
      <w:r>
        <w:rPr>
          <w:rFonts w:ascii="arial" w:hAnsi="arial"/>
          <w:sz w:val="18"/>
        </w:rPr>
        <w:t>11.02. </w:t>
      </w:r>
      <w:r>
        <w:rPr>
          <w:rFonts w:ascii="arial" w:hAnsi="arial"/>
          <w:i/>
          <w:sz w:val="18"/>
        </w:rPr>
        <w:t>Restrictions</w:t>
      </w:r>
      <w:r>
        <w:rPr>
          <w:rFonts w:ascii="arial" w:hAnsi="arial"/>
          <w:sz w:val="18"/>
        </w:rPr>
        <w:t xml:space="preserve">. At the time a grant of Restricted Shares or RSUs is made, the Committee shall establish the Restricted Period applicable to such Restricted Shares or RSUs. Each grant of Restricted Shares or RSUs may be subject to a different Restricted Period. The Committee may, in its sole discretion, at the time a grant is made, prescribe restrictions in addition to or other than the expiration of the Restricted Period, including the satisfaction of corporate or individual service or performance objectives, which shall be applicable to all or any portion of the Restricted Shares or RSUs. The Committee may also, in its sole discretion, waive any performance-based restrictions applicable to all or a portion of such Restricted Shares </w:t>
      </w:r>
    </w:p>
    <w:p>
      <w:pPr>
        <w:pStyle w:val="TextBody"/>
        <w:bidi w:val="0"/>
        <w:spacing w:before="0" w:after="0"/>
        <w:jc w:val="left"/>
        <w:rPr/>
      </w:pPr>
      <w:r>
        <w:rPr/>
        <w:t> </w:t>
      </w:r>
    </w:p>
    <w:tbl>
      <w:tblPr>
        <w:tblW w:w="3092" w:type="dxa"/>
        <w:jc w:val="left"/>
        <w:tblInd w:w="0" w:type="dxa"/>
        <w:tblLayout w:type="fixed"/>
        <w:tblCellMar>
          <w:top w:w="0" w:type="dxa"/>
          <w:left w:w="0" w:type="dxa"/>
          <w:bottom w:w="0" w:type="dxa"/>
          <w:right w:w="0" w:type="dxa"/>
        </w:tblCellMar>
      </w:tblPr>
      <w:tblGrid>
        <w:gridCol w:w="292"/>
        <w:gridCol w:w="60"/>
        <w:gridCol w:w="635"/>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68"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57" descr=""/>
                          <pic:cNvPicPr>
                            <a:picLocks noChangeAspect="1" noChangeArrowheads="1"/>
                          </pic:cNvPicPr>
                        </pic:nvPicPr>
                        <pic:blipFill>
                          <a:blip r:embed="rId158"/>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tLeast" w:line="180" w:before="0" w:after="0"/>
              <w:jc w:val="center"/>
              <w:rPr>
                <w:color w:val="F7ACBA"/>
              </w:rPr>
            </w:pPr>
            <w:r>
              <w:rPr>
                <w:color w:val="F7ACBA"/>
              </w:rPr>
              <w:t> </w:t>
            </w:r>
            <w:r>
              <w:rPr>
                <w:rFonts w:ascii="Times New Roman" w:hAnsi="Times New Roman"/>
                <w:b/>
                <w:color w:val="F7ACBA"/>
                <w:sz w:val="24"/>
              </w:rPr>
              <w:t>C-7 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APPENDIX C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or RSUs, provided that the applicable terms and conditions are set forth on or before the date of grant of the Award to the extent required to comply with Section 409A of the Code and the regulations thereunder. In the event of a Participant’s Termination of Service for Total Disability, Restricted Shares or RSUs held by such Participant shall continue to vest during the period of Total Disability. Unless otherwise provided under the terms of the Award, upon the death of a Participant, including during a Participant’s Total Disability, any performance conditions applicable to Restricted Shares or RSUs which have been granted to such Participant will be deemed to have been satisfied at target, if applicable, and the Restricted Period, if any, applicable to Restricted Shares or RSUs held by such Participant, will be deemed to have expired. At the discretion of the Committee (including as provided in any applicable Award Agreement), upon the Retirement of a Participant, the service restrictions and conditions, if any, applicable to any Restricted Shares or RSUs which have been granted to such Participant will be deemed to have been satisfied with respect to that percentage of the Restricted Shares or RSUs equal to 1) the number of complete months between the first day of the Restricted Period and the date of the Participant’s Retirement, divided by 2) the number of complete months in the Restricted Period. Any Restricted Shares or RSUs granted to a Participant for which the restrictions and conditions are not deemed to have expired pursuant to the preceding sentence shall be forfeited in accordance with Section 11.03. Subject to Section 4.02 and Section 19.01, an Award may also provide for full or pro-rata vesting upon other events, such as upon a Change in Control or for other reasons, provided that any such applicable terms and conditions are set forth on or before the date of grant of the Award. </w:t>
      </w:r>
    </w:p>
    <w:p>
      <w:pPr>
        <w:pStyle w:val="TextBody"/>
        <w:bidi w:val="0"/>
        <w:spacing w:before="120" w:after="0"/>
        <w:jc w:val="left"/>
        <w:rPr>
          <w:rFonts w:ascii="arial" w:hAnsi="arial"/>
          <w:sz w:val="18"/>
        </w:rPr>
      </w:pPr>
      <w:r>
        <w:rPr>
          <w:rFonts w:ascii="arial" w:hAnsi="arial"/>
          <w:sz w:val="18"/>
        </w:rPr>
        <w:t>11.03. </w:t>
      </w:r>
      <w:r>
        <w:rPr>
          <w:rFonts w:ascii="arial" w:hAnsi="arial"/>
          <w:i/>
          <w:sz w:val="18"/>
        </w:rPr>
        <w:t>Rights of Holders of Restricted Shares</w:t>
      </w:r>
      <w:r>
        <w:rPr>
          <w:rFonts w:ascii="arial" w:hAnsi="arial"/>
          <w:sz w:val="18"/>
        </w:rPr>
        <w:t xml:space="preserve">. Participants to whom Restricted Shares have been granted shall not have the right to vote such shares or the right to receive any dividends with respect to such Restricted Shares. In the event of the payment of a dividend or other distribution in connection with the shares of Common Stock, Participants may, at the discretion of the Committee, receive such dividend or distribution equivalent subject to the same restrictions and vesting conditions as the underlying Restricted Shares. The Committee may, in its discretion, specify in the applicable Award Agreement that any or all dividend or other distribution equivalents paid on Restricted Shares prior to vesting be credited to the Participant in cash or in a number of additional Restricted Shares having an aggregate Fair Market Value equal to the dividend per share paid on the Common Stock multiplied by the number of Restricted Shares credited to the Participant’s account at the time the dividend was declared, subject to such terms and conditions, including such restrictions, of the applicable Restricted Shares. Such cash right or additional Restricted Shares credited to a Participant in relation to dividend or other distribution equivalents with respect to a Restricted Share shall be subject to the same restrictions as such Restricted Share. All distributions or credits in respect of such distributions, if any, received by a Participant with respect to Restricted Shares as a result of any stock split-up, stock distribution, a combination of shares, or other similar transaction shall be subject to the restrictions of this Article XI and the adjustment provisions of Article XVI. </w:t>
      </w:r>
    </w:p>
    <w:p>
      <w:pPr>
        <w:pStyle w:val="TextBody"/>
        <w:bidi w:val="0"/>
        <w:spacing w:before="120" w:after="0"/>
        <w:jc w:val="left"/>
        <w:rPr>
          <w:rFonts w:ascii="arial" w:hAnsi="arial"/>
          <w:sz w:val="18"/>
        </w:rPr>
      </w:pPr>
      <w:r>
        <w:rPr>
          <w:rFonts w:ascii="arial" w:hAnsi="arial"/>
          <w:sz w:val="18"/>
        </w:rPr>
        <w:t>11.04. </w:t>
      </w:r>
      <w:r>
        <w:rPr>
          <w:rFonts w:ascii="arial" w:hAnsi="arial"/>
          <w:i/>
          <w:sz w:val="18"/>
        </w:rPr>
        <w:t>Rights of Holders of Restricted Share Units</w:t>
      </w:r>
      <w:r>
        <w:rPr>
          <w:rFonts w:ascii="arial" w:hAnsi="arial"/>
          <w:sz w:val="18"/>
        </w:rPr>
        <w:t xml:space="preserve">. Participants to whom RSUs have been granted shall not have the right to vote the shares of Common Stock subject to such RSUs or the right to receive any dividends with respect to the shares of Common Stock subject to such RSUs. In the event of the payment of a dividend or other distribution in connection with the shares of Common Stock, Participants may, at the discretion of the Committee, receive such dividend or distribution equivalent subject to the same restrictions and vesting conditions as the underlying RSUs. The Committee may, in its discretion, specify in the applicable Award Agreement that any or all dividend or other distribution equivalents paid on the shares of Common Stock underlying a Participant’s RSUs prior to the vesting of the Participant’s RSUs be credited to the Participant in cash or in a number of additional RSUs having an aggregate Fair Market Value equal to the dividend per share paid on the Common Stock multiplied by the number of RSUs credited to the Participant’s account at the time the dividend was declared. Such cash right or additional RSUs credited to the Participant in relation to dividend or other distribution equivalents paid with respect to an RSU shall be subject to the same restrictions as such RSU. All distributions or credits in respect of such distributions, if any, received by a Participant with respect to RSUs as a result of any stock split-up, stock distribution, a combination of shares, or other similar transaction shall be subject to the restrictions of this Article XI and the adjustment provisions of Article XVI. </w:t>
      </w:r>
    </w:p>
    <w:p>
      <w:pPr>
        <w:pStyle w:val="TextBody"/>
        <w:bidi w:val="0"/>
        <w:spacing w:before="120" w:after="0"/>
        <w:jc w:val="left"/>
        <w:rPr>
          <w:rFonts w:ascii="arial" w:hAnsi="arial"/>
          <w:sz w:val="18"/>
        </w:rPr>
      </w:pPr>
      <w:r>
        <w:rPr>
          <w:rFonts w:ascii="arial" w:hAnsi="arial"/>
          <w:sz w:val="18"/>
        </w:rPr>
        <w:t>11.05. </w:t>
      </w:r>
      <w:r>
        <w:rPr>
          <w:rFonts w:ascii="arial" w:hAnsi="arial"/>
          <w:i/>
          <w:sz w:val="18"/>
        </w:rPr>
        <w:t>Forfeiture Upon Termination of Service</w:t>
      </w:r>
      <w:r>
        <w:rPr>
          <w:rFonts w:ascii="arial" w:hAnsi="arial"/>
          <w:sz w:val="18"/>
        </w:rPr>
        <w:t xml:space="preserve">. Except as provided in Section 11.02 and Section 19.01, and as the Committee may at any time provide, any Restricted Shares or RSUs granted to a Participant pursuant to the Plan shall be forfeited if the Participant experiences a Termination of Service either by the Participant or by the Participant’s employer for reasons other than death or Total Disability prior to the expiration of the Restricted Period and the satisfaction of any other </w:t>
      </w:r>
    </w:p>
    <w:p>
      <w:pPr>
        <w:pStyle w:val="TextBody"/>
        <w:bidi w:val="0"/>
        <w:spacing w:before="0" w:after="0"/>
        <w:jc w:val="left"/>
        <w:rPr/>
      </w:pPr>
      <w:r>
        <w:rPr/>
        <w:t> </w:t>
      </w:r>
    </w:p>
    <w:tbl>
      <w:tblPr>
        <w:tblW w:w="3092" w:type="dxa"/>
        <w:jc w:val="left"/>
        <w:tblInd w:w="0" w:type="dxa"/>
        <w:tblLayout w:type="fixed"/>
        <w:tblCellMar>
          <w:top w:w="0" w:type="dxa"/>
          <w:left w:w="0" w:type="dxa"/>
          <w:bottom w:w="0" w:type="dxa"/>
          <w:right w:w="0" w:type="dxa"/>
        </w:tblCellMar>
      </w:tblPr>
      <w:tblGrid>
        <w:gridCol w:w="292"/>
        <w:gridCol w:w="60"/>
        <w:gridCol w:w="635"/>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69"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58" descr=""/>
                          <pic:cNvPicPr>
                            <a:picLocks noChangeAspect="1" noChangeArrowheads="1"/>
                          </pic:cNvPicPr>
                        </pic:nvPicPr>
                        <pic:blipFill>
                          <a:blip r:embed="rId159"/>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tLeast" w:line="180" w:before="0" w:after="0"/>
              <w:jc w:val="center"/>
              <w:rPr>
                <w:color w:val="F7ACBA"/>
              </w:rPr>
            </w:pPr>
            <w:r>
              <w:rPr>
                <w:color w:val="F7ACBA"/>
              </w:rPr>
              <w:t> </w:t>
            </w:r>
            <w:r>
              <w:rPr>
                <w:rFonts w:ascii="Times New Roman" w:hAnsi="Times New Roman"/>
                <w:b/>
                <w:color w:val="F7ACBA"/>
                <w:sz w:val="24"/>
              </w:rPr>
              <w:t>C-8 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APPENDIX C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conditions applicable to such Restricted Shares or RSUs. In addition, if the Participant’s Termination of Service occurs as a result of Retirement, any Restricted Shares or RSUs which do not vest in accordance with Section 11.02 (any such vesting to be determined by the Committee in its discretion) shall be forfeited. </w:t>
      </w:r>
    </w:p>
    <w:p>
      <w:pPr>
        <w:pStyle w:val="TextBody"/>
        <w:bidi w:val="0"/>
        <w:spacing w:before="120" w:after="0"/>
        <w:jc w:val="left"/>
        <w:rPr>
          <w:rFonts w:ascii="arial" w:hAnsi="arial"/>
          <w:sz w:val="18"/>
        </w:rPr>
      </w:pPr>
      <w:r>
        <w:rPr>
          <w:rFonts w:ascii="arial" w:hAnsi="arial"/>
          <w:sz w:val="18"/>
        </w:rPr>
        <w:t>11.06. </w:t>
      </w:r>
      <w:r>
        <w:rPr>
          <w:rFonts w:ascii="arial" w:hAnsi="arial"/>
          <w:i/>
          <w:sz w:val="18"/>
        </w:rPr>
        <w:t>Delivery of Shares</w:t>
      </w:r>
      <w:r>
        <w:rPr>
          <w:rFonts w:ascii="arial" w:hAnsi="arial"/>
          <w:sz w:val="18"/>
        </w:rPr>
        <w:t xml:space="preserve">. Delivery of shares of Common Stock in respect of Restricted Shares shall be made promptly following lapse or termination of the Restricted Period and satisfaction of any related conditions. Unless, in the case of RSUs, an election is made under Section 11.08 to defer the settlement of RSUs, and unless otherwise provided in the terms of any Award Agreement, upon the expiration or termination of the Restricted Period and the satisfaction of any other conditions prescribed by the Committee, RSUs shall be settled by delivery of a stock certificate for the number of shares of Common Stock associated with the Award with respect to which the restrictions have expired or the terms and conditions have been satisfied to the Participant or the Participant’s beneficiary or estate, as the case may be. Such payment in settlement of RSUs shall be made promptly, but in any event not later than 1) the end of the year in which the Restricted Period ended and the conditions were satisfied or 2) if later, the 15th day of the third calendar month following the date on which the Restricted Period ended, provided that the Award holder will not be permitted, directly or indirectly, to designate the taxable year of settlement. The Participant may be required to execute a release of claims against the Company and its subsidiaries in this event. If an election is made under Section 11.08 to defer the settlement of RSUs, delivery shall occur as described here but upon the date or dates of delivery in accordance with Section 11.09 and the deferral election. Notwithstanding the above, if the Participant is a Specified Employee, and is entitled to receive a payment in respect of RSUs upon Termination of Service or on a date determinable based on the date of Termination of Service (and not a pre-determined fixed date or schedule), then, except in the event of the Participant’s death after such Termination of Service, such payment shall be delayed by at least six (6) months after the date of such Participant’s Termination of Service to the extent required by Section 409A of the Code and the regulations thereunder. </w:t>
      </w:r>
    </w:p>
    <w:p>
      <w:pPr>
        <w:pStyle w:val="TextBody"/>
        <w:bidi w:val="0"/>
        <w:spacing w:before="120" w:after="0"/>
        <w:jc w:val="left"/>
        <w:rPr>
          <w:rFonts w:ascii="arial" w:hAnsi="arial"/>
          <w:sz w:val="18"/>
        </w:rPr>
      </w:pPr>
      <w:r>
        <w:rPr>
          <w:rFonts w:ascii="arial" w:hAnsi="arial"/>
          <w:sz w:val="18"/>
        </w:rPr>
        <w:t>11.07. </w:t>
      </w:r>
      <w:r>
        <w:rPr>
          <w:rFonts w:ascii="arial" w:hAnsi="arial"/>
          <w:i/>
          <w:sz w:val="18"/>
        </w:rPr>
        <w:t>Performance-Based Objectives</w:t>
      </w:r>
      <w:r>
        <w:rPr>
          <w:rFonts w:ascii="arial" w:hAnsi="arial"/>
          <w:sz w:val="18"/>
        </w:rPr>
        <w:t xml:space="preserve">. At the time of the grant of Restricted Shares or RSUs to a Participant, and prior to the beginning of the performance period to which performance objectives relate, the Committee may establish performance objectives based on criteria selected by the Committee, including, without limitation, any one or more of the following, which may be expressed with respect to the Company or one or more operating units or groups, as the Committee may determine: price of Common Stock, or the common stock of any affiliate, shareholder return, return on equity, return on investment, return on capital, sales productivity, comparable store sales growth, economic profit, economic value added, net income, operating income, gross margin, sales, free cash flow, earnings per share, operating company contribution or market share. These factors shall have a minimum performance standard below which, and a maximum performance standard above which, no payments will be made. These performance goals may be based on, among other things, an analysis of historical performance and growth expectations for the business, financial results of other comparable businesses, and progress towards achieving the long-range strategic plan for the business. These performance goals and determination of results shall be based entirely on financial measures. The Committee shall determine how any performance objectives shall be adjusted to the extent necessary to prevent dilution or enlargement of any Award as a result of extraordinary events or circumstances, as determined by the Committee, or to exclude the effects of extraordinary, unusual, or non-recurring items; changes in applicable laws, regulations, or accounting principles; currency fluctuations; discontinued operations; non-cash items, such as amortization, depreciation, or reserves; asset impairment; or any recapitalization, restructuring, reorganization, merger, acquisition, divestiture, consolidation, spin-off, split-up, combination, liquidation, dissolution, sale of assets, or other similar corporation transaction. To the extent that the Award is subject to Section 409A of the Code, and to the extent intended and necessary to comply with change in control payment or toggle rules under Section 409A of the Code, payment in connection with a Change in Control must be made in respect of a Change in Control that satisfies the definition of “change in control event” in Section 409A of the Code and the regulations thereunder, unless otherwise permitted in satisfaction of the alternative payment rules under Section 409A of the Code and the regulations thereunder. </w:t>
      </w:r>
    </w:p>
    <w:p>
      <w:pPr>
        <w:pStyle w:val="TextBody"/>
        <w:bidi w:val="0"/>
        <w:spacing w:before="120" w:after="0"/>
        <w:jc w:val="left"/>
        <w:rPr>
          <w:rFonts w:ascii="arial" w:hAnsi="arial"/>
          <w:sz w:val="18"/>
        </w:rPr>
      </w:pPr>
      <w:r>
        <w:rPr>
          <w:rFonts w:ascii="arial" w:hAnsi="arial"/>
          <w:sz w:val="18"/>
        </w:rPr>
        <w:t>11.08. </w:t>
      </w:r>
      <w:r>
        <w:rPr>
          <w:rFonts w:ascii="arial" w:hAnsi="arial"/>
          <w:i/>
          <w:sz w:val="18"/>
        </w:rPr>
        <w:t>Deferred Restricted Share Units</w:t>
      </w:r>
      <w:r>
        <w:rPr>
          <w:rFonts w:ascii="arial" w:hAnsi="arial"/>
          <w:sz w:val="18"/>
        </w:rPr>
        <w:t xml:space="preserve">. The Committee may permit a Participant who has been designated to receive an RSU Award to elect to defer the receipt of the shares in settlement of such RSU Award as well as the form of payment of such deferred RSUs. </w:t>
      </w:r>
    </w:p>
    <w:p>
      <w:pPr>
        <w:pStyle w:val="TextBody"/>
        <w:bidi w:val="0"/>
        <w:spacing w:before="120" w:after="0"/>
        <w:jc w:val="left"/>
        <w:rPr>
          <w:rFonts w:ascii="arial" w:hAnsi="arial"/>
          <w:sz w:val="18"/>
        </w:rPr>
      </w:pPr>
      <w:r>
        <w:rPr>
          <w:rFonts w:ascii="arial" w:hAnsi="arial"/>
          <w:sz w:val="18"/>
        </w:rPr>
        <w:t xml:space="preserve">All elections under this Section 11.08 to defer the settlement of an RSU Award must be made in accordance with the requirements of Section 409A of the Code and the regulations thereunder. Any election not in compliance with such </w:t>
      </w:r>
    </w:p>
    <w:p>
      <w:pPr>
        <w:pStyle w:val="TextBody"/>
        <w:bidi w:val="0"/>
        <w:spacing w:before="0" w:after="0"/>
        <w:jc w:val="left"/>
        <w:rPr/>
      </w:pPr>
      <w:r>
        <w:rPr/>
        <w:t> </w:t>
      </w:r>
    </w:p>
    <w:tbl>
      <w:tblPr>
        <w:tblW w:w="3092" w:type="dxa"/>
        <w:jc w:val="left"/>
        <w:tblInd w:w="0" w:type="dxa"/>
        <w:tblLayout w:type="fixed"/>
        <w:tblCellMar>
          <w:top w:w="0" w:type="dxa"/>
          <w:left w:w="0" w:type="dxa"/>
          <w:bottom w:w="0" w:type="dxa"/>
          <w:right w:w="0" w:type="dxa"/>
        </w:tblCellMar>
      </w:tblPr>
      <w:tblGrid>
        <w:gridCol w:w="292"/>
        <w:gridCol w:w="60"/>
        <w:gridCol w:w="635"/>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70"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59" descr=""/>
                          <pic:cNvPicPr>
                            <a:picLocks noChangeAspect="1" noChangeArrowheads="1"/>
                          </pic:cNvPicPr>
                        </pic:nvPicPr>
                        <pic:blipFill>
                          <a:blip r:embed="rId160"/>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tLeast" w:line="180" w:before="0" w:after="0"/>
              <w:jc w:val="center"/>
              <w:rPr>
                <w:color w:val="F7ACBA"/>
              </w:rPr>
            </w:pPr>
            <w:r>
              <w:rPr>
                <w:color w:val="F7ACBA"/>
              </w:rPr>
              <w:t> </w:t>
            </w:r>
            <w:r>
              <w:rPr>
                <w:rFonts w:ascii="Times New Roman" w:hAnsi="Times New Roman"/>
                <w:b/>
                <w:color w:val="F7ACBA"/>
                <w:sz w:val="24"/>
              </w:rPr>
              <w:t>C-9 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APPENDIX C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requirements shall be treated as invalid and the deferral election shall be disregarded and distribution of the shares of Common Stock upon settlement of the Award shall be made as though the Participant did not elect to defer. For this purpose, an invalid deferral election shall include (but is not limited to) a deferral election that (i) is not executed (regardless of when received), (ii) is executed but received after the applicable irrevocable date or (iii) cannot otherwise become effective under applicable rules. If a valid deferral election is incomplete, the deferral election shall be honored and distribution of the shares of Common Stock attributable to the Award shall be made as though the Participant elected a deferred lump sum payment. For this purpose, a valid but incomplete deferral election is one that has been received and executed on or before the applicable irrevocable date, but does not indicate the form of payment (lump sum versus installments), or indicates an election for installment payments but not the number of installment payments. Unless the Award Agreement and terms and conditions accompanying specific Awards indicate otherwise, or as otherwise provided in the Plan, the deferred RSUs shall be subject to the same restrictions, conditions and forfeiture provisions as the associated nondeferred RSUs. </w:t>
      </w:r>
    </w:p>
    <w:p>
      <w:pPr>
        <w:pStyle w:val="TextBody"/>
        <w:bidi w:val="0"/>
        <w:spacing w:before="120" w:after="0"/>
        <w:jc w:val="left"/>
        <w:rPr>
          <w:rFonts w:ascii="arial" w:hAnsi="arial"/>
          <w:sz w:val="18"/>
        </w:rPr>
      </w:pPr>
      <w:r>
        <w:rPr>
          <w:rFonts w:ascii="arial" w:hAnsi="arial"/>
          <w:sz w:val="18"/>
        </w:rPr>
        <w:t xml:space="preserve">During the Restricted Period with respect to RSUs, Participants shall not have the right to receive any dividends. After the end of the Restricted Period and prior to the time that shares of Common Stock are transferred to the Participant, within sixty (60) days after the date of payment of a dividend by the Company on its shares of Common Stock, the Participant shall be credited with “dividend equivalents” with respect to each outstanding RSU in an amount equal to the amount the Participant would have received as dividends if the RSUs were actual shares of Common Stock. Such dividend equivalents will be converted into additional RSUs based on the Fair Market Value of the Common Stock on the dividend payment date, in accordance with the procedures established by the Committee, and paid at the same time and in the same manner as the underlying RSUs. </w:t>
      </w:r>
    </w:p>
    <w:p>
      <w:pPr>
        <w:pStyle w:val="TextBody"/>
        <w:bidi w:val="0"/>
        <w:spacing w:before="120" w:after="0"/>
        <w:jc w:val="left"/>
        <w:rPr>
          <w:rFonts w:ascii="arial" w:hAnsi="arial"/>
          <w:sz w:val="18"/>
        </w:rPr>
      </w:pPr>
      <w:r>
        <w:rPr>
          <w:rFonts w:ascii="arial" w:hAnsi="arial"/>
          <w:sz w:val="18"/>
        </w:rPr>
        <w:t xml:space="preserve">At no time shall any assets of the Company be segregated for payment of RSUs hereunder. Participants who have elected to defer the settlement of RSUs shall at all times have the status of general unsecured creditors of the Company and shall not have any rights in or against specific assets of the Company. The Plan constitutes a mere promise by the Company to make payments attributable to RSUs in the future, in accordance with the applicable terms and conditions. </w:t>
      </w:r>
    </w:p>
    <w:p>
      <w:pPr>
        <w:pStyle w:val="TextBody"/>
        <w:bidi w:val="0"/>
        <w:spacing w:before="120" w:after="0"/>
        <w:jc w:val="left"/>
        <w:rPr>
          <w:rFonts w:ascii="arial" w:hAnsi="arial"/>
          <w:sz w:val="18"/>
        </w:rPr>
      </w:pPr>
      <w:r>
        <w:rPr>
          <w:rFonts w:ascii="arial" w:hAnsi="arial"/>
          <w:sz w:val="18"/>
        </w:rPr>
        <w:t>11.09. </w:t>
      </w:r>
      <w:r>
        <w:rPr>
          <w:rFonts w:ascii="arial" w:hAnsi="arial"/>
          <w:i/>
          <w:sz w:val="18"/>
        </w:rPr>
        <w:t>Payment of Deferred Restricted Share Units</w:t>
      </w:r>
      <w:r>
        <w:rPr>
          <w:rFonts w:ascii="arial" w:hAnsi="arial"/>
          <w:sz w:val="18"/>
        </w:rPr>
        <w:t xml:space="preserve">. RSUs are payable solely in shares of unrestricted Common Stock, and shall be paid in accordance with the terms of delivery under Section 11.06 and this Section 11.09. Shares attributable to deferred RSUs that are vested in accordance with the terms and conditions applicable to such Awards shall be transferred to the Participant at the time and in the form as elected by the Participant and as set forth in the terms and conditions applicable to such Awards, which shall be either in a single payment or in up to ten (10) installment payments. </w:t>
      </w:r>
    </w:p>
    <w:p>
      <w:pPr>
        <w:pStyle w:val="TextBody"/>
        <w:bidi w:val="0"/>
        <w:spacing w:before="120" w:after="0"/>
        <w:jc w:val="left"/>
        <w:rPr>
          <w:rFonts w:ascii="arial" w:hAnsi="arial"/>
          <w:sz w:val="18"/>
        </w:rPr>
      </w:pPr>
      <w:r>
        <w:rPr>
          <w:rFonts w:ascii="arial" w:hAnsi="arial"/>
          <w:sz w:val="18"/>
        </w:rPr>
        <w:t xml:space="preserve">If a lump sum distribution is elected, the payment shall be made on the date provided in, and in accordance with, the terms and conditions applicable to the Award. If installment distributions are elected, the initial installment shall be paid on the date provided in, and in accordance with, the terms and conditions applicable to the Award. Subsequent installments shall be made on each anniversary of the initial installment and shall continue for the duration of the selected distribution period. If the Participant dies prior to the time all shares of Common Stock have been distributed, distribution shall be made to the Participant’s beneficiary or estate on the payment date provided in, and in accordance with, the terms and conditions applicable to the RSU Award. If Termination of Service occurs during the Restricted Period, the terms and conditions shall set forth the rights of the Participant to payment, as well as the time and form of distribution of such Awards, if any, to the Participant. A participant shall have no rights as a shareholder with respect to deferred RSUs until such time, if any, as shares of Common Stock are transferred to the Participant (or the Participant’s beneficiary or estate, if applicable). Notwithstanding the above, if the Participant is a Specified Employee and is entitled to receive payment upon Termination of Service or on a date determinable based on the date of Termination of Service (and not a pre-determined fixed date or schedule), then, except in the event of the Participant’s death after such Termination of Service, such payment (or in the case of installments, the first payment) shall be delayed by at least six (6) months after the date of such Participant’s Termination of Service, to the extent required by Section 409A of the Code and the regulations thereunder; in this event, subsequent installment payments shall occur on the anniversary of the first delayed installment payment. </w:t>
      </w:r>
    </w:p>
    <w:p>
      <w:pPr>
        <w:pStyle w:val="TextBody"/>
        <w:bidi w:val="0"/>
        <w:spacing w:before="120" w:after="0"/>
        <w:jc w:val="left"/>
        <w:rPr>
          <w:rFonts w:ascii="arial" w:hAnsi="arial"/>
          <w:sz w:val="18"/>
        </w:rPr>
      </w:pPr>
      <w:r>
        <w:rPr>
          <w:rFonts w:ascii="arial" w:hAnsi="arial"/>
          <w:sz w:val="18"/>
        </w:rPr>
        <w:t xml:space="preserve">Provided that the terms and conditions applicable to a deferred RSU Award permit it, a Participant may change the Participant’s distribution election, provided such change in distribution election is made not less than 12 months before the date the payment (or in the case of installments, the first payment) is scheduled to be made, and is irrevocable after this </w:t>
      </w:r>
    </w:p>
    <w:p>
      <w:pPr>
        <w:pStyle w:val="TextBody"/>
        <w:bidi w:val="0"/>
        <w:spacing w:before="0" w:after="0"/>
        <w:jc w:val="left"/>
        <w:rPr/>
      </w:pPr>
      <w:r>
        <w:rPr/>
        <w:t> </w:t>
      </w:r>
    </w:p>
    <w:tbl>
      <w:tblPr>
        <w:tblW w:w="3212" w:type="dxa"/>
        <w:jc w:val="left"/>
        <w:tblInd w:w="0" w:type="dxa"/>
        <w:tblLayout w:type="fixed"/>
        <w:tblCellMar>
          <w:top w:w="0" w:type="dxa"/>
          <w:left w:w="0" w:type="dxa"/>
          <w:bottom w:w="0" w:type="dxa"/>
          <w:right w:w="0" w:type="dxa"/>
        </w:tblCellMar>
      </w:tblPr>
      <w:tblGrid>
        <w:gridCol w:w="292"/>
        <w:gridCol w:w="60"/>
        <w:gridCol w:w="755"/>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71"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60" descr=""/>
                          <pic:cNvPicPr>
                            <a:picLocks noChangeAspect="1" noChangeArrowheads="1"/>
                          </pic:cNvPicPr>
                        </pic:nvPicPr>
                        <pic:blipFill>
                          <a:blip r:embed="rId161"/>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tLeast" w:line="180" w:before="0" w:after="0"/>
              <w:jc w:val="center"/>
              <w:rPr>
                <w:color w:val="F7ACBA"/>
              </w:rPr>
            </w:pPr>
            <w:r>
              <w:rPr>
                <w:color w:val="F7ACBA"/>
              </w:rPr>
              <w:t> </w:t>
            </w:r>
            <w:r>
              <w:rPr>
                <w:rFonts w:ascii="Times New Roman" w:hAnsi="Times New Roman"/>
                <w:b/>
                <w:color w:val="F7ACBA"/>
                <w:sz w:val="24"/>
              </w:rPr>
              <w:t>C-10 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APPENDIX C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date. Such an election may be made to change payment(s) from a single lump sum payment to installment payments, from installment payments to a single lump sum payment, or from one number of installment payments to another number of installment payments, by submitting such election to the Company; </w:t>
      </w:r>
      <w:r>
        <w:rPr>
          <w:rFonts w:ascii="arial" w:hAnsi="arial"/>
          <w:i/>
          <w:sz w:val="18"/>
        </w:rPr>
        <w:t>provided</w:t>
      </w:r>
      <w:r>
        <w:rPr>
          <w:rFonts w:ascii="arial" w:hAnsi="arial"/>
          <w:sz w:val="18"/>
        </w:rPr>
        <w:t xml:space="preserve">, (i) such election does not become effective until at least twelve (12) months after the date on which the election is made and (ii) except in the case of payment permissible upon the Participant’s death, the payment (or in the case of installments the first payment) must be deferred for a period of not less than five (5) years from the date such payment would have been made or commenced if there had been no election to change the form of payment. For this purpose, all installment payments are treated as a single payment. Any election not made in accordance with such procedures shall be treated as invalid, and the change in distribution election shall be disregarded and distribution of the shares of Common Stock attributable to the Awards shall be made as though the Participant did not elect to change the time and form of distribution. For this purpose, an invalid change in distribution election shall include (but is not limited to) an election that (i) is not executed (regardless of when received), (ii) is executed but received after the applicable irrevocable date or (iii) cannot otherwise become effective under applicable rules. If a valid change in distribution election is incomplete, the change in distribution election shall be honored and distribution of the shares attributable to the Awards shall be made as though the Participant elected a change in distribution to a deferred lump sum payment. For this purpose, a valid but incomplete change in distribution election is one that has been received and executed on or before the applicable irrevocable date, but does not indicate the form of payment (lump sum versus installments), or indicates an election for installment payments but not the number of installment payments. </w:t>
      </w:r>
    </w:p>
    <w:p>
      <w:pPr>
        <w:pStyle w:val="TextBody"/>
        <w:bidi w:val="0"/>
        <w:spacing w:before="240" w:after="0"/>
        <w:jc w:val="center"/>
        <w:rPr>
          <w:rFonts w:ascii="arial" w:hAnsi="arial"/>
          <w:b/>
          <w:sz w:val="24"/>
        </w:rPr>
      </w:pPr>
      <w:r>
        <w:rPr>
          <w:rFonts w:ascii="arial" w:hAnsi="arial"/>
          <w:b/>
          <w:sz w:val="24"/>
        </w:rPr>
        <w:t xml:space="preserve">ARTICLE XII </w:t>
      </w:r>
    </w:p>
    <w:p>
      <w:pPr>
        <w:pStyle w:val="TextBody"/>
        <w:bidi w:val="0"/>
        <w:spacing w:before="120" w:after="0"/>
        <w:jc w:val="center"/>
        <w:rPr>
          <w:rFonts w:ascii="arial" w:hAnsi="arial"/>
          <w:b/>
          <w:sz w:val="24"/>
        </w:rPr>
      </w:pPr>
      <w:r>
        <w:rPr>
          <w:rFonts w:ascii="arial" w:hAnsi="arial"/>
          <w:b/>
          <w:sz w:val="24"/>
        </w:rPr>
        <w:t xml:space="preserve">PERFORMANCE UNITS </w:t>
      </w:r>
    </w:p>
    <w:p>
      <w:pPr>
        <w:pStyle w:val="TextBody"/>
        <w:bidi w:val="0"/>
        <w:spacing w:before="120" w:after="0"/>
        <w:jc w:val="left"/>
        <w:rPr>
          <w:rFonts w:ascii="arial" w:hAnsi="arial"/>
          <w:sz w:val="18"/>
        </w:rPr>
      </w:pPr>
      <w:r>
        <w:rPr>
          <w:rFonts w:ascii="arial" w:hAnsi="arial"/>
          <w:sz w:val="18"/>
        </w:rPr>
        <w:t>12.01. </w:t>
      </w:r>
      <w:r>
        <w:rPr>
          <w:rFonts w:ascii="arial" w:hAnsi="arial"/>
          <w:i/>
          <w:sz w:val="18"/>
        </w:rPr>
        <w:t>Award of Performance Units</w:t>
      </w:r>
      <w:r>
        <w:rPr>
          <w:rFonts w:ascii="arial" w:hAnsi="arial"/>
          <w:sz w:val="18"/>
        </w:rPr>
        <w:t xml:space="preserve">. For each Performance Period, Performance Units may be granted under the Plan to such Participants as the Committee shall determine. The Award Agreement covering such Performance Units shall specify the Ending Value. If necessary to make the calculation of the amount to be paid to the Participant pursuant to Sections 12.03 and 12.04, the Committee shall also state in the Award Agreement the Initial Value. The Award Agreement may also specify that each Performance Unit is deemed to be equivalent to one (1) share of Common Stock. Performance Units granted to a Participant shall be credited to a Performance Unit Account established and maintained for such Participant. </w:t>
      </w:r>
    </w:p>
    <w:p>
      <w:pPr>
        <w:pStyle w:val="TextBody"/>
        <w:bidi w:val="0"/>
        <w:spacing w:before="120" w:after="0"/>
        <w:jc w:val="left"/>
        <w:rPr>
          <w:rFonts w:ascii="arial" w:hAnsi="arial"/>
          <w:sz w:val="18"/>
        </w:rPr>
      </w:pPr>
      <w:r>
        <w:rPr>
          <w:rFonts w:ascii="arial" w:hAnsi="arial"/>
          <w:sz w:val="18"/>
        </w:rPr>
        <w:t>12.02. </w:t>
      </w:r>
      <w:r>
        <w:rPr>
          <w:rFonts w:ascii="arial" w:hAnsi="arial"/>
          <w:i/>
          <w:sz w:val="18"/>
        </w:rPr>
        <w:t>Performance Period</w:t>
      </w:r>
      <w:r>
        <w:rPr>
          <w:rFonts w:ascii="arial" w:hAnsi="arial"/>
          <w:sz w:val="18"/>
        </w:rPr>
        <w:t xml:space="preserve">. Different Performance Periods may be established for different Participants receiving Performance Units. Performance Periods may run consecutively or concurrently. </w:t>
      </w:r>
    </w:p>
    <w:p>
      <w:pPr>
        <w:pStyle w:val="TextBody"/>
        <w:bidi w:val="0"/>
        <w:spacing w:before="120" w:after="0"/>
        <w:jc w:val="left"/>
        <w:rPr>
          <w:rFonts w:ascii="arial" w:hAnsi="arial"/>
          <w:sz w:val="18"/>
        </w:rPr>
      </w:pPr>
      <w:r>
        <w:rPr>
          <w:rFonts w:ascii="arial" w:hAnsi="arial"/>
          <w:sz w:val="18"/>
        </w:rPr>
        <w:t>12.03. </w:t>
      </w:r>
      <w:r>
        <w:rPr>
          <w:rFonts w:ascii="arial" w:hAnsi="arial"/>
          <w:i/>
          <w:sz w:val="18"/>
        </w:rPr>
        <w:t>Right to Payment of Performance Units</w:t>
      </w:r>
      <w:r>
        <w:rPr>
          <w:rFonts w:ascii="arial" w:hAnsi="arial"/>
          <w:sz w:val="18"/>
        </w:rPr>
        <w:t xml:space="preserve">. All applicable terms and conditions shall be set forth in the Award Agreement and/or in accompanying terms and conditions on or before the date of grant of Performance Units. With respect to each Award of Performance Units under this Plan, the Committee shall specify the Performance Objectives. If the Performance Objectives established for a Participant for the Performance Period are partially but not fully met, the Committee may, nonetheless, in its sole discretion, determine that all or a portion of the Performance Units have vested but such determination shall not change the date of payment of the Awards. If the Performance Objectives for a Performance Period are exceeded, the Committee may, in its sole discretion, grant additional, fully vested Performance Units to the Participant. Except as provided in Section 19.01, on or before the date of grant, the Committee may also determine, in its sole discretion, that Performance Units awarded to a Participant shall become partially or fully vested upon the Participant’s death, Total Disability or Retirement, or upon the Participant’s Termination of Service prior to the end of the Performance Period but such determination shall not change the date of payment of the Awards. Performance Unit Awards represent an unfunded promise to pay the Participant the value specified in the Award Agreement and/or applicable terms and conditions in the future if the conditions associated with the Performance Unit Award are satisfied and the Performance Units are not otherwise forfeited prior to the stated date of payment, under the terms and conditions applicable to such Award. </w:t>
      </w:r>
    </w:p>
    <w:p>
      <w:pPr>
        <w:pStyle w:val="TextBody"/>
        <w:bidi w:val="0"/>
        <w:spacing w:before="120" w:after="0"/>
        <w:jc w:val="left"/>
        <w:rPr>
          <w:rFonts w:ascii="arial" w:hAnsi="arial"/>
          <w:sz w:val="18"/>
        </w:rPr>
      </w:pPr>
      <w:r>
        <w:rPr>
          <w:rFonts w:ascii="arial" w:hAnsi="arial"/>
          <w:sz w:val="18"/>
        </w:rPr>
        <w:t>12.04. </w:t>
      </w:r>
      <w:r>
        <w:rPr>
          <w:rFonts w:ascii="arial" w:hAnsi="arial"/>
          <w:i/>
          <w:sz w:val="18"/>
        </w:rPr>
        <w:t>Payment for Performance Units</w:t>
      </w:r>
      <w:r>
        <w:rPr>
          <w:rFonts w:ascii="arial" w:hAnsi="arial"/>
          <w:sz w:val="18"/>
        </w:rPr>
        <w:t xml:space="preserve">. As soon as practicable following the end of a Performance Period but not later than 90 days after the end of a Performance Period, the Committee shall determine whether the Performance Objectives for the Performance Period have been achieved (or partially achieved to the extent necessary to permit partial vesting at the discretion of the Committee pursuant to Section 12.03). If the Performance Objectives for the Performance Period have been exceeded, the Committee shall determine whether additional Performance Units shall be granted to the Participant pursuant </w:t>
      </w:r>
    </w:p>
    <w:p>
      <w:pPr>
        <w:pStyle w:val="TextBody"/>
        <w:bidi w:val="0"/>
        <w:spacing w:before="0" w:after="0"/>
        <w:jc w:val="left"/>
        <w:rPr/>
      </w:pPr>
      <w:r>
        <w:rPr/>
        <w:t> </w:t>
      </w:r>
    </w:p>
    <w:tbl>
      <w:tblPr>
        <w:tblW w:w="3212" w:type="dxa"/>
        <w:jc w:val="left"/>
        <w:tblInd w:w="0" w:type="dxa"/>
        <w:tblLayout w:type="fixed"/>
        <w:tblCellMar>
          <w:top w:w="0" w:type="dxa"/>
          <w:left w:w="0" w:type="dxa"/>
          <w:bottom w:w="0" w:type="dxa"/>
          <w:right w:w="0" w:type="dxa"/>
        </w:tblCellMar>
      </w:tblPr>
      <w:tblGrid>
        <w:gridCol w:w="292"/>
        <w:gridCol w:w="60"/>
        <w:gridCol w:w="755"/>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72"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61" descr=""/>
                          <pic:cNvPicPr>
                            <a:picLocks noChangeAspect="1" noChangeArrowheads="1"/>
                          </pic:cNvPicPr>
                        </pic:nvPicPr>
                        <pic:blipFill>
                          <a:blip r:embed="rId162"/>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tLeast" w:line="180" w:before="0" w:after="0"/>
              <w:jc w:val="center"/>
              <w:rPr>
                <w:color w:val="F7ACBA"/>
              </w:rPr>
            </w:pPr>
            <w:r>
              <w:rPr>
                <w:color w:val="F7ACBA"/>
              </w:rPr>
              <w:t> </w:t>
            </w:r>
            <w:r>
              <w:rPr>
                <w:rFonts w:ascii="Times New Roman" w:hAnsi="Times New Roman"/>
                <w:b/>
                <w:color w:val="F7ACBA"/>
                <w:sz w:val="24"/>
              </w:rPr>
              <w:t>C-11 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APPENDIX C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to Section 12.03. Within 90 days after the end of a Performance Period, provided the Committee determines the Performance Objectives have been achieved or partially achieved pursuant to Section 12.03, if the Award Agreement specifies that each Performance Unit is deemed to be equivalent to one (1) share of Common Stock, the Company shall pay to the Participant an amount with respect to each vested Performance Unit equal to the Fair Market Value of a share of Common Stock on such payment date or, if the Committee shall so specify at the time of grant, an amount equal to 1) the Fair Market Value of a share of Common Stock on the payment date less 2) the Fair Market Value of a share of Common Stock on the date of grant of the Performance Unit. If the Award Agreement specifies a value for each Performance Unit or sets forth a formula for determining the value of each Performance Unit at the time of payment, then within 90 days after the end of a Performance Period, provided the Committee determines the Performance Objectives have been achieved or partially achieved pursuant to Section 12.03, the Company shall pay to the Participant an amount with respect to each vested Performance Unit equal to the Ending Value of the Performance Unit or, if the Committee shall so specify at the time of grant, an amount equal to (i) the Ending Value of the Performance Unit less (ii) the Initial Value of the Performance Unit. Payment shall be made entirely in cash, entirely in Common Stock or in such combination of cash and Common Stock as the Committee shall determine. The Committee may, in its discretion, permit the deferral of settlement of vested Performance Units pursuant to procedures consistent with those applicable to the deferral of settlement of RSUs under Sections 11.08 and 11.09 above, subject to any exceptions or requirements under Section 409A of the Code and the regulations thereunder. </w:t>
      </w:r>
    </w:p>
    <w:p>
      <w:pPr>
        <w:pStyle w:val="TextBody"/>
        <w:bidi w:val="0"/>
        <w:spacing w:before="120" w:after="0"/>
        <w:jc w:val="left"/>
        <w:rPr>
          <w:rFonts w:ascii="arial" w:hAnsi="arial"/>
          <w:sz w:val="18"/>
        </w:rPr>
      </w:pPr>
      <w:r>
        <w:rPr>
          <w:rFonts w:ascii="arial" w:hAnsi="arial"/>
          <w:sz w:val="18"/>
        </w:rPr>
        <w:t>12.05. </w:t>
      </w:r>
      <w:r>
        <w:rPr>
          <w:rFonts w:ascii="arial" w:hAnsi="arial"/>
          <w:i/>
          <w:sz w:val="18"/>
        </w:rPr>
        <w:t>Voting and Dividend Rights</w:t>
      </w:r>
      <w:r>
        <w:rPr>
          <w:rFonts w:ascii="arial" w:hAnsi="arial"/>
          <w:sz w:val="18"/>
        </w:rPr>
        <w:t xml:space="preserve">. No Participant shall be entitled to any voting rights, to receive any dividends, or to have his or her Performance Unit Account credited or increased as a result of any dividends or other distribution with respect to shares of Common Stock. In the event of the payment of a dividend or other distribution in connection with the shares of Common Stock, Participants may, at the discretion of the Committee, receive such dividend or distribution equivalent subject to the same restrictions and vesting conditions as the underlying Performance Units. The Committee may, in its discretion, specify in the applicable Award Agreement that any or all dividend or other distribution equivalents paid on the shares of Common Stock underlying a Participant’s Performance Units prior to the vesting of the Participant’s Performance Units be credited to the Participant in cash or in a number of additional Performance Units having an aggregate Fair Market Value equal to the dividend per share paid on the Common Stock multiplied by the number of Performance Units credited to the Participant’s account at the time the dividend was declared. Such cash right or additional Performance Units credited to the Participant in relation to dividend or other distribution equivalents paid with respect to a Performance Unit shall be subject to the same restrictions and satisfaction of the same Performance Objectives as applicable to such Performance Unit. All distributions or credits in respect of distributions, if any, received by a Participant with respect to Performance Units as a result of any stock split-up, stock distribution, a combination of shares, or other similar transaction shall be subject to the restrictions of this Article XII and the adjustment provisions of Article XVI. </w:t>
      </w:r>
    </w:p>
    <w:p>
      <w:pPr>
        <w:pStyle w:val="TextBody"/>
        <w:bidi w:val="0"/>
        <w:spacing w:before="240" w:after="0"/>
        <w:jc w:val="center"/>
        <w:rPr>
          <w:rFonts w:ascii="arial" w:hAnsi="arial"/>
          <w:b/>
          <w:sz w:val="24"/>
        </w:rPr>
      </w:pPr>
      <w:r>
        <w:rPr>
          <w:rFonts w:ascii="arial" w:hAnsi="arial"/>
          <w:b/>
          <w:sz w:val="24"/>
        </w:rPr>
        <w:t xml:space="preserve">ARTICLE XIII </w:t>
      </w:r>
    </w:p>
    <w:p>
      <w:pPr>
        <w:pStyle w:val="TextBody"/>
        <w:bidi w:val="0"/>
        <w:spacing w:before="120" w:after="0"/>
        <w:jc w:val="center"/>
        <w:rPr>
          <w:rFonts w:ascii="arial" w:hAnsi="arial"/>
          <w:b/>
          <w:sz w:val="24"/>
        </w:rPr>
      </w:pPr>
      <w:r>
        <w:rPr>
          <w:rFonts w:ascii="arial" w:hAnsi="arial"/>
          <w:b/>
          <w:sz w:val="24"/>
        </w:rPr>
        <w:t xml:space="preserve">UNRESTRICTED SHARES </w:t>
      </w:r>
    </w:p>
    <w:p>
      <w:pPr>
        <w:pStyle w:val="TextBody"/>
        <w:bidi w:val="0"/>
        <w:spacing w:before="120" w:after="0"/>
        <w:jc w:val="left"/>
        <w:rPr>
          <w:rFonts w:ascii="arial" w:hAnsi="arial"/>
          <w:sz w:val="18"/>
        </w:rPr>
      </w:pPr>
      <w:r>
        <w:rPr>
          <w:rFonts w:ascii="arial" w:hAnsi="arial"/>
          <w:sz w:val="18"/>
        </w:rPr>
        <w:t>13.01. </w:t>
      </w:r>
      <w:r>
        <w:rPr>
          <w:rFonts w:ascii="arial" w:hAnsi="arial"/>
          <w:i/>
          <w:sz w:val="18"/>
        </w:rPr>
        <w:t>Award of Unrestricted Shares</w:t>
      </w:r>
      <w:r>
        <w:rPr>
          <w:rFonts w:ascii="arial" w:hAnsi="arial"/>
          <w:sz w:val="18"/>
        </w:rPr>
        <w:t xml:space="preserve">. The Committee may cause the Company to grant Unrestricted Shares to associates at such time or times, in such amounts and for such reasons as the Committee, in its sole discretion, shall determine. Except to the extent required by applicable law, no payment shall be required for Unrestricted Shares. </w:t>
      </w:r>
    </w:p>
    <w:p>
      <w:pPr>
        <w:pStyle w:val="TextBody"/>
        <w:bidi w:val="0"/>
        <w:spacing w:before="120" w:after="0"/>
        <w:jc w:val="left"/>
        <w:rPr>
          <w:rFonts w:ascii="arial" w:hAnsi="arial"/>
          <w:sz w:val="18"/>
        </w:rPr>
      </w:pPr>
      <w:r>
        <w:rPr>
          <w:rFonts w:ascii="arial" w:hAnsi="arial"/>
          <w:sz w:val="18"/>
        </w:rPr>
        <w:t>13.02. </w:t>
      </w:r>
      <w:r>
        <w:rPr>
          <w:rFonts w:ascii="arial" w:hAnsi="arial"/>
          <w:i/>
          <w:sz w:val="18"/>
        </w:rPr>
        <w:t>Delivery of Unrestricted Shares</w:t>
      </w:r>
      <w:r>
        <w:rPr>
          <w:rFonts w:ascii="arial" w:hAnsi="arial"/>
          <w:sz w:val="18"/>
        </w:rPr>
        <w:t xml:space="preserve">. The Company shall issue, in the name of each Participant to whom Unrestricted Shares have been granted, stock certificates representing the total number of Unrestricted Shares granted to the Participant, and shall deliver such certificates to the Participant on a fixed or objectively determinable date of payment, which shall be set forth at the time of grant. </w:t>
      </w:r>
    </w:p>
    <w:p>
      <w:pPr>
        <w:pStyle w:val="TextBody"/>
        <w:bidi w:val="0"/>
        <w:spacing w:before="120" w:after="0"/>
        <w:jc w:val="left"/>
        <w:rPr>
          <w:rFonts w:ascii="arial" w:hAnsi="arial"/>
          <w:sz w:val="18"/>
        </w:rPr>
      </w:pPr>
      <w:r>
        <w:rPr>
          <w:rFonts w:ascii="arial" w:hAnsi="arial"/>
          <w:sz w:val="18"/>
        </w:rPr>
        <w:t>13.03. </w:t>
      </w:r>
      <w:r>
        <w:rPr>
          <w:rFonts w:ascii="arial" w:hAnsi="arial"/>
          <w:i/>
          <w:sz w:val="18"/>
        </w:rPr>
        <w:t>Deferred Share Units</w:t>
      </w:r>
      <w:r>
        <w:rPr>
          <w:rFonts w:ascii="arial" w:hAnsi="arial"/>
          <w:sz w:val="18"/>
        </w:rPr>
        <w:t xml:space="preserve">. The Committee may permit a Participant who has been designated to receive an Unrestricted Share Award to elect to receive such Unrestricted Share Award in the form of Deferred Share Units. </w:t>
      </w:r>
    </w:p>
    <w:p>
      <w:pPr>
        <w:pStyle w:val="TextBody"/>
        <w:bidi w:val="0"/>
        <w:spacing w:before="120" w:after="0"/>
        <w:jc w:val="left"/>
        <w:rPr>
          <w:rFonts w:ascii="arial" w:hAnsi="arial"/>
          <w:sz w:val="18"/>
        </w:rPr>
      </w:pPr>
      <w:r>
        <w:rPr>
          <w:rFonts w:ascii="arial" w:hAnsi="arial"/>
          <w:sz w:val="18"/>
        </w:rPr>
        <w:t xml:space="preserve">Any such election must be made on or before December 31 of the calendar year prior to the year the compensation attributable to such Award (or any portion of such Award) is earned, and shall be irrevocable after such date, and further shall comply with the rules set forth in Section 11.08, which apply to deferral elections, including such rules relating to invalid and valid but incomplete deferral elections. At no time shall any assets of the Company be segregated for payment of Deferred </w:t>
      </w:r>
    </w:p>
    <w:p>
      <w:pPr>
        <w:pStyle w:val="TextBody"/>
        <w:bidi w:val="0"/>
        <w:spacing w:before="0" w:after="0"/>
        <w:jc w:val="left"/>
        <w:rPr/>
      </w:pPr>
      <w:r>
        <w:rPr/>
        <w:t> </w:t>
      </w:r>
    </w:p>
    <w:tbl>
      <w:tblPr>
        <w:tblW w:w="3212" w:type="dxa"/>
        <w:jc w:val="left"/>
        <w:tblInd w:w="0" w:type="dxa"/>
        <w:tblLayout w:type="fixed"/>
        <w:tblCellMar>
          <w:top w:w="0" w:type="dxa"/>
          <w:left w:w="0" w:type="dxa"/>
          <w:bottom w:w="0" w:type="dxa"/>
          <w:right w:w="0" w:type="dxa"/>
        </w:tblCellMar>
      </w:tblPr>
      <w:tblGrid>
        <w:gridCol w:w="292"/>
        <w:gridCol w:w="60"/>
        <w:gridCol w:w="755"/>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73"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62" descr=""/>
                          <pic:cNvPicPr>
                            <a:picLocks noChangeAspect="1" noChangeArrowheads="1"/>
                          </pic:cNvPicPr>
                        </pic:nvPicPr>
                        <pic:blipFill>
                          <a:blip r:embed="rId163"/>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tLeast" w:line="180" w:before="0" w:after="0"/>
              <w:jc w:val="center"/>
              <w:rPr>
                <w:color w:val="F7ACBA"/>
              </w:rPr>
            </w:pPr>
            <w:r>
              <w:rPr>
                <w:color w:val="F7ACBA"/>
              </w:rPr>
              <w:t> </w:t>
            </w:r>
            <w:r>
              <w:rPr>
                <w:rFonts w:ascii="Times New Roman" w:hAnsi="Times New Roman"/>
                <w:b/>
                <w:color w:val="F7ACBA"/>
                <w:sz w:val="24"/>
              </w:rPr>
              <w:t>C-12 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APPENDIX C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Share Units hereunder. Participants who have elected to receive Unrestricted Shares in the form of Deferred Share Units shall at all times have the status of general unsecured creditors of the Company and shall not have any rights in or against specific assets of the Company. The Plan constitutes a mere promise by the Company to make payments on Deferred Share Units in the future. </w:t>
      </w:r>
    </w:p>
    <w:p>
      <w:pPr>
        <w:pStyle w:val="TextBody"/>
        <w:bidi w:val="0"/>
        <w:spacing w:before="120" w:after="0"/>
        <w:jc w:val="left"/>
        <w:rPr>
          <w:rFonts w:ascii="arial" w:hAnsi="arial"/>
          <w:sz w:val="18"/>
        </w:rPr>
      </w:pPr>
      <w:r>
        <w:rPr>
          <w:rFonts w:ascii="arial" w:hAnsi="arial"/>
          <w:sz w:val="18"/>
        </w:rPr>
        <w:t xml:space="preserve">After the Award of Deferred Share Units to the Participant and prior to the time that shares of Common Stock are transferred to the Participant pursuant to Section 13.04, within sixty (60) days after the date of payment of a dividend by the Company on its shares of Common Stock, the Participant shall be credited with “dividend equivalents” with respect to each outstanding Deferred Share Unit in an amount equal to the amount the Participant would have received as dividends if the Deferred Share Units were actual shares of Common Stock. Such dividend equivalents will be converted into additional Deferred Share Units based on the Fair Market Value of the Common Stock on the dividend payment date, in accordance with the procedures established by the Committee, and paid at the same time and in the same manner as the underlying Deferred Share Units. </w:t>
      </w:r>
    </w:p>
    <w:p>
      <w:pPr>
        <w:pStyle w:val="TextBody"/>
        <w:bidi w:val="0"/>
        <w:spacing w:before="120" w:after="0"/>
        <w:jc w:val="left"/>
        <w:rPr>
          <w:rFonts w:ascii="arial" w:hAnsi="arial"/>
          <w:sz w:val="18"/>
        </w:rPr>
      </w:pPr>
      <w:r>
        <w:rPr>
          <w:rFonts w:ascii="arial" w:hAnsi="arial"/>
          <w:sz w:val="18"/>
        </w:rPr>
        <w:t>13.04. </w:t>
      </w:r>
      <w:r>
        <w:rPr>
          <w:rFonts w:ascii="arial" w:hAnsi="arial"/>
          <w:i/>
          <w:sz w:val="18"/>
        </w:rPr>
        <w:t>Payment of Deferred Share Units</w:t>
      </w:r>
      <w:r>
        <w:rPr>
          <w:rFonts w:ascii="arial" w:hAnsi="arial"/>
          <w:sz w:val="18"/>
        </w:rPr>
        <w:t xml:space="preserve">. Deferred Share Units are payable solely in shares of unrestricted Common Stock, and shall be paid in accordance with the terms of delivery under Section 13.03 and this Section 13.04. Shares applicable to such Awards shall be transferred to the Participant at the time and in the form as elected by the Participant and as set forth in the terms and conditions applicable to such Awards, which shall be either in a single payment or in up to ten (10) installment payments. </w:t>
      </w:r>
    </w:p>
    <w:p>
      <w:pPr>
        <w:pStyle w:val="TextBody"/>
        <w:bidi w:val="0"/>
        <w:spacing w:before="120" w:after="0"/>
        <w:jc w:val="left"/>
        <w:rPr>
          <w:rFonts w:ascii="arial" w:hAnsi="arial"/>
          <w:sz w:val="18"/>
        </w:rPr>
      </w:pPr>
      <w:r>
        <w:rPr>
          <w:rFonts w:ascii="arial" w:hAnsi="arial"/>
          <w:sz w:val="18"/>
        </w:rPr>
        <w:t xml:space="preserve">If a lump sum distribution is elected, the payment shall be made on the date provided in, and in accordance with, the terms and conditions applicable to the Award. If installment distributions are elected, the initial installment shall be paid on the date provided in, and in accordance with, the terms and conditions applicable to the Award. Subsequent installments shall be made on each anniversary of the initial installment and shall continue for the duration of the selected distribution period. If the Participant dies prior to the time all shares have been distributed, distribution shall be made to the Participant’s beneficiary or estate on the payment date provided in, and in accordance with, the terms and conditions applicable to the Award. A Participant shall have no rights as a shareholder with respect to Deferred Share Units until such time, if any, as shares of Common Stock are transferred to the Participant (or the Participant’s beneficiary or estate, if applicable). Notwithstanding the above, if the Participant is a Specified Employee and is entitled to receive payment upon Termination of Service or on a date determinable based on the date of Termination of Service (and not a pre-determined fixed date or schedule), then, except in the event of the Participant’s death after such Termination of Service, such payment (or in the case of installments, the first payment) shall be delayed by at least six (6) months after the date of such Participant’s Termination of Service, to the extent required by Section 409A of the Code and the regulations thereunder; in this event, subsequent installment payments shall occur on the anniversary of the first delayed installment payment. </w:t>
      </w:r>
    </w:p>
    <w:p>
      <w:pPr>
        <w:pStyle w:val="TextBody"/>
        <w:bidi w:val="0"/>
        <w:spacing w:before="120" w:after="0"/>
        <w:jc w:val="left"/>
        <w:rPr>
          <w:rFonts w:ascii="arial" w:hAnsi="arial"/>
          <w:sz w:val="18"/>
        </w:rPr>
      </w:pPr>
      <w:r>
        <w:rPr>
          <w:rFonts w:ascii="arial" w:hAnsi="arial"/>
          <w:sz w:val="18"/>
        </w:rPr>
        <w:t xml:space="preserve">Provided that the terms and conditions applicable to a Deferred Share Unit Award permit it, a Participant may change the Participant’s distribution election, provided such change in distribution election shall comply with the procedures and rules set forth in Section 11.09 which apply to change in distribution elections, including such rules relating to invalid and valid but incomplete change in distribution elections. </w:t>
      </w:r>
    </w:p>
    <w:p>
      <w:pPr>
        <w:pStyle w:val="TextBody"/>
        <w:bidi w:val="0"/>
        <w:spacing w:before="240" w:after="0"/>
        <w:jc w:val="center"/>
        <w:rPr>
          <w:rFonts w:ascii="arial" w:hAnsi="arial"/>
          <w:b/>
          <w:sz w:val="24"/>
        </w:rPr>
      </w:pPr>
      <w:r>
        <w:rPr>
          <w:rFonts w:ascii="arial" w:hAnsi="arial"/>
          <w:b/>
          <w:sz w:val="24"/>
        </w:rPr>
        <w:t xml:space="preserve">ARTICLE XIV </w:t>
      </w:r>
    </w:p>
    <w:p>
      <w:pPr>
        <w:pStyle w:val="TextBody"/>
        <w:bidi w:val="0"/>
        <w:spacing w:before="120" w:after="0"/>
        <w:jc w:val="center"/>
        <w:rPr>
          <w:rFonts w:ascii="arial" w:hAnsi="arial"/>
          <w:b/>
          <w:sz w:val="24"/>
        </w:rPr>
      </w:pPr>
      <w:r>
        <w:rPr>
          <w:rFonts w:ascii="arial" w:hAnsi="arial"/>
          <w:b/>
          <w:sz w:val="24"/>
        </w:rPr>
        <w:t xml:space="preserve">CONVERTED AWARDS AND REPLACEMENT AWARDS </w:t>
      </w:r>
    </w:p>
    <w:p>
      <w:pPr>
        <w:pStyle w:val="TextBody"/>
        <w:bidi w:val="0"/>
        <w:spacing w:before="120" w:after="0"/>
        <w:jc w:val="left"/>
        <w:rPr>
          <w:rFonts w:ascii="arial" w:hAnsi="arial"/>
          <w:sz w:val="18"/>
        </w:rPr>
      </w:pPr>
      <w:r>
        <w:rPr>
          <w:rFonts w:ascii="arial" w:hAnsi="arial"/>
          <w:sz w:val="18"/>
        </w:rPr>
        <w:t>14.01. </w:t>
      </w:r>
      <w:r>
        <w:rPr>
          <w:rFonts w:ascii="arial" w:hAnsi="arial"/>
          <w:i/>
          <w:sz w:val="18"/>
        </w:rPr>
        <w:t>Converted Awards and Replacement Awards</w:t>
      </w:r>
      <w:r>
        <w:rPr>
          <w:rFonts w:ascii="arial" w:hAnsi="arial"/>
          <w:sz w:val="18"/>
        </w:rPr>
        <w:t xml:space="preserve">. Notwithstanding anything in the Plan to the contrary, Converted Awards and Replacement Awards shall be granted under the Plan in accordance with the terms of the Employee Matters Agreement, and may be granted under the Plan in the form of any type of Award, as determined in accordance with the Employee Matters Agreement. Notwithstanding anything in the Plan to the contrary, the terms and conditions of the Plan will apply to Converted Awards and Replacement Awards only to the extent that such terms and conditions are not inconsistent with the terms of the Employee Matters Agreement and the terms of the applicable Converted Awards and Replacement Awards as contemplated by the Employee Matters Agreement. </w:t>
      </w:r>
    </w:p>
    <w:p>
      <w:pPr>
        <w:pStyle w:val="TextBody"/>
        <w:bidi w:val="0"/>
        <w:spacing w:before="0" w:after="0"/>
        <w:jc w:val="left"/>
        <w:rPr/>
      </w:pPr>
      <w:r>
        <w:rPr/>
        <w:t> </w:t>
      </w:r>
    </w:p>
    <w:tbl>
      <w:tblPr>
        <w:tblW w:w="3212" w:type="dxa"/>
        <w:jc w:val="left"/>
        <w:tblInd w:w="0" w:type="dxa"/>
        <w:tblLayout w:type="fixed"/>
        <w:tblCellMar>
          <w:top w:w="0" w:type="dxa"/>
          <w:left w:w="0" w:type="dxa"/>
          <w:bottom w:w="0" w:type="dxa"/>
          <w:right w:w="0" w:type="dxa"/>
        </w:tblCellMar>
      </w:tblPr>
      <w:tblGrid>
        <w:gridCol w:w="292"/>
        <w:gridCol w:w="60"/>
        <w:gridCol w:w="755"/>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74"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63" descr=""/>
                          <pic:cNvPicPr>
                            <a:picLocks noChangeAspect="1" noChangeArrowheads="1"/>
                          </pic:cNvPicPr>
                        </pic:nvPicPr>
                        <pic:blipFill>
                          <a:blip r:embed="rId164"/>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tLeast" w:line="180" w:before="0" w:after="0"/>
              <w:jc w:val="center"/>
              <w:rPr>
                <w:color w:val="F7ACBA"/>
              </w:rPr>
            </w:pPr>
            <w:r>
              <w:rPr>
                <w:color w:val="F7ACBA"/>
              </w:rPr>
              <w:t> </w:t>
            </w:r>
            <w:r>
              <w:rPr>
                <w:rFonts w:ascii="Times New Roman" w:hAnsi="Times New Roman"/>
                <w:b/>
                <w:color w:val="F7ACBA"/>
                <w:sz w:val="24"/>
              </w:rPr>
              <w:t>C-13 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APPENDIX C </w:t>
      </w:r>
    </w:p>
    <w:p>
      <w:pPr>
        <w:pStyle w:val="TextBody"/>
        <w:bidi w:val="0"/>
        <w:spacing w:before="0" w:after="0"/>
        <w:jc w:val="left"/>
        <w:rPr/>
      </w:pPr>
      <w:r>
        <w:rPr/>
        <w:t> </w:t>
      </w:r>
    </w:p>
    <w:p>
      <w:pPr>
        <w:pStyle w:val="TextBody"/>
        <w:bidi w:val="0"/>
        <w:spacing w:before="0" w:after="0"/>
        <w:jc w:val="center"/>
        <w:rPr>
          <w:rFonts w:ascii="arial" w:hAnsi="arial"/>
          <w:b/>
          <w:sz w:val="24"/>
        </w:rPr>
      </w:pPr>
      <w:r>
        <w:rPr>
          <w:rFonts w:ascii="arial" w:hAnsi="arial"/>
          <w:b/>
          <w:sz w:val="24"/>
        </w:rPr>
        <w:t xml:space="preserve">ARTICLE XV </w:t>
      </w:r>
    </w:p>
    <w:p>
      <w:pPr>
        <w:pStyle w:val="TextBody"/>
        <w:bidi w:val="0"/>
        <w:spacing w:before="120" w:after="0"/>
        <w:jc w:val="center"/>
        <w:rPr>
          <w:rFonts w:ascii="arial" w:hAnsi="arial"/>
          <w:b/>
          <w:sz w:val="24"/>
        </w:rPr>
      </w:pPr>
      <w:r>
        <w:rPr>
          <w:rFonts w:ascii="arial" w:hAnsi="arial"/>
          <w:b/>
          <w:sz w:val="24"/>
        </w:rPr>
        <w:t xml:space="preserve">CLAWBACK </w:t>
      </w:r>
    </w:p>
    <w:p>
      <w:pPr>
        <w:pStyle w:val="TextBody"/>
        <w:bidi w:val="0"/>
        <w:spacing w:before="120" w:after="0"/>
        <w:jc w:val="left"/>
        <w:rPr>
          <w:rFonts w:ascii="arial" w:hAnsi="arial"/>
          <w:sz w:val="18"/>
        </w:rPr>
      </w:pPr>
      <w:r>
        <w:rPr>
          <w:rFonts w:ascii="arial" w:hAnsi="arial"/>
          <w:sz w:val="18"/>
        </w:rPr>
        <w:t>15.01. </w:t>
      </w:r>
      <w:r>
        <w:rPr>
          <w:rFonts w:ascii="arial" w:hAnsi="arial"/>
          <w:i/>
          <w:sz w:val="18"/>
        </w:rPr>
        <w:t>Clawback</w:t>
      </w:r>
      <w:r>
        <w:rPr>
          <w:rFonts w:ascii="arial" w:hAnsi="arial"/>
          <w:sz w:val="18"/>
        </w:rPr>
        <w:t xml:space="preserve">. If the Committee determines in good faith either that: 1) if required by applicable law with respect to a Participant or 2) (x) a Participant engaged in fraudulent conduct or activities relating to the Company, (y) a Participant has knowledge of such conduct or activities or (z) a Participant, based upon the Participant’s position, duties or responsibilities, should have had knowledge of such conduct or activities, the Committee shall have the power and authority under the Plan to terminate without payment all of such Participant’s outstanding Awards. If required by applicable law with respect to a Participant or if a Participant described in (ii) above has received any compensation pursuant to an Award that is based on or results from such conduct or activities, such Participant shall promptly reimburse to the Company a sum equal to either an amount required by such law or the amount of such compensation paid in respect of the year in which such conduct or activities occurred, as applicable. Notwithstanding anything to the contrary contained herein, any Awards (including any amounts or benefits arising from such Awards) shall be subject to any clawback or recoupment arrangements or policies the Company has in place from time to time, as may be adopted or amended by the Board or the Committee at any time in its discretion, and the Committee may, to the extent permitted by applicable law and stock exchange rules or by any applicable Company policy or arrangement, and shall, to the extent required, cancel or require reimbursement of any Awards granted to the Participant or any shares of Common Stock issued or cash received upon vesting, exercise or settlement of any such Awards or sale of shares of Common Stock underlying such Awards. </w:t>
      </w:r>
    </w:p>
    <w:p>
      <w:pPr>
        <w:pStyle w:val="TextBody"/>
        <w:bidi w:val="0"/>
        <w:spacing w:before="240" w:after="0"/>
        <w:jc w:val="center"/>
        <w:rPr>
          <w:rFonts w:ascii="arial" w:hAnsi="arial"/>
          <w:b/>
          <w:sz w:val="24"/>
        </w:rPr>
      </w:pPr>
      <w:r>
        <w:rPr>
          <w:rFonts w:ascii="arial" w:hAnsi="arial"/>
          <w:b/>
          <w:sz w:val="24"/>
        </w:rPr>
        <w:t xml:space="preserve">ARTICLE XVI </w:t>
      </w:r>
    </w:p>
    <w:p>
      <w:pPr>
        <w:pStyle w:val="TextBody"/>
        <w:bidi w:val="0"/>
        <w:spacing w:before="120" w:after="0"/>
        <w:jc w:val="center"/>
        <w:rPr>
          <w:rFonts w:ascii="arial" w:hAnsi="arial"/>
          <w:b/>
          <w:sz w:val="24"/>
        </w:rPr>
      </w:pPr>
      <w:r>
        <w:rPr>
          <w:rFonts w:ascii="arial" w:hAnsi="arial"/>
          <w:b/>
          <w:sz w:val="24"/>
        </w:rPr>
        <w:t xml:space="preserve">ADJUSTMENTS; REPRICING </w:t>
      </w:r>
    </w:p>
    <w:p>
      <w:pPr>
        <w:pStyle w:val="TextBody"/>
        <w:bidi w:val="0"/>
        <w:spacing w:before="120" w:after="0"/>
        <w:jc w:val="left"/>
        <w:rPr>
          <w:rFonts w:ascii="arial" w:hAnsi="arial"/>
          <w:sz w:val="18"/>
        </w:rPr>
      </w:pPr>
      <w:r>
        <w:rPr>
          <w:rFonts w:ascii="arial" w:hAnsi="arial"/>
          <w:sz w:val="18"/>
        </w:rPr>
        <w:t>16.01. </w:t>
      </w:r>
      <w:r>
        <w:rPr>
          <w:rFonts w:ascii="arial" w:hAnsi="arial"/>
          <w:i/>
          <w:sz w:val="18"/>
        </w:rPr>
        <w:t>Adjustments</w:t>
      </w:r>
      <w:r>
        <w:rPr>
          <w:rFonts w:ascii="arial" w:hAnsi="arial"/>
          <w:sz w:val="18"/>
        </w:rPr>
        <w:t xml:space="preserve">. Notwithstanding any other provision of the Plan, the Committee shall make or provide for such adjustments to the Plan, to the number and class of shares available thereunder or to any outstanding Options, Stock Appreciation Rights, Restricted Shares, RSUs, Performance Units or other Awards as it shall deem appropriate to prevent dilution or enlargement of rights, including adjustments in the event of changes in the number of shares of outstanding Common Stock by reason of stock dividends, extraordinary cash dividends, split-ups, recapitalizations, mergers, consolidations, combinations or exchanges of shares, separations, reorganizations, liquidations and the like. However, any such adjustment with respect to Options and Stock Appreciation Rights shall satisfy the requirements of Treas. Reg. §1.409A-1(b)(5)(v)(D) and shall otherwise ensure that such Awards continue to be exempt from Section 409A of the Code, and any such adjustment to Awards that are subject to Section 409A of the Code, including RSUs and Performance Units, shall be made to the extent compliant with Section 409A of the Code and the regulations thereunder. </w:t>
      </w:r>
    </w:p>
    <w:p>
      <w:pPr>
        <w:pStyle w:val="TextBody"/>
        <w:bidi w:val="0"/>
        <w:spacing w:before="120" w:after="0"/>
        <w:jc w:val="left"/>
        <w:rPr>
          <w:rFonts w:ascii="arial" w:hAnsi="arial"/>
          <w:sz w:val="18"/>
        </w:rPr>
      </w:pPr>
      <w:r>
        <w:rPr>
          <w:rFonts w:ascii="arial" w:hAnsi="arial"/>
          <w:sz w:val="18"/>
        </w:rPr>
        <w:t>16.02. </w:t>
      </w:r>
      <w:r>
        <w:rPr>
          <w:rFonts w:ascii="arial" w:hAnsi="arial"/>
          <w:i/>
          <w:sz w:val="18"/>
        </w:rPr>
        <w:t>Repricing</w:t>
      </w:r>
      <w:r>
        <w:rPr>
          <w:rFonts w:ascii="arial" w:hAnsi="arial"/>
          <w:sz w:val="18"/>
        </w:rPr>
        <w:t xml:space="preserve">. Except as provided above in connection with a corporate transaction involving the Company (including, without limitation, any stock dividend, stock split, extraordinary cash dividend, recapitalization, reorganization, merger, consolidation, split-up, spin-off, combination or exchange of shares), the terms of outstanding Awards may not be amended to reduce the exercise price of outstanding Options or Stock Appreciation Rights or cancel outstanding Options or Stock Appreciation Rights in exchange for cash, other Awards or Options or Stock Appreciation Rights with an exercise price that is less than the exercise price of the original Options or Stock Appreciation Rights without stockholder approval. </w:t>
      </w:r>
    </w:p>
    <w:p>
      <w:pPr>
        <w:pStyle w:val="TextBody"/>
        <w:bidi w:val="0"/>
        <w:spacing w:before="240" w:after="0"/>
        <w:jc w:val="center"/>
        <w:rPr>
          <w:rFonts w:ascii="arial" w:hAnsi="arial"/>
          <w:b/>
          <w:sz w:val="24"/>
        </w:rPr>
      </w:pPr>
      <w:r>
        <w:rPr>
          <w:rFonts w:ascii="arial" w:hAnsi="arial"/>
          <w:b/>
          <w:sz w:val="24"/>
        </w:rPr>
        <w:t xml:space="preserve">ARTICLE XVII </w:t>
      </w:r>
    </w:p>
    <w:p>
      <w:pPr>
        <w:pStyle w:val="TextBody"/>
        <w:bidi w:val="0"/>
        <w:spacing w:before="120" w:after="0"/>
        <w:jc w:val="center"/>
        <w:rPr>
          <w:rFonts w:ascii="arial" w:hAnsi="arial"/>
          <w:b/>
          <w:sz w:val="24"/>
        </w:rPr>
      </w:pPr>
      <w:r>
        <w:rPr>
          <w:rFonts w:ascii="arial" w:hAnsi="arial"/>
          <w:b/>
          <w:sz w:val="24"/>
        </w:rPr>
        <w:t xml:space="preserve">AMENDMENT AND TERMINATION </w:t>
      </w:r>
    </w:p>
    <w:p>
      <w:pPr>
        <w:pStyle w:val="TextBody"/>
        <w:bidi w:val="0"/>
        <w:spacing w:before="120" w:after="0"/>
        <w:jc w:val="left"/>
        <w:rPr>
          <w:rFonts w:ascii="arial" w:hAnsi="arial"/>
          <w:sz w:val="18"/>
        </w:rPr>
      </w:pPr>
      <w:r>
        <w:rPr>
          <w:rFonts w:ascii="arial" w:hAnsi="arial"/>
          <w:sz w:val="18"/>
        </w:rPr>
        <w:t>17.01. </w:t>
      </w:r>
      <w:r>
        <w:rPr>
          <w:rFonts w:ascii="arial" w:hAnsi="arial"/>
          <w:i/>
          <w:sz w:val="18"/>
        </w:rPr>
        <w:t>Amendment and Termination</w:t>
      </w:r>
      <w:r>
        <w:rPr>
          <w:rFonts w:ascii="arial" w:hAnsi="arial"/>
          <w:sz w:val="18"/>
        </w:rPr>
        <w:t xml:space="preserve">. The Board may suspend, terminate, modify or amend the Plan, provided that any amendment that would constitute a “material revision” of the Plan within the meaning of New York Stock Exchange Rule 303A(8) shall be subject to the approval of the Company’s stockholders. If the Plan is terminated, the terms of the Plan shall, notwithstanding such termination, continue to apply to Awards granted prior to such termination. No suspension, termination, modification or amendment of the Plan may, without the consent of the Participant to whom an Award shall theretofore have been granted, materially adversely affect the rights of such Participant under such Award, except to the extent any such action is undertaken to cause the Plan to comply with applicable law, stock market or exchange rules and regulations or accounting or tax rules and regulations. </w:t>
      </w:r>
    </w:p>
    <w:p>
      <w:pPr>
        <w:pStyle w:val="TextBody"/>
        <w:bidi w:val="0"/>
        <w:spacing w:before="0" w:after="0"/>
        <w:jc w:val="left"/>
        <w:rPr/>
      </w:pPr>
      <w:r>
        <w:rPr/>
        <w:t> </w:t>
      </w:r>
    </w:p>
    <w:tbl>
      <w:tblPr>
        <w:tblW w:w="3212" w:type="dxa"/>
        <w:jc w:val="left"/>
        <w:tblInd w:w="0" w:type="dxa"/>
        <w:tblLayout w:type="fixed"/>
        <w:tblCellMar>
          <w:top w:w="0" w:type="dxa"/>
          <w:left w:w="0" w:type="dxa"/>
          <w:bottom w:w="0" w:type="dxa"/>
          <w:right w:w="0" w:type="dxa"/>
        </w:tblCellMar>
      </w:tblPr>
      <w:tblGrid>
        <w:gridCol w:w="292"/>
        <w:gridCol w:w="60"/>
        <w:gridCol w:w="755"/>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75"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64" descr=""/>
                          <pic:cNvPicPr>
                            <a:picLocks noChangeAspect="1" noChangeArrowheads="1"/>
                          </pic:cNvPicPr>
                        </pic:nvPicPr>
                        <pic:blipFill>
                          <a:blip r:embed="rId165"/>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tLeast" w:line="180" w:before="0" w:after="0"/>
              <w:jc w:val="center"/>
              <w:rPr>
                <w:color w:val="F7ACBA"/>
              </w:rPr>
            </w:pPr>
            <w:r>
              <w:rPr>
                <w:color w:val="F7ACBA"/>
              </w:rPr>
              <w:t> </w:t>
            </w:r>
            <w:r>
              <w:rPr>
                <w:rFonts w:ascii="Times New Roman" w:hAnsi="Times New Roman"/>
                <w:b/>
                <w:color w:val="F7ACBA"/>
                <w:sz w:val="24"/>
              </w:rPr>
              <w:t>C-14 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APPENDIX C </w:t>
      </w:r>
    </w:p>
    <w:p>
      <w:pPr>
        <w:pStyle w:val="TextBody"/>
        <w:bidi w:val="0"/>
        <w:spacing w:before="0" w:after="0"/>
        <w:jc w:val="left"/>
        <w:rPr/>
      </w:pPr>
      <w:r>
        <w:rPr/>
        <w:t> </w:t>
      </w:r>
    </w:p>
    <w:p>
      <w:pPr>
        <w:pStyle w:val="TextBody"/>
        <w:bidi w:val="0"/>
        <w:spacing w:before="0" w:after="0"/>
        <w:jc w:val="center"/>
        <w:rPr>
          <w:rFonts w:ascii="arial" w:hAnsi="arial"/>
          <w:b/>
          <w:sz w:val="24"/>
        </w:rPr>
      </w:pPr>
      <w:r>
        <w:rPr>
          <w:rFonts w:ascii="arial" w:hAnsi="arial"/>
          <w:b/>
          <w:sz w:val="24"/>
        </w:rPr>
        <w:t xml:space="preserve">ARTICLE XVIII </w:t>
      </w:r>
    </w:p>
    <w:p>
      <w:pPr>
        <w:pStyle w:val="TextBody"/>
        <w:bidi w:val="0"/>
        <w:spacing w:before="120" w:after="0"/>
        <w:jc w:val="center"/>
        <w:rPr>
          <w:rFonts w:ascii="arial" w:hAnsi="arial"/>
          <w:b/>
          <w:sz w:val="24"/>
        </w:rPr>
      </w:pPr>
      <w:r>
        <w:rPr>
          <w:rFonts w:ascii="arial" w:hAnsi="arial"/>
          <w:b/>
          <w:sz w:val="24"/>
        </w:rPr>
        <w:t xml:space="preserve">WRITTEN AGREEMENT </w:t>
      </w:r>
    </w:p>
    <w:p>
      <w:pPr>
        <w:pStyle w:val="TextBody"/>
        <w:bidi w:val="0"/>
        <w:spacing w:before="120" w:after="0"/>
        <w:jc w:val="left"/>
        <w:rPr>
          <w:rFonts w:ascii="arial" w:hAnsi="arial"/>
          <w:sz w:val="18"/>
        </w:rPr>
      </w:pPr>
      <w:r>
        <w:rPr>
          <w:rFonts w:ascii="arial" w:hAnsi="arial"/>
          <w:sz w:val="18"/>
        </w:rPr>
        <w:t>18.01. </w:t>
      </w:r>
      <w:r>
        <w:rPr>
          <w:rFonts w:ascii="arial" w:hAnsi="arial"/>
          <w:i/>
          <w:sz w:val="18"/>
        </w:rPr>
        <w:t>Written Agreements</w:t>
      </w:r>
      <w:r>
        <w:rPr>
          <w:rFonts w:ascii="arial" w:hAnsi="arial"/>
          <w:sz w:val="18"/>
        </w:rPr>
        <w:t>. Each Award shall be evidenced by a written agreement, contract or other instrument (which may be in electronic form), executed or acknowledged by the Participant and the Company in the manner (if any) as determined by the Committee, and containing such restrictions, terms and conditions, if any, as the Committee may require (the “</w:t>
      </w:r>
      <w:r>
        <w:rPr>
          <w:rFonts w:ascii="arial" w:hAnsi="arial"/>
          <w:b/>
          <w:sz w:val="18"/>
        </w:rPr>
        <w:t>Award Agreement</w:t>
      </w:r>
      <w:r>
        <w:rPr>
          <w:rFonts w:ascii="arial" w:hAnsi="arial"/>
          <w:sz w:val="18"/>
        </w:rPr>
        <w:t xml:space="preserve">”). In the event of any conflict between an Award Agreement and the Plan, the terms of the Plan shall govern. </w:t>
      </w:r>
    </w:p>
    <w:p>
      <w:pPr>
        <w:pStyle w:val="TextBody"/>
        <w:bidi w:val="0"/>
        <w:spacing w:before="240" w:after="0"/>
        <w:jc w:val="center"/>
        <w:rPr>
          <w:rFonts w:ascii="arial" w:hAnsi="arial"/>
          <w:b/>
          <w:sz w:val="24"/>
        </w:rPr>
      </w:pPr>
      <w:r>
        <w:rPr>
          <w:rFonts w:ascii="arial" w:hAnsi="arial"/>
          <w:b/>
          <w:sz w:val="24"/>
        </w:rPr>
        <w:t xml:space="preserve">ARTICLE XIX </w:t>
      </w:r>
    </w:p>
    <w:p>
      <w:pPr>
        <w:pStyle w:val="TextBody"/>
        <w:bidi w:val="0"/>
        <w:spacing w:before="120" w:after="0"/>
        <w:jc w:val="center"/>
        <w:rPr>
          <w:rFonts w:ascii="arial" w:hAnsi="arial"/>
          <w:b/>
          <w:sz w:val="24"/>
        </w:rPr>
      </w:pPr>
      <w:r>
        <w:rPr>
          <w:rFonts w:ascii="arial" w:hAnsi="arial"/>
          <w:b/>
          <w:sz w:val="24"/>
        </w:rPr>
        <w:t xml:space="preserve">CHANGE IN CONTROL </w:t>
      </w:r>
    </w:p>
    <w:p>
      <w:pPr>
        <w:pStyle w:val="TextBody"/>
        <w:bidi w:val="0"/>
        <w:spacing w:before="120" w:after="0"/>
        <w:jc w:val="left"/>
        <w:rPr>
          <w:rFonts w:ascii="arial" w:hAnsi="arial"/>
          <w:sz w:val="18"/>
        </w:rPr>
      </w:pPr>
      <w:r>
        <w:rPr>
          <w:rFonts w:ascii="arial" w:hAnsi="arial"/>
          <w:sz w:val="18"/>
        </w:rPr>
        <w:t>19.01. </w:t>
      </w:r>
      <w:r>
        <w:rPr>
          <w:rFonts w:ascii="arial" w:hAnsi="arial"/>
          <w:i/>
          <w:sz w:val="18"/>
        </w:rPr>
        <w:t>Effect of Change in Control</w:t>
      </w:r>
      <w:r>
        <w:rPr>
          <w:rFonts w:ascii="arial" w:hAnsi="arial"/>
          <w:sz w:val="18"/>
        </w:rPr>
        <w:t xml:space="preserve">. In the event that a Participant’s employment or service is terminated by the Company other than for Cause or, to the extent provided in an employment agreement between the Company and a Participant, a Participant resigns for Good Reason, in either case during the 24-month period beginning on the date of a Change in Control, 1) Options and Stock Appreciation Rights granted to such Participant which are not yet exercisable shall become fully exercisable; 2) any restrictions applicable to any Restricted Shares and RSUs awarded to such Participant shall be deemed to have been satisfied at target and the Restricted Period, if any, as applicable to such Restricted Shares and RSUs held by such Participant shall be deemed to have expired; and 3) any Performance Objectives applicable to any Performance Units awarded to such Participant shall be deemed to have been satisfied at target and the Performance Period, if any, as applicable to such Performance Units held by such Participant shall be deemed to have expired. Notwithstanding the foregoing, or the provisions of Sections 11.06 or 12.04, if the accelerated settlement of any RSU or Performance Unit would cause the application of additional taxes under Section 409A of the Code, such RSU or Performance Unit will be settled on the date it would otherwise have been settled in the absence of a Change in Control, unless the transaction constituting the Change in Control falls within the definition of a Change in Control Event within the meaning of Section 409A of the Code and the regulations thereunder. Notwithstanding the foregoing, for the avoidance of doubt, the Committee in place prior to a Change in Control may in its discretion provide for alternative treatment of Awards in connection with the Change in Control. </w:t>
      </w:r>
    </w:p>
    <w:p>
      <w:pPr>
        <w:pStyle w:val="TextBody"/>
        <w:bidi w:val="0"/>
        <w:spacing w:before="240" w:after="0"/>
        <w:jc w:val="center"/>
        <w:rPr>
          <w:rFonts w:ascii="arial" w:hAnsi="arial"/>
          <w:b/>
          <w:sz w:val="24"/>
        </w:rPr>
      </w:pPr>
      <w:r>
        <w:rPr>
          <w:rFonts w:ascii="arial" w:hAnsi="arial"/>
          <w:b/>
          <w:sz w:val="24"/>
        </w:rPr>
        <w:t xml:space="preserve">ARTICLE XX </w:t>
      </w:r>
    </w:p>
    <w:p>
      <w:pPr>
        <w:pStyle w:val="TextBody"/>
        <w:bidi w:val="0"/>
        <w:spacing w:before="120" w:after="0"/>
        <w:jc w:val="center"/>
        <w:rPr>
          <w:rFonts w:ascii="arial" w:hAnsi="arial"/>
          <w:b/>
          <w:sz w:val="24"/>
        </w:rPr>
      </w:pPr>
      <w:r>
        <w:rPr>
          <w:rFonts w:ascii="arial" w:hAnsi="arial"/>
          <w:b/>
          <w:sz w:val="24"/>
        </w:rPr>
        <w:t xml:space="preserve">MISCELLANEOUS PROVISIONS </w:t>
      </w:r>
    </w:p>
    <w:p>
      <w:pPr>
        <w:pStyle w:val="TextBody"/>
        <w:bidi w:val="0"/>
        <w:spacing w:before="120" w:after="0"/>
        <w:jc w:val="left"/>
        <w:rPr>
          <w:rFonts w:ascii="arial" w:hAnsi="arial"/>
          <w:sz w:val="18"/>
        </w:rPr>
      </w:pPr>
      <w:r>
        <w:rPr>
          <w:rFonts w:ascii="arial" w:hAnsi="arial"/>
          <w:sz w:val="18"/>
        </w:rPr>
        <w:t>20.01. </w:t>
      </w:r>
      <w:r>
        <w:rPr>
          <w:rFonts w:ascii="arial" w:hAnsi="arial"/>
          <w:i/>
          <w:sz w:val="18"/>
        </w:rPr>
        <w:t>Awards to Participants Outside the United States</w:t>
      </w:r>
      <w:r>
        <w:rPr>
          <w:rFonts w:ascii="arial" w:hAnsi="arial"/>
          <w:sz w:val="18"/>
        </w:rPr>
        <w:t xml:space="preserve">. The Committee may modify the terms of any outstanding or new Award granted to a Participant who is, at the time of grant or during the term of the Award, resident or primarily employed outside of the United States in any manner deemed by the Committee to be necessary or appropriate in order that such Award shall conform to laws, regulations and customs of the country in which the Participant is then resident or primarily employed. An Award may be modified under this Section 20.01 in a manner that is inconsistent with the express terms of the Plan, so long as such modifications will not contravene any applicable law or regulation </w:t>
      </w:r>
    </w:p>
    <w:p>
      <w:pPr>
        <w:pStyle w:val="TextBody"/>
        <w:bidi w:val="0"/>
        <w:spacing w:before="120" w:after="0"/>
        <w:jc w:val="left"/>
        <w:rPr>
          <w:rFonts w:ascii="arial" w:hAnsi="arial"/>
          <w:sz w:val="18"/>
        </w:rPr>
      </w:pPr>
      <w:r>
        <w:rPr>
          <w:rFonts w:ascii="arial" w:hAnsi="arial"/>
          <w:sz w:val="18"/>
        </w:rPr>
        <w:t>20.02. </w:t>
      </w:r>
      <w:r>
        <w:rPr>
          <w:rFonts w:ascii="arial" w:hAnsi="arial"/>
          <w:i/>
          <w:sz w:val="18"/>
        </w:rPr>
        <w:t>Tax Withholding</w:t>
      </w:r>
      <w:r>
        <w:rPr>
          <w:rFonts w:ascii="arial" w:hAnsi="arial"/>
          <w:sz w:val="18"/>
        </w:rPr>
        <w:t xml:space="preserve">. The Company shall have the right to require Participants or their beneficiaries or legal representatives to remit to the Company an amount sufficient to satisfy federal, state and local withholding tax requirements, or to deduct from all payments under this Plan amounts sufficient to satisfy all withholding tax requirements. Whenever payments under the Plan are to be made to a Participant in cash, such payments shall be net of any amounts sufficient to satisfy all federal, state and local withholding tax requirements. The Committee may, in its discretion, permit a Participant to satisfy the Participant’s tax withholding obligation either by 1) surrendering shares of Common Stock owned by the Participant or 2) having the Company withhold from shares of Common Stock otherwise deliverable to the Participant. Shares of Common Stock surrendered or withheld shall be valued at their Fair Market Value as of the date on which income is required to be recognized for income tax purposes. In the case of an Award of Incentive Stock Options, the foregoing right shall be deemed to be provided to the Participant at the time of such Award. </w:t>
      </w:r>
    </w:p>
    <w:p>
      <w:pPr>
        <w:pStyle w:val="TextBody"/>
        <w:bidi w:val="0"/>
        <w:spacing w:before="120" w:after="0"/>
        <w:jc w:val="left"/>
        <w:rPr>
          <w:rFonts w:ascii="arial" w:hAnsi="arial"/>
          <w:sz w:val="18"/>
        </w:rPr>
      </w:pPr>
      <w:r>
        <w:rPr>
          <w:rFonts w:ascii="arial" w:hAnsi="arial"/>
          <w:sz w:val="18"/>
        </w:rPr>
        <w:t>20.03. </w:t>
      </w:r>
      <w:r>
        <w:rPr>
          <w:rFonts w:ascii="arial" w:hAnsi="arial"/>
          <w:i/>
          <w:sz w:val="18"/>
        </w:rPr>
        <w:t>Compliance With Section</w:t>
      </w:r>
      <w:r>
        <w:rPr>
          <w:rFonts w:ascii="arial" w:hAnsi="arial"/>
          <w:sz w:val="18"/>
        </w:rPr>
        <w:t> </w:t>
      </w:r>
      <w:r>
        <w:rPr>
          <w:rFonts w:ascii="arial" w:hAnsi="arial"/>
          <w:i/>
          <w:sz w:val="18"/>
        </w:rPr>
        <w:t>16(b)</w:t>
      </w:r>
      <w:r>
        <w:rPr>
          <w:rFonts w:ascii="arial" w:hAnsi="arial"/>
          <w:sz w:val="18"/>
        </w:rPr>
        <w:t xml:space="preserve">. In the case of Participants who are or may be subject to Section 16 of the Act, it is the intent of the Company that the Plan and any Award granted hereunder satisfy and be interpreted in a manner that </w:t>
      </w:r>
    </w:p>
    <w:p>
      <w:pPr>
        <w:pStyle w:val="TextBody"/>
        <w:bidi w:val="0"/>
        <w:spacing w:before="0" w:after="0"/>
        <w:jc w:val="left"/>
        <w:rPr/>
      </w:pPr>
      <w:r>
        <w:rPr/>
        <w:t> </w:t>
      </w:r>
    </w:p>
    <w:tbl>
      <w:tblPr>
        <w:tblW w:w="3212" w:type="dxa"/>
        <w:jc w:val="left"/>
        <w:tblInd w:w="0" w:type="dxa"/>
        <w:tblLayout w:type="fixed"/>
        <w:tblCellMar>
          <w:top w:w="0" w:type="dxa"/>
          <w:left w:w="0" w:type="dxa"/>
          <w:bottom w:w="0" w:type="dxa"/>
          <w:right w:w="0" w:type="dxa"/>
        </w:tblCellMar>
      </w:tblPr>
      <w:tblGrid>
        <w:gridCol w:w="292"/>
        <w:gridCol w:w="60"/>
        <w:gridCol w:w="755"/>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76"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65" descr=""/>
                          <pic:cNvPicPr>
                            <a:picLocks noChangeAspect="1" noChangeArrowheads="1"/>
                          </pic:cNvPicPr>
                        </pic:nvPicPr>
                        <pic:blipFill>
                          <a:blip r:embed="rId166"/>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tLeast" w:line="180" w:before="0" w:after="0"/>
              <w:jc w:val="center"/>
              <w:rPr>
                <w:color w:val="F7ACBA"/>
              </w:rPr>
            </w:pPr>
            <w:r>
              <w:rPr>
                <w:color w:val="F7ACBA"/>
              </w:rPr>
              <w:t> </w:t>
            </w:r>
            <w:r>
              <w:rPr>
                <w:rFonts w:ascii="Times New Roman" w:hAnsi="Times New Roman"/>
                <w:b/>
                <w:color w:val="F7ACBA"/>
                <w:sz w:val="24"/>
              </w:rPr>
              <w:t>C-15 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APPENDIX C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satisfies the applicable requirements of Rule 16b-3 under the Act, so that such persons will be entitled to the benefits of Rule 16b-3 under the Act or other exemptive rules under Section 16 of the Act and will not be subjected to liability thereunder. If any provision of the Plan or any Award would otherwise conflict with the intent expressed herein, that provision, to the extent possible, shall be interpreted and deemed amended so as to avoid such conflict. To the extent of any remaining irreconcilable conflict with such intent, such provision shall be deemed void as applicable to Participants who are or may be subject to Section 16 of the Act. </w:t>
      </w:r>
    </w:p>
    <w:p>
      <w:pPr>
        <w:pStyle w:val="TextBody"/>
        <w:bidi w:val="0"/>
        <w:spacing w:before="120" w:after="0"/>
        <w:jc w:val="left"/>
        <w:rPr>
          <w:rFonts w:ascii="arial" w:hAnsi="arial"/>
          <w:sz w:val="18"/>
        </w:rPr>
      </w:pPr>
      <w:r>
        <w:rPr>
          <w:rFonts w:ascii="arial" w:hAnsi="arial"/>
          <w:sz w:val="18"/>
        </w:rPr>
        <w:t>20.04. </w:t>
      </w:r>
      <w:r>
        <w:rPr>
          <w:rFonts w:ascii="arial" w:hAnsi="arial"/>
          <w:i/>
          <w:sz w:val="18"/>
        </w:rPr>
        <w:t>Successors</w:t>
      </w:r>
      <w:r>
        <w:rPr>
          <w:rFonts w:ascii="arial" w:hAnsi="arial"/>
          <w:sz w:val="18"/>
        </w:rPr>
        <w:t xml:space="preserve">. 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businesses of the Company. In the event of any of the foregoing, the Committee may, at its discretion prior to the consummation of the transaction, cancel, offer to purchase, exchange, adjust or modify any outstanding Awards, at such time and in such manner as the Committee deems appropriate and in accordance with applicable law and the provisions of Article XVI. </w:t>
      </w:r>
    </w:p>
    <w:p>
      <w:pPr>
        <w:pStyle w:val="TextBody"/>
        <w:bidi w:val="0"/>
        <w:spacing w:before="120" w:after="0"/>
        <w:jc w:val="left"/>
        <w:rPr>
          <w:rFonts w:ascii="arial" w:hAnsi="arial"/>
          <w:sz w:val="18"/>
        </w:rPr>
      </w:pPr>
      <w:r>
        <w:rPr>
          <w:rFonts w:ascii="arial" w:hAnsi="arial"/>
          <w:sz w:val="18"/>
        </w:rPr>
        <w:t>20.05. </w:t>
      </w:r>
      <w:r>
        <w:rPr>
          <w:rFonts w:ascii="arial" w:hAnsi="arial"/>
          <w:i/>
          <w:sz w:val="18"/>
        </w:rPr>
        <w:t>General Creditor Status</w:t>
      </w:r>
      <w:r>
        <w:rPr>
          <w:rFonts w:ascii="arial" w:hAnsi="arial"/>
          <w:sz w:val="18"/>
        </w:rPr>
        <w:t xml:space="preserve">. Participants shall have no right, title or interest whatsoever in or to any investments which the Participant may make to aid it in meeting its obligations under the Plan. Nothing contained in the Plan, and no action taken pursuant to its provisions, shall create or be construed to create a trust of any kind, or a fiduciary relationship between the Company and any Participant or beneficiary or legal representative of such Participant. To the extent that any person acquires a right to receive payments from the Company under the Plan, such right shall be no greater than the right of an unsecured general creditor of the Company. All payments to be made hereunder shall be paid from the general funds of the Company and no special or separate fund shall be established and no segregation of assets shall be made to assure payment of such amounts except as expressly set forth in the Plan. </w:t>
      </w:r>
    </w:p>
    <w:p>
      <w:pPr>
        <w:pStyle w:val="TextBody"/>
        <w:bidi w:val="0"/>
        <w:spacing w:before="120" w:after="0"/>
        <w:jc w:val="left"/>
        <w:rPr>
          <w:rFonts w:ascii="arial" w:hAnsi="arial"/>
          <w:sz w:val="18"/>
        </w:rPr>
      </w:pPr>
      <w:r>
        <w:rPr>
          <w:rFonts w:ascii="arial" w:hAnsi="arial"/>
          <w:sz w:val="18"/>
        </w:rPr>
        <w:t>20.06. </w:t>
      </w:r>
      <w:r>
        <w:rPr>
          <w:rFonts w:ascii="arial" w:hAnsi="arial"/>
          <w:i/>
          <w:sz w:val="18"/>
        </w:rPr>
        <w:t>No Right to Employment</w:t>
      </w:r>
      <w:r>
        <w:rPr>
          <w:rFonts w:ascii="arial" w:hAnsi="arial"/>
          <w:sz w:val="18"/>
        </w:rPr>
        <w:t xml:space="preserve">. Nothing in the Plan or in any written agreement entered into pursuant to Article XVIII, nor the grant of any Award, shall confer upon any Participant any right to continue in the employ of the Company or a subsidiary or to be entitled to any remuneration or benefits not set forth in the Plan or such written agreement or interfere with or limit the right of the Company or a subsidiary to modify the terms of or terminate such Participant’s employment at any time. </w:t>
      </w:r>
    </w:p>
    <w:p>
      <w:pPr>
        <w:pStyle w:val="TextBody"/>
        <w:bidi w:val="0"/>
        <w:spacing w:before="120" w:after="0"/>
        <w:jc w:val="left"/>
        <w:rPr>
          <w:rFonts w:ascii="arial" w:hAnsi="arial"/>
          <w:sz w:val="18"/>
        </w:rPr>
      </w:pPr>
      <w:r>
        <w:rPr>
          <w:rFonts w:ascii="arial" w:hAnsi="arial"/>
          <w:sz w:val="18"/>
        </w:rPr>
        <w:t>20.07. </w:t>
      </w:r>
      <w:r>
        <w:rPr>
          <w:rFonts w:ascii="arial" w:hAnsi="arial"/>
          <w:i/>
          <w:sz w:val="18"/>
        </w:rPr>
        <w:t>No Rights to Awards; No Rights to Additional Payments</w:t>
      </w:r>
      <w:r>
        <w:rPr>
          <w:rFonts w:ascii="arial" w:hAnsi="arial"/>
          <w:sz w:val="18"/>
        </w:rPr>
        <w:t xml:space="preserve">. No Participant shall have any claim to be granted any Award, and there is no obligation for uniformity of treatment of Participants. All grants of Awards and deliveries of Common Stock, cash or other property under the Plan shall constitute a special discretionary incentive payment to the Participant and shall not be required to be taken into account in computing any contributions to or any benefits under any retirement, profit-sharing, severance or other benefit plan of the Company or any subsidiary or affiliate, unless the Committee expressly provides otherwise in writing. </w:t>
      </w:r>
    </w:p>
    <w:p>
      <w:pPr>
        <w:pStyle w:val="TextBody"/>
        <w:bidi w:val="0"/>
        <w:spacing w:before="120" w:after="0"/>
        <w:jc w:val="left"/>
        <w:rPr>
          <w:rFonts w:ascii="arial" w:hAnsi="arial"/>
          <w:sz w:val="18"/>
        </w:rPr>
      </w:pPr>
      <w:r>
        <w:rPr>
          <w:rFonts w:ascii="arial" w:hAnsi="arial"/>
          <w:sz w:val="18"/>
        </w:rPr>
        <w:t>20.08. </w:t>
      </w:r>
      <w:r>
        <w:rPr>
          <w:rFonts w:ascii="arial" w:hAnsi="arial"/>
          <w:i/>
          <w:sz w:val="18"/>
        </w:rPr>
        <w:t>Notices</w:t>
      </w:r>
      <w:r>
        <w:rPr>
          <w:rFonts w:ascii="arial" w:hAnsi="arial"/>
          <w:sz w:val="18"/>
        </w:rPr>
        <w:t xml:space="preserve">. Notices required or permitted to be made under the Plan shall be sufficiently made if sent by registered or certified mail addressed (a) to the Participant at the Participant’s address set forth in the books and records of the Company or its subsidiaries or (b) to the Company or the Committee at the principal office of the Company. </w:t>
      </w:r>
    </w:p>
    <w:p>
      <w:pPr>
        <w:pStyle w:val="TextBody"/>
        <w:bidi w:val="0"/>
        <w:spacing w:before="120" w:after="0"/>
        <w:jc w:val="left"/>
        <w:rPr>
          <w:rFonts w:ascii="arial" w:hAnsi="arial"/>
          <w:sz w:val="18"/>
        </w:rPr>
      </w:pPr>
      <w:r>
        <w:rPr>
          <w:rFonts w:ascii="arial" w:hAnsi="arial"/>
          <w:sz w:val="18"/>
        </w:rPr>
        <w:t>20.09. </w:t>
      </w:r>
      <w:r>
        <w:rPr>
          <w:rFonts w:ascii="arial" w:hAnsi="arial"/>
          <w:i/>
          <w:sz w:val="18"/>
        </w:rPr>
        <w:t>Severability</w:t>
      </w:r>
      <w:r>
        <w:rPr>
          <w:rFonts w:ascii="arial" w:hAnsi="arial"/>
          <w:sz w:val="18"/>
        </w:rPr>
        <w:t xml:space="preserve">. In the event that any provision of the Plan shall be held illegal or invalid for any reason, such illegality or invalidity shall not affect the remaining parts of the Plan, and the Plan shall be construed and enforced as if the illegal or invalid provision had not been included. </w:t>
      </w:r>
    </w:p>
    <w:p>
      <w:pPr>
        <w:pStyle w:val="TextBody"/>
        <w:bidi w:val="0"/>
        <w:spacing w:before="120" w:after="0"/>
        <w:jc w:val="left"/>
        <w:rPr>
          <w:rFonts w:ascii="arial" w:hAnsi="arial"/>
          <w:sz w:val="18"/>
        </w:rPr>
      </w:pPr>
      <w:r>
        <w:rPr>
          <w:rFonts w:ascii="arial" w:hAnsi="arial"/>
          <w:sz w:val="18"/>
        </w:rPr>
        <w:t>20.10. </w:t>
      </w:r>
      <w:r>
        <w:rPr>
          <w:rFonts w:ascii="arial" w:hAnsi="arial"/>
          <w:i/>
          <w:sz w:val="18"/>
        </w:rPr>
        <w:t>Governing Law</w:t>
      </w:r>
      <w:r>
        <w:rPr>
          <w:rFonts w:ascii="arial" w:hAnsi="arial"/>
          <w:sz w:val="18"/>
        </w:rPr>
        <w:t xml:space="preserve">. To the extent not preempted by federal law, the Plan, and all agreements hereunder, shall be construed in accordance with and governed by the laws of the State of Delaware. </w:t>
      </w:r>
    </w:p>
    <w:p>
      <w:pPr>
        <w:pStyle w:val="TextBody"/>
        <w:bidi w:val="0"/>
        <w:spacing w:before="120" w:after="0"/>
        <w:jc w:val="left"/>
        <w:rPr>
          <w:rFonts w:ascii="arial" w:hAnsi="arial"/>
          <w:sz w:val="18"/>
        </w:rPr>
      </w:pPr>
      <w:r>
        <w:rPr>
          <w:rFonts w:ascii="arial" w:hAnsi="arial"/>
          <w:sz w:val="18"/>
        </w:rPr>
        <w:t>20.11. </w:t>
      </w:r>
      <w:r>
        <w:rPr>
          <w:rFonts w:ascii="arial" w:hAnsi="arial"/>
          <w:i/>
          <w:sz w:val="18"/>
        </w:rPr>
        <w:t>Term of Plan</w:t>
      </w:r>
      <w:r>
        <w:rPr>
          <w:rFonts w:ascii="arial" w:hAnsi="arial"/>
          <w:sz w:val="18"/>
        </w:rPr>
        <w:t>. Unless earlier terminated pursuant to Article XVII hereof, the Plan shall terminate on the tenth anniversary of the Effective Date (such period from the Effective Date to such termination or expiration of the Plan, the “</w:t>
      </w:r>
      <w:r>
        <w:rPr>
          <w:rFonts w:ascii="arial" w:hAnsi="arial"/>
          <w:b/>
          <w:sz w:val="18"/>
        </w:rPr>
        <w:t>Plan Term</w:t>
      </w:r>
      <w:r>
        <w:rPr>
          <w:rFonts w:ascii="arial" w:hAnsi="arial"/>
          <w:sz w:val="18"/>
        </w:rPr>
        <w:t xml:space="preserve">”). Following the end of the Plan Term, no additional Awards may be granted under the Plan. However, unless otherwise expressly provided in the Plan or in an applicable Award Agreement, any Award theretofore granted may extend beyond such date, and the authority of the Committee to amend, alter, adjust, suspend, discontinue or terminate any such Award, or to waive any conditions or rights under any such Award, and the authority of the Board to amend the Plan, shall extend beyond such date. </w:t>
      </w:r>
    </w:p>
    <w:p>
      <w:pPr>
        <w:pStyle w:val="TextBody"/>
        <w:bidi w:val="0"/>
        <w:spacing w:before="0" w:after="0"/>
        <w:jc w:val="left"/>
        <w:rPr/>
      </w:pPr>
      <w:r>
        <w:rPr/>
        <w:t> </w:t>
      </w:r>
    </w:p>
    <w:tbl>
      <w:tblPr>
        <w:tblW w:w="3212" w:type="dxa"/>
        <w:jc w:val="left"/>
        <w:tblInd w:w="0" w:type="dxa"/>
        <w:tblLayout w:type="fixed"/>
        <w:tblCellMar>
          <w:top w:w="0" w:type="dxa"/>
          <w:left w:w="0" w:type="dxa"/>
          <w:bottom w:w="0" w:type="dxa"/>
          <w:right w:w="0" w:type="dxa"/>
        </w:tblCellMar>
      </w:tblPr>
      <w:tblGrid>
        <w:gridCol w:w="292"/>
        <w:gridCol w:w="60"/>
        <w:gridCol w:w="755"/>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77"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66" descr=""/>
                          <pic:cNvPicPr>
                            <a:picLocks noChangeAspect="1" noChangeArrowheads="1"/>
                          </pic:cNvPicPr>
                        </pic:nvPicPr>
                        <pic:blipFill>
                          <a:blip r:embed="rId167"/>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tLeast" w:line="180" w:before="0" w:after="0"/>
              <w:jc w:val="center"/>
              <w:rPr>
                <w:color w:val="F7ACBA"/>
              </w:rPr>
            </w:pPr>
            <w:r>
              <w:rPr>
                <w:color w:val="F7ACBA"/>
              </w:rPr>
              <w:t> </w:t>
            </w:r>
            <w:r>
              <w:rPr>
                <w:rFonts w:ascii="Times New Roman" w:hAnsi="Times New Roman"/>
                <w:b/>
                <w:color w:val="F7ACBA"/>
                <w:sz w:val="24"/>
              </w:rPr>
              <w:t>C-16 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APPENDIX C </w:t>
      </w:r>
    </w:p>
    <w:p>
      <w:pPr>
        <w:pStyle w:val="TextBody"/>
        <w:bidi w:val="0"/>
        <w:spacing w:before="0" w:after="0"/>
        <w:jc w:val="left"/>
        <w:rPr/>
      </w:pPr>
      <w:r>
        <w:rPr/>
        <w:t> </w:t>
      </w:r>
    </w:p>
    <w:p>
      <w:pPr>
        <w:pStyle w:val="TextBody"/>
        <w:bidi w:val="0"/>
        <w:spacing w:before="0" w:after="0"/>
        <w:jc w:val="center"/>
        <w:rPr>
          <w:rFonts w:ascii="arial" w:hAnsi="arial"/>
          <w:b/>
          <w:sz w:val="24"/>
        </w:rPr>
      </w:pPr>
      <w:r>
        <w:rPr>
          <w:rFonts w:ascii="arial" w:hAnsi="arial"/>
          <w:b/>
          <w:sz w:val="24"/>
        </w:rPr>
        <w:t xml:space="preserve">ARTICLE XXI </w:t>
      </w:r>
    </w:p>
    <w:p>
      <w:pPr>
        <w:pStyle w:val="TextBody"/>
        <w:bidi w:val="0"/>
        <w:spacing w:before="120" w:after="0"/>
        <w:jc w:val="center"/>
        <w:rPr>
          <w:rFonts w:ascii="arial" w:hAnsi="arial"/>
          <w:b/>
          <w:sz w:val="24"/>
        </w:rPr>
      </w:pPr>
      <w:r>
        <w:rPr>
          <w:rFonts w:ascii="arial" w:hAnsi="arial"/>
          <w:b/>
          <w:sz w:val="24"/>
        </w:rPr>
        <w:t xml:space="preserve">DEFINITIONS </w:t>
      </w:r>
    </w:p>
    <w:p>
      <w:pPr>
        <w:pStyle w:val="TextBody"/>
        <w:bidi w:val="0"/>
        <w:spacing w:before="120" w:after="0"/>
        <w:jc w:val="left"/>
        <w:rPr>
          <w:rFonts w:ascii="arial" w:hAnsi="arial"/>
          <w:sz w:val="18"/>
        </w:rPr>
      </w:pPr>
      <w:r>
        <w:rPr>
          <w:rFonts w:ascii="arial" w:hAnsi="arial"/>
          <w:sz w:val="18"/>
        </w:rPr>
        <w:t xml:space="preserve">21.01. As used in the Plan, the following terms shall have the respective meanings indicated: </w:t>
      </w:r>
    </w:p>
    <w:p>
      <w:pPr>
        <w:pStyle w:val="TextBody"/>
        <w:bidi w:val="0"/>
        <w:spacing w:before="120" w:after="0"/>
        <w:jc w:val="left"/>
        <w:rPr>
          <w:rFonts w:ascii="arial" w:hAnsi="arial"/>
          <w:sz w:val="18"/>
        </w:rPr>
      </w:pPr>
      <w:r>
        <w:rPr>
          <w:rFonts w:ascii="arial" w:hAnsi="arial"/>
          <w:sz w:val="18"/>
        </w:rPr>
        <w:t>(a) “</w:t>
      </w:r>
      <w:r>
        <w:rPr>
          <w:rFonts w:ascii="arial" w:hAnsi="arial"/>
          <w:b/>
          <w:sz w:val="18"/>
        </w:rPr>
        <w:t>Act</w:t>
      </w:r>
      <w:r>
        <w:rPr>
          <w:rFonts w:ascii="arial" w:hAnsi="arial"/>
          <w:sz w:val="18"/>
        </w:rPr>
        <w:t xml:space="preserve">” means the Securities Exchange Act of 1934, as amended. </w:t>
      </w:r>
    </w:p>
    <w:p>
      <w:pPr>
        <w:pStyle w:val="TextBody"/>
        <w:bidi w:val="0"/>
        <w:spacing w:before="120" w:after="0"/>
        <w:jc w:val="left"/>
        <w:rPr>
          <w:rFonts w:ascii="arial" w:hAnsi="arial"/>
          <w:sz w:val="18"/>
        </w:rPr>
      </w:pPr>
      <w:r>
        <w:rPr>
          <w:rFonts w:ascii="arial" w:hAnsi="arial"/>
          <w:sz w:val="18"/>
        </w:rPr>
        <w:t>(b) “</w:t>
      </w:r>
      <w:r>
        <w:rPr>
          <w:rFonts w:ascii="arial" w:hAnsi="arial"/>
          <w:b/>
          <w:sz w:val="18"/>
        </w:rPr>
        <w:t>Award</w:t>
      </w:r>
      <w:r>
        <w:rPr>
          <w:rFonts w:ascii="arial" w:hAnsi="arial"/>
          <w:sz w:val="18"/>
        </w:rPr>
        <w:t xml:space="preserve">” means any award contemplated by Section 2.01, including, for the avoidance of doubt, any Substitute Award, Converted Award and Replacement Award. </w:t>
      </w:r>
    </w:p>
    <w:p>
      <w:pPr>
        <w:pStyle w:val="TextBody"/>
        <w:bidi w:val="0"/>
        <w:spacing w:before="120" w:after="0"/>
        <w:jc w:val="left"/>
        <w:rPr>
          <w:rFonts w:ascii="arial" w:hAnsi="arial"/>
          <w:sz w:val="18"/>
        </w:rPr>
      </w:pPr>
      <w:r>
        <w:rPr>
          <w:rFonts w:ascii="arial" w:hAnsi="arial"/>
          <w:sz w:val="18"/>
        </w:rPr>
        <w:t>(c) “</w:t>
      </w:r>
      <w:r>
        <w:rPr>
          <w:rFonts w:ascii="arial" w:hAnsi="arial"/>
          <w:b/>
          <w:sz w:val="18"/>
        </w:rPr>
        <w:t>Board</w:t>
      </w:r>
      <w:r>
        <w:rPr>
          <w:rFonts w:ascii="arial" w:hAnsi="arial"/>
          <w:sz w:val="18"/>
        </w:rPr>
        <w:t xml:space="preserve">” means the Company’s Board of Directors. </w:t>
      </w:r>
    </w:p>
    <w:p>
      <w:pPr>
        <w:pStyle w:val="TextBody"/>
        <w:bidi w:val="0"/>
        <w:spacing w:before="120" w:after="0"/>
        <w:jc w:val="left"/>
        <w:rPr>
          <w:rFonts w:ascii="arial" w:hAnsi="arial"/>
          <w:sz w:val="18"/>
        </w:rPr>
      </w:pPr>
      <w:r>
        <w:rPr>
          <w:rFonts w:ascii="arial" w:hAnsi="arial"/>
          <w:sz w:val="18"/>
        </w:rPr>
        <w:t>(d) “</w:t>
      </w:r>
      <w:r>
        <w:rPr>
          <w:rFonts w:ascii="arial" w:hAnsi="arial"/>
          <w:b/>
          <w:sz w:val="18"/>
        </w:rPr>
        <w:t>Cause</w:t>
      </w:r>
      <w:r>
        <w:rPr>
          <w:rFonts w:ascii="arial" w:hAnsi="arial"/>
          <w:sz w:val="18"/>
        </w:rPr>
        <w:t xml:space="preserve">” has the meaning set forth in the Participant’s Service Agreement, if any (whether defined as “cause” or a term of similar import), or if not so defined, means, unless otherwise provided in the applicable Award Agreement, that the Participant (1) was grossly negligent in the performance of the Participant’s duties with the Company (other than a failure resulting from the Participant’s incapacity due to physical or mental illness); (2) has plead “guilty” or “no contest” to or has been convicted of an act which is defined as a felony under federal or state law; or (3) engaged in misconduct in bad faith which could reasonably be expected to materially harm the Company’s business or its reputation. The Participant shall be given written notice by the Company of a termination for Cause, which shall state in detail the particular act or acts or failures to act that constitute the grounds on which the termination for Cause is based. </w:t>
      </w:r>
    </w:p>
    <w:p>
      <w:pPr>
        <w:pStyle w:val="TextBody"/>
        <w:bidi w:val="0"/>
        <w:spacing w:before="120" w:after="0"/>
        <w:jc w:val="left"/>
        <w:rPr>
          <w:rFonts w:ascii="arial" w:hAnsi="arial"/>
          <w:sz w:val="18"/>
        </w:rPr>
      </w:pPr>
      <w:r>
        <w:rPr>
          <w:rFonts w:ascii="arial" w:hAnsi="arial"/>
          <w:sz w:val="18"/>
        </w:rPr>
        <w:t>(e) “</w:t>
      </w:r>
      <w:r>
        <w:rPr>
          <w:rFonts w:ascii="arial" w:hAnsi="arial"/>
          <w:b/>
          <w:sz w:val="18"/>
        </w:rPr>
        <w:t>Change in Control</w:t>
      </w:r>
      <w:r>
        <w:rPr>
          <w:rFonts w:ascii="arial" w:hAnsi="arial"/>
          <w:sz w:val="18"/>
        </w:rPr>
        <w:t xml:space="preserve">” means, and shall be deemed to have occurred upon, the occurrence of any of the following events: </w:t>
      </w:r>
    </w:p>
    <w:p>
      <w:pPr>
        <w:pStyle w:val="TextBody"/>
        <w:bidi w:val="0"/>
        <w:spacing w:before="120" w:after="0"/>
        <w:jc w:val="left"/>
        <w:rPr>
          <w:rFonts w:ascii="arial" w:hAnsi="arial"/>
          <w:sz w:val="18"/>
        </w:rPr>
      </w:pPr>
      <w:r>
        <w:rPr>
          <w:rFonts w:ascii="arial" w:hAnsi="arial"/>
          <w:sz w:val="18"/>
        </w:rPr>
        <w:t>1) Any Person (other than an Excluded Person) becomes, together with all “affiliates” and “associates” (each as defined under Rule 12b-2 of the Act) the “beneficial owner” (as defined under Rule 13d-3 of the Act) of securities representing 50% or more of the combined voting power of the Voting Stock of the Company then outstanding, unless such Person becomes the “beneficial owner” of 50% or more of the combined voting power of such Voting Stock then outstanding solely as a result of an acquisition of such Voting Stock by the Company which, by reducing the Voting Stock of the Company outstanding, increases the proportionate Voting Stock beneficially owned by such Person (together with all “affiliates” and “associates” of such Person) to 50% or more of the combined voting power of the Voting Stock of the Company then outstanding; </w:t>
      </w:r>
      <w:r>
        <w:rPr>
          <w:rFonts w:ascii="arial" w:hAnsi="arial"/>
          <w:i/>
          <w:sz w:val="18"/>
        </w:rPr>
        <w:t>provided</w:t>
      </w:r>
      <w:r>
        <w:rPr>
          <w:rFonts w:ascii="arial" w:hAnsi="arial"/>
          <w:sz w:val="18"/>
        </w:rPr>
        <w:t xml:space="preserve"> that if a Person shall become the “beneficial owner” of 50% or more of the combined voting power of the Voting Stock of the Company then outstanding by reason of such Voting Stock acquisition by the Company and shall thereafter become the “beneficial owner” of any additional Voting Stock of the Company which causes the proportionate voting power of Voting Stock beneficially owned by such Person to increase to 50% or more of the combined voting power of the Voting Stock of the Company then outstanding, such Person shall, upon becoming the “beneficial owner” of such additional Voting Stock of the Company, be deemed to have become the “beneficial owner” of 50% or more of the combined voting power of the Voting Stock then outstanding other than solely as a result of such Voting Stock acquisition by the Company; </w:t>
      </w:r>
    </w:p>
    <w:p>
      <w:pPr>
        <w:pStyle w:val="TextBody"/>
        <w:bidi w:val="0"/>
        <w:spacing w:before="120" w:after="0"/>
        <w:jc w:val="left"/>
        <w:rPr>
          <w:rFonts w:ascii="arial" w:hAnsi="arial"/>
          <w:sz w:val="18"/>
        </w:rPr>
      </w:pPr>
      <w:r>
        <w:rPr>
          <w:rFonts w:ascii="arial" w:hAnsi="arial"/>
          <w:sz w:val="18"/>
        </w:rPr>
        <w:t xml:space="preserve">2) During any period of 24 consecutive months, individuals who at the beginning of such period constitute the Board of Directors of the Company (and any new Director, whose election by such Board or nomination for election by the stockholders of the Company was approved by a vote of at least two-thirds of the Directors then still in office who either were Directors at the beginning of the period or whose election or nomination for election was so approved), cease for any reason to constitute a majority of Directors then constituting such Board; </w:t>
      </w:r>
    </w:p>
    <w:p>
      <w:pPr>
        <w:pStyle w:val="TextBody"/>
        <w:bidi w:val="0"/>
        <w:spacing w:before="120" w:after="0"/>
        <w:jc w:val="left"/>
        <w:rPr>
          <w:rFonts w:ascii="arial" w:hAnsi="arial"/>
          <w:sz w:val="18"/>
        </w:rPr>
      </w:pPr>
      <w:r>
        <w:rPr>
          <w:rFonts w:ascii="arial" w:hAnsi="arial"/>
          <w:sz w:val="18"/>
        </w:rPr>
        <w:t xml:space="preserve">3) A reorganization, merger or consolidation of the Company is consummated, in each case, unless, immediately following such reorganization, merger or consolidation, (i) more than 50% of, respectively, the then-outstanding shares of common stock of the corporation resulting from such reorganization, merger or consolidation and the combined voting power of the then-outstanding voting securities of such corporation entitled to vote generally in the election of directors is then beneficially owned, directly or indirectly, by all or substantially all of the individuals and entities who were the “beneficial owners” of the Voting Stock of the Company outstanding immediately prior to such reorganization, merger or consolidation, (ii) no Person (but excluding for this purpose any Excluded Person and any Person beneficially owning, immediately prior to such reorganization, merger or consolidation, directly or indirectly, 50% </w:t>
      </w:r>
    </w:p>
    <w:p>
      <w:pPr>
        <w:pStyle w:val="TextBody"/>
        <w:bidi w:val="0"/>
        <w:spacing w:before="0" w:after="0"/>
        <w:jc w:val="left"/>
        <w:rPr/>
      </w:pPr>
      <w:r>
        <w:rPr/>
        <w:t> </w:t>
      </w:r>
    </w:p>
    <w:tbl>
      <w:tblPr>
        <w:tblW w:w="3212" w:type="dxa"/>
        <w:jc w:val="left"/>
        <w:tblInd w:w="0" w:type="dxa"/>
        <w:tblLayout w:type="fixed"/>
        <w:tblCellMar>
          <w:top w:w="0" w:type="dxa"/>
          <w:left w:w="0" w:type="dxa"/>
          <w:bottom w:w="0" w:type="dxa"/>
          <w:right w:w="0" w:type="dxa"/>
        </w:tblCellMar>
      </w:tblPr>
      <w:tblGrid>
        <w:gridCol w:w="292"/>
        <w:gridCol w:w="60"/>
        <w:gridCol w:w="755"/>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78"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67" descr=""/>
                          <pic:cNvPicPr>
                            <a:picLocks noChangeAspect="1" noChangeArrowheads="1"/>
                          </pic:cNvPicPr>
                        </pic:nvPicPr>
                        <pic:blipFill>
                          <a:blip r:embed="rId168"/>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tLeast" w:line="180" w:before="0" w:after="0"/>
              <w:jc w:val="center"/>
              <w:rPr>
                <w:color w:val="F7ACBA"/>
              </w:rPr>
            </w:pPr>
            <w:r>
              <w:rPr>
                <w:color w:val="F7ACBA"/>
              </w:rPr>
              <w:t> </w:t>
            </w:r>
            <w:r>
              <w:rPr>
                <w:rFonts w:ascii="Times New Roman" w:hAnsi="Times New Roman"/>
                <w:b/>
                <w:color w:val="F7ACBA"/>
                <w:sz w:val="24"/>
              </w:rPr>
              <w:t>C-17 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APPENDIX C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or more of the voting power of the outstanding Voting Stock of the Company) beneficially owns, directly or indirectly, 50% or more of, respectively, the then-outstanding shares of common stock of the corporation resulting from such reorganization, merger or consolidation or the combined voting power of the then-outstanding voting securities of such corporation entitled to vote generally in the election of directors and (iii) at least a majority of the members of the board of directors of the corporation resulting from such reorganization, merger or consolidation were members of the Board of Directors of the Company at the time of the execution of the initial agreement providing for such reorganization, merger or consolidation; or </w:t>
      </w:r>
    </w:p>
    <w:p>
      <w:pPr>
        <w:pStyle w:val="TextBody"/>
        <w:bidi w:val="0"/>
        <w:spacing w:before="120" w:after="0"/>
        <w:jc w:val="left"/>
        <w:rPr>
          <w:rFonts w:ascii="arial" w:hAnsi="arial"/>
          <w:sz w:val="18"/>
        </w:rPr>
      </w:pPr>
      <w:r>
        <w:rPr>
          <w:rFonts w:ascii="arial" w:hAnsi="arial"/>
          <w:sz w:val="18"/>
        </w:rPr>
        <w:t xml:space="preserve">4) The consummation of (i) a complete liquidation or dissolution of the Company or (ii) the sale or other disposition of all or substantially all of the assets of the Company, other than to any corporation with respect to which, immediately following such sale or other disposition, (A) more than 50% of, respectively, the then-outstanding shares of common stock of such corporation and the combined voting power of the then-outstanding voting securities of such corporation entitled to vote generally in the election of directors is then beneficially owned, directly or indirectly, by all or substantially all of the individuals and entities who were the “beneficial owners” of the Voting Stock of the Company outstanding immediately prior to such sale or other disposition of assets, (B) no Person (but excluding for this purpose any Excluded Person and any Person beneficially owning, immediately prior to such sale or other disposition, directly or indirectly, 50% or more of the voting power of the outstanding Voting Stock of the Company) beneficially owns, directly or indirectly, 50% or more of, respectively, the then-outstanding shares of common stock of such corporation or the combined voting power of the then-outstanding voting securities of such corporation entitled to vote generally in the election of directors and (C) at least a majority of the members of the board of directors of such corporation were members of the Board of Directors of the Company at the time of the execution of the initial agreement or action of the Board providing for such sale or other disposition of assets of the Company. </w:t>
      </w:r>
    </w:p>
    <w:p>
      <w:pPr>
        <w:pStyle w:val="TextBody"/>
        <w:bidi w:val="0"/>
        <w:spacing w:before="120" w:after="0"/>
        <w:jc w:val="left"/>
        <w:rPr>
          <w:rFonts w:ascii="arial" w:hAnsi="arial"/>
          <w:sz w:val="18"/>
        </w:rPr>
      </w:pPr>
      <w:r>
        <w:rPr>
          <w:rFonts w:ascii="arial" w:hAnsi="arial"/>
          <w:sz w:val="18"/>
        </w:rPr>
        <w:t xml:space="preserve">Notwithstanding the foregoing, in no event shall a “Change in Control” be deemed to have occurred (i) as a result of the formation of a Holding Company or (ii) with respect to a Participant, if the Participant is part of a “group,” within the meaning of Section 13(d)(3) of the Act as in effect on the Plan’s effective date, which consummates the Change in Control transaction. In addition, for purposes of the definition of “Change in Control” a Person engaged in business as an underwriter of securities shall not be deemed to be the “beneficial owner” of, or to “beneficially own,” any securities acquired through such Person’s participation in good faith in a firm commitment underwriting until the expiration of forty (40) days after the date of such acquisition. </w:t>
      </w:r>
    </w:p>
    <w:p>
      <w:pPr>
        <w:pStyle w:val="TextBody"/>
        <w:bidi w:val="0"/>
        <w:spacing w:before="120" w:after="0"/>
        <w:jc w:val="left"/>
        <w:rPr>
          <w:rFonts w:ascii="arial" w:hAnsi="arial"/>
          <w:sz w:val="18"/>
        </w:rPr>
      </w:pPr>
      <w:r>
        <w:rPr>
          <w:rFonts w:ascii="arial" w:hAnsi="arial"/>
          <w:sz w:val="18"/>
        </w:rPr>
        <w:t>(f) “</w:t>
      </w:r>
      <w:r>
        <w:rPr>
          <w:rFonts w:ascii="arial" w:hAnsi="arial"/>
          <w:b/>
          <w:sz w:val="18"/>
        </w:rPr>
        <w:t>Change in Control Event</w:t>
      </w:r>
      <w:r>
        <w:rPr>
          <w:rFonts w:ascii="arial" w:hAnsi="arial"/>
          <w:sz w:val="18"/>
        </w:rPr>
        <w:t xml:space="preserve">” has the meaning set forth in Section 409A of the Code. </w:t>
      </w:r>
    </w:p>
    <w:p>
      <w:pPr>
        <w:pStyle w:val="TextBody"/>
        <w:bidi w:val="0"/>
        <w:spacing w:before="120" w:after="0"/>
        <w:jc w:val="left"/>
        <w:rPr>
          <w:rFonts w:ascii="arial" w:hAnsi="arial"/>
          <w:sz w:val="18"/>
        </w:rPr>
      </w:pPr>
      <w:r>
        <w:rPr>
          <w:rFonts w:ascii="arial" w:hAnsi="arial"/>
          <w:sz w:val="18"/>
        </w:rPr>
        <w:t>(g) “</w:t>
      </w:r>
      <w:r>
        <w:rPr>
          <w:rFonts w:ascii="arial" w:hAnsi="arial"/>
          <w:b/>
          <w:sz w:val="18"/>
        </w:rPr>
        <w:t>Code</w:t>
      </w:r>
      <w:r>
        <w:rPr>
          <w:rFonts w:ascii="arial" w:hAnsi="arial"/>
          <w:sz w:val="18"/>
        </w:rPr>
        <w:t xml:space="preserve">” means the Internal Revenue Code of 1986, as amended. </w:t>
      </w:r>
    </w:p>
    <w:p>
      <w:pPr>
        <w:pStyle w:val="TextBody"/>
        <w:bidi w:val="0"/>
        <w:spacing w:before="120" w:after="0"/>
        <w:jc w:val="left"/>
        <w:rPr>
          <w:rFonts w:ascii="arial" w:hAnsi="arial"/>
          <w:sz w:val="18"/>
        </w:rPr>
      </w:pPr>
      <w:r>
        <w:rPr>
          <w:rFonts w:ascii="arial" w:hAnsi="arial"/>
          <w:sz w:val="18"/>
        </w:rPr>
        <w:t>(h) “</w:t>
      </w:r>
      <w:r>
        <w:rPr>
          <w:rFonts w:ascii="arial" w:hAnsi="arial"/>
          <w:b/>
          <w:sz w:val="18"/>
        </w:rPr>
        <w:t>Committee</w:t>
      </w:r>
      <w:r>
        <w:rPr>
          <w:rFonts w:ascii="arial" w:hAnsi="arial"/>
          <w:sz w:val="18"/>
        </w:rPr>
        <w:t xml:space="preserve">” means the Human Capital and Compensation Committee of the Board, or such other committee as designated by the Board. </w:t>
      </w:r>
    </w:p>
    <w:p>
      <w:pPr>
        <w:pStyle w:val="TextBody"/>
        <w:bidi w:val="0"/>
        <w:spacing w:before="120" w:after="0"/>
        <w:jc w:val="left"/>
        <w:rPr>
          <w:rFonts w:ascii="arial" w:hAnsi="arial"/>
          <w:sz w:val="18"/>
        </w:rPr>
      </w:pPr>
      <w:r>
        <w:rPr>
          <w:rFonts w:ascii="arial" w:hAnsi="arial"/>
          <w:sz w:val="18"/>
        </w:rPr>
        <w:t>(i) “</w:t>
      </w:r>
      <w:r>
        <w:rPr>
          <w:rFonts w:ascii="arial" w:hAnsi="arial"/>
          <w:b/>
          <w:sz w:val="18"/>
        </w:rPr>
        <w:t>Common Stock</w:t>
      </w:r>
      <w:r>
        <w:rPr>
          <w:rFonts w:ascii="arial" w:hAnsi="arial"/>
          <w:sz w:val="18"/>
        </w:rPr>
        <w:t xml:space="preserve">” means shares of the Company’s common stock, par value $0.01 per share. </w:t>
      </w:r>
    </w:p>
    <w:p>
      <w:pPr>
        <w:pStyle w:val="TextBody"/>
        <w:bidi w:val="0"/>
        <w:spacing w:before="120" w:after="0"/>
        <w:jc w:val="left"/>
        <w:rPr>
          <w:rFonts w:ascii="arial" w:hAnsi="arial"/>
          <w:sz w:val="18"/>
        </w:rPr>
      </w:pPr>
      <w:r>
        <w:rPr>
          <w:rFonts w:ascii="arial" w:hAnsi="arial"/>
          <w:sz w:val="18"/>
        </w:rPr>
        <w:t>(j) “</w:t>
      </w:r>
      <w:r>
        <w:rPr>
          <w:rFonts w:ascii="arial" w:hAnsi="arial"/>
          <w:b/>
          <w:sz w:val="18"/>
        </w:rPr>
        <w:t>Deferred Share Unit</w:t>
      </w:r>
      <w:r>
        <w:rPr>
          <w:rFonts w:ascii="arial" w:hAnsi="arial"/>
          <w:sz w:val="18"/>
        </w:rPr>
        <w:t xml:space="preserve">” means the right to receive a share of Common Stock in the future. </w:t>
      </w:r>
    </w:p>
    <w:p>
      <w:pPr>
        <w:pStyle w:val="TextBody"/>
        <w:bidi w:val="0"/>
        <w:spacing w:before="120" w:after="0"/>
        <w:jc w:val="left"/>
        <w:rPr>
          <w:rFonts w:ascii="arial" w:hAnsi="arial"/>
          <w:sz w:val="18"/>
        </w:rPr>
      </w:pPr>
      <w:r>
        <w:rPr>
          <w:rFonts w:ascii="arial" w:hAnsi="arial"/>
          <w:sz w:val="18"/>
        </w:rPr>
        <w:t>(k) “</w:t>
      </w:r>
      <w:r>
        <w:rPr>
          <w:rFonts w:ascii="arial" w:hAnsi="arial"/>
          <w:b/>
          <w:sz w:val="18"/>
        </w:rPr>
        <w:t>Employee Matters Agreemen</w:t>
      </w:r>
      <w:r>
        <w:rPr>
          <w:rFonts w:ascii="arial" w:hAnsi="arial"/>
          <w:sz w:val="18"/>
        </w:rPr>
        <w:t xml:space="preserve">t” means the Employee Matters Agreement by and between L Brands, Inc., a Delaware corporation, and Victoria’s Secret &amp; Co., dated as of August 2, 2021, as may be amended from time to time in accordance with its terms. </w:t>
      </w:r>
    </w:p>
    <w:p>
      <w:pPr>
        <w:pStyle w:val="TextBody"/>
        <w:bidi w:val="0"/>
        <w:spacing w:before="120" w:after="0"/>
        <w:jc w:val="left"/>
        <w:rPr>
          <w:rFonts w:ascii="arial" w:hAnsi="arial"/>
          <w:sz w:val="18"/>
        </w:rPr>
      </w:pPr>
      <w:r>
        <w:rPr>
          <w:rFonts w:ascii="arial" w:hAnsi="arial"/>
          <w:sz w:val="18"/>
        </w:rPr>
        <w:t>(l) “</w:t>
      </w:r>
      <w:r>
        <w:rPr>
          <w:rFonts w:ascii="arial" w:hAnsi="arial"/>
          <w:b/>
          <w:sz w:val="18"/>
        </w:rPr>
        <w:t>Ending Value</w:t>
      </w:r>
      <w:r>
        <w:rPr>
          <w:rFonts w:ascii="arial" w:hAnsi="arial"/>
          <w:sz w:val="18"/>
        </w:rPr>
        <w:t xml:space="preserve">” means the value for each Performance Unit or formula for determining the value of each Performance Unit at the time of payment, in each case as provided for in the applicable Award Agreement. </w:t>
      </w:r>
    </w:p>
    <w:p>
      <w:pPr>
        <w:pStyle w:val="TextBody"/>
        <w:bidi w:val="0"/>
        <w:spacing w:before="120" w:after="0"/>
        <w:jc w:val="left"/>
        <w:rPr>
          <w:rFonts w:ascii="arial" w:hAnsi="arial"/>
          <w:sz w:val="18"/>
        </w:rPr>
      </w:pPr>
      <w:r>
        <w:rPr>
          <w:rFonts w:ascii="arial" w:hAnsi="arial"/>
          <w:sz w:val="18"/>
        </w:rPr>
        <w:t>(m) “</w:t>
      </w:r>
      <w:r>
        <w:rPr>
          <w:rFonts w:ascii="arial" w:hAnsi="arial"/>
          <w:b/>
          <w:sz w:val="18"/>
        </w:rPr>
        <w:t>Excluded Person</w:t>
      </w:r>
      <w:r>
        <w:rPr>
          <w:rFonts w:ascii="arial" w:hAnsi="arial"/>
          <w:sz w:val="18"/>
        </w:rPr>
        <w:t xml:space="preserve">” means (i) the Company; (ii) any of the Company’s subsidiaries; (iii) any Holding Company; (iv) any employee benefit plan of the Company, any of its subsidiaries or a Holding Company; or (v) any Person organized, appointed or established by the Company, any of its subsidiaries or a Holding Company for or pursuant to the terms of any plan described in clause (iv). </w:t>
      </w:r>
    </w:p>
    <w:p>
      <w:pPr>
        <w:pStyle w:val="TextBody"/>
        <w:bidi w:val="0"/>
        <w:spacing w:before="0" w:after="0"/>
        <w:jc w:val="left"/>
        <w:rPr/>
      </w:pPr>
      <w:r>
        <w:rPr/>
        <w:t> </w:t>
      </w:r>
    </w:p>
    <w:tbl>
      <w:tblPr>
        <w:tblW w:w="3212" w:type="dxa"/>
        <w:jc w:val="left"/>
        <w:tblInd w:w="0" w:type="dxa"/>
        <w:tblLayout w:type="fixed"/>
        <w:tblCellMar>
          <w:top w:w="0" w:type="dxa"/>
          <w:left w:w="0" w:type="dxa"/>
          <w:bottom w:w="0" w:type="dxa"/>
          <w:right w:w="0" w:type="dxa"/>
        </w:tblCellMar>
      </w:tblPr>
      <w:tblGrid>
        <w:gridCol w:w="292"/>
        <w:gridCol w:w="60"/>
        <w:gridCol w:w="755"/>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79"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68" descr=""/>
                          <pic:cNvPicPr>
                            <a:picLocks noChangeAspect="1" noChangeArrowheads="1"/>
                          </pic:cNvPicPr>
                        </pic:nvPicPr>
                        <pic:blipFill>
                          <a:blip r:embed="rId169"/>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tLeast" w:line="180" w:before="0" w:after="0"/>
              <w:jc w:val="center"/>
              <w:rPr>
                <w:color w:val="F7ACBA"/>
              </w:rPr>
            </w:pPr>
            <w:r>
              <w:rPr>
                <w:color w:val="F7ACBA"/>
              </w:rPr>
              <w:t> </w:t>
            </w:r>
            <w:r>
              <w:rPr>
                <w:rFonts w:ascii="Times New Roman" w:hAnsi="Times New Roman"/>
                <w:b/>
                <w:color w:val="F7ACBA"/>
                <w:sz w:val="24"/>
              </w:rPr>
              <w:t>C-18 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APPENDIX C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(n) “</w:t>
      </w:r>
      <w:r>
        <w:rPr>
          <w:rFonts w:ascii="arial" w:hAnsi="arial"/>
          <w:b/>
          <w:sz w:val="18"/>
        </w:rPr>
        <w:t>Fair Market Value</w:t>
      </w:r>
      <w:r>
        <w:rPr>
          <w:rFonts w:ascii="arial" w:hAnsi="arial"/>
          <w:sz w:val="18"/>
        </w:rPr>
        <w:t xml:space="preserve">” means the closing price of the Common Stock as reported on the principal exchange on which the shares of Common Stock are listed for the date on which the grant, exercise or other transaction occurs, or if there were no sales on such date, the most recent prior date on which there were sales. </w:t>
      </w:r>
    </w:p>
    <w:p>
      <w:pPr>
        <w:pStyle w:val="TextBody"/>
        <w:bidi w:val="0"/>
        <w:spacing w:before="120" w:after="0"/>
        <w:jc w:val="left"/>
        <w:rPr>
          <w:rFonts w:ascii="arial" w:hAnsi="arial"/>
          <w:sz w:val="18"/>
        </w:rPr>
      </w:pPr>
      <w:r>
        <w:rPr>
          <w:rFonts w:ascii="arial" w:hAnsi="arial"/>
          <w:sz w:val="18"/>
        </w:rPr>
        <w:t>(o) “</w:t>
      </w:r>
      <w:r>
        <w:rPr>
          <w:rFonts w:ascii="arial" w:hAnsi="arial"/>
          <w:b/>
          <w:sz w:val="18"/>
        </w:rPr>
        <w:t>Good Reason</w:t>
      </w:r>
      <w:r>
        <w:rPr>
          <w:rFonts w:ascii="arial" w:hAnsi="arial"/>
          <w:sz w:val="18"/>
        </w:rPr>
        <w:t xml:space="preserve">” has the meaning set forth in the Participant’s Service Agreement, if any, or in the applicable Award Agreement, to the extent applicable. </w:t>
      </w:r>
    </w:p>
    <w:p>
      <w:pPr>
        <w:pStyle w:val="TextBody"/>
        <w:bidi w:val="0"/>
        <w:spacing w:before="120" w:after="0"/>
        <w:jc w:val="left"/>
        <w:rPr>
          <w:rFonts w:ascii="arial" w:hAnsi="arial"/>
          <w:sz w:val="18"/>
        </w:rPr>
      </w:pPr>
      <w:r>
        <w:rPr>
          <w:rFonts w:ascii="arial" w:hAnsi="arial"/>
          <w:sz w:val="18"/>
        </w:rPr>
        <w:t>(p) “</w:t>
      </w:r>
      <w:r>
        <w:rPr>
          <w:rFonts w:ascii="arial" w:hAnsi="arial"/>
          <w:b/>
          <w:sz w:val="18"/>
        </w:rPr>
        <w:t>Holding Company</w:t>
      </w:r>
      <w:r>
        <w:rPr>
          <w:rFonts w:ascii="arial" w:hAnsi="arial"/>
          <w:sz w:val="18"/>
        </w:rPr>
        <w:t xml:space="preserve">” means an entity that becomes a holding company for the Company or its businesses as a part of any reorganization, merger, consolidation or other transaction, provided that the outstanding shares of common stock of such entity and the combined voting power of the then-outstanding voting securities of such entity entitled to vote generally in the election of directors is, immediately after such reorganization, merger, consolidation or other transaction, beneficially owned, directly or indirectly, by all or substantially all of the individuals and entities who were the “beneficial owners,” respectively, of the Voting Stock of the Company outstanding immediately prior to such reorganization, merger, consolidation or other transaction in substantially the same proportions as their ownership, immediately prior to such reorganization, merger, consolidation or other transaction, of such outstanding Voting Stock of the Company. </w:t>
      </w:r>
    </w:p>
    <w:p>
      <w:pPr>
        <w:pStyle w:val="TextBody"/>
        <w:bidi w:val="0"/>
        <w:spacing w:before="120" w:after="0"/>
        <w:jc w:val="left"/>
        <w:rPr>
          <w:rFonts w:ascii="arial" w:hAnsi="arial"/>
          <w:sz w:val="18"/>
        </w:rPr>
      </w:pPr>
      <w:r>
        <w:rPr>
          <w:rFonts w:ascii="arial" w:hAnsi="arial"/>
          <w:sz w:val="18"/>
        </w:rPr>
        <w:t>(q) “</w:t>
      </w:r>
      <w:r>
        <w:rPr>
          <w:rFonts w:ascii="arial" w:hAnsi="arial"/>
          <w:b/>
          <w:sz w:val="18"/>
        </w:rPr>
        <w:t>Incentive Stock Option</w:t>
      </w:r>
      <w:r>
        <w:rPr>
          <w:rFonts w:ascii="arial" w:hAnsi="arial"/>
          <w:sz w:val="18"/>
        </w:rPr>
        <w:t xml:space="preserve">” has the meaning set forth in Section 2.01 of the Plan. </w:t>
      </w:r>
    </w:p>
    <w:p>
      <w:pPr>
        <w:pStyle w:val="TextBody"/>
        <w:bidi w:val="0"/>
        <w:spacing w:before="120" w:after="0"/>
        <w:jc w:val="left"/>
        <w:rPr>
          <w:rFonts w:ascii="arial" w:hAnsi="arial"/>
          <w:sz w:val="18"/>
        </w:rPr>
      </w:pPr>
      <w:r>
        <w:rPr>
          <w:rFonts w:ascii="arial" w:hAnsi="arial"/>
          <w:sz w:val="18"/>
        </w:rPr>
        <w:t>(r) “</w:t>
      </w:r>
      <w:r>
        <w:rPr>
          <w:rFonts w:ascii="arial" w:hAnsi="arial"/>
          <w:b/>
          <w:sz w:val="18"/>
        </w:rPr>
        <w:t>Initial Value</w:t>
      </w:r>
      <w:r>
        <w:rPr>
          <w:rFonts w:ascii="arial" w:hAnsi="arial"/>
          <w:sz w:val="18"/>
        </w:rPr>
        <w:t xml:space="preserve">” means the initial value for each Performance Unit as provided for in the applicable Award Agreement and as necessary to make the calculation of the amount to be paid to a Participant pursuant to Sections 12.03 and 12.04 of the Plan. </w:t>
      </w:r>
    </w:p>
    <w:p>
      <w:pPr>
        <w:pStyle w:val="TextBody"/>
        <w:bidi w:val="0"/>
        <w:spacing w:before="120" w:after="0"/>
        <w:jc w:val="left"/>
        <w:rPr>
          <w:rFonts w:ascii="arial" w:hAnsi="arial"/>
          <w:sz w:val="18"/>
        </w:rPr>
      </w:pPr>
      <w:r>
        <w:rPr>
          <w:rFonts w:ascii="arial" w:hAnsi="arial"/>
          <w:sz w:val="18"/>
        </w:rPr>
        <w:t>(s) “</w:t>
      </w:r>
      <w:r>
        <w:rPr>
          <w:rFonts w:ascii="arial" w:hAnsi="arial"/>
          <w:b/>
          <w:sz w:val="18"/>
        </w:rPr>
        <w:t>Nonstatutory Stock Option</w:t>
      </w:r>
      <w:r>
        <w:rPr>
          <w:rFonts w:ascii="arial" w:hAnsi="arial"/>
          <w:sz w:val="18"/>
        </w:rPr>
        <w:t xml:space="preserve">” has the meaning set forth in Section 2.01 of the Plan. </w:t>
      </w:r>
    </w:p>
    <w:p>
      <w:pPr>
        <w:pStyle w:val="TextBody"/>
        <w:bidi w:val="0"/>
        <w:spacing w:before="120" w:after="0"/>
        <w:jc w:val="left"/>
        <w:rPr>
          <w:rFonts w:ascii="arial" w:hAnsi="arial"/>
          <w:sz w:val="18"/>
        </w:rPr>
      </w:pPr>
      <w:r>
        <w:rPr>
          <w:rFonts w:ascii="arial" w:hAnsi="arial"/>
          <w:sz w:val="18"/>
        </w:rPr>
        <w:t>(t) “</w:t>
      </w:r>
      <w:r>
        <w:rPr>
          <w:rFonts w:ascii="arial" w:hAnsi="arial"/>
          <w:b/>
          <w:sz w:val="18"/>
        </w:rPr>
        <w:t>Nontandem Stock Appreciation Right</w:t>
      </w:r>
      <w:r>
        <w:rPr>
          <w:rFonts w:ascii="arial" w:hAnsi="arial"/>
          <w:sz w:val="18"/>
        </w:rPr>
        <w:t xml:space="preserve">” has the meaning set forth in Section 2.01 of the Plan. </w:t>
      </w:r>
    </w:p>
    <w:p>
      <w:pPr>
        <w:pStyle w:val="TextBody"/>
        <w:bidi w:val="0"/>
        <w:spacing w:before="120" w:after="0"/>
        <w:jc w:val="left"/>
        <w:rPr>
          <w:rFonts w:ascii="arial" w:hAnsi="arial"/>
          <w:sz w:val="18"/>
        </w:rPr>
      </w:pPr>
      <w:r>
        <w:rPr>
          <w:rFonts w:ascii="arial" w:hAnsi="arial"/>
          <w:sz w:val="18"/>
        </w:rPr>
        <w:t>(u) “</w:t>
      </w:r>
      <w:r>
        <w:rPr>
          <w:rFonts w:ascii="arial" w:hAnsi="arial"/>
          <w:b/>
          <w:sz w:val="18"/>
        </w:rPr>
        <w:t>Participant</w:t>
      </w:r>
      <w:r>
        <w:rPr>
          <w:rFonts w:ascii="arial" w:hAnsi="arial"/>
          <w:sz w:val="18"/>
        </w:rPr>
        <w:t xml:space="preserve">” means any individual who receives an Award pursuant to Section 4.01 of the Plan. </w:t>
      </w:r>
    </w:p>
    <w:p>
      <w:pPr>
        <w:pStyle w:val="TextBody"/>
        <w:bidi w:val="0"/>
        <w:spacing w:before="120" w:after="0"/>
        <w:jc w:val="left"/>
        <w:rPr>
          <w:rFonts w:ascii="arial" w:hAnsi="arial"/>
          <w:sz w:val="18"/>
        </w:rPr>
      </w:pPr>
      <w:r>
        <w:rPr>
          <w:rFonts w:ascii="arial" w:hAnsi="arial"/>
          <w:sz w:val="18"/>
        </w:rPr>
        <w:t>(v) “</w:t>
      </w:r>
      <w:r>
        <w:rPr>
          <w:rFonts w:ascii="arial" w:hAnsi="arial"/>
          <w:b/>
          <w:sz w:val="18"/>
        </w:rPr>
        <w:t>Performance Objectives</w:t>
      </w:r>
      <w:r>
        <w:rPr>
          <w:rFonts w:ascii="arial" w:hAnsi="arial"/>
          <w:sz w:val="18"/>
        </w:rPr>
        <w:t xml:space="preserve">” means the performance objectives, as specified by the Committee, which must be satisfied in order for the Participant to vest in the Performance Units which have been awarded to the Participant for the Performance Period. </w:t>
      </w:r>
    </w:p>
    <w:p>
      <w:pPr>
        <w:pStyle w:val="TextBody"/>
        <w:bidi w:val="0"/>
        <w:spacing w:before="120" w:after="0"/>
        <w:jc w:val="left"/>
        <w:rPr>
          <w:rFonts w:ascii="arial" w:hAnsi="arial"/>
          <w:sz w:val="18"/>
        </w:rPr>
      </w:pPr>
      <w:r>
        <w:rPr>
          <w:rFonts w:ascii="arial" w:hAnsi="arial"/>
          <w:sz w:val="18"/>
        </w:rPr>
        <w:t>(w) “</w:t>
      </w:r>
      <w:r>
        <w:rPr>
          <w:rFonts w:ascii="arial" w:hAnsi="arial"/>
          <w:b/>
          <w:sz w:val="18"/>
        </w:rPr>
        <w:t>Performance Period</w:t>
      </w:r>
      <w:r>
        <w:rPr>
          <w:rFonts w:ascii="arial" w:hAnsi="arial"/>
          <w:sz w:val="18"/>
        </w:rPr>
        <w:t xml:space="preserve">” means the period of time, as established by the Committee in its sole discretion, applicable to Performance Units. </w:t>
      </w:r>
    </w:p>
    <w:p>
      <w:pPr>
        <w:pStyle w:val="TextBody"/>
        <w:bidi w:val="0"/>
        <w:spacing w:before="120" w:after="0"/>
        <w:jc w:val="left"/>
        <w:rPr>
          <w:rFonts w:ascii="arial" w:hAnsi="arial"/>
          <w:sz w:val="18"/>
        </w:rPr>
      </w:pPr>
      <w:r>
        <w:rPr>
          <w:rFonts w:ascii="arial" w:hAnsi="arial"/>
          <w:sz w:val="18"/>
        </w:rPr>
        <w:t>(x) “</w:t>
      </w:r>
      <w:r>
        <w:rPr>
          <w:rFonts w:ascii="arial" w:hAnsi="arial"/>
          <w:b/>
          <w:sz w:val="18"/>
        </w:rPr>
        <w:t>Performance Unit Account</w:t>
      </w:r>
      <w:r>
        <w:rPr>
          <w:rFonts w:ascii="arial" w:hAnsi="arial"/>
          <w:sz w:val="18"/>
        </w:rPr>
        <w:t xml:space="preserve">” means an account established and maintained for a Participant who is granted Performance Units. </w:t>
      </w:r>
    </w:p>
    <w:p>
      <w:pPr>
        <w:pStyle w:val="TextBody"/>
        <w:bidi w:val="0"/>
        <w:spacing w:before="120" w:after="0"/>
        <w:jc w:val="left"/>
        <w:rPr>
          <w:rFonts w:ascii="arial" w:hAnsi="arial"/>
          <w:sz w:val="18"/>
        </w:rPr>
      </w:pPr>
      <w:r>
        <w:rPr>
          <w:rFonts w:ascii="arial" w:hAnsi="arial"/>
          <w:sz w:val="18"/>
        </w:rPr>
        <w:t>(y) “</w:t>
      </w:r>
      <w:r>
        <w:rPr>
          <w:rFonts w:ascii="arial" w:hAnsi="arial"/>
          <w:b/>
          <w:sz w:val="18"/>
        </w:rPr>
        <w:t>Performance Units</w:t>
      </w:r>
      <w:r>
        <w:rPr>
          <w:rFonts w:ascii="arial" w:hAnsi="arial"/>
          <w:sz w:val="18"/>
        </w:rPr>
        <w:t xml:space="preserve">” has the meaning set forth in Section 2.01 of the Plan. </w:t>
      </w:r>
    </w:p>
    <w:p>
      <w:pPr>
        <w:pStyle w:val="TextBody"/>
        <w:bidi w:val="0"/>
        <w:spacing w:before="120" w:after="0"/>
        <w:jc w:val="left"/>
        <w:rPr>
          <w:rFonts w:ascii="arial" w:hAnsi="arial"/>
          <w:sz w:val="18"/>
        </w:rPr>
      </w:pPr>
      <w:r>
        <w:rPr>
          <w:rFonts w:ascii="arial" w:hAnsi="arial"/>
          <w:sz w:val="18"/>
        </w:rPr>
        <w:t>(z) “</w:t>
      </w:r>
      <w:r>
        <w:rPr>
          <w:rFonts w:ascii="arial" w:hAnsi="arial"/>
          <w:b/>
          <w:sz w:val="18"/>
        </w:rPr>
        <w:t>Person</w:t>
      </w:r>
      <w:r>
        <w:rPr>
          <w:rFonts w:ascii="arial" w:hAnsi="arial"/>
          <w:sz w:val="18"/>
        </w:rPr>
        <w:t xml:space="preserve">” means any individual composition, partnership, limited liability company, associations, trust or other entity or organization. </w:t>
      </w:r>
    </w:p>
    <w:p>
      <w:pPr>
        <w:pStyle w:val="TextBody"/>
        <w:bidi w:val="0"/>
        <w:spacing w:before="120" w:after="0"/>
        <w:jc w:val="left"/>
        <w:rPr>
          <w:rFonts w:ascii="arial" w:hAnsi="arial"/>
          <w:sz w:val="18"/>
        </w:rPr>
      </w:pPr>
      <w:r>
        <w:rPr>
          <w:rFonts w:ascii="arial" w:hAnsi="arial"/>
          <w:sz w:val="18"/>
        </w:rPr>
        <w:t>(aa) “</w:t>
      </w:r>
      <w:r>
        <w:rPr>
          <w:rFonts w:ascii="arial" w:hAnsi="arial"/>
          <w:b/>
          <w:sz w:val="18"/>
        </w:rPr>
        <w:t>Restricted Period</w:t>
      </w:r>
      <w:r>
        <w:rPr>
          <w:rFonts w:ascii="arial" w:hAnsi="arial"/>
          <w:sz w:val="18"/>
        </w:rPr>
        <w:t xml:space="preserve">” means the period of time, as established by the Committee, applicable to Restricted Shares and RSUs. </w:t>
      </w:r>
    </w:p>
    <w:p>
      <w:pPr>
        <w:pStyle w:val="TextBody"/>
        <w:bidi w:val="0"/>
        <w:spacing w:before="120" w:after="0"/>
        <w:jc w:val="left"/>
        <w:rPr>
          <w:rFonts w:ascii="arial" w:hAnsi="arial"/>
          <w:sz w:val="18"/>
        </w:rPr>
      </w:pPr>
      <w:r>
        <w:rPr>
          <w:rFonts w:ascii="arial" w:hAnsi="arial"/>
          <w:sz w:val="18"/>
        </w:rPr>
        <w:t>(bb) “</w:t>
      </w:r>
      <w:r>
        <w:rPr>
          <w:rFonts w:ascii="arial" w:hAnsi="arial"/>
          <w:b/>
          <w:sz w:val="18"/>
        </w:rPr>
        <w:t>Restricted Share Unit</w:t>
      </w:r>
      <w:r>
        <w:rPr>
          <w:rFonts w:ascii="arial" w:hAnsi="arial"/>
          <w:sz w:val="18"/>
        </w:rPr>
        <w:t>” or “</w:t>
      </w:r>
      <w:r>
        <w:rPr>
          <w:rFonts w:ascii="arial" w:hAnsi="arial"/>
          <w:b/>
          <w:sz w:val="18"/>
        </w:rPr>
        <w:t>RSU</w:t>
      </w:r>
      <w:r>
        <w:rPr>
          <w:rFonts w:ascii="arial" w:hAnsi="arial"/>
          <w:sz w:val="18"/>
        </w:rPr>
        <w:t xml:space="preserve">” has the meaning set forth in Section 2.01 of the Plan. </w:t>
      </w:r>
    </w:p>
    <w:p>
      <w:pPr>
        <w:pStyle w:val="TextBody"/>
        <w:bidi w:val="0"/>
        <w:spacing w:before="120" w:after="0"/>
        <w:jc w:val="left"/>
        <w:rPr>
          <w:rFonts w:ascii="arial" w:hAnsi="arial"/>
          <w:sz w:val="18"/>
        </w:rPr>
      </w:pPr>
      <w:r>
        <w:rPr>
          <w:rFonts w:ascii="arial" w:hAnsi="arial"/>
          <w:sz w:val="18"/>
        </w:rPr>
        <w:t>(cc) “</w:t>
      </w:r>
      <w:r>
        <w:rPr>
          <w:rFonts w:ascii="arial" w:hAnsi="arial"/>
          <w:b/>
          <w:sz w:val="18"/>
        </w:rPr>
        <w:t>Restricted Share</w:t>
      </w:r>
      <w:r>
        <w:rPr>
          <w:rFonts w:ascii="arial" w:hAnsi="arial"/>
          <w:sz w:val="18"/>
        </w:rPr>
        <w:t xml:space="preserve">” has the meaning set forth in Section 2.01 of the Plan. </w:t>
      </w:r>
    </w:p>
    <w:p>
      <w:pPr>
        <w:pStyle w:val="TextBody"/>
        <w:bidi w:val="0"/>
        <w:spacing w:before="120" w:after="0"/>
        <w:jc w:val="left"/>
        <w:rPr>
          <w:rFonts w:ascii="arial" w:hAnsi="arial"/>
          <w:sz w:val="18"/>
        </w:rPr>
      </w:pPr>
      <w:r>
        <w:rPr>
          <w:rFonts w:ascii="arial" w:hAnsi="arial"/>
          <w:sz w:val="18"/>
        </w:rPr>
        <w:t>(dd) “</w:t>
      </w:r>
      <w:r>
        <w:rPr>
          <w:rFonts w:ascii="arial" w:hAnsi="arial"/>
          <w:b/>
          <w:sz w:val="18"/>
        </w:rPr>
        <w:t>Retirement</w:t>
      </w:r>
      <w:r>
        <w:rPr>
          <w:rFonts w:ascii="arial" w:hAnsi="arial"/>
          <w:sz w:val="18"/>
        </w:rPr>
        <w:t xml:space="preserve">” means, unless otherwise provided in any applicable Award Agreement, a Participant’s Termination of Service other than for Cause following the date on which a Participant has attained age 55 and completed seven years of service with the Company. </w:t>
      </w:r>
    </w:p>
    <w:p>
      <w:pPr>
        <w:pStyle w:val="TextBody"/>
        <w:bidi w:val="0"/>
        <w:spacing w:before="120" w:after="0"/>
        <w:jc w:val="left"/>
        <w:rPr>
          <w:rFonts w:ascii="arial" w:hAnsi="arial"/>
          <w:sz w:val="18"/>
        </w:rPr>
      </w:pPr>
      <w:r>
        <w:rPr>
          <w:rFonts w:ascii="arial" w:hAnsi="arial"/>
          <w:sz w:val="18"/>
        </w:rPr>
        <w:t>(ee) “</w:t>
      </w:r>
      <w:r>
        <w:rPr>
          <w:rFonts w:ascii="arial" w:hAnsi="arial"/>
          <w:b/>
          <w:sz w:val="18"/>
        </w:rPr>
        <w:t>Service Agreement</w:t>
      </w:r>
      <w:r>
        <w:rPr>
          <w:rFonts w:ascii="arial" w:hAnsi="arial"/>
          <w:sz w:val="18"/>
        </w:rPr>
        <w:t xml:space="preserve">” means any employment, severance, consulting or similar agreement between an applicable Participant and the Company or any of its subsidiaries or affiliates. </w:t>
      </w:r>
    </w:p>
    <w:p>
      <w:pPr>
        <w:pStyle w:val="TextBody"/>
        <w:bidi w:val="0"/>
        <w:spacing w:before="120" w:after="0"/>
        <w:jc w:val="left"/>
        <w:rPr>
          <w:rFonts w:ascii="arial" w:hAnsi="arial"/>
          <w:sz w:val="18"/>
        </w:rPr>
      </w:pPr>
      <w:r>
        <w:rPr>
          <w:rFonts w:ascii="arial" w:hAnsi="arial"/>
          <w:sz w:val="18"/>
        </w:rPr>
        <w:t>(ff) “</w:t>
      </w:r>
      <w:r>
        <w:rPr>
          <w:rFonts w:ascii="arial" w:hAnsi="arial"/>
          <w:b/>
          <w:sz w:val="18"/>
        </w:rPr>
        <w:t>Specified Employee</w:t>
      </w:r>
      <w:r>
        <w:rPr>
          <w:rFonts w:ascii="arial" w:hAnsi="arial"/>
          <w:sz w:val="18"/>
        </w:rPr>
        <w:t xml:space="preserve">” has the meaning set forth in Section 409A of the Code and the regulations thereunder. </w:t>
      </w:r>
    </w:p>
    <w:p>
      <w:pPr>
        <w:pStyle w:val="TextBody"/>
        <w:bidi w:val="0"/>
        <w:spacing w:before="120" w:after="0"/>
        <w:jc w:val="left"/>
        <w:rPr>
          <w:rFonts w:ascii="arial" w:hAnsi="arial"/>
          <w:sz w:val="18"/>
        </w:rPr>
      </w:pPr>
      <w:r>
        <w:rPr>
          <w:rFonts w:ascii="arial" w:hAnsi="arial"/>
          <w:sz w:val="18"/>
        </w:rPr>
        <w:t>(gg) “</w:t>
      </w:r>
      <w:r>
        <w:rPr>
          <w:rFonts w:ascii="arial" w:hAnsi="arial"/>
          <w:b/>
          <w:sz w:val="18"/>
        </w:rPr>
        <w:t>Stock Appreciation Rights</w:t>
      </w:r>
      <w:r>
        <w:rPr>
          <w:rFonts w:ascii="arial" w:hAnsi="arial"/>
          <w:sz w:val="18"/>
        </w:rPr>
        <w:t xml:space="preserve">” has the meaning set forth in Section 2.01 of the Plan. </w:t>
      </w:r>
    </w:p>
    <w:p>
      <w:pPr>
        <w:pStyle w:val="TextBody"/>
        <w:bidi w:val="0"/>
        <w:spacing w:before="0" w:after="0"/>
        <w:jc w:val="left"/>
        <w:rPr/>
      </w:pPr>
      <w:r>
        <w:rPr/>
        <w:t> </w:t>
      </w:r>
    </w:p>
    <w:tbl>
      <w:tblPr>
        <w:tblW w:w="3212" w:type="dxa"/>
        <w:jc w:val="left"/>
        <w:tblInd w:w="0" w:type="dxa"/>
        <w:tblLayout w:type="fixed"/>
        <w:tblCellMar>
          <w:top w:w="0" w:type="dxa"/>
          <w:left w:w="0" w:type="dxa"/>
          <w:bottom w:w="0" w:type="dxa"/>
          <w:right w:w="0" w:type="dxa"/>
        </w:tblCellMar>
      </w:tblPr>
      <w:tblGrid>
        <w:gridCol w:w="292"/>
        <w:gridCol w:w="60"/>
        <w:gridCol w:w="755"/>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80"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69" descr=""/>
                          <pic:cNvPicPr>
                            <a:picLocks noChangeAspect="1" noChangeArrowheads="1"/>
                          </pic:cNvPicPr>
                        </pic:nvPicPr>
                        <pic:blipFill>
                          <a:blip r:embed="rId170"/>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tLeast" w:line="180" w:before="0" w:after="0"/>
              <w:jc w:val="center"/>
              <w:rPr>
                <w:color w:val="F7ACBA"/>
              </w:rPr>
            </w:pPr>
            <w:r>
              <w:rPr>
                <w:color w:val="F7ACBA"/>
              </w:rPr>
              <w:t> </w:t>
            </w:r>
            <w:r>
              <w:rPr>
                <w:rFonts w:ascii="Times New Roman" w:hAnsi="Times New Roman"/>
                <w:b/>
                <w:color w:val="F7ACBA"/>
                <w:sz w:val="24"/>
              </w:rPr>
              <w:t>C-19 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APPENDIX C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(hh) “</w:t>
      </w:r>
      <w:r>
        <w:rPr>
          <w:rFonts w:ascii="arial" w:hAnsi="arial"/>
          <w:b/>
          <w:sz w:val="18"/>
        </w:rPr>
        <w:t>Tandem Stock Appreciation Rights</w:t>
      </w:r>
      <w:r>
        <w:rPr>
          <w:rFonts w:ascii="arial" w:hAnsi="arial"/>
          <w:sz w:val="18"/>
        </w:rPr>
        <w:t xml:space="preserve">” has the meaning set forth in Section 2.01 of the Plan. </w:t>
      </w:r>
    </w:p>
    <w:p>
      <w:pPr>
        <w:pStyle w:val="TextBody"/>
        <w:bidi w:val="0"/>
        <w:spacing w:before="120" w:after="0"/>
        <w:jc w:val="left"/>
        <w:rPr>
          <w:rFonts w:ascii="arial" w:hAnsi="arial"/>
          <w:sz w:val="18"/>
        </w:rPr>
      </w:pPr>
      <w:r>
        <w:rPr>
          <w:rFonts w:ascii="arial" w:hAnsi="arial"/>
          <w:sz w:val="18"/>
        </w:rPr>
        <w:t>(ii) “</w:t>
      </w:r>
      <w:r>
        <w:rPr>
          <w:rFonts w:ascii="arial" w:hAnsi="arial"/>
          <w:b/>
          <w:sz w:val="18"/>
        </w:rPr>
        <w:t>Termination of Service</w:t>
      </w:r>
      <w:r>
        <w:rPr>
          <w:rFonts w:ascii="arial" w:hAnsi="arial"/>
          <w:sz w:val="18"/>
        </w:rPr>
        <w:t>” means, in the case of a Participant who is an employee, cessation of the employment relationship such that the Participant is no longer an employee of the Company or any of its subsidiaries or affiliates, or, in the case of a Participant who is a consultant or director, the date the performance of services for the Company and subsidiaries and affiliates has ended; </w:t>
      </w:r>
      <w:r>
        <w:rPr>
          <w:rFonts w:ascii="arial" w:hAnsi="arial"/>
          <w:i/>
          <w:sz w:val="18"/>
        </w:rPr>
        <w:t>provided</w:t>
      </w:r>
      <w:r>
        <w:rPr>
          <w:rFonts w:ascii="arial" w:hAnsi="arial"/>
          <w:sz w:val="18"/>
        </w:rPr>
        <w:t>, </w:t>
      </w:r>
      <w:r>
        <w:rPr>
          <w:rFonts w:ascii="arial" w:hAnsi="arial"/>
          <w:i/>
          <w:sz w:val="18"/>
        </w:rPr>
        <w:t>however</w:t>
      </w:r>
      <w:r>
        <w:rPr>
          <w:rFonts w:ascii="arial" w:hAnsi="arial"/>
          <w:sz w:val="18"/>
        </w:rPr>
        <w:t>, that in the case of a Participant who is an employee, the transfer of employment from the Company to a subsidiary or affiliate, from a subsidiary or affiliate to the Company, from one subsidiary or affiliate to another subsidiary or affiliate or, unless the Committee determines otherwise, the cessation of employee status but the continuation of the performance of services for the Company or a subsidiary or affiliate as a director or consultant shall not be deemed a cessation of service that would constitute a Termination of Service; </w:t>
      </w:r>
      <w:r>
        <w:rPr>
          <w:rFonts w:ascii="arial" w:hAnsi="arial"/>
          <w:i/>
          <w:sz w:val="18"/>
        </w:rPr>
        <w:t>provided</w:t>
      </w:r>
      <w:r>
        <w:rPr>
          <w:rFonts w:ascii="arial" w:hAnsi="arial"/>
          <w:sz w:val="18"/>
        </w:rPr>
        <w:t>, </w:t>
      </w:r>
      <w:r>
        <w:rPr>
          <w:rFonts w:ascii="arial" w:hAnsi="arial"/>
          <w:i/>
          <w:sz w:val="18"/>
        </w:rPr>
        <w:t>further</w:t>
      </w:r>
      <w:r>
        <w:rPr>
          <w:rFonts w:ascii="arial" w:hAnsi="arial"/>
          <w:sz w:val="18"/>
        </w:rPr>
        <w:t xml:space="preserve">, that, unless otherwise determined by the Committee, a Termination of Service shall be deemed to occur for a Participant employed by, or performing services for, a subsidiary or affiliate of the Company when such subsidiary or affiliate ceases to be a subsidiary or affiliate of the Company, respectively, unless such Participant’s employment or service continues with the Company or another subsidiary or affiliate of the Company. Notwithstanding the foregoing, with respect to any Award subject to Section 409A of the Code (and not exempt therefrom), a Termination of Service occurs when a Participant experiences a “separation from service” (as such term is defined under Section 409A of the Code and the regulations thereunder). </w:t>
      </w:r>
    </w:p>
    <w:p>
      <w:pPr>
        <w:pStyle w:val="TextBody"/>
        <w:bidi w:val="0"/>
        <w:spacing w:before="120" w:after="0"/>
        <w:jc w:val="left"/>
        <w:rPr>
          <w:rFonts w:ascii="arial" w:hAnsi="arial"/>
          <w:sz w:val="18"/>
        </w:rPr>
      </w:pPr>
      <w:r>
        <w:rPr>
          <w:rFonts w:ascii="arial" w:hAnsi="arial"/>
          <w:sz w:val="18"/>
        </w:rPr>
        <w:t>(jj) “</w:t>
      </w:r>
      <w:r>
        <w:rPr>
          <w:rFonts w:ascii="arial" w:hAnsi="arial"/>
          <w:b/>
          <w:sz w:val="18"/>
        </w:rPr>
        <w:t>Total Disability</w:t>
      </w:r>
      <w:r>
        <w:rPr>
          <w:rFonts w:ascii="arial" w:hAnsi="arial"/>
          <w:sz w:val="18"/>
        </w:rPr>
        <w:t xml:space="preserve">” has the meaning set forth in the Victoria’s Secret &amp; Co. Long-Term Disability Plan or any successor thereto. </w:t>
      </w:r>
    </w:p>
    <w:p>
      <w:pPr>
        <w:pStyle w:val="TextBody"/>
        <w:bidi w:val="0"/>
        <w:spacing w:before="120" w:after="0"/>
        <w:jc w:val="left"/>
        <w:rPr>
          <w:rFonts w:ascii="arial" w:hAnsi="arial"/>
          <w:sz w:val="18"/>
        </w:rPr>
      </w:pPr>
      <w:r>
        <w:rPr>
          <w:rFonts w:ascii="arial" w:hAnsi="arial"/>
          <w:sz w:val="18"/>
        </w:rPr>
        <w:t>(kk) “</w:t>
      </w:r>
      <w:r>
        <w:rPr>
          <w:rFonts w:ascii="arial" w:hAnsi="arial"/>
          <w:b/>
          <w:sz w:val="18"/>
        </w:rPr>
        <w:t>Unrestricted Shares</w:t>
      </w:r>
      <w:r>
        <w:rPr>
          <w:rFonts w:ascii="arial" w:hAnsi="arial"/>
          <w:sz w:val="18"/>
        </w:rPr>
        <w:t xml:space="preserve">” has the meaning set forth in Section 2.01 of the Plan. </w:t>
      </w:r>
    </w:p>
    <w:p>
      <w:pPr>
        <w:pStyle w:val="TextBody"/>
        <w:bidi w:val="0"/>
        <w:spacing w:before="120" w:after="0"/>
        <w:jc w:val="left"/>
        <w:rPr>
          <w:rFonts w:ascii="arial" w:hAnsi="arial"/>
          <w:sz w:val="18"/>
        </w:rPr>
      </w:pPr>
      <w:r>
        <w:rPr>
          <w:rFonts w:ascii="arial" w:hAnsi="arial"/>
          <w:sz w:val="18"/>
        </w:rPr>
        <w:t>(ll) “</w:t>
      </w:r>
      <w:r>
        <w:rPr>
          <w:rFonts w:ascii="arial" w:hAnsi="arial"/>
          <w:b/>
          <w:sz w:val="18"/>
        </w:rPr>
        <w:t>Voting Stock</w:t>
      </w:r>
      <w:r>
        <w:rPr>
          <w:rFonts w:ascii="arial" w:hAnsi="arial"/>
          <w:sz w:val="18"/>
        </w:rPr>
        <w:t xml:space="preserve">” means securities of the Company entitled to vote generally in the election of the Company’s Board. </w:t>
      </w:r>
    </w:p>
    <w:p>
      <w:pPr>
        <w:pStyle w:val="TextBody"/>
        <w:bidi w:val="0"/>
        <w:spacing w:before="0" w:after="0"/>
        <w:jc w:val="left"/>
        <w:rPr/>
      </w:pPr>
      <w:r>
        <w:rPr/>
        <w:t> </w:t>
      </w:r>
    </w:p>
    <w:tbl>
      <w:tblPr>
        <w:tblW w:w="3212" w:type="dxa"/>
        <w:jc w:val="left"/>
        <w:tblInd w:w="0" w:type="dxa"/>
        <w:tblLayout w:type="fixed"/>
        <w:tblCellMar>
          <w:top w:w="0" w:type="dxa"/>
          <w:left w:w="0" w:type="dxa"/>
          <w:bottom w:w="0" w:type="dxa"/>
          <w:right w:w="0" w:type="dxa"/>
        </w:tblCellMar>
      </w:tblPr>
      <w:tblGrid>
        <w:gridCol w:w="292"/>
        <w:gridCol w:w="60"/>
        <w:gridCol w:w="755"/>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81"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70" descr=""/>
                          <pic:cNvPicPr>
                            <a:picLocks noChangeAspect="1" noChangeArrowheads="1"/>
                          </pic:cNvPicPr>
                        </pic:nvPicPr>
                        <pic:blipFill>
                          <a:blip r:embed="rId171"/>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lineRule="atLeast" w:line="180" w:before="0" w:after="0"/>
              <w:jc w:val="center"/>
              <w:rPr>
                <w:color w:val="F7ACBA"/>
              </w:rPr>
            </w:pPr>
            <w:r>
              <w:rPr>
                <w:color w:val="F7ACBA"/>
              </w:rPr>
              <w:t> </w:t>
            </w:r>
            <w:r>
              <w:rPr>
                <w:rFonts w:ascii="Times New Roman" w:hAnsi="Times New Roman"/>
                <w:b/>
                <w:color w:val="F7ACBA"/>
                <w:sz w:val="24"/>
              </w:rPr>
              <w:t>C-20 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right"/>
        <w:rPr>
          <w:rFonts w:ascii="ARIAL" w:hAnsi="ARIAL"/>
          <w:b/>
          <w:sz w:val="14"/>
        </w:rPr>
      </w:pPr>
      <w:r>
        <w:rPr>
          <w:rFonts w:ascii="ARIAL" w:hAnsi="ARIAL"/>
          <w:b/>
          <w:sz w:val="14"/>
        </w:rPr>
        <w:t xml:space="preserve">APPENDIX D </w:t>
      </w:r>
    </w:p>
    <w:p>
      <w:pPr>
        <w:pStyle w:val="TextBody"/>
        <w:bidi w:val="0"/>
        <w:spacing w:before="0" w:after="0"/>
        <w:jc w:val="left"/>
        <w:rPr/>
      </w:pPr>
      <w:r>
        <w:rPr/>
        <w:t> </w:t>
      </w:r>
    </w:p>
    <w:p>
      <w:pPr>
        <w:pStyle w:val="TextBody"/>
        <w:bidi w:val="0"/>
        <w:spacing w:before="0" w:after="0"/>
        <w:jc w:val="center"/>
        <w:rPr>
          <w:rFonts w:ascii="Times New Roman" w:hAnsi="Times New Roman"/>
          <w:b/>
          <w:sz w:val="60"/>
        </w:rPr>
      </w:pPr>
      <w:r>
        <w:rPr>
          <w:rFonts w:ascii="Times New Roman" w:hAnsi="Times New Roman"/>
          <w:b/>
          <w:sz w:val="60"/>
        </w:rPr>
        <w:t xml:space="preserve">APPENDIX D </w:t>
      </w:r>
    </w:p>
    <w:p>
      <w:pPr>
        <w:pStyle w:val="TextBody"/>
        <w:bidi w:val="0"/>
        <w:spacing w:before="480" w:after="0"/>
        <w:jc w:val="center"/>
        <w:rPr>
          <w:rFonts w:ascii="arial" w:hAnsi="arial"/>
          <w:b/>
          <w:sz w:val="24"/>
        </w:rPr>
      </w:pPr>
      <w:r>
        <w:rPr>
          <w:rFonts w:ascii="arial" w:hAnsi="arial"/>
          <w:b/>
          <w:sz w:val="24"/>
        </w:rPr>
        <w:t xml:space="preserve">AMENDMENT TO THE </w:t>
      </w:r>
    </w:p>
    <w:p>
      <w:pPr>
        <w:pStyle w:val="TextBody"/>
        <w:bidi w:val="0"/>
        <w:spacing w:before="0" w:after="0"/>
        <w:jc w:val="center"/>
        <w:rPr>
          <w:rFonts w:ascii="arial" w:hAnsi="arial"/>
          <w:b/>
          <w:sz w:val="24"/>
        </w:rPr>
      </w:pPr>
      <w:r>
        <w:rPr>
          <w:rFonts w:ascii="arial" w:hAnsi="arial"/>
          <w:b/>
          <w:sz w:val="24"/>
        </w:rPr>
        <w:t xml:space="preserve">VICTORIA’S SECRET &amp; CO. </w:t>
      </w:r>
    </w:p>
    <w:p>
      <w:pPr>
        <w:pStyle w:val="TextBody"/>
        <w:bidi w:val="0"/>
        <w:spacing w:before="0" w:after="0"/>
        <w:jc w:val="center"/>
        <w:rPr>
          <w:rFonts w:ascii="arial" w:hAnsi="arial"/>
          <w:b/>
          <w:sz w:val="24"/>
        </w:rPr>
      </w:pPr>
      <w:r>
        <w:rPr>
          <w:rFonts w:ascii="arial" w:hAnsi="arial"/>
          <w:b/>
          <w:sz w:val="24"/>
        </w:rPr>
        <w:t xml:space="preserve">2021 STOCK OPTION AND PERFORMANCE INCENTIVE PLAN </w:t>
      </w:r>
    </w:p>
    <w:p>
      <w:pPr>
        <w:pStyle w:val="TextBody"/>
        <w:bidi w:val="0"/>
        <w:spacing w:before="240" w:after="0"/>
        <w:jc w:val="left"/>
        <w:rPr>
          <w:rFonts w:ascii="arial" w:hAnsi="arial"/>
          <w:sz w:val="18"/>
        </w:rPr>
      </w:pPr>
      <w:r>
        <w:rPr>
          <w:rFonts w:ascii="arial" w:hAnsi="arial"/>
          <w:b/>
          <w:sz w:val="18"/>
        </w:rPr>
        <w:t>WHEREAS</w:t>
      </w:r>
      <w:r>
        <w:rPr>
          <w:rFonts w:ascii="arial" w:hAnsi="arial"/>
          <w:sz w:val="18"/>
        </w:rPr>
        <w:t xml:space="preserve">, Victoria’s Secret &amp; Co. (the “Company”) sponsors the Victoria’s Secret &amp; Co. 2021 Stock Option and Performance Incentive Plan (the “Plan”); and </w:t>
      </w:r>
    </w:p>
    <w:p>
      <w:pPr>
        <w:pStyle w:val="TextBody"/>
        <w:bidi w:val="0"/>
        <w:spacing w:before="120" w:after="0"/>
        <w:jc w:val="left"/>
        <w:rPr>
          <w:rFonts w:ascii="arial" w:hAnsi="arial"/>
          <w:sz w:val="18"/>
        </w:rPr>
      </w:pPr>
      <w:r>
        <w:rPr>
          <w:rFonts w:ascii="arial" w:hAnsi="arial"/>
          <w:b/>
          <w:sz w:val="18"/>
        </w:rPr>
        <w:t>WHEREAS</w:t>
      </w:r>
      <w:r>
        <w:rPr>
          <w:rFonts w:ascii="arial" w:hAnsi="arial"/>
          <w:sz w:val="18"/>
        </w:rPr>
        <w:t xml:space="preserve">, the Company wishes to amend the Plan to increase the number of shares authorized for issuance under the Plan by 4,800,000 shares and to expand the deferral features under the Plan, subject to the consent of the Company’s stockholders; and </w:t>
      </w:r>
    </w:p>
    <w:p>
      <w:pPr>
        <w:pStyle w:val="TextBody"/>
        <w:bidi w:val="0"/>
        <w:spacing w:before="120" w:after="0"/>
        <w:jc w:val="left"/>
        <w:rPr>
          <w:rFonts w:ascii="arial" w:hAnsi="arial"/>
          <w:sz w:val="18"/>
        </w:rPr>
      </w:pPr>
      <w:r>
        <w:rPr>
          <w:rFonts w:ascii="arial" w:hAnsi="arial"/>
          <w:b/>
          <w:sz w:val="18"/>
        </w:rPr>
        <w:t>NOW THEREFORE</w:t>
      </w:r>
      <w:r>
        <w:rPr>
          <w:rFonts w:ascii="arial" w:hAnsi="arial"/>
          <w:sz w:val="18"/>
        </w:rPr>
        <w:t xml:space="preserve">, effective as of the date this amendment is approved by the Company’s stockholders, the Plan is amended to provide as follows: </w:t>
      </w:r>
    </w:p>
    <w:p>
      <w:pPr>
        <w:pStyle w:val="TextBody"/>
        <w:bidi w:val="0"/>
        <w:spacing w:before="120" w:after="0"/>
        <w:jc w:val="left"/>
        <w:rPr>
          <w:rFonts w:ascii="arial" w:hAnsi="arial"/>
          <w:sz w:val="18"/>
        </w:rPr>
      </w:pPr>
      <w:r>
        <w:rPr>
          <w:rFonts w:ascii="arial" w:hAnsi="arial"/>
          <w:b/>
          <w:sz w:val="18"/>
        </w:rPr>
        <w:t>1. Section 2.02 of the Plan is hereby amended by deleting it in its entirety and replacing it with the following:</w:t>
      </w:r>
      <w:r>
        <w:rPr>
          <w:rFonts w:ascii="arial" w:hAnsi="arial"/>
          <w:sz w:val="18"/>
        </w:rPr>
        <w:t xml:space="preserve"> </w:t>
      </w:r>
    </w:p>
    <w:p>
      <w:pPr>
        <w:pStyle w:val="TextBody"/>
        <w:bidi w:val="0"/>
        <w:spacing w:before="120" w:after="0"/>
        <w:jc w:val="left"/>
        <w:rPr>
          <w:rFonts w:ascii="arial" w:hAnsi="arial"/>
          <w:sz w:val="18"/>
        </w:rPr>
      </w:pPr>
      <w:r>
        <w:rPr>
          <w:rFonts w:ascii="arial" w:hAnsi="arial"/>
          <w:sz w:val="18"/>
        </w:rPr>
        <w:t xml:space="preserve">2.02. </w:t>
      </w:r>
      <w:r>
        <w:rPr>
          <w:rFonts w:ascii="arial" w:hAnsi="arial"/>
          <w:i/>
          <w:sz w:val="18"/>
        </w:rPr>
        <w:t>Maximum Shares Available</w:t>
      </w:r>
      <w:r>
        <w:rPr>
          <w:rFonts w:ascii="arial" w:hAnsi="arial"/>
          <w:sz w:val="18"/>
        </w:rPr>
        <w:t xml:space="preserve">. Subject to adjustment pursuant to Article XVI, the maximum aggregate number of shares of Common Stock available for issuance pursuant to Awards (including any Replacement Awards) as of the Effective Date is (i) 15,395,172 shares of Common Stock, plus (ii) the number of shares of Common Stock issuable upon the exercise or settlement of Substitute Awards and Converted Awards. </w:t>
      </w:r>
    </w:p>
    <w:p>
      <w:pPr>
        <w:pStyle w:val="TextBody"/>
        <w:bidi w:val="0"/>
        <w:spacing w:before="120" w:after="0"/>
        <w:jc w:val="left"/>
        <w:rPr>
          <w:rFonts w:ascii="arial" w:hAnsi="arial"/>
          <w:sz w:val="18"/>
        </w:rPr>
      </w:pPr>
      <w:r>
        <w:rPr>
          <w:rFonts w:ascii="arial" w:hAnsi="arial"/>
          <w:b/>
          <w:sz w:val="18"/>
        </w:rPr>
        <w:t>2. Section 4.03 of the Plan is hereby amended by deleting it in its entirety and replacing it with the following:</w:t>
      </w:r>
      <w:r>
        <w:rPr>
          <w:rFonts w:ascii="arial" w:hAnsi="arial"/>
          <w:sz w:val="18"/>
        </w:rPr>
        <w:t xml:space="preserve"> </w:t>
      </w:r>
    </w:p>
    <w:p>
      <w:pPr>
        <w:pStyle w:val="TextBody"/>
        <w:bidi w:val="0"/>
        <w:spacing w:before="120" w:after="0"/>
        <w:jc w:val="left"/>
        <w:rPr>
          <w:rFonts w:ascii="arial" w:hAnsi="arial"/>
          <w:sz w:val="18"/>
        </w:rPr>
      </w:pPr>
      <w:r>
        <w:rPr>
          <w:rFonts w:ascii="arial" w:hAnsi="arial"/>
          <w:sz w:val="18"/>
        </w:rPr>
        <w:t xml:space="preserve">4.03. </w:t>
      </w:r>
      <w:r>
        <w:rPr>
          <w:rFonts w:ascii="arial" w:hAnsi="arial"/>
          <w:i/>
          <w:sz w:val="18"/>
        </w:rPr>
        <w:t>Non-Employee Director Limitations</w:t>
      </w:r>
      <w:r>
        <w:rPr>
          <w:rFonts w:ascii="arial" w:hAnsi="arial"/>
          <w:sz w:val="18"/>
        </w:rPr>
        <w:t xml:space="preserve">. No non-employee director of the Company may receive compensation for any fiscal year in excess of $1,000,000 in the aggregate, including cash payments and Awards under the Plan (with the value of any Award for purposes of the limit in this Section 4.03 determined based on the grant date fair value of such Award for financial reporting purposes); provided that the limit in this Section 4.03 shall not apply with respect to any Converted Awards or Replacement Awards. For purposes of clarity, the fiscal year limit shall apply based on the fiscal year in which the award is granted and not the year of payment. </w:t>
      </w:r>
    </w:p>
    <w:p>
      <w:pPr>
        <w:pStyle w:val="TextBody"/>
        <w:bidi w:val="0"/>
        <w:spacing w:before="120" w:after="0"/>
        <w:jc w:val="left"/>
        <w:rPr>
          <w:rFonts w:ascii="arial" w:hAnsi="arial"/>
          <w:sz w:val="18"/>
        </w:rPr>
      </w:pPr>
      <w:r>
        <w:rPr>
          <w:rFonts w:ascii="arial" w:hAnsi="arial"/>
          <w:b/>
          <w:sz w:val="18"/>
        </w:rPr>
        <w:t>3. Section 11.08 of the Plan is hereby amended by deleting it in its entirety and replacing it with the following:</w:t>
      </w:r>
      <w:r>
        <w:rPr>
          <w:rFonts w:ascii="arial" w:hAnsi="arial"/>
          <w:sz w:val="18"/>
        </w:rPr>
        <w:t xml:space="preserve"> </w:t>
      </w:r>
    </w:p>
    <w:p>
      <w:pPr>
        <w:pStyle w:val="TextBody"/>
        <w:bidi w:val="0"/>
        <w:spacing w:before="120" w:after="0"/>
        <w:jc w:val="left"/>
        <w:rPr>
          <w:rFonts w:ascii="arial" w:hAnsi="arial"/>
          <w:sz w:val="18"/>
        </w:rPr>
      </w:pPr>
      <w:r>
        <w:rPr>
          <w:rFonts w:ascii="arial" w:hAnsi="arial"/>
          <w:sz w:val="18"/>
        </w:rPr>
        <w:t xml:space="preserve">11.08. </w:t>
      </w:r>
      <w:r>
        <w:rPr>
          <w:rFonts w:ascii="arial" w:hAnsi="arial"/>
          <w:i/>
          <w:sz w:val="18"/>
        </w:rPr>
        <w:t>Deferred Restricted Share Units</w:t>
      </w:r>
      <w:r>
        <w:rPr>
          <w:rFonts w:ascii="arial" w:hAnsi="arial"/>
          <w:sz w:val="18"/>
        </w:rPr>
        <w:t xml:space="preserve">. The Committee may permit a Participant who has been designated to receive an RSU Award to elect to defer the receipt of the shares in settlement of such RSU Award as well as the form of payment of such deferred RSUs. In addition, the Committee may permit non-employee directors of the Company to elect to defer cash retainers that would otherwise be payable in connection with such director’s services into deferred RSUs. </w:t>
      </w:r>
    </w:p>
    <w:p>
      <w:pPr>
        <w:pStyle w:val="TextBody"/>
        <w:bidi w:val="0"/>
        <w:spacing w:before="120" w:after="0"/>
        <w:jc w:val="left"/>
        <w:rPr>
          <w:rFonts w:ascii="arial" w:hAnsi="arial"/>
          <w:sz w:val="18"/>
        </w:rPr>
      </w:pPr>
      <w:r>
        <w:rPr>
          <w:rFonts w:ascii="arial" w:hAnsi="arial"/>
          <w:sz w:val="18"/>
        </w:rPr>
        <w:t xml:space="preserve">All elections under this Section 11.08 to defer the settlement of an RSU Award or cash retainers must be made in accordance with the requirements of Section 409A of the Code and the regulations thereunder. Any election not in compliance with such requirements shall be treated as invalid and the deferral election shall be disregarded. In the event of an invalid election, payment of cash retainers or distribution of the shares of Common Stock upon settlement of the Award shall be made as though the Participant did not elect to defer. For this purpose, an invalid deferral election shall include (but is not limited to) a deferral election that (i) is not executed (regardless of when received), (ii) is executed but received after the applicable irrevocable date or (iii) cannot otherwise become effective under applicable rules. If a valid deferral election is incomplete, the deferral election shall be honored and distribution of the shares of Common Stock attributable to the Award shall be made as though the Participant elected a deferred lump sum payment. For this purpose, a valid but incomplete deferral election is one that has been received and executed on or before the applicable irrevocable date, but does not indicate the form of payment (lump sum versus installments), or indicates an election for installment payments but not the number of installment payments. Unless the Award Agreement and terms and conditions accompanying specific Awards indicate otherwise, or as otherwise provided in the Plan, the deferred RSUs shall be subject to the same restrictions, conditions and forfeiture provisions as the associated nondeferred RSUs. </w:t>
      </w:r>
    </w:p>
    <w:p>
      <w:pPr>
        <w:pStyle w:val="TextBody"/>
        <w:bidi w:val="0"/>
        <w:spacing w:before="0" w:after="0"/>
        <w:jc w:val="left"/>
        <w:rPr/>
      </w:pPr>
      <w:r>
        <w:rPr/>
        <w:t> </w:t>
      </w:r>
    </w:p>
    <w:tbl>
      <w:tblPr>
        <w:tblW w:w="3092" w:type="dxa"/>
        <w:jc w:val="left"/>
        <w:tblInd w:w="0" w:type="dxa"/>
        <w:tblLayout w:type="fixed"/>
        <w:tblCellMar>
          <w:top w:w="0" w:type="dxa"/>
          <w:left w:w="0" w:type="dxa"/>
          <w:bottom w:w="0" w:type="dxa"/>
          <w:right w:w="0" w:type="dxa"/>
        </w:tblCellMar>
      </w:tblPr>
      <w:tblGrid>
        <w:gridCol w:w="292"/>
        <w:gridCol w:w="60"/>
        <w:gridCol w:w="635"/>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82"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71" descr=""/>
                          <pic:cNvPicPr>
                            <a:picLocks noChangeAspect="1" noChangeArrowheads="1"/>
                          </pic:cNvPicPr>
                        </pic:nvPicPr>
                        <pic:blipFill>
                          <a:blip r:embed="rId172"/>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tLeast" w:line="180" w:before="0" w:after="0"/>
              <w:jc w:val="center"/>
              <w:rPr>
                <w:color w:val="F7ACBA"/>
              </w:rPr>
            </w:pPr>
            <w:r>
              <w:rPr>
                <w:color w:val="F7ACBA"/>
              </w:rPr>
              <w:t> </w:t>
            </w:r>
            <w:r>
              <w:rPr>
                <w:rFonts w:ascii="Times New Roman" w:hAnsi="Times New Roman"/>
                <w:b/>
                <w:color w:val="F7ACBA"/>
                <w:sz w:val="24"/>
              </w:rPr>
              <w:t>D-1 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14"/>
        </w:rPr>
      </w:pPr>
      <w:r>
        <w:rPr>
          <w:rFonts w:ascii="ARIAL" w:hAnsi="ARIAL"/>
          <w:b/>
          <w:sz w:val="14"/>
        </w:rPr>
        <w:t xml:space="preserve">APPENDIX D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During the Restricted Period with respect to RSUs, Participants shall not have the right to receive any dividends. After the end of the Restricted Period and prior to the time that shares of Common Stock are transferred to the Participant, within sixty (60) days after the date of payment of a dividend by the Company on its shares of Common Stock, the Participant shall be credited with “dividend equivalents” with respect to each outstanding RSU in an amount equal to the amount the Participant would have received as dividends if the RSUs were actual shares of Common Stock. Such dividend equivalents will be converted into additional RSUs based on the Fair Market Value of the Common Stock on the dividend payment date, in accordance with the procedures established by the Committee, and paid at the same time and in the same manner as the underlying RSUs. </w:t>
      </w:r>
    </w:p>
    <w:p>
      <w:pPr>
        <w:pStyle w:val="TextBody"/>
        <w:bidi w:val="0"/>
        <w:spacing w:before="120" w:after="0"/>
        <w:jc w:val="left"/>
        <w:rPr>
          <w:rFonts w:ascii="arial" w:hAnsi="arial"/>
          <w:sz w:val="18"/>
        </w:rPr>
      </w:pPr>
      <w:r>
        <w:rPr>
          <w:rFonts w:ascii="arial" w:hAnsi="arial"/>
          <w:sz w:val="18"/>
        </w:rPr>
        <w:t xml:space="preserve">Non-employee directors who elect to defer cash retainer payments into deferred RSUs will be credited with dividend equivalents from the date the retainer payment would otherwise have been paid. </w:t>
      </w:r>
    </w:p>
    <w:p>
      <w:pPr>
        <w:pStyle w:val="TextBody"/>
        <w:bidi w:val="0"/>
        <w:spacing w:before="120" w:after="0"/>
        <w:jc w:val="left"/>
        <w:rPr>
          <w:rFonts w:ascii="arial" w:hAnsi="arial"/>
          <w:sz w:val="18"/>
        </w:rPr>
      </w:pPr>
      <w:r>
        <w:rPr>
          <w:rFonts w:ascii="arial" w:hAnsi="arial"/>
          <w:sz w:val="18"/>
        </w:rPr>
        <w:t xml:space="preserve">At no time shall any assets of the Company be segregated for payment of deferred RSUs hereunder. Participants who have elected to defer the settlement of RSUs shall at all times have the status of general unsecured creditors of the Company and shall not have any rights in or against specific assets of the Company. The Plan constitutes a mere promise by the Company to make payments attributable to deferred RSUs in the future, in accordance with the applicable terms and conditions. </w:t>
      </w:r>
    </w:p>
    <w:p>
      <w:pPr>
        <w:pStyle w:val="TextBody"/>
        <w:bidi w:val="0"/>
        <w:spacing w:before="120" w:after="0"/>
        <w:jc w:val="left"/>
        <w:rPr>
          <w:rFonts w:ascii="arial" w:hAnsi="arial"/>
          <w:sz w:val="18"/>
        </w:rPr>
      </w:pPr>
      <w:r>
        <w:rPr>
          <w:rFonts w:ascii="arial" w:hAnsi="arial"/>
          <w:b/>
          <w:sz w:val="18"/>
        </w:rPr>
        <w:t>IN WITNESS WHEREOF</w:t>
      </w:r>
      <w:r>
        <w:rPr>
          <w:rFonts w:ascii="arial" w:hAnsi="arial"/>
          <w:sz w:val="18"/>
        </w:rPr>
        <w:t xml:space="preserve">, the Company has caused this Amendment to the Victoria’s Secret &amp; Co. 2021 Stock Option and Performance Incentive Plan to be executed this </w:t>
      </w:r>
      <w:r>
        <w:rPr>
          <w:rFonts w:ascii="arial" w:hAnsi="arial"/>
          <w:sz w:val="18"/>
          <w:u w:val="single"/>
        </w:rPr>
        <w:t>   </w:t>
      </w:r>
      <w:r>
        <w:rPr>
          <w:rFonts w:ascii="arial" w:hAnsi="arial"/>
          <w:sz w:val="18"/>
        </w:rPr>
        <w:t xml:space="preserve"> day of </w:t>
      </w:r>
      <w:r>
        <w:rPr>
          <w:rFonts w:ascii="arial" w:hAnsi="arial"/>
          <w:sz w:val="18"/>
          <w:u w:val="single"/>
        </w:rPr>
        <w:t>      </w:t>
      </w:r>
      <w:r>
        <w:rPr>
          <w:rFonts w:ascii="arial" w:hAnsi="arial"/>
          <w:sz w:val="18"/>
        </w:rPr>
        <w:t xml:space="preserve">, 2024. </w:t>
      </w:r>
    </w:p>
    <w:p>
      <w:pPr>
        <w:pStyle w:val="TextBody"/>
        <w:bidi w:val="0"/>
        <w:spacing w:before="0" w:after="0"/>
        <w:jc w:val="left"/>
        <w:rPr/>
      </w:pPr>
      <w:r>
        <w:rPr/>
        <w:t> </w:t>
      </w:r>
    </w:p>
    <w:tbl>
      <w:tblPr>
        <w:tblW w:w="2389" w:type="dxa"/>
        <w:jc w:val="left"/>
        <w:tblInd w:w="0" w:type="dxa"/>
        <w:tblLayout w:type="fixed"/>
        <w:tblCellMar>
          <w:top w:w="0" w:type="dxa"/>
          <w:left w:w="0" w:type="dxa"/>
          <w:bottom w:w="0" w:type="dxa"/>
          <w:right w:w="0" w:type="dxa"/>
        </w:tblCellMar>
      </w:tblPr>
      <w:tblGrid>
        <w:gridCol w:w="1903"/>
        <w:gridCol w:w="214"/>
        <w:gridCol w:w="272"/>
      </w:tblGrid>
      <w:tr>
        <w:trPr/>
        <w:tc>
          <w:tcPr>
            <w:tcW w:w="190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2389" w:type="dxa"/>
            <w:gridSpan w:val="3"/>
            <w:tcBorders/>
            <w:vAlign w:val="center"/>
          </w:tcPr>
          <w:p>
            <w:pPr>
              <w:pStyle w:val="TableContents"/>
              <w:bidi w:val="0"/>
              <w:spacing w:before="0" w:after="283"/>
              <w:jc w:val="left"/>
              <w:rPr>
                <w:rFonts w:ascii="arial" w:hAnsi="arial"/>
                <w:b/>
                <w:sz w:val="18"/>
              </w:rPr>
            </w:pPr>
            <w:r>
              <w:rPr>
                <w:rFonts w:ascii="arial" w:hAnsi="arial"/>
                <w:b/>
                <w:sz w:val="18"/>
              </w:rPr>
              <w:t>VICTORIA’S SECRET &amp; CO.</w:t>
            </w:r>
          </w:p>
        </w:tc>
      </w:tr>
      <w:tr>
        <w:trPr/>
        <w:tc>
          <w:tcPr>
            <w:tcW w:w="1903" w:type="dxa"/>
            <w:tcBorders/>
            <w:vAlign w:val="center"/>
          </w:tcPr>
          <w:p>
            <w:pPr>
              <w:pStyle w:val="TableContents"/>
              <w:bidi w:val="0"/>
              <w:spacing w:before="0" w:after="283"/>
              <w:jc w:val="left"/>
              <w:rPr>
                <w:sz w:val="4"/>
                <w:szCs w:val="4"/>
              </w:rPr>
            </w:pPr>
            <w:r>
              <w:rPr>
                <w:sz w:val="4"/>
                <w:szCs w:val="4"/>
              </w:rPr>
            </w:r>
          </w:p>
        </w:tc>
        <w:tc>
          <w:tcPr>
            <w:tcW w:w="486" w:type="dxa"/>
            <w:gridSpan w:val="2"/>
            <w:tcBorders/>
            <w:vAlign w:val="center"/>
          </w:tcPr>
          <w:p>
            <w:pPr>
              <w:pStyle w:val="TableContents"/>
              <w:bidi w:val="0"/>
              <w:spacing w:before="0" w:after="283"/>
              <w:jc w:val="left"/>
              <w:rPr>
                <w:sz w:val="4"/>
                <w:szCs w:val="4"/>
              </w:rPr>
            </w:pPr>
            <w:r>
              <w:rPr>
                <w:sz w:val="4"/>
                <w:szCs w:val="4"/>
              </w:rPr>
            </w:r>
          </w:p>
        </w:tc>
      </w:tr>
      <w:tr>
        <w:trPr/>
        <w:tc>
          <w:tcPr>
            <w:tcW w:w="1903" w:type="dxa"/>
            <w:tcBorders/>
            <w:vAlign w:val="center"/>
          </w:tcPr>
          <w:p>
            <w:pPr>
              <w:pStyle w:val="TableContents"/>
              <w:bidi w:val="0"/>
              <w:spacing w:before="0" w:after="283"/>
              <w:jc w:val="left"/>
              <w:rPr/>
            </w:pPr>
            <w:r>
              <w:rPr/>
              <w:t>By:</w:t>
            </w:r>
          </w:p>
        </w:tc>
        <w:tc>
          <w:tcPr>
            <w:tcW w:w="214" w:type="dxa"/>
            <w:tcBorders>
              <w:bottom w:val="single" w:sz="6" w:space="0" w:color="000000"/>
            </w:tcBorders>
            <w:tcMar>
              <w:bottom w:w="28" w:type="dxa"/>
            </w:tcMar>
            <w:vAlign w:val="center"/>
          </w:tcPr>
          <w:p>
            <w:pPr>
              <w:pStyle w:val="TableContents"/>
              <w:bidi w:val="0"/>
              <w:spacing w:before="0" w:after="283"/>
              <w:jc w:val="left"/>
              <w:rPr/>
            </w:pPr>
            <w:r>
              <w:rPr/>
              <w:t> </w:t>
            </w:r>
          </w:p>
        </w:tc>
        <w:tc>
          <w:tcPr>
            <w:tcW w:w="272"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903" w:type="dxa"/>
            <w:tcBorders/>
            <w:vAlign w:val="center"/>
          </w:tcPr>
          <w:p>
            <w:pPr>
              <w:pStyle w:val="TableContents"/>
              <w:bidi w:val="0"/>
              <w:spacing w:before="0" w:after="20"/>
              <w:jc w:val="left"/>
              <w:rPr>
                <w:rFonts w:ascii="arial" w:hAnsi="arial"/>
                <w:sz w:val="18"/>
              </w:rPr>
            </w:pPr>
            <w:r>
              <w:rPr>
                <w:rFonts w:ascii="arial" w:hAnsi="arial"/>
                <w:sz w:val="18"/>
              </w:rPr>
              <w:t>Name:</w:t>
            </w:r>
          </w:p>
        </w:tc>
        <w:tc>
          <w:tcPr>
            <w:tcW w:w="214" w:type="dxa"/>
            <w:tcBorders>
              <w:bottom w:val="single" w:sz="6" w:space="0" w:color="000000"/>
            </w:tcBorders>
            <w:tcMar>
              <w:bottom w:w="28" w:type="dxa"/>
            </w:tcMar>
            <w:vAlign w:val="center"/>
          </w:tcPr>
          <w:p>
            <w:pPr>
              <w:pStyle w:val="TableContents"/>
              <w:bidi w:val="0"/>
              <w:spacing w:before="0" w:after="283"/>
              <w:jc w:val="left"/>
              <w:rPr/>
            </w:pPr>
            <w:r>
              <w:rPr/>
              <w:t> </w:t>
            </w:r>
          </w:p>
        </w:tc>
        <w:tc>
          <w:tcPr>
            <w:tcW w:w="272"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903" w:type="dxa"/>
            <w:tcBorders/>
            <w:vAlign w:val="center"/>
          </w:tcPr>
          <w:p>
            <w:pPr>
              <w:pStyle w:val="TableContents"/>
              <w:bidi w:val="0"/>
              <w:spacing w:before="0" w:after="283"/>
              <w:jc w:val="left"/>
              <w:rPr>
                <w:sz w:val="18"/>
              </w:rPr>
            </w:pPr>
            <w:r>
              <w:rPr>
                <w:sz w:val="18"/>
              </w:rPr>
              <w:t>Title:</w:t>
            </w:r>
          </w:p>
        </w:tc>
        <w:tc>
          <w:tcPr>
            <w:tcW w:w="214" w:type="dxa"/>
            <w:tcBorders>
              <w:bottom w:val="single" w:sz="6" w:space="0" w:color="000000"/>
            </w:tcBorders>
            <w:tcMar>
              <w:bottom w:w="28" w:type="dxa"/>
            </w:tcMar>
            <w:vAlign w:val="center"/>
          </w:tcPr>
          <w:p>
            <w:pPr>
              <w:pStyle w:val="TableContents"/>
              <w:bidi w:val="0"/>
              <w:spacing w:before="0" w:after="283"/>
              <w:jc w:val="left"/>
              <w:rPr/>
            </w:pPr>
            <w:r>
              <w:rPr/>
              <w:t> </w:t>
            </w:r>
          </w:p>
        </w:tc>
        <w:tc>
          <w:tcPr>
            <w:tcW w:w="272" w:type="dxa"/>
            <w:tcBorders>
              <w:bottom w:val="sing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092" w:type="dxa"/>
        <w:jc w:val="left"/>
        <w:tblInd w:w="0" w:type="dxa"/>
        <w:tblLayout w:type="fixed"/>
        <w:tblCellMar>
          <w:top w:w="0" w:type="dxa"/>
          <w:left w:w="0" w:type="dxa"/>
          <w:bottom w:w="0" w:type="dxa"/>
          <w:right w:w="0" w:type="dxa"/>
        </w:tblCellMar>
      </w:tblPr>
      <w:tblGrid>
        <w:gridCol w:w="292"/>
        <w:gridCol w:w="60"/>
        <w:gridCol w:w="635"/>
        <w:gridCol w:w="60"/>
        <w:gridCol w:w="2045"/>
      </w:tblGrid>
      <w:tr>
        <w:trPr/>
        <w:tc>
          <w:tcPr>
            <w:tcW w:w="2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92" w:type="dxa"/>
            <w:tcBorders/>
            <w:vAlign w:val="center"/>
          </w:tcPr>
          <w:p>
            <w:pPr>
              <w:pStyle w:val="TableContents"/>
              <w:bidi w:val="0"/>
              <w:spacing w:before="0" w:after="283"/>
              <w:jc w:val="right"/>
              <w:rPr/>
            </w:pPr>
            <w:r>
              <w:rPr/>
              <w:drawing>
                <wp:inline distT="0" distB="0" distL="0" distR="0">
                  <wp:extent cx="137795" cy="14605"/>
                  <wp:effectExtent l="0" t="0" r="0" b="0"/>
                  <wp:docPr id="183"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72" descr=""/>
                          <pic:cNvPicPr>
                            <a:picLocks noChangeAspect="1" noChangeArrowheads="1"/>
                          </pic:cNvPicPr>
                        </pic:nvPicPr>
                        <pic:blipFill>
                          <a:blip r:embed="rId173"/>
                          <a:stretch>
                            <a:fillRect/>
                          </a:stretch>
                        </pic:blipFill>
                        <pic:spPr bwMode="auto">
                          <a:xfrm>
                            <a:off x="0" y="0"/>
                            <a:ext cx="137795" cy="14605"/>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lineRule="atLeast" w:line="180" w:before="0" w:after="0"/>
              <w:jc w:val="center"/>
              <w:rPr>
                <w:color w:val="F7ACBA"/>
              </w:rPr>
            </w:pPr>
            <w:r>
              <w:rPr>
                <w:color w:val="F7ACBA"/>
              </w:rPr>
              <w:t> </w:t>
            </w:r>
            <w:r>
              <w:rPr>
                <w:rFonts w:ascii="Times New Roman" w:hAnsi="Times New Roman"/>
                <w:b/>
                <w:color w:val="F7ACBA"/>
                <w:sz w:val="24"/>
              </w:rPr>
              <w:t>D-2 </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arial" w:hAnsi="arial"/>
                <w:sz w:val="16"/>
              </w:rPr>
            </w:pPr>
            <w:r>
              <w:rPr>
                <w:rFonts w:ascii="arial" w:hAnsi="arial"/>
                <w:sz w:val="16"/>
              </w:rPr>
              <w:t>2024 PROXY STATEMENT</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067550" cy="9144000"/>
            <wp:effectExtent l="0" t="0" r="0" b="0"/>
            <wp:docPr id="184"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73" descr=""/>
                    <pic:cNvPicPr>
                      <a:picLocks noChangeAspect="1" noChangeArrowheads="1"/>
                    </pic:cNvPicPr>
                  </pic:nvPicPr>
                  <pic:blipFill>
                    <a:blip r:embed="rId174"/>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PRELIMINARY PROXY CARD - SUBJECT TO COMPLETION VICTORIA’S SECRET &amp; CO. P.O. BOX 8016, CARY, NC 27512-9903 Your vote matters! Have your ballot ready and please use one of the methods below for easy voting: Your control number Have the 12 digit control number located in the box above available when you access the website and follow the instructions Scan QR for digital voting Victoria’s Secret &amp; Co. Annual Meeting of Stockholders For Stockholders of Record as of April 15, 2024 Thursday, June 13, 2024 8:30 AM, Eastern Time Annual Meeting to be held live via the Internet - please visit www.proxydocs.com/VSCO for more details. Internet: www.proxypush.com/VSCO Cast your vote online Have your Proxy Card ready Follow the simple instructions to record your vote Phone: 1-866-977-5067 Use any touch-tone telephone Have your Proxy Card ready Follow the simple recorded instructions Mail: Mark, sign and date your Proxy Card Fold and return your Proxy Card in the postage-paid envelope provided Virtual: You must register to attend the meeting online and/or participate at www.proxydocs.com/VSCO YOUR VOTE IS IMPORTANT! PLEASE VOTE BY: 8:30 AM, Eastern Time, June 13, 2024. This proxy is being solicited on behalf of the Board of Directors The undersigned hereby appoints Timothy Johnson &amp; Melinda McAfee (the “Named Proxies”), and each or either of them, as the true and lawful attorneys of the undersigned, with full power of substitution and revocation, and authorizes them, and each of them, to vote all the shares of capital stock of Victoria’s Secret &amp; Co.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 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PLEASE BE SURE TO SIGN AND DATE THIS PROXY CARD AND MARK ON THE REVERSE SIDE Copyright © 2024 BetaNXT, Inc. or its affiliates. All Rights Reserved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7067550" cy="9144000"/>
            <wp:effectExtent l="0" t="0" r="0" b="0"/>
            <wp:docPr id="185"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74" descr=""/>
                    <pic:cNvPicPr>
                      <a:picLocks noChangeAspect="1" noChangeArrowheads="1"/>
                    </pic:cNvPicPr>
                  </pic:nvPicPr>
                  <pic:blipFill>
                    <a:blip r:embed="rId175"/>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spacing w:before="0" w:after="283"/>
        <w:jc w:val="left"/>
        <w:rPr>
          <w:rFonts w:ascii="arial" w:hAnsi="arial"/>
          <w:color w:val="FFFFFF"/>
          <w:sz w:val="2"/>
        </w:rPr>
      </w:pPr>
      <w:r>
        <w:rPr>
          <w:rFonts w:ascii="arial" w:hAnsi="arial"/>
          <w:color w:val="FFFFFF"/>
          <w:sz w:val="2"/>
        </w:rPr>
        <w:t xml:space="preserve">Victoria’s Secret &amp; Co Victoria’s Secret &amp; Co. Annual Meeting of Stockholders Please make your marks like this: PROPOSAL YOUR VOTE BOARD OF DIRECTORS RECOMMENDS 1, To elect nine directors to serve until the 2025 annual meeting of stockholders; FOR AGAINST ABSTAIN 1.01 Donna James FOR1.02 Irene Chang Britt FOR 1.03 Sarah Davis FOR 1.04 Jacqueline Hernández FOR 1.05 Rod Little FOR 1.06 Mariam Naficy FOR 1.07 Lauren Peters FOR 1.08 Anne Sheehan FOR 1.09 Martin Waters FOR FOR AGAINST ABSTAIN 2. To approve an amendment to our Amended and Restated Certificate of Incorporation to permit the exculpation of our officers as permitted by Delaware law; FOR 3. To approve, on an advisory basis, the compensation of our named executive officers; FOR 4. To approve an amendment to the Victoria’s Secret &amp; Co. 2021 Stock Option and Performance Incentive Plan to increase the number of shares available for issuance under the plan by 4,800,000 shares; FOR 5. To ratify the appointment of Ernst &amp; Young LLP as our independent registered public accounting firm for fiscal year 2024; and FOR 6. To transact such other business as may properly come before the meeting and any adjournments or postponements thereof. You must register to attend the meeting online and/or participate at www.proxydocs.com/VSCO Authorized Signatures - Must be completed for your instructions to be executed. 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Signature (and Title if applicable) Date Signature (if held jointly) Date THE BOARD OF DIRECTORS RECOMMENDS A VOTE: FOR ON PROPOSALS 1, 2, 3, 4 AND 5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3.jpeg"/><Relationship Id="rId8" Type="http://schemas.openxmlformats.org/officeDocument/2006/relationships/image" Target="media/image3.jpeg"/><Relationship Id="rId9" Type="http://schemas.openxmlformats.org/officeDocument/2006/relationships/image" Target="media/image5.jpeg"/><Relationship Id="rId10" Type="http://schemas.openxmlformats.org/officeDocument/2006/relationships/image" Target="media/image3.jpeg"/><Relationship Id="rId11" Type="http://schemas.openxmlformats.org/officeDocument/2006/relationships/image" Target="media/image3.jpeg"/><Relationship Id="rId12" Type="http://schemas.openxmlformats.org/officeDocument/2006/relationships/image" Target="media/image3.jpeg"/><Relationship Id="rId13" Type="http://schemas.openxmlformats.org/officeDocument/2006/relationships/image" Target="media/image6.jpeg"/><Relationship Id="rId14" Type="http://schemas.openxmlformats.org/officeDocument/2006/relationships/image" Target="media/image3.jpeg"/><Relationship Id="rId15" Type="http://schemas.openxmlformats.org/officeDocument/2006/relationships/image" Target="media/image7.jpeg"/><Relationship Id="rId16" Type="http://schemas.openxmlformats.org/officeDocument/2006/relationships/image" Target="media/image8.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3.jpeg"/><Relationship Id="rId20" Type="http://schemas.openxmlformats.org/officeDocument/2006/relationships/image" Target="media/image3.jpeg"/><Relationship Id="rId21" Type="http://schemas.openxmlformats.org/officeDocument/2006/relationships/image" Target="media/image11.jpeg"/><Relationship Id="rId22" Type="http://schemas.openxmlformats.org/officeDocument/2006/relationships/image" Target="media/image12.jpeg"/><Relationship Id="rId23" Type="http://schemas.openxmlformats.org/officeDocument/2006/relationships/image" Target="media/image13.jpeg"/><Relationship Id="rId24" Type="http://schemas.openxmlformats.org/officeDocument/2006/relationships/image" Target="media/image14.jpeg"/><Relationship Id="rId25" Type="http://schemas.openxmlformats.org/officeDocument/2006/relationships/image" Target="media/image3.jpeg"/><Relationship Id="rId26" Type="http://schemas.openxmlformats.org/officeDocument/2006/relationships/image" Target="media/image3.jpeg"/><Relationship Id="rId27" Type="http://schemas.openxmlformats.org/officeDocument/2006/relationships/image" Target="media/image3.jpeg"/><Relationship Id="rId28" Type="http://schemas.openxmlformats.org/officeDocument/2006/relationships/image" Target="media/image3.jpeg"/><Relationship Id="rId29" Type="http://schemas.openxmlformats.org/officeDocument/2006/relationships/image" Target="media/image3.jpeg"/><Relationship Id="rId30" Type="http://schemas.openxmlformats.org/officeDocument/2006/relationships/image" Target="media/image15.jpeg"/><Relationship Id="rId31" Type="http://schemas.openxmlformats.org/officeDocument/2006/relationships/image" Target="media/image3.jpeg"/><Relationship Id="rId32" Type="http://schemas.openxmlformats.org/officeDocument/2006/relationships/image" Target="media/image16.jpeg"/><Relationship Id="rId33" Type="http://schemas.openxmlformats.org/officeDocument/2006/relationships/image" Target="media/image3.jpeg"/><Relationship Id="rId34" Type="http://schemas.openxmlformats.org/officeDocument/2006/relationships/image" Target="media/image17.jpeg"/><Relationship Id="rId35" Type="http://schemas.openxmlformats.org/officeDocument/2006/relationships/image" Target="media/image3.jpeg"/><Relationship Id="rId36" Type="http://schemas.openxmlformats.org/officeDocument/2006/relationships/image" Target="media/image18.jpeg"/><Relationship Id="rId37" Type="http://schemas.openxmlformats.org/officeDocument/2006/relationships/image" Target="media/image3.jpeg"/><Relationship Id="rId38" Type="http://schemas.openxmlformats.org/officeDocument/2006/relationships/image" Target="media/image19.jpeg"/><Relationship Id="rId39" Type="http://schemas.openxmlformats.org/officeDocument/2006/relationships/image" Target="media/image3.jpeg"/><Relationship Id="rId40" Type="http://schemas.openxmlformats.org/officeDocument/2006/relationships/image" Target="media/image20.jpeg"/><Relationship Id="rId41" Type="http://schemas.openxmlformats.org/officeDocument/2006/relationships/image" Target="media/image3.jpeg"/><Relationship Id="rId42" Type="http://schemas.openxmlformats.org/officeDocument/2006/relationships/image" Target="media/image21.jpeg"/><Relationship Id="rId43" Type="http://schemas.openxmlformats.org/officeDocument/2006/relationships/image" Target="media/image3.jpeg"/><Relationship Id="rId44" Type="http://schemas.openxmlformats.org/officeDocument/2006/relationships/image" Target="media/image22.jpeg"/><Relationship Id="rId45" Type="http://schemas.openxmlformats.org/officeDocument/2006/relationships/image" Target="media/image3.jpeg"/><Relationship Id="rId46" Type="http://schemas.openxmlformats.org/officeDocument/2006/relationships/image" Target="media/image23.jpeg"/><Relationship Id="rId47" Type="http://schemas.openxmlformats.org/officeDocument/2006/relationships/image" Target="media/image3.jpeg"/><Relationship Id="rId48" Type="http://schemas.openxmlformats.org/officeDocument/2006/relationships/image" Target="media/image24.jpeg"/><Relationship Id="rId49" Type="http://schemas.openxmlformats.org/officeDocument/2006/relationships/image" Target="media/image3.jpeg"/><Relationship Id="rId50" Type="http://schemas.openxmlformats.org/officeDocument/2006/relationships/image" Target="media/image3.jpeg"/><Relationship Id="rId51" Type="http://schemas.openxmlformats.org/officeDocument/2006/relationships/image" Target="media/image3.jpeg"/><Relationship Id="rId52" Type="http://schemas.openxmlformats.org/officeDocument/2006/relationships/image" Target="media/image25.jpeg"/><Relationship Id="rId53" Type="http://schemas.openxmlformats.org/officeDocument/2006/relationships/image" Target="media/image3.jpeg"/><Relationship Id="rId54" Type="http://schemas.openxmlformats.org/officeDocument/2006/relationships/image" Target="media/image3.jpeg"/><Relationship Id="rId55" Type="http://schemas.openxmlformats.org/officeDocument/2006/relationships/image" Target="media/image26.jpeg"/><Relationship Id="rId56" Type="http://schemas.openxmlformats.org/officeDocument/2006/relationships/image" Target="media/image27.jpeg"/><Relationship Id="rId57" Type="http://schemas.openxmlformats.org/officeDocument/2006/relationships/image" Target="media/image3.jpeg"/><Relationship Id="rId58" Type="http://schemas.openxmlformats.org/officeDocument/2006/relationships/image" Target="media/image28.jpeg"/><Relationship Id="rId59" Type="http://schemas.openxmlformats.org/officeDocument/2006/relationships/image" Target="media/image3.jpeg"/><Relationship Id="rId60" Type="http://schemas.openxmlformats.org/officeDocument/2006/relationships/image" Target="media/image29.jpeg"/><Relationship Id="rId61" Type="http://schemas.openxmlformats.org/officeDocument/2006/relationships/image" Target="media/image3.jpeg"/><Relationship Id="rId62" Type="http://schemas.openxmlformats.org/officeDocument/2006/relationships/image" Target="media/image30.jpeg"/><Relationship Id="rId63" Type="http://schemas.openxmlformats.org/officeDocument/2006/relationships/image" Target="media/image3.jpeg"/><Relationship Id="rId64" Type="http://schemas.openxmlformats.org/officeDocument/2006/relationships/image" Target="media/image31.jpeg"/><Relationship Id="rId65" Type="http://schemas.openxmlformats.org/officeDocument/2006/relationships/image" Target="media/image3.jpeg"/><Relationship Id="rId66" Type="http://schemas.openxmlformats.org/officeDocument/2006/relationships/image" Target="media/image3.jpeg"/><Relationship Id="rId67" Type="http://schemas.openxmlformats.org/officeDocument/2006/relationships/image" Target="media/image3.jpeg"/><Relationship Id="rId68" Type="http://schemas.openxmlformats.org/officeDocument/2006/relationships/image" Target="media/image3.jpeg"/><Relationship Id="rId69" Type="http://schemas.openxmlformats.org/officeDocument/2006/relationships/image" Target="media/image3.jpeg"/><Relationship Id="rId70" Type="http://schemas.openxmlformats.org/officeDocument/2006/relationships/image" Target="media/image3.jpeg"/><Relationship Id="rId71" Type="http://schemas.openxmlformats.org/officeDocument/2006/relationships/image" Target="media/image3.jpeg"/><Relationship Id="rId72" Type="http://schemas.openxmlformats.org/officeDocument/2006/relationships/image" Target="media/image3.jpeg"/><Relationship Id="rId73" Type="http://schemas.openxmlformats.org/officeDocument/2006/relationships/image" Target="media/image15.jpeg"/><Relationship Id="rId74" Type="http://schemas.openxmlformats.org/officeDocument/2006/relationships/image" Target="media/image3.jpeg"/><Relationship Id="rId75" Type="http://schemas.openxmlformats.org/officeDocument/2006/relationships/image" Target="media/image3.jpeg"/><Relationship Id="rId76" Type="http://schemas.openxmlformats.org/officeDocument/2006/relationships/image" Target="media/image3.jpeg"/><Relationship Id="rId77" Type="http://schemas.openxmlformats.org/officeDocument/2006/relationships/image" Target="media/image3.jpeg"/><Relationship Id="rId78" Type="http://schemas.openxmlformats.org/officeDocument/2006/relationships/image" Target="media/image32.jpeg"/><Relationship Id="rId79" Type="http://schemas.openxmlformats.org/officeDocument/2006/relationships/image" Target="media/image3.jpeg"/><Relationship Id="rId80" Type="http://schemas.openxmlformats.org/officeDocument/2006/relationships/image" Target="media/image3.jpeg"/><Relationship Id="rId81" Type="http://schemas.openxmlformats.org/officeDocument/2006/relationships/image" Target="media/image33.jpeg"/><Relationship Id="rId82" Type="http://schemas.openxmlformats.org/officeDocument/2006/relationships/image" Target="media/image34.jpeg"/><Relationship Id="rId83" Type="http://schemas.openxmlformats.org/officeDocument/2006/relationships/image" Target="media/image3.jpeg"/><Relationship Id="rId84" Type="http://schemas.openxmlformats.org/officeDocument/2006/relationships/image" Target="media/image35.jpeg"/><Relationship Id="rId85" Type="http://schemas.openxmlformats.org/officeDocument/2006/relationships/image" Target="media/image3.jpeg"/><Relationship Id="rId86" Type="http://schemas.openxmlformats.org/officeDocument/2006/relationships/image" Target="media/image3.jpeg"/><Relationship Id="rId87" Type="http://schemas.openxmlformats.org/officeDocument/2006/relationships/image" Target="media/image3.jpeg"/><Relationship Id="rId88" Type="http://schemas.openxmlformats.org/officeDocument/2006/relationships/image" Target="media/image3.jpeg"/><Relationship Id="rId89" Type="http://schemas.openxmlformats.org/officeDocument/2006/relationships/image" Target="media/image3.jpeg"/><Relationship Id="rId90" Type="http://schemas.openxmlformats.org/officeDocument/2006/relationships/image" Target="media/image3.jpeg"/><Relationship Id="rId91" Type="http://schemas.openxmlformats.org/officeDocument/2006/relationships/image" Target="media/image3.jpeg"/><Relationship Id="rId92" Type="http://schemas.openxmlformats.org/officeDocument/2006/relationships/image" Target="media/image3.jpeg"/><Relationship Id="rId93" Type="http://schemas.openxmlformats.org/officeDocument/2006/relationships/image" Target="media/image3.jpeg"/><Relationship Id="rId94" Type="http://schemas.openxmlformats.org/officeDocument/2006/relationships/image" Target="media/image36.jpeg"/><Relationship Id="rId95" Type="http://schemas.openxmlformats.org/officeDocument/2006/relationships/image" Target="media/image3.jpeg"/><Relationship Id="rId96" Type="http://schemas.openxmlformats.org/officeDocument/2006/relationships/image" Target="media/image3.jpeg"/><Relationship Id="rId97" Type="http://schemas.openxmlformats.org/officeDocument/2006/relationships/image" Target="media/image3.jpeg"/><Relationship Id="rId98" Type="http://schemas.openxmlformats.org/officeDocument/2006/relationships/image" Target="media/image3.jpeg"/><Relationship Id="rId99" Type="http://schemas.openxmlformats.org/officeDocument/2006/relationships/image" Target="media/image3.jpeg"/><Relationship Id="rId100" Type="http://schemas.openxmlformats.org/officeDocument/2006/relationships/image" Target="media/image3.jpeg"/><Relationship Id="rId101" Type="http://schemas.openxmlformats.org/officeDocument/2006/relationships/image" Target="media/image3.jpeg"/><Relationship Id="rId102" Type="http://schemas.openxmlformats.org/officeDocument/2006/relationships/image" Target="media/image3.jpeg"/><Relationship Id="rId103" Type="http://schemas.openxmlformats.org/officeDocument/2006/relationships/image" Target="media/image3.jpeg"/><Relationship Id="rId104" Type="http://schemas.openxmlformats.org/officeDocument/2006/relationships/image" Target="media/image3.jpeg"/><Relationship Id="rId105" Type="http://schemas.openxmlformats.org/officeDocument/2006/relationships/image" Target="media/image3.jpeg"/><Relationship Id="rId106" Type="http://schemas.openxmlformats.org/officeDocument/2006/relationships/image" Target="media/image3.jpeg"/><Relationship Id="rId107" Type="http://schemas.openxmlformats.org/officeDocument/2006/relationships/image" Target="media/image3.jpeg"/><Relationship Id="rId108" Type="http://schemas.openxmlformats.org/officeDocument/2006/relationships/image" Target="media/image3.jpeg"/><Relationship Id="rId109" Type="http://schemas.openxmlformats.org/officeDocument/2006/relationships/image" Target="media/image3.jpeg"/><Relationship Id="rId110" Type="http://schemas.openxmlformats.org/officeDocument/2006/relationships/image" Target="media/image3.jpeg"/><Relationship Id="rId111" Type="http://schemas.openxmlformats.org/officeDocument/2006/relationships/image" Target="media/image3.jpeg"/><Relationship Id="rId112" Type="http://schemas.openxmlformats.org/officeDocument/2006/relationships/image" Target="media/image3.jpeg"/><Relationship Id="rId113" Type="http://schemas.openxmlformats.org/officeDocument/2006/relationships/image" Target="media/image3.jpeg"/><Relationship Id="rId114" Type="http://schemas.openxmlformats.org/officeDocument/2006/relationships/image" Target="media/image3.jpeg"/><Relationship Id="rId115" Type="http://schemas.openxmlformats.org/officeDocument/2006/relationships/image" Target="media/image3.jpeg"/><Relationship Id="rId116" Type="http://schemas.openxmlformats.org/officeDocument/2006/relationships/image" Target="media/image3.jpeg"/><Relationship Id="rId117" Type="http://schemas.openxmlformats.org/officeDocument/2006/relationships/image" Target="media/image3.jpeg"/><Relationship Id="rId118" Type="http://schemas.openxmlformats.org/officeDocument/2006/relationships/image" Target="media/image37.jpeg"/><Relationship Id="rId119" Type="http://schemas.openxmlformats.org/officeDocument/2006/relationships/image" Target="media/image3.jpeg"/><Relationship Id="rId120" Type="http://schemas.openxmlformats.org/officeDocument/2006/relationships/image" Target="media/image38.jpeg"/><Relationship Id="rId121" Type="http://schemas.openxmlformats.org/officeDocument/2006/relationships/image" Target="media/image3.jpeg"/><Relationship Id="rId122" Type="http://schemas.openxmlformats.org/officeDocument/2006/relationships/image" Target="media/image15.jpeg"/><Relationship Id="rId123" Type="http://schemas.openxmlformats.org/officeDocument/2006/relationships/image" Target="media/image3.jpeg"/><Relationship Id="rId124" Type="http://schemas.openxmlformats.org/officeDocument/2006/relationships/image" Target="media/image3.jpeg"/><Relationship Id="rId125" Type="http://schemas.openxmlformats.org/officeDocument/2006/relationships/image" Target="media/image3.jpeg"/><Relationship Id="rId126" Type="http://schemas.openxmlformats.org/officeDocument/2006/relationships/image" Target="media/image3.jpeg"/><Relationship Id="rId127" Type="http://schemas.openxmlformats.org/officeDocument/2006/relationships/image" Target="media/image3.jpeg"/><Relationship Id="rId128" Type="http://schemas.openxmlformats.org/officeDocument/2006/relationships/image" Target="media/image3.jpeg"/><Relationship Id="rId129" Type="http://schemas.openxmlformats.org/officeDocument/2006/relationships/image" Target="media/image3.jpeg"/><Relationship Id="rId130" Type="http://schemas.openxmlformats.org/officeDocument/2006/relationships/image" Target="media/image3.jpeg"/><Relationship Id="rId131" Type="http://schemas.openxmlformats.org/officeDocument/2006/relationships/image" Target="media/image3.jpeg"/><Relationship Id="rId132" Type="http://schemas.openxmlformats.org/officeDocument/2006/relationships/image" Target="media/image3.jpeg"/><Relationship Id="rId133" Type="http://schemas.openxmlformats.org/officeDocument/2006/relationships/image" Target="media/image15.jpeg"/><Relationship Id="rId134" Type="http://schemas.openxmlformats.org/officeDocument/2006/relationships/image" Target="media/image3.jpeg"/><Relationship Id="rId135" Type="http://schemas.openxmlformats.org/officeDocument/2006/relationships/image" Target="media/image3.jpeg"/><Relationship Id="rId136" Type="http://schemas.openxmlformats.org/officeDocument/2006/relationships/image" Target="media/image3.jpeg"/><Relationship Id="rId137" Type="http://schemas.openxmlformats.org/officeDocument/2006/relationships/image" Target="media/image3.jpeg"/><Relationship Id="rId138" Type="http://schemas.openxmlformats.org/officeDocument/2006/relationships/image" Target="media/image3.jpeg"/><Relationship Id="rId139" Type="http://schemas.openxmlformats.org/officeDocument/2006/relationships/image" Target="media/image15.jpeg"/><Relationship Id="rId140" Type="http://schemas.openxmlformats.org/officeDocument/2006/relationships/image" Target="media/image3.jpeg"/><Relationship Id="rId141" Type="http://schemas.openxmlformats.org/officeDocument/2006/relationships/image" Target="media/image3.jpeg"/><Relationship Id="rId142" Type="http://schemas.openxmlformats.org/officeDocument/2006/relationships/image" Target="media/image3.jpeg"/><Relationship Id="rId143" Type="http://schemas.openxmlformats.org/officeDocument/2006/relationships/image" Target="media/image3.jpeg"/><Relationship Id="rId144" Type="http://schemas.openxmlformats.org/officeDocument/2006/relationships/image" Target="media/image3.jpeg"/><Relationship Id="rId145" Type="http://schemas.openxmlformats.org/officeDocument/2006/relationships/image" Target="media/image3.jpeg"/><Relationship Id="rId146" Type="http://schemas.openxmlformats.org/officeDocument/2006/relationships/image" Target="media/image3.jpeg"/><Relationship Id="rId147" Type="http://schemas.openxmlformats.org/officeDocument/2006/relationships/image" Target="media/image3.jpeg"/><Relationship Id="rId148" Type="http://schemas.openxmlformats.org/officeDocument/2006/relationships/image" Target="media/image3.jpeg"/><Relationship Id="rId149" Type="http://schemas.openxmlformats.org/officeDocument/2006/relationships/image" Target="media/image3.jpeg"/><Relationship Id="rId150" Type="http://schemas.openxmlformats.org/officeDocument/2006/relationships/image" Target="media/image3.jpeg"/><Relationship Id="rId151" Type="http://schemas.openxmlformats.org/officeDocument/2006/relationships/image" Target="media/image3.jpeg"/><Relationship Id="rId152" Type="http://schemas.openxmlformats.org/officeDocument/2006/relationships/image" Target="media/image3.jpeg"/><Relationship Id="rId153" Type="http://schemas.openxmlformats.org/officeDocument/2006/relationships/image" Target="media/image3.jpeg"/><Relationship Id="rId154" Type="http://schemas.openxmlformats.org/officeDocument/2006/relationships/image" Target="media/image3.jpeg"/><Relationship Id="rId155" Type="http://schemas.openxmlformats.org/officeDocument/2006/relationships/image" Target="media/image3.jpeg"/><Relationship Id="rId156" Type="http://schemas.openxmlformats.org/officeDocument/2006/relationships/image" Target="media/image3.jpeg"/><Relationship Id="rId157" Type="http://schemas.openxmlformats.org/officeDocument/2006/relationships/image" Target="media/image3.jpeg"/><Relationship Id="rId158" Type="http://schemas.openxmlformats.org/officeDocument/2006/relationships/image" Target="media/image3.jpeg"/><Relationship Id="rId159" Type="http://schemas.openxmlformats.org/officeDocument/2006/relationships/image" Target="media/image3.jpeg"/><Relationship Id="rId160" Type="http://schemas.openxmlformats.org/officeDocument/2006/relationships/image" Target="media/image3.jpeg"/><Relationship Id="rId161" Type="http://schemas.openxmlformats.org/officeDocument/2006/relationships/image" Target="media/image3.jpeg"/><Relationship Id="rId162" Type="http://schemas.openxmlformats.org/officeDocument/2006/relationships/image" Target="media/image3.jpeg"/><Relationship Id="rId163" Type="http://schemas.openxmlformats.org/officeDocument/2006/relationships/image" Target="media/image3.jpeg"/><Relationship Id="rId164" Type="http://schemas.openxmlformats.org/officeDocument/2006/relationships/image" Target="media/image3.jpeg"/><Relationship Id="rId165" Type="http://schemas.openxmlformats.org/officeDocument/2006/relationships/image" Target="media/image3.jpeg"/><Relationship Id="rId166" Type="http://schemas.openxmlformats.org/officeDocument/2006/relationships/image" Target="media/image3.jpeg"/><Relationship Id="rId167" Type="http://schemas.openxmlformats.org/officeDocument/2006/relationships/image" Target="media/image3.jpeg"/><Relationship Id="rId168" Type="http://schemas.openxmlformats.org/officeDocument/2006/relationships/image" Target="media/image3.jpeg"/><Relationship Id="rId169" Type="http://schemas.openxmlformats.org/officeDocument/2006/relationships/image" Target="media/image3.jpeg"/><Relationship Id="rId170" Type="http://schemas.openxmlformats.org/officeDocument/2006/relationships/image" Target="media/image3.jpeg"/><Relationship Id="rId171" Type="http://schemas.openxmlformats.org/officeDocument/2006/relationships/image" Target="media/image3.jpeg"/><Relationship Id="rId172" Type="http://schemas.openxmlformats.org/officeDocument/2006/relationships/image" Target="media/image3.jpeg"/><Relationship Id="rId173" Type="http://schemas.openxmlformats.org/officeDocument/2006/relationships/image" Target="media/image3.jpeg"/><Relationship Id="rId174" Type="http://schemas.openxmlformats.org/officeDocument/2006/relationships/image" Target="media/image39.jpeg"/><Relationship Id="rId175" Type="http://schemas.openxmlformats.org/officeDocument/2006/relationships/image" Target="media/image40.jpeg"/><Relationship Id="rId176" Type="http://schemas.openxmlformats.org/officeDocument/2006/relationships/fontTable" Target="fontTable.xml"/><Relationship Id="rId17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134</Pages>
  <Words>65793</Words>
  <Characters>356908</Characters>
  <CharactersWithSpaces>428534</CharactersWithSpaces>
  <Paragraphs>10898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