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3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3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June 23, 2025 (June 18, 2025)</w:t>
      </w:r>
    </w:p>
    <w:tbl>
      <w:tblPr>
        <w:tblW w:w="9057" w:type="dxa"/>
        <w:jc w:val="center"/>
        <w:tblInd w:w="0" w:type="dxa"/>
        <w:tblLayout w:type="fixed"/>
        <w:tblCellMar>
          <w:top w:w="28" w:type="dxa"/>
          <w:left w:w="28" w:type="dxa"/>
          <w:bottom w:w="28" w:type="dxa"/>
          <w:right w:w="28" w:type="dxa"/>
        </w:tblCellMar>
      </w:tblPr>
      <w:tblGrid>
        <w:gridCol w:w="564"/>
        <w:gridCol w:w="496"/>
        <w:gridCol w:w="497"/>
        <w:gridCol w:w="433"/>
        <w:gridCol w:w="433"/>
        <w:gridCol w:w="441"/>
        <w:gridCol w:w="1054"/>
        <w:gridCol w:w="1054"/>
        <w:gridCol w:w="1056"/>
        <w:gridCol w:w="884"/>
        <w:gridCol w:w="884"/>
        <w:gridCol w:w="1261"/>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Victoria's Secret &amp; Co.</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w:t>
              <w:br/>
              <w:t>as Specified in Its Charter)</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Delaware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001-40515</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(614) 577-7000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left"/>
        <w:tblInd w:w="0" w:type="dxa"/>
        <w:tblLayout w:type="fixed"/>
        <w:tblCellMar>
          <w:top w:w="28" w:type="dxa"/>
          <w:left w:w="28" w:type="dxa"/>
          <w:bottom w:w="28" w:type="dxa"/>
          <w:right w:w="28" w:type="dxa"/>
        </w:tblCellMar>
      </w:tblPr>
      <w:tblGrid>
        <w:gridCol w:w="997"/>
        <w:gridCol w:w="876"/>
        <w:gridCol w:w="886"/>
        <w:gridCol w:w="109"/>
        <w:gridCol w:w="109"/>
        <w:gridCol w:w="109"/>
        <w:gridCol w:w="564"/>
        <w:gridCol w:w="564"/>
        <w:gridCol w:w="566"/>
        <w:gridCol w:w="109"/>
        <w:gridCol w:w="109"/>
        <w:gridCol w:w="109"/>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June 18, 2025, the Company held its 2025 annual meeting of stockholders (the “Annual Meeting”) by means of remote communication. At the Annual Meeting, the Company’s stockholders (i) elected ten directors to serve until the 2026 annual meeting of stockholders, (ii) approved, on an advisory basis, the compensation of the Company’s named executive officers, and (iii) ratified the appointment of Ernst &amp; Young LLP as the Company’s independent registered public accounting firm for fiscal year 2025.</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final voting results with respect to each of the three proposals are set forth below.</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1. To elect ten directors to serve until the 2026 annual meeting of stockholders.</w:t>
      </w:r>
    </w:p>
    <w:tbl>
      <w:tblPr>
        <w:tblW w:w="6377" w:type="dxa"/>
        <w:jc w:val="left"/>
        <w:tblInd w:w="0" w:type="dxa"/>
        <w:tblLayout w:type="fixed"/>
        <w:tblCellMar>
          <w:top w:w="28" w:type="dxa"/>
          <w:left w:w="28" w:type="dxa"/>
          <w:bottom w:w="28" w:type="dxa"/>
          <w:right w:w="28" w:type="dxa"/>
        </w:tblCellMar>
      </w:tblPr>
      <w:tblGrid>
        <w:gridCol w:w="690"/>
        <w:gridCol w:w="605"/>
        <w:gridCol w:w="610"/>
        <w:gridCol w:w="344"/>
        <w:gridCol w:w="344"/>
        <w:gridCol w:w="348"/>
        <w:gridCol w:w="344"/>
        <w:gridCol w:w="344"/>
        <w:gridCol w:w="348"/>
        <w:gridCol w:w="259"/>
        <w:gridCol w:w="259"/>
        <w:gridCol w:w="263"/>
        <w:gridCol w:w="474"/>
        <w:gridCol w:w="474"/>
        <w:gridCol w:w="671"/>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Nominee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Irene Chang Britt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44,442,779</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16,866,786</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598,418</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Davis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44,636,924</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16,670,252</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600,807</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Jacqueline Hernández</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44,601,654</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16,708,148</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598,181</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Donna James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44,384,342</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16,922,221</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601,420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Little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44,711,338</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16,590,281</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606,364</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McCreight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46,277,969</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15,019,575</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610,439</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Mariam Naficy</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44,654,599</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16,649,384</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604,000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Lauren Peters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44,691,257</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16,613,816</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602,910</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Anne Sheehan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43,801,334</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17,503,410</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603,239</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Hillary Super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45,794,163</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15,498,822</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614,998</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bl>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2. To approve, on an advisory basis, the compensation of the Company’s named executive officers.</w:t>
      </w:r>
    </w:p>
    <w:tbl>
      <w:tblPr>
        <w:tblW w:w="4487" w:type="dxa"/>
        <w:jc w:val="left"/>
        <w:tblInd w:w="0" w:type="dxa"/>
        <w:tblLayout w:type="fixed"/>
        <w:tblCellMar>
          <w:top w:w="28" w:type="dxa"/>
          <w:left w:w="28" w:type="dxa"/>
          <w:bottom w:w="28" w:type="dxa"/>
          <w:right w:w="28" w:type="dxa"/>
        </w:tblCellMar>
      </w:tblPr>
      <w:tblGrid>
        <w:gridCol w:w="379"/>
        <w:gridCol w:w="333"/>
        <w:gridCol w:w="339"/>
        <w:gridCol w:w="344"/>
        <w:gridCol w:w="344"/>
        <w:gridCol w:w="348"/>
        <w:gridCol w:w="259"/>
        <w:gridCol w:w="259"/>
        <w:gridCol w:w="263"/>
        <w:gridCol w:w="474"/>
        <w:gridCol w:w="474"/>
        <w:gridCol w:w="67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46,549,043</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14,777,442</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581,498</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8,895,380</w:t>
            </w:r>
          </w:p>
        </w:tc>
      </w:tr>
    </w:tbl>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3. To ratify the appointment of Ernst &amp; Young LLP as the Company’s independent registered public accounting firm for fiscal year 2025.</w:t>
      </w:r>
    </w:p>
    <w:tbl>
      <w:tblPr>
        <w:tblW w:w="4232" w:type="dxa"/>
        <w:jc w:val="left"/>
        <w:tblInd w:w="0" w:type="dxa"/>
        <w:tblLayout w:type="fixed"/>
        <w:tblCellMar>
          <w:top w:w="28" w:type="dxa"/>
          <w:left w:w="28" w:type="dxa"/>
          <w:bottom w:w="28" w:type="dxa"/>
          <w:right w:w="28" w:type="dxa"/>
        </w:tblCellMar>
      </w:tblPr>
      <w:tblGrid>
        <w:gridCol w:w="379"/>
        <w:gridCol w:w="333"/>
        <w:gridCol w:w="339"/>
        <w:gridCol w:w="259"/>
        <w:gridCol w:w="259"/>
        <w:gridCol w:w="263"/>
        <w:gridCol w:w="259"/>
        <w:gridCol w:w="259"/>
        <w:gridCol w:w="263"/>
        <w:gridCol w:w="474"/>
        <w:gridCol w:w="474"/>
        <w:gridCol w:w="67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69,589,419</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665,780</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548,163</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4"/>
        <w:gridCol w:w="2574"/>
        <w:gridCol w:w="3663"/>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903" w:type="dxa"/>
        <w:jc w:val="right"/>
        <w:tblInd w:w="0" w:type="dxa"/>
        <w:tblLayout w:type="fixed"/>
        <w:tblCellMar>
          <w:top w:w="28" w:type="dxa"/>
          <w:left w:w="28" w:type="dxa"/>
          <w:bottom w:w="28" w:type="dxa"/>
          <w:right w:w="28" w:type="dxa"/>
        </w:tblCellMar>
      </w:tblPr>
      <w:tblGrid>
        <w:gridCol w:w="200"/>
        <w:gridCol w:w="177"/>
        <w:gridCol w:w="178"/>
        <w:gridCol w:w="414"/>
        <w:gridCol w:w="414"/>
        <w:gridCol w:w="417"/>
        <w:gridCol w:w="134"/>
        <w:gridCol w:w="134"/>
        <w:gridCol w:w="136"/>
        <w:gridCol w:w="790"/>
        <w:gridCol w:w="790"/>
        <w:gridCol w:w="11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0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3637</Characters>
  <CharactersWithSpaces>4141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