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75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755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620" w:type="dxa"/>
            <w:vAlign w:val="bottom"/>
            <w:gridSpan w:val="2"/>
            <w:vMerge w:val="restart"/>
          </w:tcPr>
          <w:p>
            <w:pPr>
              <w:spacing w:after="0"/>
              <w:rPr>
                <w:rFonts w:ascii="Times New Roman" w:cs="Times New Roman" w:eastAsia="Times New Roman" w:hAnsi="Times New Roman"/>
                <w:sz w:val="24"/>
                <w:szCs w:val="24"/>
                <w:color w:val="0000EE"/>
                <w:w w:val="98"/>
              </w:rPr>
            </w:pPr>
            <w:hyperlink r:id="rId10">
              <w:r>
                <w:rPr>
                  <w:rFonts w:ascii="Times New Roman" w:cs="Times New Roman" w:eastAsia="Times New Roman" w:hAnsi="Times New Roman"/>
                  <w:sz w:val="24"/>
                  <w:szCs w:val="24"/>
                  <w:color w:val="0000EE"/>
                  <w:w w:val="98"/>
                </w:rPr>
                <w:t>BBRC INTERNATIONAL</w:t>
              </w:r>
            </w:hyperlink>
          </w:p>
        </w:tc>
        <w:tc>
          <w:tcPr>
            <w:tcW w:w="400" w:type="dxa"/>
            <w:vAlign w:val="bottom"/>
            <w:vMerge w:val="restart"/>
          </w:tcPr>
          <w:p>
            <w:pPr>
              <w:spacing w:after="0"/>
              <w:rPr>
                <w:sz w:val="11"/>
                <w:szCs w:val="11"/>
                <w:color w:val="auto"/>
              </w:rPr>
            </w:pPr>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2620" w:type="dxa"/>
            <w:vAlign w:val="bottom"/>
            <w:tcBorders>
              <w:bottom w:val="single" w:sz="8" w:color="0000EE"/>
            </w:tcBorders>
            <w:gridSpan w:val="2"/>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020" w:type="dxa"/>
            <w:vAlign w:val="bottom"/>
            <w:gridSpan w:val="3"/>
          </w:tcPr>
          <w:p>
            <w:pPr>
              <w:spacing w:after="0" w:line="250"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PTE LTD</w:t>
              </w:r>
            </w:hyperlink>
          </w:p>
        </w:tc>
        <w:tc>
          <w:tcPr>
            <w:tcW w:w="156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03/10/2025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Victoria's Secret &amp; Co.</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VSCO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0"/>
          <w:szCs w:val="20"/>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315"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980" w:type="dxa"/>
            <w:vAlign w:val="bottom"/>
          </w:tcPr>
          <w:p>
            <w:pPr>
              <w:ind w:left="280"/>
              <w:spacing w:after="0"/>
              <w:rPr>
                <w:sz w:val="20"/>
                <w:szCs w:val="20"/>
                <w:color w:val="auto"/>
              </w:rPr>
            </w:pPr>
            <w:r>
              <w:rPr>
                <w:rFonts w:ascii="Arial" w:cs="Arial" w:eastAsia="Arial" w:hAnsi="Arial"/>
                <w:sz w:val="15"/>
                <w:szCs w:val="15"/>
                <w:color w:val="auto"/>
              </w:rPr>
              <w:t>(First)</w:t>
            </w:r>
          </w:p>
        </w:tc>
        <w:tc>
          <w:tcPr>
            <w:tcW w:w="134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3 PHILLIP STREET #09-05</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ROYAL GROUP BUILDING</w:t>
            </w:r>
          </w:p>
        </w:tc>
      </w:tr>
      <w:tr>
        <w:trPr>
          <w:trHeight w:val="177"/>
        </w:trPr>
        <w:tc>
          <w:tcPr>
            <w:tcW w:w="78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1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SINGAPORE U0</w:t>
            </w:r>
          </w:p>
        </w:tc>
        <w:tc>
          <w:tcPr>
            <w:tcW w:w="1340" w:type="dxa"/>
            <w:vAlign w:val="bottom"/>
          </w:tcPr>
          <w:p>
            <w:pPr>
              <w:jc w:val="right"/>
              <w:ind w:right="294"/>
              <w:spacing w:after="0"/>
              <w:rPr>
                <w:sz w:val="20"/>
                <w:szCs w:val="20"/>
                <w:color w:val="auto"/>
              </w:rPr>
            </w:pPr>
            <w:r>
              <w:rPr>
                <w:rFonts w:ascii="Times New Roman" w:cs="Times New Roman" w:eastAsia="Times New Roman" w:hAnsi="Times New Roman"/>
                <w:sz w:val="20"/>
                <w:szCs w:val="20"/>
                <w:color w:val="0000FF"/>
              </w:rPr>
              <w:t>048693</w:t>
            </w:r>
          </w:p>
        </w:tc>
      </w:tr>
    </w:tbl>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0"/>
          <w:szCs w:val="20"/>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2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0"/>
          <w:szCs w:val="20"/>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38" w:lineRule="exact"/>
        <w:rPr>
          <w:sz w:val="20"/>
          <w:szCs w:val="20"/>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20"/>
                <w:szCs w:val="20"/>
                <w:color w:val="0000FF"/>
              </w:rPr>
              <w:t>8,153,019</w:t>
            </w:r>
          </w:p>
        </w:tc>
        <w:tc>
          <w:tcPr>
            <w:tcW w:w="1600" w:type="dxa"/>
            <w:vAlign w:val="bottom"/>
            <w:tcBorders>
              <w:bottom w:val="single" w:sz="8" w:color="2C2C2C"/>
            </w:tcBorders>
            <w:gridSpan w:val="2"/>
          </w:tcPr>
          <w:p>
            <w:pPr>
              <w:ind w:left="840"/>
              <w:spacing w:after="0" w:line="359" w:lineRule="exact"/>
              <w:rPr>
                <w:sz w:val="20"/>
                <w:szCs w:val="20"/>
                <w:color w:val="auto"/>
              </w:rPr>
            </w:pPr>
            <w:r>
              <w:rPr>
                <w:rFonts w:ascii="Times New Roman" w:cs="Times New Roman" w:eastAsia="Times New Roman" w:hAnsi="Times New Roman"/>
                <w:sz w:val="39"/>
                <w:szCs w:val="39"/>
                <w:color w:val="0000FF"/>
                <w:vertAlign w:val="subscript"/>
              </w:rPr>
              <w:t>I</w:t>
            </w:r>
            <w:r>
              <w:rPr>
                <w:rFonts w:ascii="Times New Roman" w:cs="Times New Roman" w:eastAsia="Times New Roman" w:hAnsi="Times New Roman"/>
                <w:sz w:val="13"/>
                <w:szCs w:val="13"/>
                <w:color w:val="008000"/>
              </w:rPr>
              <w:t>(1)</w:t>
            </w:r>
          </w:p>
        </w:tc>
        <w:tc>
          <w:tcPr>
            <w:tcW w:w="128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See Footnote 1</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5"/>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6"/>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6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960" w:type="dxa"/>
            <w:vAlign w:val="bottom"/>
            <w:vMerge w:val="restart"/>
          </w:tcPr>
          <w:p>
            <w:pPr>
              <w:ind w:left="320"/>
              <w:spacing w:after="0"/>
              <w:rPr>
                <w:sz w:val="20"/>
                <w:szCs w:val="20"/>
                <w:color w:val="auto"/>
              </w:rPr>
            </w:pPr>
            <w:r>
              <w:rPr>
                <w:rFonts w:ascii="Arial" w:cs="Arial" w:eastAsia="Arial" w:hAnsi="Arial"/>
                <w:sz w:val="15"/>
                <w:szCs w:val="15"/>
                <w:b w:val="1"/>
                <w:bCs w:val="1"/>
                <w:color w:val="auto"/>
              </w:rPr>
              <w:t>Amount</w:t>
            </w:r>
          </w:p>
        </w:tc>
        <w:tc>
          <w:tcPr>
            <w:tcW w:w="6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6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6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Number</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96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60" w:type="dxa"/>
            <w:vAlign w:val="bottom"/>
          </w:tcPr>
          <w:p>
            <w:pPr>
              <w:ind w:left="320"/>
              <w:spacing w:after="0"/>
              <w:rPr>
                <w:sz w:val="20"/>
                <w:szCs w:val="20"/>
                <w:color w:val="auto"/>
              </w:rPr>
            </w:pPr>
            <w:r>
              <w:rPr>
                <w:rFonts w:ascii="Arial" w:cs="Arial" w:eastAsia="Arial" w:hAnsi="Arial"/>
                <w:sz w:val="15"/>
                <w:szCs w:val="15"/>
                <w:b w:val="1"/>
                <w:bCs w:val="1"/>
                <w:color w:val="auto"/>
              </w:rPr>
              <w:t>Shares</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40" w:right="24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Consists of shares owned by the reporting person, as trustee for the BB Family International Trust (the "BB Family Trust"), and by BBFIT Investments Pte Ltd ("BBFIT"). BB Family Trust is the sole shareholder of BBFIT. The reporting person, as the trustee of BB Family Trust, may be deemed to beneficially own the shares owned by BBFIT and BB Family Trust. The reporting person expressly disclaims beneficial ownership of any securities of the Issuer except for those securities that are owned directly by the reporting person or to the extent of the reporting person's pecuniary interest therein.</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Brett Blundy, Managing</w:t>
            </w:r>
          </w:p>
        </w:tc>
        <w:tc>
          <w:tcPr>
            <w:tcW w:w="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03/12/2025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Director</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0" Type="http://schemas.openxmlformats.org/officeDocument/2006/relationships/hyperlink" Target="http://www.sec.gov/cgi-bin/browse-edgar?action=getcompany&amp;CIK=0001930869" TargetMode="External"/><Relationship Id="rId11" Type="http://schemas.openxmlformats.org/officeDocument/2006/relationships/hyperlink" Target="http://www.sec.gov/cgi-bin/browse-edgar?action=getcompany&amp;CIK=00018564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2025-03-12T17:31:57Z</dcterms:created>
  <dcterms:modified xsi:type="dcterms:W3CDTF">2025-03-12T17:31:57Z</dcterms:modified>
</cp:coreProperties>
</file>