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346710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14"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29, 2022</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p>
      <w:pPr>
        <w:ind w:left="392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Commission file number 001-40515</w:t>
      </w:r>
    </w:p>
    <w:p>
      <w:pPr>
        <w:spacing w:after="0" w:line="18"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_________________________________</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VICTORIA'S SECRET &amp; CO.</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ind w:left="4520"/>
        <w:spacing w:after="0"/>
        <w:rPr>
          <w:sz w:val="20"/>
          <w:szCs w:val="20"/>
          <w:color w:val="auto"/>
        </w:rPr>
      </w:pPr>
      <w:r>
        <w:rPr>
          <w:rFonts w:ascii="Arial" w:cs="Arial" w:eastAsia="Arial" w:hAnsi="Arial"/>
          <w:sz w:val="14"/>
          <w:szCs w:val="14"/>
          <w:color w:val="auto"/>
        </w:rPr>
        <w:t>_______________________________</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Arial" w:cs="Arial" w:eastAsia="Arial" w:hAnsi="Arial"/>
                <w:sz w:val="18"/>
                <w:szCs w:val="18"/>
                <w:b w:val="1"/>
                <w:bCs w:val="1"/>
                <w:color w:val="auto"/>
              </w:rPr>
              <w:t>86-3167653</w:t>
            </w:r>
          </w:p>
        </w:tc>
        <w:tc>
          <w:tcPr>
            <w:tcW w:w="0" w:type="dxa"/>
            <w:vAlign w:val="bottom"/>
          </w:tcPr>
          <w:p>
            <w:pPr>
              <w:spacing w:after="0"/>
              <w:rPr>
                <w:sz w:val="1"/>
                <w:szCs w:val="1"/>
                <w:color w:val="auto"/>
              </w:rPr>
            </w:pPr>
          </w:p>
        </w:tc>
      </w:tr>
      <w:tr>
        <w:trPr>
          <w:trHeight w:val="140"/>
        </w:trPr>
        <w:tc>
          <w:tcPr>
            <w:tcW w:w="4980" w:type="dxa"/>
            <w:vAlign w:val="bottom"/>
            <w:gridSpan w:val="2"/>
          </w:tcPr>
          <w:p>
            <w:pPr>
              <w:jc w:val="center"/>
              <w:ind w:right="2548"/>
              <w:spacing w:after="0" w:line="141" w:lineRule="exact"/>
              <w:rPr>
                <w:sz w:val="20"/>
                <w:szCs w:val="20"/>
                <w:color w:val="auto"/>
              </w:rPr>
            </w:pPr>
            <w:r>
              <w:rPr>
                <w:rFonts w:ascii="Arial" w:cs="Arial" w:eastAsia="Arial" w:hAnsi="Arial"/>
                <w:sz w:val="14"/>
                <w:szCs w:val="14"/>
                <w:color w:val="auto"/>
                <w:w w:val="95"/>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182"/>
        </w:trPr>
        <w:tc>
          <w:tcPr>
            <w:tcW w:w="4980" w:type="dxa"/>
            <w:vAlign w:val="bottom"/>
            <w:gridSpan w:val="2"/>
          </w:tcPr>
          <w:p>
            <w:pPr>
              <w:jc w:val="center"/>
              <w:ind w:right="2548"/>
              <w:spacing w:after="0"/>
              <w:rPr>
                <w:sz w:val="20"/>
                <w:szCs w:val="20"/>
                <w:color w:val="auto"/>
              </w:rPr>
            </w:pPr>
            <w:r>
              <w:rPr>
                <w:rFonts w:ascii="Arial" w:cs="Arial" w:eastAsia="Arial" w:hAnsi="Arial"/>
                <w:sz w:val="14"/>
                <w:szCs w:val="14"/>
                <w:color w:val="auto"/>
                <w:w w:val="94"/>
              </w:rPr>
              <w:t>incorporation or organization)</w:t>
            </w:r>
          </w:p>
        </w:tc>
        <w:tc>
          <w:tcPr>
            <w:tcW w:w="25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980" w:type="dxa"/>
            <w:vAlign w:val="bottom"/>
            <w:gridSpan w:val="2"/>
          </w:tcPr>
          <w:p>
            <w:pPr>
              <w:jc w:val="center"/>
              <w:ind w:left="2581"/>
              <w:spacing w:after="0"/>
              <w:rPr>
                <w:sz w:val="20"/>
                <w:szCs w:val="20"/>
                <w:color w:val="auto"/>
              </w:rPr>
            </w:pPr>
            <w:r>
              <w:rPr>
                <w:rFonts w:ascii="Arial" w:cs="Arial" w:eastAsia="Arial" w:hAnsi="Arial"/>
                <w:sz w:val="18"/>
                <w:szCs w:val="18"/>
                <w:b w:val="1"/>
                <w:bCs w:val="1"/>
                <w:color w:val="auto"/>
                <w:w w:val="93"/>
              </w:rPr>
              <w:t>4 Limited Parkway East</w:t>
            </w:r>
          </w:p>
        </w:tc>
        <w:tc>
          <w:tcPr>
            <w:tcW w:w="25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Arial" w:cs="Arial" w:eastAsia="Arial" w:hAnsi="Arial"/>
                <w:sz w:val="18"/>
                <w:szCs w:val="18"/>
                <w:b w:val="1"/>
                <w:bCs w:val="1"/>
                <w:color w:val="auto"/>
              </w:rPr>
              <w:t>43068</w:t>
            </w:r>
          </w:p>
        </w:tc>
        <w:tc>
          <w:tcPr>
            <w:tcW w:w="0" w:type="dxa"/>
            <w:vAlign w:val="bottom"/>
          </w:tcPr>
          <w:p>
            <w:pPr>
              <w:spacing w:after="0"/>
              <w:rPr>
                <w:sz w:val="1"/>
                <w:szCs w:val="1"/>
                <w:color w:val="auto"/>
              </w:rPr>
            </w:pPr>
          </w:p>
        </w:tc>
      </w:tr>
      <w:tr>
        <w:trPr>
          <w:trHeight w:val="182"/>
        </w:trPr>
        <w:tc>
          <w:tcPr>
            <w:tcW w:w="4980" w:type="dxa"/>
            <w:vAlign w:val="bottom"/>
            <w:gridSpan w:val="2"/>
          </w:tcPr>
          <w:p>
            <w:pPr>
              <w:jc w:val="center"/>
              <w:ind w:left="2581"/>
              <w:spacing w:after="0"/>
              <w:rPr>
                <w:sz w:val="20"/>
                <w:szCs w:val="20"/>
                <w:color w:val="auto"/>
              </w:rPr>
            </w:pPr>
            <w:r>
              <w:rPr>
                <w:rFonts w:ascii="Arial" w:cs="Arial" w:eastAsia="Arial" w:hAnsi="Arial"/>
                <w:sz w:val="14"/>
                <w:szCs w:val="14"/>
                <w:color w:val="auto"/>
                <w:w w:val="95"/>
              </w:rPr>
              <w:t>(Address of principal executive offices)</w:t>
            </w:r>
          </w:p>
        </w:tc>
        <w:tc>
          <w:tcPr>
            <w:tcW w:w="2520" w:type="dxa"/>
            <w:vAlign w:val="bottom"/>
          </w:tcPr>
          <w:p>
            <w:pPr>
              <w:spacing w:after="0"/>
              <w:rPr>
                <w:sz w:val="15"/>
                <w:szCs w:val="15"/>
                <w:color w:val="auto"/>
              </w:rPr>
            </w:pPr>
          </w:p>
        </w:tc>
        <w:tc>
          <w:tcPr>
            <w:tcW w:w="3760" w:type="dxa"/>
            <w:vAlign w:val="bottom"/>
          </w:tcPr>
          <w:p>
            <w:pPr>
              <w:ind w:left="120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Arial" w:cs="Arial" w:eastAsia="Arial" w:hAnsi="Arial"/>
                <w:sz w:val="18"/>
                <w:szCs w:val="18"/>
                <w:b w:val="1"/>
                <w:bCs w:val="1"/>
                <w:color w:val="auto"/>
                <w:w w:val="89"/>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3740" w:type="dxa"/>
            <w:vAlign w:val="bottom"/>
            <w:gridSpan w:val="2"/>
          </w:tcPr>
          <w:p>
            <w:pPr>
              <w:jc w:val="center"/>
              <w:spacing w:after="0"/>
              <w:rPr>
                <w:sz w:val="20"/>
                <w:szCs w:val="20"/>
                <w:color w:val="auto"/>
              </w:rPr>
            </w:pPr>
            <w:r>
              <w:rPr>
                <w:rFonts w:ascii="Arial" w:cs="Arial" w:eastAsia="Arial" w:hAnsi="Arial"/>
                <w:sz w:val="14"/>
                <w:szCs w:val="14"/>
                <w:color w:val="auto"/>
                <w:w w:val="93"/>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98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1220" w:type="dxa"/>
            <w:vAlign w:val="bottom"/>
          </w:tcPr>
          <w:p>
            <w:pPr>
              <w:spacing w:after="0"/>
              <w:rPr>
                <w:sz w:val="15"/>
                <w:szCs w:val="15"/>
                <w:color w:val="auto"/>
              </w:rPr>
            </w:pPr>
          </w:p>
        </w:tc>
        <w:tc>
          <w:tcPr>
            <w:tcW w:w="2520" w:type="dxa"/>
            <w:vAlign w:val="bottom"/>
            <w:tcBorders>
              <w:right w:val="single" w:sz="8" w:color="auto"/>
            </w:tcBorders>
          </w:tcPr>
          <w:p>
            <w:pPr>
              <w:jc w:val="center"/>
              <w:ind w:right="1182"/>
              <w:spacing w:after="0"/>
              <w:rPr>
                <w:sz w:val="20"/>
                <w:szCs w:val="20"/>
                <w:color w:val="auto"/>
              </w:rPr>
            </w:pPr>
            <w:r>
              <w:rPr>
                <w:rFonts w:ascii="Arial" w:cs="Arial" w:eastAsia="Arial" w:hAnsi="Arial"/>
                <w:sz w:val="14"/>
                <w:szCs w:val="14"/>
                <w:color w:val="auto"/>
                <w:w w:val="95"/>
              </w:rPr>
              <w:t>VSCO</w:t>
            </w:r>
          </w:p>
        </w:tc>
        <w:tc>
          <w:tcPr>
            <w:tcW w:w="3760" w:type="dxa"/>
            <w:vAlign w:val="bottom"/>
            <w:tcBorders>
              <w:right w:val="single" w:sz="8" w:color="auto"/>
            </w:tcBorders>
          </w:tcPr>
          <w:p>
            <w:pPr>
              <w:ind w:left="960"/>
              <w:spacing w:after="0"/>
              <w:rPr>
                <w:sz w:val="20"/>
                <w:szCs w:val="20"/>
                <w:color w:val="auto"/>
              </w:rPr>
            </w:pPr>
            <w:r>
              <w:rPr>
                <w:rFonts w:ascii="Arial" w:cs="Arial" w:eastAsia="Arial" w:hAnsi="Arial"/>
                <w:sz w:val="14"/>
                <w:szCs w:val="14"/>
                <w:color w:val="auto"/>
              </w:rPr>
              <w:t>The New York Stock Exchange</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ind w:right="10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1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ind w:right="8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4"/>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04" w:lineRule="exact"/>
        <w:rPr>
          <w:sz w:val="24"/>
          <w:szCs w:val="24"/>
          <w:color w:val="auto"/>
        </w:rPr>
      </w:pPr>
    </w:p>
    <w:p>
      <w:pPr>
        <w:ind w:right="32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 w:lineRule="exact"/>
        <w:rPr>
          <w:sz w:val="24"/>
          <w:szCs w:val="24"/>
          <w:color w:val="auto"/>
        </w:rPr>
      </w:pPr>
    </w:p>
    <w:p>
      <w:pPr>
        <w:ind w:right="2400"/>
        <w:spacing w:after="0" w:line="27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25, 2022, the number of outstanding shares of the Registrant’s common stock was 80,827,062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40" w:type="dxa"/>
            <w:vAlign w:val="bottom"/>
            <w:gridSpan w:val="10"/>
          </w:tcPr>
          <w:p>
            <w:pPr>
              <w:jc w:val="center"/>
              <w:ind w:right="2080"/>
              <w:spacing w:after="0"/>
              <w:rPr>
                <w:sz w:val="20"/>
                <w:szCs w:val="20"/>
                <w:color w:val="auto"/>
              </w:rPr>
            </w:pPr>
            <w:r>
              <w:rPr>
                <w:rFonts w:ascii="Arial" w:cs="Arial" w:eastAsia="Arial" w:hAnsi="Arial"/>
                <w:sz w:val="18"/>
                <w:szCs w:val="18"/>
                <w:b w:val="1"/>
                <w:bCs w:val="1"/>
                <w:color w:val="auto"/>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40" w:type="dxa"/>
            <w:vAlign w:val="bottom"/>
            <w:gridSpan w:val="10"/>
          </w:tcPr>
          <w:p>
            <w:pPr>
              <w:jc w:val="center"/>
              <w:ind w:right="210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26"/>
        </w:trPr>
        <w:tc>
          <w:tcPr>
            <w:tcW w:w="9820" w:type="dxa"/>
            <w:vAlign w:val="bottom"/>
            <w:gridSpan w:val="25"/>
            <w:vMerge w:val="restart"/>
          </w:tcPr>
          <w:p>
            <w:pPr>
              <w:spacing w:after="0"/>
              <w:rPr>
                <w:sz w:val="20"/>
                <w:szCs w:val="20"/>
                <w:color w:val="auto"/>
              </w:rPr>
            </w:pPr>
            <w:r>
              <w:rPr>
                <w:rFonts w:ascii="Arial" w:cs="Arial" w:eastAsia="Arial" w:hAnsi="Arial"/>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5"/>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Financial Statements *</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3"/>
          </w:tcPr>
          <w:p>
            <w:pPr>
              <w:ind w:left="20"/>
              <w:spacing w:after="0"/>
              <w:rPr>
                <w:sz w:val="20"/>
                <w:szCs w:val="20"/>
                <w:color w:val="auto"/>
              </w:rPr>
            </w:pPr>
            <w:r>
              <w:rPr>
                <w:rFonts w:ascii="Arial" w:cs="Arial" w:eastAsia="Arial" w:hAnsi="Arial"/>
                <w:sz w:val="18"/>
                <w:szCs w:val="18"/>
                <w:color w:val="0000FF"/>
                <w:w w:val="92"/>
              </w:rPr>
              <w:t>Consolidated and Combined Statements of Income for the Thirteen-Weeks and Thirty-Nine-Weeks Ended October 29, 2022 and</w:t>
            </w:r>
          </w:p>
        </w:tc>
        <w:tc>
          <w:tcPr>
            <w:tcW w:w="740" w:type="dxa"/>
            <w:vAlign w:val="bottom"/>
            <w:gridSpan w:val="2"/>
            <w:vMerge w:val="restart"/>
          </w:tcPr>
          <w:p>
            <w:pPr>
              <w:jc w:val="center"/>
              <w:ind w:left="572"/>
              <w:spacing w:after="0"/>
              <w:rPr>
                <w:sz w:val="20"/>
                <w:szCs w:val="20"/>
                <w:color w:val="auto"/>
              </w:rPr>
            </w:pPr>
            <w:r>
              <w:rPr>
                <w:rFonts w:ascii="Arial" w:cs="Arial" w:eastAsia="Arial" w:hAnsi="Arial"/>
                <w:sz w:val="18"/>
                <w:szCs w:val="18"/>
                <w:color w:val="0000FF"/>
                <w:w w:val="79"/>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11"/>
          </w:tcPr>
          <w:p>
            <w:pPr>
              <w:ind w:left="20"/>
              <w:spacing w:after="0" w:line="142" w:lineRule="exact"/>
              <w:rPr>
                <w:sz w:val="20"/>
                <w:szCs w:val="20"/>
                <w:color w:val="auto"/>
              </w:rPr>
            </w:pPr>
            <w:r>
              <w:rPr>
                <w:rFonts w:ascii="Arial" w:cs="Arial" w:eastAsia="Arial" w:hAnsi="Arial"/>
                <w:sz w:val="16"/>
                <w:szCs w:val="16"/>
                <w:color w:val="0000FF"/>
              </w:rPr>
              <w:t>October 30, 2021 (Unaudited)</w:t>
            </w:r>
          </w:p>
        </w:tc>
        <w:tc>
          <w:tcPr>
            <w:tcW w:w="704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3"/>
            <w:vMerge w:val="restart"/>
          </w:tcPr>
          <w:p>
            <w:pPr>
              <w:ind w:left="20"/>
              <w:spacing w:after="0"/>
              <w:rPr>
                <w:sz w:val="20"/>
                <w:szCs w:val="20"/>
                <w:color w:val="auto"/>
              </w:rPr>
            </w:pPr>
            <w:r>
              <w:rPr>
                <w:rFonts w:ascii="Arial" w:cs="Arial" w:eastAsia="Arial" w:hAnsi="Arial"/>
                <w:sz w:val="18"/>
                <w:szCs w:val="18"/>
                <w:color w:val="0000FF"/>
                <w:w w:val="90"/>
              </w:rPr>
              <w:t>Consolidated and Combined Statements of Comprehensive Income for the Thirteen-Weeks and Thirty-Nine-Weeks Ended October</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Arial" w:cs="Arial" w:eastAsia="Arial" w:hAnsi="Arial"/>
                <w:sz w:val="18"/>
                <w:szCs w:val="18"/>
                <w:color w:val="0000FF"/>
                <w:w w:val="79"/>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40" w:type="dxa"/>
            <w:vAlign w:val="bottom"/>
            <w:tcBorders>
              <w:top w:val="single" w:sz="8" w:color="0000FF"/>
            </w:tcBorders>
            <w:gridSpan w:val="14"/>
          </w:tcPr>
          <w:p>
            <w:pPr>
              <w:ind w:left="20"/>
              <w:spacing w:after="0" w:line="142" w:lineRule="exact"/>
              <w:rPr>
                <w:sz w:val="20"/>
                <w:szCs w:val="20"/>
                <w:color w:val="auto"/>
              </w:rPr>
            </w:pPr>
            <w:r>
              <w:rPr>
                <w:rFonts w:ascii="Arial" w:cs="Arial" w:eastAsia="Arial" w:hAnsi="Arial"/>
                <w:sz w:val="16"/>
                <w:szCs w:val="16"/>
                <w:color w:val="0000FF"/>
              </w:rPr>
              <w:t>29, 2022 and October 30, 2021 (Unaudited)</w:t>
            </w:r>
          </w:p>
        </w:tc>
        <w:tc>
          <w:tcPr>
            <w:tcW w:w="468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02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3"/>
          </w:tcPr>
          <w:p>
            <w:pPr>
              <w:ind w:left="20"/>
              <w:spacing w:after="0"/>
              <w:rPr>
                <w:sz w:val="20"/>
                <w:szCs w:val="20"/>
                <w:color w:val="auto"/>
              </w:rPr>
            </w:pPr>
            <w:r>
              <w:rPr>
                <w:rFonts w:ascii="Arial" w:cs="Arial" w:eastAsia="Arial" w:hAnsi="Arial"/>
                <w:sz w:val="18"/>
                <w:szCs w:val="18"/>
                <w:color w:val="0000FF"/>
                <w:w w:val="99"/>
              </w:rPr>
              <w:t>Consolidated Balance Sheets as of October 29, 2022 (Unaudited), January 29, 2022 and October 30, 2021 (Unaudited)</w:t>
            </w:r>
          </w:p>
        </w:tc>
        <w:tc>
          <w:tcPr>
            <w:tcW w:w="740" w:type="dxa"/>
            <w:vAlign w:val="bottom"/>
            <w:gridSpan w:val="2"/>
          </w:tcPr>
          <w:p>
            <w:pPr>
              <w:jc w:val="center"/>
              <w:ind w:left="572"/>
              <w:spacing w:after="0"/>
              <w:rPr>
                <w:sz w:val="20"/>
                <w:szCs w:val="20"/>
                <w:color w:val="auto"/>
              </w:rPr>
            </w:pPr>
            <w:r>
              <w:rPr>
                <w:rFonts w:ascii="Arial" w:cs="Arial" w:eastAsia="Arial" w:hAnsi="Arial"/>
                <w:sz w:val="18"/>
                <w:szCs w:val="18"/>
                <w:color w:val="0000FF"/>
                <w:w w:val="79"/>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tcPr>
          <w:p>
            <w:pPr>
              <w:ind w:left="20"/>
              <w:spacing w:after="0"/>
              <w:rPr>
                <w:sz w:val="20"/>
                <w:szCs w:val="20"/>
                <w:color w:val="auto"/>
              </w:rPr>
            </w:pPr>
            <w:r>
              <w:rPr>
                <w:rFonts w:ascii="Arial" w:cs="Arial" w:eastAsia="Arial" w:hAnsi="Arial"/>
                <w:sz w:val="18"/>
                <w:szCs w:val="18"/>
                <w:color w:val="0000FF"/>
                <w:w w:val="93"/>
              </w:rPr>
              <w:t>Consolidated and Combined Statements of Equity for the Thirteen-Weeks and Thirty-Nine-Weeks Ended October 29, 2022 and</w:t>
            </w:r>
          </w:p>
        </w:tc>
        <w:tc>
          <w:tcPr>
            <w:tcW w:w="740" w:type="dxa"/>
            <w:vAlign w:val="bottom"/>
            <w:gridSpan w:val="2"/>
            <w:vMerge w:val="restart"/>
          </w:tcPr>
          <w:p>
            <w:pPr>
              <w:jc w:val="center"/>
              <w:ind w:left="572"/>
              <w:spacing w:after="0"/>
              <w:rPr>
                <w:sz w:val="20"/>
                <w:szCs w:val="20"/>
                <w:color w:val="auto"/>
              </w:rPr>
            </w:pPr>
            <w:r>
              <w:rPr>
                <w:rFonts w:ascii="Arial" w:cs="Arial" w:eastAsia="Arial" w:hAnsi="Arial"/>
                <w:sz w:val="18"/>
                <w:szCs w:val="18"/>
                <w:color w:val="0000FF"/>
                <w:w w:val="79"/>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10"/>
          </w:tcPr>
          <w:p>
            <w:pPr>
              <w:ind w:left="20"/>
              <w:spacing w:after="0" w:line="142" w:lineRule="exact"/>
              <w:rPr>
                <w:sz w:val="20"/>
                <w:szCs w:val="20"/>
                <w:color w:val="auto"/>
              </w:rPr>
            </w:pPr>
            <w:r>
              <w:rPr>
                <w:rFonts w:ascii="Arial" w:cs="Arial" w:eastAsia="Arial" w:hAnsi="Arial"/>
                <w:sz w:val="16"/>
                <w:szCs w:val="16"/>
                <w:color w:val="0000FF"/>
              </w:rPr>
              <w:t>October 30, 2021 (Unaudited)</w:t>
            </w:r>
          </w:p>
        </w:tc>
        <w:tc>
          <w:tcPr>
            <w:tcW w:w="700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3"/>
            <w:vMerge w:val="restart"/>
          </w:tcPr>
          <w:p>
            <w:pPr>
              <w:ind w:left="20"/>
              <w:spacing w:after="0"/>
              <w:rPr>
                <w:sz w:val="20"/>
                <w:szCs w:val="20"/>
                <w:color w:val="auto"/>
              </w:rPr>
            </w:pPr>
            <w:r>
              <w:rPr>
                <w:rFonts w:ascii="Arial" w:cs="Arial" w:eastAsia="Arial" w:hAnsi="Arial"/>
                <w:sz w:val="18"/>
                <w:szCs w:val="18"/>
                <w:color w:val="0000FF"/>
                <w:w w:val="91"/>
              </w:rPr>
              <w:t>Consolidated and Combined Statements of Cash Flows for the Thirty-Nine-Weeks Ended October 29, 2022 and October 30, 2021</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Arial" w:cs="Arial" w:eastAsia="Arial" w:hAnsi="Arial"/>
                <w:sz w:val="18"/>
                <w:szCs w:val="18"/>
                <w:color w:val="0000FF"/>
                <w:w w:val="79"/>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Arial" w:cs="Arial" w:eastAsia="Arial" w:hAnsi="Arial"/>
                <w:sz w:val="16"/>
                <w:szCs w:val="16"/>
                <w:color w:val="0000FF"/>
              </w:rPr>
              <w:t>(Unaudited)</w:t>
            </w:r>
          </w:p>
        </w:tc>
        <w:tc>
          <w:tcPr>
            <w:tcW w:w="8340" w:type="dxa"/>
            <w:vAlign w:val="bottom"/>
            <w:tcBorders>
              <w:top w:val="single" w:sz="8" w:color="0000FF"/>
            </w:tcBorders>
            <w:gridSpan w:val="16"/>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40" w:type="dxa"/>
            <w:vAlign w:val="bottom"/>
            <w:gridSpan w:val="6"/>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80" w:type="dxa"/>
            <w:vAlign w:val="bottom"/>
            <w:gridSpan w:val="15"/>
          </w:tcPr>
          <w:p>
            <w:pPr>
              <w:ind w:left="20"/>
              <w:spacing w:after="0"/>
              <w:rPr>
                <w:sz w:val="20"/>
                <w:szCs w:val="20"/>
                <w:color w:val="auto"/>
              </w:rPr>
            </w:pPr>
            <w:r>
              <w:rPr>
                <w:rFonts w:ascii="Arial" w:cs="Arial" w:eastAsia="Arial" w:hAnsi="Arial"/>
                <w:sz w:val="18"/>
                <w:szCs w:val="18"/>
                <w:color w:val="0000FF"/>
                <w:w w:val="89"/>
              </w:rPr>
              <w:t>Notes to Consolidated and Combined Financial Statements (Unaudited)</w:t>
            </w:r>
          </w:p>
        </w:tc>
        <w:tc>
          <w:tcPr>
            <w:tcW w:w="4320" w:type="dxa"/>
            <w:vAlign w:val="bottom"/>
            <w:gridSpan w:val="8"/>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Arial" w:cs="Arial" w:eastAsia="Arial" w:hAnsi="Arial"/>
                <w:sz w:val="18"/>
                <w:szCs w:val="18"/>
                <w:color w:val="0000FF"/>
                <w:w w:val="79"/>
              </w:rPr>
              <w:t>8</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4"/>
          </w:tcPr>
          <w:p>
            <w:pPr>
              <w:spacing w:after="0"/>
              <w:rPr>
                <w:sz w:val="20"/>
                <w:szCs w:val="20"/>
                <w:color w:val="auto"/>
              </w:rPr>
            </w:pPr>
            <w:r>
              <w:rPr>
                <w:rFonts w:ascii="Arial" w:cs="Arial" w:eastAsia="Arial" w:hAnsi="Arial"/>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Arial" w:cs="Arial" w:eastAsia="Arial" w:hAnsi="Arial"/>
                <w:sz w:val="18"/>
                <w:szCs w:val="18"/>
                <w:color w:val="0000FF"/>
                <w:w w:val="89"/>
              </w:rPr>
              <w:t>21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22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5"/>
          </w:tcPr>
          <w:p>
            <w:pPr>
              <w:spacing w:after="0"/>
              <w:rPr>
                <w:sz w:val="20"/>
                <w:szCs w:val="20"/>
                <w:color w:val="auto"/>
              </w:rPr>
            </w:pPr>
            <w:r>
              <w:rPr>
                <w:rFonts w:ascii="Arial" w:cs="Arial" w:eastAsia="Arial" w:hAnsi="Arial"/>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Arial" w:cs="Arial" w:eastAsia="Arial" w:hAnsi="Arial"/>
                <w:sz w:val="18"/>
                <w:szCs w:val="18"/>
                <w:color w:val="0000FF"/>
                <w:w w:val="89"/>
              </w:rPr>
              <w:t>35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Signature</w:t>
            </w:r>
          </w:p>
        </w:tc>
        <w:tc>
          <w:tcPr>
            <w:tcW w:w="9120" w:type="dxa"/>
            <w:vAlign w:val="bottom"/>
            <w:gridSpan w:val="22"/>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460" w:right="160" w:hanging="434"/>
        <w:spacing w:after="0" w:line="22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Victoria's Secret &amp; Co.'s fiscal year ends on the Saturday nearest to January 31. As used herein, “third quarter of 2022” and “third quarter of 2021” refer to the thirteen-week periods ended October 29, 2022 and October 30, 2021, respectively. “Year-to-date 2022” and “year-to-date 2021” refer to the thirty-nine-week periods ended October 29, 2022 and October 30, 2021,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Year-to-Date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Loss Attributable to Noncontrolling Interest</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Basic Share Attributable to Victoria's Secret &amp; Co.</w:t>
            </w: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Borders>
              <w:top w:val="single" w:sz="8" w:color="CCEEFF"/>
            </w:tcBorders>
            <w:vMerge w:val="continue"/>
          </w:tcPr>
          <w:p>
            <w:pPr>
              <w:spacing w:after="0"/>
              <w:rPr>
                <w:sz w:val="17"/>
                <w:szCs w:val="17"/>
                <w:color w:val="auto"/>
              </w:rPr>
            </w:pPr>
          </w:p>
        </w:tc>
        <w:tc>
          <w:tcPr>
            <w:tcW w:w="660" w:type="dxa"/>
            <w:vAlign w:val="bottom"/>
            <w:tcBorders>
              <w:top w:val="single" w:sz="8" w:color="auto"/>
              <w:bottom w:val="single" w:sz="8" w:color="auto"/>
            </w:tcBorders>
          </w:tcPr>
          <w:p>
            <w:pPr>
              <w:jc w:val="right"/>
              <w:ind w:right="454"/>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0.81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1"/>
        </w:trPr>
        <w:tc>
          <w:tcPr>
            <w:tcW w:w="7320" w:type="dxa"/>
            <w:vAlign w:val="bottom"/>
            <w:gridSpan w:val="3"/>
          </w:tcPr>
          <w:p>
            <w:pPr>
              <w:jc w:val="center"/>
              <w:ind w:left="3850"/>
              <w:spacing w:after="0"/>
              <w:rPr>
                <w:sz w:val="20"/>
                <w:szCs w:val="20"/>
                <w:color w:val="auto"/>
              </w:rPr>
            </w:pPr>
            <w:r>
              <w:rPr>
                <w:rFonts w:ascii="Arial" w:cs="Arial" w:eastAsia="Arial" w:hAnsi="Arial"/>
                <w:sz w:val="18"/>
                <w:szCs w:val="18"/>
                <w:b w:val="1"/>
                <w:bCs w:val="1"/>
                <w:color w:val="auto"/>
              </w:rPr>
              <w:t>VICTORIA'S SECRET &amp; CO.</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80" w:type="dxa"/>
            <w:vAlign w:val="bottom"/>
            <w:gridSpan w:val="12"/>
          </w:tcPr>
          <w:p>
            <w:pPr>
              <w:jc w:val="center"/>
              <w:ind w:left="1990"/>
              <w:spacing w:after="0"/>
              <w:rPr>
                <w:sz w:val="20"/>
                <w:szCs w:val="20"/>
                <w:color w:val="auto"/>
              </w:rPr>
            </w:pPr>
            <w:r>
              <w:rPr>
                <w:rFonts w:ascii="Arial" w:cs="Arial" w:eastAsia="Arial" w:hAnsi="Arial"/>
                <w:sz w:val="18"/>
                <w:szCs w:val="18"/>
                <w:b w:val="1"/>
                <w:bCs w:val="1"/>
                <w:color w:val="auto"/>
              </w:rPr>
              <w:t>CONSOLIDATED AND COMBINED STATEMENTS OF COMPREHENSIVE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jc w:val="center"/>
              <w:ind w:left="5050"/>
              <w:spacing w:after="0"/>
              <w:rPr>
                <w:sz w:val="20"/>
                <w:szCs w:val="20"/>
                <w:color w:val="auto"/>
              </w:rPr>
            </w:pPr>
            <w:r>
              <w:rPr>
                <w:rFonts w:ascii="Arial" w:cs="Arial" w:eastAsia="Arial" w:hAnsi="Arial"/>
                <w:sz w:val="18"/>
                <w:szCs w:val="18"/>
                <w:b w:val="1"/>
                <w:bCs w:val="1"/>
                <w:color w:val="auto"/>
                <w:w w:val="91"/>
              </w:rPr>
              <w:t>(in millions)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jc w:val="center"/>
              <w:ind w:left="5050"/>
              <w:spacing w:after="0"/>
              <w:rPr>
                <w:sz w:val="20"/>
                <w:szCs w:val="20"/>
                <w:color w:val="auto"/>
              </w:rPr>
            </w:pPr>
            <w:r>
              <w:rPr>
                <w:rFonts w:ascii="Arial" w:cs="Arial" w:eastAsia="Arial" w:hAnsi="Arial"/>
                <w:sz w:val="18"/>
                <w:szCs w:val="18"/>
                <w:b w:val="1"/>
                <w:bCs w:val="1"/>
                <w:color w:val="auto"/>
                <w:w w:val="91"/>
              </w:rPr>
              <w:t>(Unaudited)</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6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612"/>
              <w:spacing w:after="0"/>
              <w:rPr>
                <w:sz w:val="20"/>
                <w:szCs w:val="20"/>
                <w:color w:val="auto"/>
              </w:rPr>
            </w:pPr>
            <w:r>
              <w:rPr>
                <w:rFonts w:ascii="Arial" w:cs="Arial" w:eastAsia="Arial" w:hAnsi="Arial"/>
                <w:sz w:val="14"/>
                <w:szCs w:val="14"/>
                <w:b w:val="1"/>
                <w:bCs w:val="1"/>
                <w:color w:val="auto"/>
              </w:rPr>
              <w:t>Year-to-Date</w:t>
            </w: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22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60"/>
              <w:spacing w:after="0"/>
              <w:rPr>
                <w:sz w:val="20"/>
                <w:szCs w:val="20"/>
                <w:color w:val="auto"/>
              </w:rPr>
            </w:pPr>
            <w:r>
              <w:rPr>
                <w:rFonts w:ascii="Arial" w:cs="Arial" w:eastAsia="Arial" w:hAnsi="Arial"/>
                <w:sz w:val="18"/>
                <w:szCs w:val="18"/>
                <w:color w:val="auto"/>
                <w:w w:val="92"/>
              </w:rPr>
              <w:t>Amounts Reclassified from Accumulated Other Comprehensive Income to Paid-in Capital</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6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Loss Attributable to Noncontrolling Interest</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ind w:left="160"/>
              <w:spacing w:after="0"/>
              <w:rPr>
                <w:sz w:val="20"/>
                <w:szCs w:val="20"/>
                <w:color w:val="auto"/>
              </w:rPr>
            </w:pPr>
            <w:r>
              <w:rPr>
                <w:rFonts w:ascii="Arial" w:cs="Arial" w:eastAsia="Arial" w:hAnsi="Arial"/>
                <w:sz w:val="18"/>
                <w:szCs w:val="18"/>
                <w:color w:val="auto"/>
              </w:rPr>
              <w:t>Less: Foreign Currency Translation Attributable to Noncontrolling Interest</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Victoria's Secret &amp; Co.</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October 29,</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w:t>
            </w:r>
          </w:p>
        </w:tc>
        <w:tc>
          <w:tcPr>
            <w:tcW w:w="220" w:type="dxa"/>
            <w:vAlign w:val="bottom"/>
          </w:tcPr>
          <w:p>
            <w:pPr>
              <w:spacing w:after="0"/>
              <w:rPr>
                <w:sz w:val="14"/>
                <w:szCs w:val="14"/>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38"/>
        </w:trPr>
        <w:tc>
          <w:tcPr>
            <w:tcW w:w="698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w w:val="91"/>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9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Common Stock — $0.01 par value; 1,000 shares authorized; 81, 85, and 89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Stock, at</w:t>
            </w: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5"/>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4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30, 2022</w:t>
            </w:r>
          </w:p>
        </w:tc>
        <w:tc>
          <w:tcPr>
            <w:tcW w:w="104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center"/>
              <w:ind w:left="368"/>
              <w:spacing w:after="0"/>
              <w:rPr>
                <w:sz w:val="20"/>
                <w:szCs w:val="20"/>
                <w:color w:val="auto"/>
              </w:rPr>
            </w:pPr>
            <w:r>
              <w:rPr>
                <w:rFonts w:ascii="Arial" w:cs="Arial" w:eastAsia="Arial" w:hAnsi="Arial"/>
                <w:sz w:val="14"/>
                <w:szCs w:val="14"/>
                <w:color w:val="auto"/>
                <w:w w:val="89"/>
              </w:rPr>
              <w:t>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center"/>
              <w:ind w:left="368"/>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26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w w:val="93"/>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left="26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Treasury Share Retirements</w:t>
            </w: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center"/>
              <w:ind w:left="348"/>
              <w:spacing w:after="0"/>
              <w:rPr>
                <w:sz w:val="20"/>
                <w:szCs w:val="20"/>
                <w:color w:val="auto"/>
              </w:rPr>
            </w:pPr>
            <w:r>
              <w:rPr>
                <w:rFonts w:ascii="Arial" w:cs="Arial" w:eastAsia="Arial" w:hAnsi="Arial"/>
                <w:sz w:val="14"/>
                <w:szCs w:val="14"/>
                <w:color w:val="auto"/>
                <w:w w:val="96"/>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50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center"/>
              <w:ind w:left="26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3"/>
        </w:trPr>
        <w:tc>
          <w:tcPr>
            <w:tcW w:w="2540" w:type="dxa"/>
            <w:vAlign w:val="bottom"/>
          </w:tcPr>
          <w:p>
            <w:pPr>
              <w:ind w:left="20"/>
              <w:spacing w:after="0" w:line="143" w:lineRule="exact"/>
              <w:rPr>
                <w:sz w:val="20"/>
                <w:szCs w:val="20"/>
                <w:color w:val="auto"/>
              </w:rPr>
            </w:pPr>
            <w:r>
              <w:rPr>
                <w:rFonts w:ascii="Arial" w:cs="Arial" w:eastAsia="Arial" w:hAnsi="Arial"/>
                <w:sz w:val="14"/>
                <w:szCs w:val="14"/>
                <w:color w:val="auto"/>
              </w:rPr>
              <w:t>Tax Payments related to Share-based</w:t>
            </w:r>
          </w:p>
        </w:tc>
        <w:tc>
          <w:tcPr>
            <w:tcW w:w="114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center"/>
              <w:ind w:left="26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Arial" w:cs="Arial" w:eastAsia="Arial" w:hAnsi="Arial"/>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left="26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October 29, 2022</w:t>
            </w: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center"/>
              <w:ind w:right="320"/>
              <w:spacing w:after="0" w:line="12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5"/>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Investment by</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Former Parent</w:t>
            </w: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31, 2021</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Transfers to Former Parent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43"/>
        </w:trPr>
        <w:tc>
          <w:tcPr>
            <w:tcW w:w="2420" w:type="dxa"/>
            <w:vAlign w:val="bottom"/>
          </w:tcPr>
          <w:p>
            <w:pPr>
              <w:ind w:left="20"/>
              <w:spacing w:after="0" w:line="143" w:lineRule="exact"/>
              <w:rPr>
                <w:sz w:val="20"/>
                <w:szCs w:val="20"/>
                <w:color w:val="auto"/>
              </w:rPr>
            </w:pPr>
            <w:r>
              <w:rPr>
                <w:rFonts w:ascii="Arial" w:cs="Arial" w:eastAsia="Arial" w:hAnsi="Arial"/>
                <w:sz w:val="14"/>
                <w:szCs w:val="14"/>
                <w:color w:val="auto"/>
                <w:w w:val="95"/>
              </w:rPr>
              <w:t>Transfer of Former Parent Investment to</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w w:val="98"/>
              </w:rPr>
              <w:t>Share-based Compensation and Other</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30,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7"/>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center"/>
              <w:ind w:left="188"/>
              <w:spacing w:after="0" w:line="115"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4"/>
            <w:vMerge w:val="restart"/>
          </w:tcPr>
          <w:p>
            <w:pPr>
              <w:jc w:val="center"/>
              <w:ind w:right="220"/>
              <w:spacing w:after="0" w:line="115" w:lineRule="exact"/>
              <w:rPr>
                <w:sz w:val="20"/>
                <w:szCs w:val="20"/>
                <w:color w:val="auto"/>
              </w:rPr>
            </w:pPr>
            <w:r>
              <w:rPr>
                <w:rFonts w:ascii="Arial" w:cs="Arial" w:eastAsia="Arial" w:hAnsi="Arial"/>
                <w:sz w:val="13"/>
                <w:szCs w:val="13"/>
                <w:b w:val="1"/>
                <w:bCs w:val="1"/>
                <w:color w:val="auto"/>
                <w:w w:val="99"/>
              </w:rPr>
              <w:t>Stock, at</w:t>
            </w:r>
          </w:p>
        </w:tc>
        <w:tc>
          <w:tcPr>
            <w:tcW w:w="100" w:type="dxa"/>
            <w:vAlign w:val="bottom"/>
          </w:tcPr>
          <w:p>
            <w:pPr>
              <w:spacing w:after="0"/>
              <w:rPr>
                <w:sz w:val="9"/>
                <w:szCs w:val="9"/>
                <w:color w:val="auto"/>
              </w:rPr>
            </w:pPr>
          </w:p>
        </w:tc>
        <w:tc>
          <w:tcPr>
            <w:tcW w:w="840" w:type="dxa"/>
            <w:vAlign w:val="bottom"/>
            <w:gridSpan w:val="3"/>
            <w:vMerge w:val="restart"/>
          </w:tcPr>
          <w:p>
            <w:pPr>
              <w:jc w:val="center"/>
              <w:ind w:right="200"/>
              <w:spacing w:after="0" w:line="115" w:lineRule="exact"/>
              <w:rPr>
                <w:sz w:val="20"/>
                <w:szCs w:val="20"/>
                <w:color w:val="auto"/>
              </w:rPr>
            </w:pPr>
            <w:r>
              <w:rPr>
                <w:rFonts w:ascii="Arial" w:cs="Arial" w:eastAsia="Arial" w:hAnsi="Arial"/>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48"/>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Secret &amp; Co.</w:t>
            </w: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7"/>
                <w:szCs w:val="17"/>
                <w:color w:val="auto"/>
              </w:rPr>
            </w:pPr>
          </w:p>
        </w:tc>
        <w:tc>
          <w:tcPr>
            <w:tcW w:w="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29, 2022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89"/>
              </w:rPr>
              <w:t>85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 of Noncontrolling Interest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 Retirements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w w:val="99"/>
              </w:rPr>
              <w:t>Share-based Compensation Expense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Tax Payments related to Share-based</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3"/>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29, 2022</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89"/>
              </w:rPr>
              <w:t>81</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Year-to-Date 2021</w:t>
            </w: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7"/>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60"/>
              <w:spacing w:after="0" w:line="125" w:lineRule="exact"/>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9"/>
                <w:szCs w:val="9"/>
                <w:color w:val="auto"/>
              </w:rPr>
            </w:pPr>
          </w:p>
        </w:tc>
        <w:tc>
          <w:tcPr>
            <w:tcW w:w="980" w:type="dxa"/>
            <w:vAlign w:val="bottom"/>
            <w:gridSpan w:val="4"/>
            <w:vMerge w:val="restart"/>
          </w:tcPr>
          <w:p>
            <w:pPr>
              <w:jc w:val="center"/>
              <w:ind w:right="500"/>
              <w:spacing w:after="0" w:line="12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7"/>
              </w:rPr>
              <w:t>Par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10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Investment by</w:t>
            </w:r>
          </w:p>
        </w:tc>
        <w:tc>
          <w:tcPr>
            <w:tcW w:w="138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9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Secret &amp; Co.</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Former Parent</w:t>
            </w:r>
          </w:p>
        </w:tc>
        <w:tc>
          <w:tcPr>
            <w:tcW w:w="400" w:type="dxa"/>
            <w:vAlign w:val="bottom"/>
          </w:tcPr>
          <w:p>
            <w:pPr>
              <w:spacing w:after="0"/>
              <w:rPr>
                <w:sz w:val="17"/>
                <w:szCs w:val="17"/>
                <w:color w:val="auto"/>
              </w:rPr>
            </w:pPr>
          </w:p>
        </w:tc>
        <w:tc>
          <w:tcPr>
            <w:tcW w:w="9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7"/>
                <w:szCs w:val="17"/>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30, 2021</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Transfers to Former Parent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60" w:type="dxa"/>
            <w:vAlign w:val="bottom"/>
          </w:tcPr>
          <w:p>
            <w:pPr>
              <w:ind w:left="20"/>
              <w:spacing w:after="0" w:line="143" w:lineRule="exact"/>
              <w:rPr>
                <w:sz w:val="20"/>
                <w:szCs w:val="20"/>
                <w:color w:val="auto"/>
              </w:rPr>
            </w:pPr>
            <w:r>
              <w:rPr>
                <w:rFonts w:ascii="Arial" w:cs="Arial" w:eastAsia="Arial" w:hAnsi="Arial"/>
                <w:sz w:val="14"/>
                <w:szCs w:val="14"/>
                <w:color w:val="auto"/>
                <w:w w:val="92"/>
              </w:rPr>
              <w:t>Transfer of Former Parent Investment to</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Arial" w:cs="Arial" w:eastAsia="Arial" w:hAnsi="Arial"/>
                <w:sz w:val="14"/>
                <w:szCs w:val="14"/>
                <w:color w:val="auto"/>
                <w:w w:val="96"/>
              </w:rPr>
              <w:t>Share-based Compensation and Other</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30, 2021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Frankies Bikinis, LLC</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Received from Noncontrolling Interest Partner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Payments related to Share-based Awards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Issuance of Long-term Debt, net of Issuance Costs and Discounts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Transfers to Former Parent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3800" w:firstLine="8"/>
        <w:spacing w:after="0" w:line="35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Basis of Presentation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Victoria’s Secret &amp; Co. (together with its subsidiaries unless the context otherwise requires, the “Company”) is a specialty retailer of women's intimate and other apparel and beauty products marketed under the Victoria’s Secret and PINK brand names. The Company has approximately 900 Victoria’s Secret and PINK stores in the U.S., Canada and China as well as online at www.VictoriasSecret.com and www.PINK.com and other online channels worldwide.</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Additionally, Victoria’s Secret and PINK have more than 450 stores in approximately 70 countries operating under franchise, license and wholesale arrangements. The Company also includes the Victoria’s Secret and PINK merchandise sourcing and production function serving the Company and its international partners. The Company operates as a single segment designed to serve customers worldwide seamlessly through stores and online channels.</w:t>
      </w:r>
    </w:p>
    <w:p>
      <w:pPr>
        <w:spacing w:after="0" w:line="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For additional information, see Note 4, “Restructuring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&amp; Co. Spin-Off</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4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On August 2, 2021 (the “Distribution Date”), after the New York Stock Exchange (“NYSE”) market closing, the Separation of the Victoria’s Secret business was completed. On August 3, 2021, Victoria’s Secret &amp; Co. became an independent, publicly traded company trading on the NYSE under the stock symbol “VSCO.”</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using cash proceeds from the issuances of certain debt (discussed in Note 10, “Long-term Debt and Borrowing Facilities”). The Former Parent retained no ownership interest in the Company following the Separation.</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“Transactions with Former Parent.”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fiscal year ends on the Saturday nearest to January 31. As used herein, “third quarter of 2022” and “third quarter of 2021” refer to the thirteen-week periods ended October 29, 2022 and October 30, 2021, respectively. “Year-to-date 2022” and “year-to-date 2021” refer to the thirty-nine-week periods ended October 29, 2022 and October 30, 2021,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Unaudited Consolidated and Combined Financial Statements</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financial statements for periods through the Separation date of August 2, 2021 are combined financial statements prepared on a carve-out basis as discussed below. The Company’s financial statements for the period from August 3, 2021 through October 29, 2022 are consolidated financial statements based on the reported results of Victoria's Secret &amp; Co. as a standalone company.</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and Combined Financial Statements have been prepared in conformity with accounting principles generally accepted in the United States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Prior to Separation</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Intracompany transactions have been eliminated. Transactions between the Company and the Former Parent have been included in these financial statements.</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periods prior to the Separation, certain of the Former Parent's assets and liabilities that were specifically identifiable or otherwise attributable to the Company were included in the Company's balance sheets. For the periods prior to the Separation, the Former Parent utilized a centralized approach to cash management and financing its operations. The cash and cash equivalents held by the Former Parent at the corporate level were not specifically identifiable to the Company and, therefore, were not reflected in the Company’s balance sheets. Cash transfers between the Former Parent and the Company were accounted for through Net Investment by Former Parent. Cash and cash equivalents that are included in the Company's balance sheets for the periods prior to the Separation represent cash and cash equivalents held by the Company prior to any potential transfer to the centralized cash management pool of the Former Parent.</w:t>
      </w:r>
    </w:p>
    <w:p>
      <w:pPr>
        <w:spacing w:after="0" w:line="6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periods prior to the Separation, the Consolidated and Combined Statements of Income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Costs applicable to the Company related to these functions are included in the Consolidated and Combined Statements of Income for all periods presented. Prior to the transition of these functions, these costs were directly charged to the Company by the Former Parent.</w:t>
      </w:r>
    </w:p>
    <w:p>
      <w:pPr>
        <w:spacing w:after="0" w:line="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For year-to-date 2021, corporate expenses of $49 million were allocated and included within General, Administrative and Store Operating Expenses in the Consolidated and Combined Statement of Income.</w:t>
      </w:r>
    </w:p>
    <w:p>
      <w:pPr>
        <w:spacing w:after="0" w:line="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2, “Transactions with Former Parent.”</w:t>
      </w:r>
    </w:p>
    <w:p>
      <w:pPr>
        <w:spacing w:after="0" w:line="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for periods prior to the Separation are not necessarily representative of the taxes that may arise in the future when the Company files its income tax returns independent from the Former Parent's returns.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10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Consolidated and Combined Financial Statements as of and for the periods ended October 29, 2022 and October 30, 2021 are unaudited. These Consolidated and Combined Financial Statements should be read in conjunction with the audited Consolidated and Combined Financial Statements and Notes thereto included in our Annual Report on Form 10-K filed with the Securities and Exchange Commission (“SEC”) on March 18, 2022.</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opinion of management, the accompanying Consolidated and Combined Financial Statements reflect all adjustments, which are of a normal recurring nature, necessary for a fair presentation of the results for the interim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Due to the seasonal variations in the retail industry, the results of operations for the thirteen-week and thirty-nine-week periods ended October 29, 2022 are not necessarily indicative of the results expected for any other interim period or the full fiscal year ending January 28,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and the Company's share of net income or loss from all other unconsolidated entities is included in General, Administrative and Store Operating Expenses in the Consolidated and Combined Statements of Income. The Company’s equity method investments are required to be reviewed for impairment when it is determined there may be an other-than-temporary loss in value.</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3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carrying values of equity method investments were $52 million as of October 29, 2022, $35 million as of January 29, 2022 and $32 million as of October 30, 2021. These investments are recorded in Other Assets on the Consolidated Balance Sheets.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Balance Sheets. The Company recognizes the share of net income or loss not attributable to the Company in Net Loss Attributable to Noncontrolling Interest in the Consolidated and Combined Statements of Income. Noncontrolling interest represents the portion of equity interests in a joint venture in China that is not owned by the Company. For additional information, see Note 4, “Restructuring Activities.”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by Former Parent</w:t>
      </w:r>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Net Investment by Former Parent represents the Former Parent's historical investment in the Company, the accumulated net earnings after taxes and the net effect of the transactions with and allocations from the Former Parent. All transactions reflected in Net Investment by Former Parent have been considered as financing activities for purposes of the Consolidated and Combined Statements of Cash Flows.</w:t>
      </w:r>
    </w:p>
    <w:p>
      <w:pPr>
        <w:spacing w:after="0" w:line="49" w:lineRule="exact"/>
        <w:rPr>
          <w:sz w:val="20"/>
          <w:szCs w:val="20"/>
          <w:color w:val="auto"/>
        </w:rPr>
      </w:pPr>
    </w:p>
    <w:p>
      <w:pPr>
        <w:ind w:right="3480"/>
        <w:spacing w:after="0" w:line="367" w:lineRule="auto"/>
        <w:rPr>
          <w:sz w:val="20"/>
          <w:szCs w:val="20"/>
          <w:color w:val="auto"/>
        </w:rPr>
      </w:pPr>
      <w:r>
        <w:rPr>
          <w:rFonts w:ascii="Arial" w:cs="Arial" w:eastAsia="Arial" w:hAnsi="Arial"/>
          <w:sz w:val="18"/>
          <w:szCs w:val="18"/>
          <w:color w:val="auto"/>
        </w:rPr>
        <w:t xml:space="preserve">For additional information, see Basis of Presentation above and Note 2, “Transactions with Former Parent.” </w:t>
      </w:r>
      <w:r>
        <w:rPr>
          <w:rFonts w:ascii="Arial" w:cs="Arial" w:eastAsia="Arial" w:hAnsi="Arial"/>
          <w:sz w:val="18"/>
          <w:szCs w:val="18"/>
          <w:b w:val="1"/>
          <w:bCs w:val="1"/>
          <w:i w:val="1"/>
          <w:iCs w:val="1"/>
          <w:color w:val="auto"/>
        </w:rPr>
        <w:t>Derivative Financial Instruments</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from time to time uses derivative financial instruments to manage exposure to foreign currency exchange rates. The Company does not use derivative instruments for trading purposes. All derivative instruments are recorded on the Consolidated Balance Sheets at fair value.</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October 29, 2022, the Company's investment portfolio is primarily comprised of bank deposits. Prior to the Separation, cash generated by the Company was invested by the Former Parent in U.S. government obligations and U.S. Treasury and AAA-rated money market funds.</w:t>
      </w:r>
    </w:p>
    <w:p>
      <w:pPr>
        <w:spacing w:after="0" w:line="6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did not adopt any new accounting standards during the third quarter of 2022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Transactions with Former Parent</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0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Separation, 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year-to-date 2021 related to this borrowing.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Transfers from (to) Former Parent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Net Transfers from (to) Former Parent prior to the Separation in the third quarter and year-to-date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and Combined Statements of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Year-to-Date</w:t>
            </w:r>
          </w:p>
        </w:tc>
      </w:tr>
      <w:tr>
        <w:trPr>
          <w:trHeight w:val="25"/>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56"/>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Pooling and General Financing Activities,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Long-lived Assets (a)</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 Allocations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Income Tax Payments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 to Former Parent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Transfers to Former Parent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360" w:hanging="652"/>
        <w:spacing w:after="0" w:line="260"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long-lived assets transferred between the Company and the Former Parent as a result of asset allocation decisions made during the period.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Former Parent</w:t>
      </w:r>
    </w:p>
    <w:p>
      <w:pPr>
        <w:spacing w:after="0" w:line="10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terms of the transition services agreements, as amended, the Company provides its Former Parent, on a transitional basis, certain services or functions, including information technology, certain logistics functions and customer marketing services. Additionally, the Former Parent provides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based on the nature of the services. Consideration for transition services provided to the Former Parent are recorded within the Consolidated and Combined Statements of Income based on the nature of the services and as an offset to expenses incurred to provide the services.</w:t>
      </w:r>
    </w:p>
    <w:p>
      <w:pPr>
        <w:spacing w:after="0" w:line="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recognized consideration and costs pursuant to the transition services agreements for the third quarter and year-to-date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Pr>
          <w:p>
            <w:pPr>
              <w:spacing w:after="0"/>
              <w:rPr>
                <w:sz w:val="16"/>
                <w:szCs w:val="16"/>
                <w:color w:val="auto"/>
              </w:rPr>
            </w:pPr>
          </w:p>
        </w:tc>
      </w:tr>
      <w:tr>
        <w:trPr>
          <w:trHeight w:val="26"/>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194"/>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Received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Costs Recognized</w:t>
            </w:r>
          </w:p>
        </w:tc>
        <w:tc>
          <w:tcPr>
            <w:tcW w:w="880" w:type="dxa"/>
            <w:vAlign w:val="bottom"/>
          </w:tcPr>
          <w:p>
            <w:pPr>
              <w:spacing w:after="0"/>
              <w:rPr>
                <w:sz w:val="20"/>
                <w:szCs w:val="20"/>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Domestic Transportation Services Agreement, the Former Parent will continue to provide transportation services to the Company for certain beauty and apparel merchandise in the United States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the recognized costs pursuant to the Domestic Transportation Services Agreement for the third quarter and year-to-date 2022 and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Pr>
          <w:p>
            <w:pPr>
              <w:spacing w:after="0"/>
              <w:rPr>
                <w:sz w:val="16"/>
                <w:szCs w:val="16"/>
                <w:color w:val="auto"/>
              </w:rPr>
            </w:pPr>
          </w:p>
        </w:tc>
      </w:tr>
      <w:tr>
        <w:trPr>
          <w:trHeight w:val="25"/>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4"/>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Recognized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Accounts receivable, net from revenue-generating activities were $133 million as of October 29, 2022, $101 million as of January 29, 2022 and $86 million as of October 30, 2021. Accounts receivable primarily relate to amounts due from the Company's franchise, license and wholesale partners. Under these arrangements, payment terms are typically 60 to 90 days.</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$229 million as of October 29, 2022, $258 million as of January 29, 2022 and $214 million as of October 30, 2021. The Company recognized $117 million as revenue year-to-date 2022 from amounts recorded as deferred revenue at the beginning of the year. As of October 29, 2022, the Company recorded deferred revenue of $210 million within Accrued Expenses and Other, and $19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disaggregation of Net Sales for the third quarter and year-to-date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Pr>
          <w:p>
            <w:pPr>
              <w:spacing w:after="0"/>
              <w:rPr>
                <w:sz w:val="16"/>
                <w:szCs w:val="16"/>
                <w:color w:val="auto"/>
              </w:rPr>
            </w:pPr>
          </w:p>
        </w:tc>
      </w:tr>
      <w:tr>
        <w:trPr>
          <w:trHeight w:val="26"/>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19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4,609</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include consolidated joint venture sales in China, royalties associated with franchised stores and wholesale sales.</w:t>
      </w:r>
    </w:p>
    <w:p>
      <w:pPr>
        <w:spacing w:after="0" w:line="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April 2022, the Company launched a new co-branded credit card through which customers can earn points on purchases of Company product as well as on purchases outside of the Company. The co-branded credit card is in addition to the Company's existing U.S. private label credit card.</w:t>
      </w:r>
    </w:p>
    <w:p>
      <w:pPr>
        <w:spacing w:after="0" w:line="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recognized Net Sales of $29 million and $30 million for the third quarter of 2022 and 2021, respectively, related to revenue earned in connection with its credit card arrangements. The Company recognized Net Sales of $85 million and $89 million year-to-date 2022 and 2021, respectively, related to revenue earned in connection with its credit card arrangements.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$211 million and $170 million for the third quarter of 2022 and 2021, respectively. The Company’s net sales outside of the U.S. totaled $594 million and $500 million year-to-date 2022 and 2021,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China</w:t>
      </w:r>
    </w:p>
    <w:p>
      <w:pPr>
        <w:spacing w:after="0" w:line="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April 2022, the Company announced the completion of the joint venture agreement with Regina Miracle International (Holdings) Limited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October 29, 2022 Consolidated Balance Sheet and in Net Loss Attributable to Noncontrolling Interest in the 2022 third quarter and year-to-date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Leadership Restructuring</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2022, the Company announced a new, simplified corporate leadership structure designed to unite the Company's brands, better align its teams with a shifting consumer landscape and enable better execution of its strategy. As a result of the restructuring, pre-tax severance and related costs of $29 million, of which $16 million are included in General, Administrative and Store Operating Expenses and $13 million are included in Costs of Goods Sold, Buying and Occupancy, are included in the 2022 Year-to-Date Consolidated Statement of Income.</w:t>
      </w:r>
    </w:p>
    <w:p>
      <w:pPr>
        <w:spacing w:after="0" w:line="5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During year-to-date 2022, the Company made payments of $12 million related to severance and related costs associated with these reductions. As of October 29, 2022, liabilities related to the restructuring of $17 million are included in the October 29, 2022 Consolidated Balance Sheet.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 and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Earnings per basic share is computed based on the weighted-average number of common shares outstanding. Earnings per diluted share include the weighted-average effect of dilutive restricted stock units, performance share units and options (collectively, “Dilutive Awards”) on the weighted-average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the weighted-average shares utilized for the calculation of basic and diluted earnings per share for the third quarter and year-to-date 2022 and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Third Quarter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gridSpan w:val="3"/>
          </w:tcPr>
          <w:p>
            <w:pPr>
              <w:ind w:left="500"/>
              <w:spacing w:after="0"/>
              <w:rPr>
                <w:sz w:val="20"/>
                <w:szCs w:val="20"/>
                <w:color w:val="auto"/>
              </w:rPr>
            </w:pPr>
            <w:r>
              <w:rPr>
                <w:rFonts w:ascii="Arial" w:cs="Arial" w:eastAsia="Arial" w:hAnsi="Arial"/>
                <w:sz w:val="14"/>
                <w:szCs w:val="14"/>
                <w:b w:val="1"/>
                <w:bCs w:val="1"/>
                <w:color w:val="auto"/>
                <w:w w:val="98"/>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Treasury Shares</w:t>
            </w:r>
          </w:p>
        </w:tc>
        <w:tc>
          <w:tcPr>
            <w:tcW w:w="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Basic Shares</w:t>
            </w: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Effect of Dilutive Awards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Diluted Shares</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Awards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9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60"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underlying certain options, restricted stock units and performance share units were excluded from the calculation of diluted earnings per share because their inclusion would have been anti-dilutive.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Share Repurchases &amp; Treasury Stock Retirements</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February 2022, upon final settlement of the Company's December 2021 accelerated share repurchase agreement (“ASR Agreement”) with Goldman Sachs &amp; Co. LLC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 in the first quarter of 2022. In February 2022, the Company immediately retired the additional</w:t>
      </w:r>
    </w:p>
    <w:p>
      <w:pPr>
        <w:spacing w:after="0" w:line="2"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2022, the Company's Board of Directors approved a new share repurchase program (“March 2022 Share Repurchase Program”), providing for the repurchase of up to $250 million of the Company's common stock. The $250 million authorization is expected to be utilized to repurchase shares in the open market, subject to market conditions and other factors. The March 2022 Share Repurchase Program will continue until exhausted, but no later than January 28, 2023.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repurchased the following shares of its common stock under the March 2022 Share Repurchase Program during year-to-date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Amount 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Repurchased</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Amount Repurchased</w:t>
            </w:r>
          </w:p>
        </w:tc>
        <w:tc>
          <w:tcPr>
            <w:tcW w:w="1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Average Stock Price</w:t>
            </w:r>
          </w:p>
        </w:tc>
      </w:tr>
      <w:tr>
        <w:trPr>
          <w:trHeight w:val="25"/>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$36 million remaining under the March 2022 Share Repurchase Program as of October 29, 2022.</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accordance with the Board of Directors' resolution, shares of the Company's common stock repurchased under the March 2022 Share Repurchase Program will be retired upon repurchase. As a result, year-to-date 2022 the Company retired 5.1 million shares repurchased under the March 2022 Share Repurchase Program, which resulted in reductions of less than $1 million in the par value of Common Stock, $10 million in Paid-in Capital and $204 million in Retained Earnings.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Inventories as of October 29, 2022, January 29, 2022 and October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October 30,</w:t>
            </w:r>
          </w:p>
        </w:tc>
      </w:tr>
      <w:tr>
        <w:trPr>
          <w:trHeight w:val="196"/>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4"/>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Merchandise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 and Merchandise Components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Property and Equipment, Net as of October 29, 2022, January 29, 2022 and October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October 30,</w:t>
            </w:r>
          </w:p>
        </w:tc>
      </w:tr>
      <w:tr>
        <w:trPr>
          <w:trHeight w:val="196"/>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4"/>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Depreciation expense was $68 million and $75 million for the third quarter of 2022 and 2021, respectively. Depreciation expense was $208 million and $233 million for year-to-date 2022 and 2021,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the composition of Accrued Expenses and Other as of October 29, 2022, January 29,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October 29,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4"/>
                <w:szCs w:val="14"/>
                <w:color w:val="auto"/>
              </w:rPr>
            </w:pP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30,</w:t>
            </w:r>
          </w:p>
        </w:tc>
      </w:tr>
      <w:tr>
        <w:trPr>
          <w:trHeight w:val="192"/>
        </w:trPr>
        <w:tc>
          <w:tcPr>
            <w:tcW w:w="6740" w:type="dxa"/>
            <w:vAlign w:val="bottom"/>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194"/>
        </w:trPr>
        <w:tc>
          <w:tcPr>
            <w:tcW w:w="6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Gift Cards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Compensation, Payroll Taxes and Benefits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Accrued Marketing</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Loyalty and Credit Card Programs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Accrued Freight and Other Logistics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Returns Reserve</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 on Direct Shipments not yet Delivered</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Claims on Self-insured Activities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Accrued Expenses and Other</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Post-Separation, the Company files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is based on the current estimate of the annual effective tax rate and adjusted as necessary for quarterly events.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third quarter of 2022, the Company’s effective tax rate was 25.0% compared to 22.2% in the third quarter of 2021. The third quarter of 2022 rate was consistent with the Company's combined estimated federal and state statutory rate. The third quarter of 2021 rate was lower than the Company's combined estimated federal and state statutory rate primarily due to the recognition of excess tax benefits related to share-based compensation awards that vested in the quarter.</w:t>
      </w:r>
    </w:p>
    <w:p>
      <w:pPr>
        <w:spacing w:after="0" w:line="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year-to-date 2022, the Company’s effective tax rate was 13.2% compared to 23.0% for year-to-date 2021. Both rates were lower than the Company's combined estimated federal and state statutory rate primarily due to the recognition of excess tax benefits related to share-based compensation awards that vested in the respective period.</w:t>
      </w:r>
    </w:p>
    <w:p>
      <w:pPr>
        <w:spacing w:after="0" w:line="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paid income taxes in the amount of $18 million and $6 million for the third quarter of 2022 and 2021, respectively. Year-to-date income taxes paid were $158 million and $21 million for 2022 and 2021, respectively.</w:t>
      </w:r>
    </w:p>
    <w:p>
      <w:pPr>
        <w:spacing w:after="0" w:line="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August 2, 2021, in connection with the Separation,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Distribution Date. As such, the net liabilities associated with uncertain tax positions that were presented in the financial statements in prior periods on a carve-out basis were not transferred to the Company as part of the Separation.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and Borrowing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Company's outstanding debt balance, net of unamortized debt issuance costs and discounts, as of October 29,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2022 and October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29,</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29,</w:t>
            </w:r>
          </w:p>
        </w:tc>
        <w:tc>
          <w:tcPr>
            <w:tcW w:w="200" w:type="dxa"/>
            <w:vAlign w:val="bottom"/>
          </w:tcPr>
          <w:p>
            <w:pPr>
              <w:spacing w:after="0"/>
              <w:rPr>
                <w:sz w:val="14"/>
                <w:szCs w:val="14"/>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October 30,</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7"/>
        </w:trPr>
        <w:tc>
          <w:tcPr>
            <w:tcW w:w="2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Senior Secured Debt with Subsidiary Guarantee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$396 million Term Loan due August 2028 (“Term Loan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Asset-based Revolving Credit Facility due August 2026 (“ABL Facility”)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$29 million year-to-date 2022. There was no cash paid for interest year-to-date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proceeds were held in escrow for release to the Company upon satisfaction of certain conditions, including completion of the Separation.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August 2, 2021, the Company entered into a term loan B credit facility in an aggregate principal amount of $400 million, which will mature in August 2028. Commencing in December 2021, the Company is required to make quarterly principal payments on the Term Loan Facility in an amount equal to</w:t>
      </w:r>
    </w:p>
    <w:p>
      <w:pPr>
        <w:ind w:right="280"/>
        <w:spacing w:after="0" w:line="260" w:lineRule="auto"/>
        <w:rPr>
          <w:sz w:val="20"/>
          <w:szCs w:val="20"/>
          <w:color w:val="auto"/>
        </w:rPr>
      </w:pPr>
      <w:r>
        <w:rPr>
          <w:rFonts w:ascii="Arial" w:cs="Arial" w:eastAsia="Arial" w:hAnsi="Arial"/>
          <w:sz w:val="18"/>
          <w:szCs w:val="18"/>
          <w:color w:val="auto"/>
        </w:rPr>
        <w:t>0.25% of the original principal amount of $400 million. The Company made principal payments of $1 million and $3 million for the Term Loan Facility during the third quarter of 2022 and year-to-date 2022, respectively.</w:t>
      </w:r>
    </w:p>
    <w:p>
      <w:pPr>
        <w:spacing w:after="0" w:line="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under the Term Loan Facility is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asset-based revolving credit facility and on a second-priority lien basis by priority collateral of the asset-based revolving credit facility, subject to customary exceptions.</w:t>
      </w:r>
    </w:p>
    <w:p>
      <w:pPr>
        <w:spacing w:after="0" w:line="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third quarter of 2022, the Company borrowed $267 million from the ABL Facility, all of which remains outstanding as of October 29, 2022. The Company had $42 million of outstanding letters of credit as of October 29, 2022 that further reduced its availability under the ABL Facility. As of October 29, 2022, the Company's remaining availability under the ABL Facility was $441 million.</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spacing w:after="0" w:line="6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October 29, 2022, the Company was in compliance with all covenants under its long-term debt and borrowing facilities.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year-to-date 2021 related to this borrowing.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summary of the principal value and estimated fair value of the Company's outstanding publicly traded debt as of October 29, 2022, January 29, 2022 and October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60" w:type="dxa"/>
            <w:vAlign w:val="bottom"/>
          </w:tcPr>
          <w:p>
            <w:pPr>
              <w:jc w:val="center"/>
              <w:ind w:left="262"/>
              <w:spacing w:after="0"/>
              <w:rPr>
                <w:sz w:val="20"/>
                <w:szCs w:val="20"/>
                <w:color w:val="auto"/>
              </w:rPr>
            </w:pPr>
            <w:r>
              <w:rPr>
                <w:rFonts w:ascii="Arial" w:cs="Arial" w:eastAsia="Arial" w:hAnsi="Arial"/>
                <w:sz w:val="14"/>
                <w:szCs w:val="14"/>
                <w:b w:val="1"/>
                <w:bCs w:val="1"/>
                <w:color w:val="auto"/>
                <w:w w:val="93"/>
              </w:rPr>
              <w:t>October 29,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January 29,</w:t>
            </w:r>
          </w:p>
        </w:tc>
        <w:tc>
          <w:tcPr>
            <w:tcW w:w="300" w:type="dxa"/>
            <w:vAlign w:val="bottom"/>
          </w:tcPr>
          <w:p>
            <w:pPr>
              <w:spacing w:after="0"/>
              <w:rPr>
                <w:sz w:val="14"/>
                <w:szCs w:val="14"/>
                <w:color w:val="auto"/>
              </w:rPr>
            </w:pPr>
          </w:p>
        </w:tc>
        <w:tc>
          <w:tcPr>
            <w:tcW w:w="118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30,</w:t>
            </w:r>
          </w:p>
        </w:tc>
      </w:tr>
      <w:tr>
        <w:trPr>
          <w:trHeight w:val="192"/>
        </w:trPr>
        <w:tc>
          <w:tcPr>
            <w:tcW w:w="6800" w:type="dxa"/>
            <w:vAlign w:val="bottom"/>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194"/>
        </w:trPr>
        <w:tc>
          <w:tcPr>
            <w:tcW w:w="6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870</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4" w:lineRule="exact"/>
        <w:rPr>
          <w:sz w:val="20"/>
          <w:szCs w:val="20"/>
          <w:color w:val="auto"/>
        </w:rPr>
      </w:pPr>
    </w:p>
    <w:p>
      <w:pPr>
        <w:ind w:left="340" w:right="320" w:hanging="332"/>
        <w:spacing w:after="0" w:line="263" w:lineRule="auto"/>
        <w:tabs>
          <w:tab w:leader="none" w:pos="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estimated fair value of the Company’s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the Company could realize in a current market exchange.</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October 29, 2022 based on the terms of the borrowings from the ABL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rollforward of accumulated other comprehensive income attributable to Victoria's Secret &amp; Co. for year-to-date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4"/>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29,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to Paid-in Capital</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29,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rollforward of accumulated other comprehensive income attributable to Victoria's Secret &amp; Co. for year-to-date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30, 2021</w:t>
            </w:r>
          </w:p>
        </w:tc>
        <w:tc>
          <w:tcPr>
            <w:tcW w:w="36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w:t>
            </w:r>
          </w:p>
        </w:tc>
        <w:tc>
          <w:tcPr>
            <w:tcW w:w="3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Current-period Other Comprehensive Income</w:t>
            </w:r>
          </w:p>
        </w:tc>
        <w:tc>
          <w:tcPr>
            <w:tcW w:w="3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October 30, 2021</w:t>
            </w:r>
          </w:p>
        </w:tc>
        <w:tc>
          <w:tcPr>
            <w:tcW w:w="3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$9 million and $11 million for the third quarter of 2022 and 2021, respectively. Total expense recognized related to the qualified plan was $32 million and $31 million for year-to-date 2022 and 2021,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Parent Derivative Lawsuits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the Company) and past and present employees, officers and directors, among others. As part of the settlement, the Former Parent (and its subsidiaries, including the Company) has agreed to implement certain management and governance measures, including the maintenance of a Diversity, Equity, and Inclusion Council. Following the Separation, the settlement terms apply to both the Former Parent and the Company. Each company has committed to invest $45 million over at least five years to fund the management and governance measures. The settlement was preliminarily approved on August 25, 2021, and a fairness hearing occurred on January 18, 2022. On May 16, 2022, the United States District Court of the Southern District of Ohio granted final approval of the settlement.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Occupancy-related Legal Matter</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has appealed both judgments; the appeals have not yet been decided by the appellate court. As of the end of the third quarter of 2022, we remain fully accrued for both judgments.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1, 2022, the Company announced that it had signed a definitive agreement to acquire 100% of AdoreMe, Inc. (“Adore Me”), a digitally-native intimates brand. The structured transaction includes an initial upfront $400 million cash payment (subject to adjustment as provided in the definitive agreement) and post-closing consideration of at least $80 million and up to $300 million, which consists of a fixed payment to be made on or prior to January 15, 2025 and contingent payments based on the achievement of certain strategic objectives and the achievement of certain EBITDA and net revenue goals within the two-year period following closing of the transaction. The transaction is expected to close by the end of calendar January 2023, subject to customary closing conditions and regulatory clearances. The Company plans to finance the transaction at closing with cash on hand.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SAFE HARBOR STATEMENT UNDER THE PRIVATE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LITIGATION REFORM ACT OF 1995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16"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spin-off from our Former Parent may not be tax-free for U.S. federal income tax purposes;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realize all of the expected benefits of the spin-off;</w:t>
      </w:r>
    </w:p>
    <w:p>
      <w:pPr>
        <w:spacing w:after="0" w:line="63" w:lineRule="exact"/>
        <w:rPr>
          <w:rFonts w:ascii="Arial" w:cs="Arial" w:eastAsia="Arial" w:hAnsi="Arial"/>
          <w:sz w:val="18"/>
          <w:szCs w:val="18"/>
          <w:color w:val="auto"/>
        </w:rPr>
      </w:pPr>
    </w:p>
    <w:p>
      <w:pPr>
        <w:ind w:left="660" w:hanging="328"/>
        <w:spacing w:after="0" w:line="263"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1"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novel coronavirus (COVID-19) global pandemic has had and may continue to have an adverse effect on our business and results of operations;</w:t>
      </w:r>
    </w:p>
    <w:p>
      <w:pPr>
        <w:spacing w:after="0" w:line="86" w:lineRule="exact"/>
        <w:rPr>
          <w:rFonts w:ascii="Arial" w:cs="Arial" w:eastAsia="Arial" w:hAnsi="Arial"/>
          <w:sz w:val="16"/>
          <w:szCs w:val="16"/>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mall traffic and the availability of suitable store locations on appropriate terms;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independent franchise, license, wholesale, and joint venture partners;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direct channel business;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reputation and the image of our brands;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potential benefits and synergies sought with the pending acquisition of Adore Me;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significant health hazards or pandemics;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 and</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disruption due to labor disputes;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 and Southeast Asia;</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pacing w:after="0" w:line="74" w:lineRule="exact"/>
        <w:rPr>
          <w:rFonts w:ascii="Arial" w:cs="Arial" w:eastAsia="Arial" w:hAnsi="Arial"/>
          <w:sz w:val="17"/>
          <w:szCs w:val="17"/>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freight, product input and energy costs, including those caused by inflation;</w:t>
      </w:r>
    </w:p>
    <w:p>
      <w:pPr>
        <w:spacing w:after="0" w:line="63" w:lineRule="exact"/>
        <w:rPr>
          <w:rFonts w:ascii="Arial" w:cs="Arial" w:eastAsia="Arial" w:hAnsi="Arial"/>
          <w:sz w:val="18"/>
          <w:szCs w:val="18"/>
          <w:color w:val="auto"/>
        </w:rPr>
      </w:pPr>
    </w:p>
    <w:p>
      <w:pPr>
        <w:ind w:left="660" w:right="320" w:hanging="328"/>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third-party service providers’ ability to implement and maintain information technology systems and to protect associated data and system availability;</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and</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tax, trade and other regulatory matters.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18, 2022.</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our Consolidated and Combined Financial Statements, which have been prepared in accordance with GAAP. The following information should be read in conjunction with our financial statements and the related notes included in Item 1.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Victoria’s Secret is an iconic global brand of women’s intimate and other apparel, personal care and beauty products. We sell our products primarily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Victoria’s Secret and PINK merchandise is sold online through e-commerce platforms, through retail stores located in the U.S., Canada and China, and through international stores and websites operated by partners under franchise, license, wholesale and joint venture arrangements. We have a presence in approximately 70 countries and we believe we benefit from global brand awareness, a wide and compelling product assortment and a powerful, deep connection with our customers.</w:t>
      </w:r>
    </w:p>
    <w:p>
      <w:pPr>
        <w:spacing w:after="0" w:line="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third quarter of 2022, our operating income was $43 million compared to $108 million in the third quarter of 2021, and our operating income rate (expressed as a percentage of net sales) was 3.2% compared to 7.5% last year. The operating income decrease in the third quarter of 2022 compared to the third quarter of 2021 was primarily driven by a decrease in net sales and merchandise margin. Net sales decreased $123 million, or 9%, to $1.318 billion compared to $1.441 billion in the third quarter of 2021. Our North American store sales decreased $107 million, to $813 million compared to $920 million in the third quarter of 2021. The increase in average unit retail (which we define as the average price per unit purchased) and customer traffic compared to the third quarter of 2021 was more than offset by lower conversion rates (which we define as the percentage of customers who visit our stores and make a purchase) and units per transaction as our customers and the broader retail environment were impacted by persistent inflationary pressures. Our direct channel sales decreased by 16%, or $64 million, to $342 million compared to $406 million in the third quarter of 2021, as an increase in average unit retail was more than offset by a decrease in conversion, units per transaction and traffic.</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committed to optimizing our performance by focusing on our brand transformation, being best at bras, enhancing the customer experience and our relentless focus on costs and inventory management. We are confident in our opportunities and remain committed to delivering long-term sustainable value for our shareholders.</w:t>
      </w:r>
    </w:p>
    <w:p>
      <w:pPr>
        <w:spacing w:after="0" w:line="49" w:lineRule="exact"/>
        <w:rPr>
          <w:sz w:val="20"/>
          <w:szCs w:val="20"/>
          <w:color w:val="auto"/>
        </w:rPr>
      </w:pPr>
    </w:p>
    <w:p>
      <w:pPr>
        <w:ind w:right="3000"/>
        <w:spacing w:after="0" w:line="367" w:lineRule="auto"/>
        <w:rPr>
          <w:sz w:val="20"/>
          <w:szCs w:val="20"/>
          <w:color w:val="auto"/>
        </w:rPr>
      </w:pPr>
      <w:r>
        <w:rPr>
          <w:rFonts w:ascii="Arial" w:cs="Arial" w:eastAsia="Arial" w:hAnsi="Arial"/>
          <w:sz w:val="18"/>
          <w:szCs w:val="18"/>
          <w:color w:val="auto"/>
        </w:rPr>
        <w:t xml:space="preserve">For additional information related to our third quarter of 2022 financial performance, see “Results of Operations.” </w:t>
      </w:r>
      <w:r>
        <w:rPr>
          <w:rFonts w:ascii="Arial" w:cs="Arial" w:eastAsia="Arial" w:hAnsi="Arial"/>
          <w:sz w:val="18"/>
          <w:szCs w:val="18"/>
          <w:b w:val="1"/>
          <w:bCs w:val="1"/>
          <w:i w:val="1"/>
          <w:iCs w:val="1"/>
          <w:color w:val="auto"/>
        </w:rPr>
        <w:t>Information Technology Impacts of the Separation</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Subsequent to the completion of the Separation, we have provided technology services and systems to the Former Parent under the transition services agreements while two independent information technology platforms are being created in support of two independent companies. We have incurred, and expect to continue to incur, costs consisting of internal and external labor, software licensing, networking, security and infrastructure required to separate the current information technology capabilities (systems and infrastructure) in support of two independent companies. We currently estimate that our total incremental expenditures could be $100 million to $150 million over the transition period, with the majority of costs being incurred by the end of 2023, which is when the separation of our technology systems is expected to be predominately completed. Such estimates are subject to change as our work continues.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financial statements for periods through the Separation date of August 2, 2021 are combined financial statements prepared on a “carve-out” basis,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which reflects the business as historically managed within the Former Parent. The balance sheets and cash flows for the periods prior to the Separation include only those assets and liabilities directly related to the Victoria’s Secret business, and the statements of income include the historically reported results of the Victoria’s Secret business along with allocations of a portion of the Former Parent's total corporate expenses. Our financial statements for the period from August 3, 2021 through October 29, 2022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our results provided in accordance with GAAP above and throughout this Form 10-Q,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6"/>
                <w:szCs w:val="16"/>
                <w:color w:val="auto"/>
              </w:rPr>
            </w:pPr>
          </w:p>
        </w:tc>
        <w:tc>
          <w:tcPr>
            <w:tcW w:w="1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Year-to-Date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7700" w:type="dxa"/>
            <w:vAlign w:val="bottom"/>
            <w:tcBorders>
              <w:bottom w:val="single" w:sz="8" w:color="CCEEFF"/>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0"/>
              </w:rPr>
              <w:t>Reconciliation of Reported to Adjusted Operating Income</w:t>
            </w:r>
          </w:p>
        </w:tc>
        <w:tc>
          <w:tcPr>
            <w:tcW w:w="324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Reported Operating Income - GAAP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Occupancy-related Legal Matter (a)</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Restructuring Charge (b)</w:t>
            </w:r>
          </w:p>
        </w:tc>
        <w:tc>
          <w:tcPr>
            <w:tcW w:w="2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Reconciliation of Reported to Adjusted Net Income Attributable to Victoria's Secret &amp; Co.</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6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Reported Net Income Attributable to Victoria's Secret &amp; Co. - GAAP</w:t>
            </w:r>
          </w:p>
        </w:tc>
        <w:tc>
          <w:tcPr>
            <w:tcW w:w="7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Occupancy-related Legal Matter (a)</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Restructuring Charge (b)</w:t>
            </w:r>
          </w:p>
        </w:tc>
        <w:tc>
          <w:tcPr>
            <w:tcW w:w="2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Effect of Adjusted Items</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Adjusted Net Income Attributable to Victoria's Secret &amp; Co.</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2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w w:val="93"/>
              </w:rPr>
              <w:t>Reconciliation of Reported to Adjusted Net Income Per Diluted Share Attributable to Victoria's Secret &amp; Co.</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Reported Net Income Per Diluted Share Attributable to Victoria's Secret &amp; Co. - GAAP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Occupancy-related Legal Matter (a)</w:t>
            </w:r>
          </w:p>
        </w:tc>
        <w:tc>
          <w:tcPr>
            <w:tcW w:w="2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Charge (b)</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Adjusted Net Income Per Diluted Share Attributable to Victoria's Secret &amp; Co.</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80" w:hanging="652"/>
        <w:spacing w:after="0" w:line="265" w:lineRule="auto"/>
        <w:tabs>
          <w:tab w:leader="none" w:pos="6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14, “Commitments and Contingencies” included in Item 1. Financial Statements.</w:t>
      </w:r>
    </w:p>
    <w:p>
      <w:pPr>
        <w:ind w:left="660" w:right="300" w:hanging="652"/>
        <w:spacing w:after="0" w:line="302" w:lineRule="auto"/>
        <w:tabs>
          <w:tab w:leader="none" w:pos="6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2022, we recognized a pre-tax charge of $29 million ($22 million after-tax), $16 million included in general, administrative and store operating expense and $13 million included in buying and occupancy expense, related to restructuring activities to reorganize our leadership structure. For additional information see Note 4, “Restructuring Activities” included in Item 1.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Data</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compares the third quarter of 2022 U.S. company-operated store data to the third quarter of 2021 and year-to-date 2022 to year-to-date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Year-to-Date</w:t>
            </w:r>
          </w:p>
        </w:tc>
        <w:tc>
          <w:tcPr>
            <w:tcW w:w="1240" w:type="dxa"/>
            <w:vAlign w:val="bottom"/>
          </w:tcPr>
          <w:p>
            <w:pPr>
              <w:spacing w:after="0"/>
              <w:rPr>
                <w:sz w:val="16"/>
                <w:szCs w:val="16"/>
                <w:color w:val="auto"/>
              </w:rPr>
            </w:pPr>
          </w:p>
        </w:tc>
      </w:tr>
      <w:tr>
        <w:trPr>
          <w:trHeight w:val="26"/>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4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Sales per Average Selling Square Foot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 Average Store (in thousands)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Average Store Size (selling square feet)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Square Feet (in thousands)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120" w:hanging="652"/>
        <w:spacing w:after="0" w:line="290" w:lineRule="auto"/>
        <w:tabs>
          <w:tab w:leader="none" w:pos="6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store data for year-to-date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w w:val="86"/>
              </w:rPr>
              <w:t>Stores at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Reclassed to</w:t>
            </w:r>
          </w:p>
        </w:tc>
        <w:tc>
          <w:tcPr>
            <w:tcW w:w="1440" w:type="dxa"/>
            <w:vAlign w:val="bottom"/>
          </w:tcPr>
          <w:p>
            <w:pPr>
              <w:jc w:val="right"/>
              <w:ind w:right="353"/>
              <w:spacing w:after="0"/>
              <w:rPr>
                <w:sz w:val="20"/>
                <w:szCs w:val="20"/>
                <w:color w:val="auto"/>
              </w:rPr>
            </w:pPr>
            <w:r>
              <w:rPr>
                <w:rFonts w:ascii="Arial" w:cs="Arial" w:eastAsia="Arial" w:hAnsi="Arial"/>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8"/>
              </w:rPr>
              <w:t>January 29, 2022</w:t>
            </w:r>
          </w:p>
        </w:tc>
        <w:tc>
          <w:tcPr>
            <w:tcW w:w="100" w:type="dxa"/>
            <w:vAlign w:val="bottom"/>
          </w:tcPr>
          <w:p>
            <w:pPr>
              <w:spacing w:after="0"/>
              <w:rPr>
                <w:sz w:val="17"/>
                <w:szCs w:val="17"/>
                <w:color w:val="auto"/>
              </w:rPr>
            </w:pPr>
          </w:p>
        </w:tc>
        <w:tc>
          <w:tcPr>
            <w:tcW w:w="780" w:type="dxa"/>
            <w:vAlign w:val="bottom"/>
            <w:gridSpan w:val="3"/>
          </w:tcPr>
          <w:p>
            <w:pPr>
              <w:ind w:left="280"/>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Arial" w:cs="Arial" w:eastAsia="Arial" w:hAnsi="Arial"/>
                <w:sz w:val="14"/>
                <w:szCs w:val="14"/>
                <w:b w:val="1"/>
                <w:bCs w:val="1"/>
                <w:color w:val="auto"/>
              </w:rPr>
              <w:t>Closed</w:t>
            </w: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Joint Venture</w:t>
            </w: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Company-Operated:</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11</w:t>
            </w:r>
          </w:p>
        </w:tc>
        <w:tc>
          <w:tcPr>
            <w:tcW w:w="1180" w:type="dxa"/>
            <w:vAlign w:val="bottom"/>
            <w:tcBorders>
              <w:top w:val="single" w:sz="8" w:color="CCEEFF"/>
            </w:tcBorders>
            <w:gridSpan w:val="5"/>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Canada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Arial" w:cs="Arial" w:eastAsia="Arial" w:hAnsi="Arial"/>
                <w:sz w:val="18"/>
                <w:szCs w:val="18"/>
                <w:color w:val="auto"/>
              </w:rPr>
              <w:t>Subtotal Company-Operated</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China Joint Venture: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Beauty &amp; Accessories (a)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auto"/>
              </w:rPr>
              <w:t>Full Assortment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Subtotal China Joint Venture</w:t>
            </w: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Partner-Operated: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auto"/>
              </w:rPr>
              <w:t>Beauty &amp; Accessories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Full Assortment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Subtotal Partner-Operated</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89"/>
              </w:rPr>
              <w:t>________________</w:t>
            </w: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gridSpan w:val="3"/>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rPr>
              <w:t>(a)</w:t>
            </w:r>
          </w:p>
        </w:tc>
        <w:tc>
          <w:tcPr>
            <w:tcW w:w="4280" w:type="dxa"/>
            <w:vAlign w:val="bottom"/>
            <w:gridSpan w:val="5"/>
          </w:tcPr>
          <w:p>
            <w:pPr>
              <w:ind w:left="320"/>
              <w:spacing w:after="0"/>
              <w:rPr>
                <w:sz w:val="20"/>
                <w:szCs w:val="20"/>
                <w:color w:val="auto"/>
              </w:rPr>
            </w:pPr>
            <w:r>
              <w:rPr>
                <w:rFonts w:ascii="Arial" w:cs="Arial" w:eastAsia="Arial" w:hAnsi="Arial"/>
                <w:sz w:val="18"/>
                <w:szCs w:val="18"/>
                <w:color w:val="auto"/>
              </w:rPr>
              <w:t>Includes nine partner-operated stores.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20" w:type="dxa"/>
            <w:vAlign w:val="bottom"/>
            <w:gridSpan w:val="7"/>
          </w:tcPr>
          <w:p>
            <w:pPr>
              <w:spacing w:after="0"/>
              <w:rPr>
                <w:sz w:val="20"/>
                <w:szCs w:val="20"/>
                <w:color w:val="auto"/>
              </w:rPr>
            </w:pPr>
            <w:r>
              <w:rPr>
                <w:rFonts w:ascii="Arial" w:cs="Arial" w:eastAsia="Arial" w:hAnsi="Arial"/>
                <w:sz w:val="18"/>
                <w:szCs w:val="18"/>
                <w:color w:val="auto"/>
                <w:w w:val="91"/>
              </w:rPr>
              <w:t>The following table represents store data for year-to-date 2021: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Stores at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right"/>
              <w:ind w:right="393"/>
              <w:spacing w:after="0"/>
              <w:rPr>
                <w:sz w:val="20"/>
                <w:szCs w:val="20"/>
                <w:color w:val="auto"/>
              </w:rPr>
            </w:pPr>
            <w:r>
              <w:rPr>
                <w:rFonts w:ascii="Arial" w:cs="Arial" w:eastAsia="Arial" w:hAnsi="Arial"/>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January 30, 2021</w:t>
            </w:r>
          </w:p>
        </w:tc>
        <w:tc>
          <w:tcPr>
            <w:tcW w:w="200" w:type="dxa"/>
            <w:vAlign w:val="bottom"/>
          </w:tcPr>
          <w:p>
            <w:pPr>
              <w:spacing w:after="0"/>
              <w:rPr>
                <w:sz w:val="17"/>
                <w:szCs w:val="17"/>
                <w:color w:val="auto"/>
              </w:rPr>
            </w:pPr>
          </w:p>
        </w:tc>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rPr>
              <w:t>Opened</w:t>
            </w:r>
          </w:p>
        </w:tc>
        <w:tc>
          <w:tcPr>
            <w:tcW w:w="1500" w:type="dxa"/>
            <w:vAlign w:val="bottom"/>
            <w:gridSpan w:val="4"/>
          </w:tcPr>
          <w:p>
            <w:pPr>
              <w:ind w:left="380"/>
              <w:spacing w:after="0"/>
              <w:rPr>
                <w:sz w:val="20"/>
                <w:szCs w:val="20"/>
                <w:color w:val="auto"/>
              </w:rPr>
            </w:pPr>
            <w:r>
              <w:rPr>
                <w:rFonts w:ascii="Arial" w:cs="Arial" w:eastAsia="Arial" w:hAnsi="Arial"/>
                <w:sz w:val="14"/>
                <w:szCs w:val="14"/>
                <w:b w:val="1"/>
                <w:bCs w:val="1"/>
                <w:color w:val="auto"/>
              </w:rPr>
              <w:t>Closed</w:t>
            </w: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rPr>
              <w:t>October 30,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6"/>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60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Company-Operated: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846</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4"/>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auto"/>
              </w:rPr>
              <w:t>China - Beauty &amp; Accessories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China - Full Assortment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auto"/>
              </w:rPr>
              <w:t>Subtotal Company-Operated</w:t>
            </w:r>
          </w:p>
        </w:tc>
        <w:tc>
          <w:tcPr>
            <w:tcW w:w="3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600" w:type="dxa"/>
            <w:vAlign w:val="bottom"/>
            <w:gridSpan w:val="6"/>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Partner-Operated:</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Beauty &amp; Accessories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Arial" w:cs="Arial" w:eastAsia="Arial" w:hAnsi="Arial"/>
                <w:sz w:val="18"/>
                <w:szCs w:val="18"/>
                <w:color w:val="auto"/>
              </w:rPr>
              <w:t>Full Assortment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Subtotal Partner-Operated</w:t>
            </w: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8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w w:val="88"/>
              </w:rPr>
              <w:t>1,391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2022 Compared to Third Quarter of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 the third quarter of 2022, operating income decreased $65 million, to $43 million, compared to operating income of $108 million in the third quarter of 2021, and the operating income rate (expressed as a percentage of net sales) decreased to 3.2% from 7.5%. The drivers of the operating income results are discussed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the third quarter of 2022 in comparison to the third quarter of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Third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w:t>
            </w:r>
          </w:p>
        </w:tc>
        <w:tc>
          <w:tcPr>
            <w:tcW w:w="9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342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1,318</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1880" w:firstLine="8"/>
        <w:spacing w:after="0" w:line="334" w:lineRule="auto"/>
        <w:tabs>
          <w:tab w:leader="none" w:pos="6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Results include consolidated joint venture sales in China, royalties associated with franchised stores and wholesale sales. The following table provides a reconciliation of net sales from the third quarter of 2021 to the third quarter of 2022:</w:t>
      </w: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6"/>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2021 Net Sales</w:t>
            </w:r>
          </w:p>
        </w:tc>
        <w:tc>
          <w:tcPr>
            <w:tcW w:w="100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Comparable Store Sales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Direct Channels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Card Programs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Net Sales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compares the third quarter of 2022 comparable sales to the third quarter of 2021:</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9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980" w:type="dxa"/>
            <w:vAlign w:val="bottom"/>
            <w:gridSpan w:val="2"/>
          </w:tcPr>
          <w:p>
            <w:pPr>
              <w:ind w:left="86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5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86" w:lineRule="auto"/>
        <w:tabs>
          <w:tab w:leader="none" w:pos="6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in the third quarter of 2022 decreased $123 million, or 9%, to $1.318 billion compared to $1.441 billion in the third quarter of 2021. Our average unit retail increased in our stores and direct channel and customer traffic increased in our stores as compared to the third quarter of 2021. These increases were more than offset by lower conversion rates and units per transaction as our customers and the broader retail environment were impacted by persistent inflationary pressures.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stores channel, our North America net sales decreased $107 million, or 12%, to $813 million compared to the third quarter of 2021. The increase in traffic and average unit retail in the quarter compared to last year was more than offset by a decrease in conversion and units per transaction. Net sales in stores outside of North America increased in the third quarter of 2022 compared to the third quarter of 2021 driven by fewer COVID-19-related store restrictions this year.</w:t>
      </w:r>
    </w:p>
    <w:p>
      <w:pPr>
        <w:spacing w:after="0" w:line="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direct channel, net sales decreased $64 million, or 16%, to $342 million, as an increase in average unit retail was more than offset by a decrease in conversion, units per transaction and traffic.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third quarter of 2022, our gross profit decreased $108 million compared to the third quarter of 2021 to $457 million, and our gross profit rate (expressed as a percentage of net sales) decreased to 34.7% from 39.2%.</w:t>
      </w:r>
    </w:p>
    <w:p>
      <w:pPr>
        <w:spacing w:after="0" w:line="4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gross profit decrease was due to the decrease in merchandise margin dollars related to the decrease in net sales, increased promotional activity and an increase in inventory shrink expense in our stores. Partially offsetting these decreases were lower buying and occupancy expenses during the third quarter of 2022 compared to the third quarter of 2021 driven primarily by lower depreciation expense due to store closures.</w:t>
      </w:r>
    </w:p>
    <w:p>
      <w:pPr>
        <w:spacing w:after="0" w:line="3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gross profit rate decrease was driven by a decrease in the merchandise margin rate reflecting increased promotional activity, deleverage in buying and occupancy expenses in the quarter as a result of the decrease in sales compared to the third quarter last year and the increase in inventory shrink expense in our stores during the third quarter of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10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For the third quarter of 2022, our general, administrative and store operating expenses decreased $43 million, or 9%, compared to the third quarter of 2021 to $414 million. The decrease in general, administrative and store operating expenses compared to the third quarter of 2021 was due to lower store selling expenses driven by improvement in our labor model and our ongoing disciplined expense management initiatives and lower marketing expenses.</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slightly to 31.5% from 31.7% due to the lower selling and marketing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third quarter of 2022, our interest expense increased $3 million to $15 million compared to the third quarter of 2021, driven by a higher average borrowing rate for our Term Loan Facility and the increase in our outstanding debt due to the borrowings from the ABL Facility during the third quarter of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third quarter of 2022, the Company's effective tax rate was 25.0% compared to 22.2% in the third quarter of 2021. The third quarter of 2022 rate was consistent with the Company's combined estimated federal and state statutory rate. The third quarter of 2021 rate was lower than the Company's combined estimated federal and state statutory rate primarily due to the recognition of excess tax benefits related to share-based compensation awards that vested in the quarter.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2022 Compared to Year-to-Date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year-to-date 2022, operating income decreased $302 million, to $234 million, from $536 million year-to-date 2021, and the operating income rate (expressed as a percentage of net sales) decreased to 5.4% from 11.6%. The drivers of the operating income results are discussed in the following sections.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year-to-date 2022 in comparison to year-to-date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4,323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4,609</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include consolidated joint venture sales in China, royalties associated with franchised stores and wholesale sales.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from year-to-date 2021 to year-to-date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6"/>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2021 Net Sales</w:t>
            </w:r>
          </w:p>
        </w:tc>
        <w:tc>
          <w:tcPr>
            <w:tcW w:w="9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Comparable Store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Direct Channels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Card Programs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Net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compares year-to-date 2022 comparable sales to year-to-date 2021:</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90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9020" w:type="dxa"/>
            <w:vAlign w:val="bottom"/>
            <w:gridSpan w:val="2"/>
          </w:tcPr>
          <w:p>
            <w:pPr>
              <w:ind w:left="862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54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660" w:right="40" w:hanging="652"/>
        <w:spacing w:after="0" w:line="286" w:lineRule="auto"/>
        <w:tabs>
          <w:tab w:leader="none" w:pos="6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Net sales year-to-date 2022 decreased $286 million, or 6%, to $4.323 billion compared to $4.609 billion year-to-date 2021.</w:t>
      </w:r>
    </w:p>
    <w:p>
      <w:pPr>
        <w:spacing w:after="0" w:line="9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stores channel year-to-date 2022, our North America net sales decreased $178 million, or 6%, to $2.712 billion, compared to year-to-date 2021 as an increase in traffic was more than offset by a decrease in conversion and average unit retail. Net sales in stores outside of North America increased year-to-date 2022 compared to year-to-date 2021 driven by fewer COVID-19-related store restrictions this year.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the direct channel, net sales decreased $220 million, or 16%, to $1.176 billion, primarily due to a decrease in traffic, average unit retail and conversion.</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net sales year-to-date 2022 as compared to year-to-date 2021 were impacted by incremental net sales recognized in the first quarter of 2021 as a result of federal stimulus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year-to-date 2022, our gross profit decreased $393 million to $1.514 billion, and our gross profit rate (expressed as a percentage of net sales) decreased to 35.0% from 41.4%.</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gross profit decrease was primarily due to the decrease in merchandise margin dollars related to the decrease in net sales, incremental supply chain and inflationary cost pressures in the first and second quarter of 2022 compared to last year of approximately $140 million and increased promotional activity this year. Additionally, the decrease in net sales and merchandise margin was due to incremental net sales and merchandise margin recognized in the first quarter last year as a result of federal stimulus benefits. Partially offsetting these decreases was lower buying and occupancy expenses this year compared to last year driven by lower landlord-related expenses, lower management compensation expense and lower depreciation expense due to store closures.</w:t>
      </w:r>
    </w:p>
    <w:p>
      <w:pPr>
        <w:spacing w:after="0" w:line="4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gross profit rate decrease was primarily driven by a decrease in the merchandise margin rate reflecting the increased supply chain and inflationary cost pressures and increased promotional activity, partially offset by buying and occupancy leverage driven by the lower landlord-related expenses, lower management compensation expense and lower depreciation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year-to-date 2022, our general, administrative and store operating expenses decreased $91 million, or 7%, to $1.280 billion primarily due to lower store selling expenses driven by improvement in our labor model and our ongoing disciplined expense management initiatives, as well as lower management compensation expense.</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slightly to 29.6% from 29.7% due to the lower selling and management compensation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For year-to-date 2022, our interest expense increased $25 million to $41 million compared to year-to-date 2021, primarily driven by the increase in our outstanding debt due to the issuance of the 2029 Notes and the Term Loan Facility that we entered into upon the Separation in August 2021.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year-to-date 2022, the Company's effective tax rate was 13.2% compared to 23.0% year-to-date 2021. The effective tax rate for both years was lower than the Company's combined estimated federal and state statutory rate primarily due to the recognition of excess tax benefits related to share-based compensation awards that vested in the respective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prior to the Separation.</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cash and cash equivalents held by the Former Parent at the corporate level prior to the Separation were not specifically identifiable to us and, therefore, were not reflected in the Consolidated Balance Sheets. The Former Parent's third-party long-term debt and the related interest expense were not allocated to us for any of the periods presented prior to the Separation as we were not the legal obligor of such debt.</w:t>
      </w:r>
    </w:p>
    <w:p>
      <w:pPr>
        <w:spacing w:after="0" w:line="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including third-party debt that we incurred in connection with the Separation, (ii) adequate liquidity to fund capital expenditures, and (iii) flexibility to consider investment opportunities that may arise. However, certain investment opportunities may require us to seek additional debt or equity financing, and there can be no assurances that we will be able to obtain additional debt or equity financing on acceptable terms, if at all, in the future.</w:t>
      </w:r>
    </w:p>
    <w:p>
      <w:pPr>
        <w:spacing w:after="0" w:line="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expect to utilize our cash flows to continue to invest in our brands, talent and capabilities, and growth strategies as well as to repay our indebtedness over time. We also plan to finance the Adore Me transaction at closing with cash on hand. We believe that our available short-term and long-term capital resources are sufficient to fund requirements over the next 12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Capitalization</w:t>
      </w:r>
    </w:p>
    <w:p>
      <w:pPr>
        <w:spacing w:after="0" w:line="10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cash balances and funds provided by operating activities, along with the borrowing capacity under our ABL Facility, we believe we will be able to continue to meet our working capital needs.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our working capital position and capitalization as of October 29, 2022, January 29, 2022 and October 30,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2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rPr>
              <w:t>October 30,</w:t>
            </w:r>
          </w:p>
        </w:tc>
      </w:tr>
      <w:tr>
        <w:trPr>
          <w:trHeight w:val="192"/>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94"/>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Operating Activities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Capital Expenditures (a)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29"/>
        </w:trPr>
        <w:tc>
          <w:tcPr>
            <w:tcW w:w="6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Victoria's Secret &amp; Co. Shareholders' Equity</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Amounts Available Under the ABL Facility (b)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40" w:hanging="652"/>
        <w:spacing w:after="0" w:line="250"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October 29, 2022 and October 30, 2021 amounts represent thirty-nine-week periods and the January 29, 2022 amounts represent a fifty-two-week period.</w:t>
      </w:r>
    </w:p>
    <w:p>
      <w:pPr>
        <w:ind w:left="660" w:right="20" w:hanging="652"/>
        <w:spacing w:after="0" w:line="271"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reporting period ended October 29, 2022, the availability under the ABL Facility was limited to the maximum aggregate commitment amount of $750 million, less outstanding borrowings of $267 million and letters of credit of $42 million. For the reporting periods ended January 29, 2022 and October 30, 2021, the availability was limited by our borrowing base of $564 million and $742 million, respectively. We had outstanding letters of credit, which further reduced our availability under the ABL Facility, of $41 million as of both January 29, 2022 and October 30, 2021. There were no borrowings outstanding under the ABL Facility as of January 29, 2022 and October 30,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 activity for year-to-date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06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Cash Flows Provided by (Used for) Operating Activities</w:t>
            </w:r>
          </w:p>
        </w:tc>
        <w:tc>
          <w:tcPr>
            <w:tcW w:w="3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for Investing Activities</w:t>
            </w:r>
          </w:p>
        </w:tc>
        <w:tc>
          <w:tcPr>
            <w:tcW w:w="3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Net Cash Flows Provided by (Used for) Financing Activities</w:t>
            </w: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Effects of Exchange Rate Changes on Cash and Cash Equivalents</w:t>
            </w:r>
          </w:p>
        </w:tc>
        <w:tc>
          <w:tcPr>
            <w:tcW w:w="3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29</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Net cash provided by (used for) operating activities reflects net income adjusted for non-cash items, including depreciation, share-based compensation expense and deferred tax expense, as well as changes in working capital. Net cash used for operating activities year-to-date 2022 was $279 million, a decrease in net cash flows from operating activities of $657 million compared to year-to-date 2021. The decrease in net cash from operating activities year-to-date 2022 was primarily driven by higher cash outflows associated with working capital changes and lower net income. The most significant working capital driver resulting in the decrease in operating cash flows this year compared to last year is driven by payments related to the increased inventory levels throughout this year compared to last year. The increased inventory levels this year were primarily driven by modal mix changes and longer in-transit shipment times which we began to experience in the third and fourth quarter of 2021. The other significant working capital driver resulting in the decrease in operating cash flows this year is related to income taxes paid of $158 million year-to-date 2022 as compared to $21 million paid year-to-date 2021. In 2021, the income tax provision assumed the utilization of certain tax benefits that only existed on a “carve-out” basis from the Former Parent.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used for investing activities year-to-date 2022 was $150 million, consisting primarily of capital expenditures of $125 million and our $18 million investment in Frankies Bikinis. The capital expenditures were primarily related to our store capital program, along with investments in technology, distribution and logistics to support our retail capabilities.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for investing activities for year-to-date 2021 was $117 million for capital expenditures. The capital expenditures were primarily related to our store refresh program, and technology and logistics to support our digital business and other retail capabilities.</w:t>
      </w:r>
    </w:p>
    <w:p>
      <w:pPr>
        <w:spacing w:after="0" w:line="3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estimate 2022 capital expenditures of approximately $200 million for the year. Capital investments during 2022 are focused on our store capital program, along with investments in technology, distribution and logistics capabilities.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Net cash provided by financing activities year-to-date 2022 was $67 million, consisting primarily of borrowings of $267 million from the ABL Facility and $55 million of cash received from Regina Miracle in connection with the joint venture agreement completed in the first quarter of 2022. Those proceeds were partially offset by $214 million of share repurchases and $40 million of payments for taxes on share-based compensation awards issued.</w:t>
      </w:r>
    </w:p>
    <w:p>
      <w:pPr>
        <w:spacing w:after="0" w:line="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used for financing activities year-to-date 2021 was $266 million, consisting primarily of net transfers to the Former Parent of $1.253 billion, partially offset by $982 million in proceeds from the issuance of long-term debt.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Share Repurchases &amp; Treasury Stock Retirements</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Board of Directors will determine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spacing w:after="0" w:line="3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 in the first quarter of 2022. In February 2022, we immediately retired the additional 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our Board of Directors approved a new share repurchase program, providing for the repurchase of up to $250 million of our common stock. The $250 million authorization is expected to be utilized to repurchase shares in the open market, subject to market conditions and other factors. The March 2022 Share Repurchase Program will continue until exhausted, but no later than January 28,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our common stock under the March 2022 Share Repurchase Program during year-to-date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Amount 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Repurchased</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Amount Repurchased</w:t>
            </w:r>
          </w:p>
        </w:tc>
        <w:tc>
          <w:tcPr>
            <w:tcW w:w="1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Average Stock Price</w:t>
            </w:r>
          </w:p>
        </w:tc>
      </w:tr>
      <w:tr>
        <w:trPr>
          <w:trHeight w:val="26"/>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have $36 million remaining under the March 2022 Share Repurchase Program as of October 29, 2022.</w:t>
      </w:r>
    </w:p>
    <w:p>
      <w:pPr>
        <w:spacing w:after="0" w:line="10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accordance with the Board of Directors' resolution, shares of our common stock repurchased under the March 2022 Share Repurchase Program will be retired upon repurchase. As a result, year-to-date 2022 we retired 5.1 million shares repurchased under the March 2022 Share Repurchase Program, which resulted in reductions of less than $1 million in the par value of Common Stock, $10 million in Paid-in Capital and $204 million in Retained Earnings.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Procedures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Borrowing Facilities</w:t>
      </w:r>
    </w:p>
    <w:p>
      <w:pPr>
        <w:spacing w:after="0" w:line="108"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following table provides our outstanding debt balance, net of unamortized debt issuance costs and discounts, as of October 29, 2022, January 29, 2022 and October 30, 2021:</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October 29,</w:t>
            </w: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January 29,</w:t>
            </w:r>
          </w:p>
        </w:tc>
        <w:tc>
          <w:tcPr>
            <w:tcW w:w="200" w:type="dxa"/>
            <w:vAlign w:val="bottom"/>
          </w:tcPr>
          <w:p>
            <w:pPr>
              <w:spacing w:after="0"/>
              <w:rPr>
                <w:sz w:val="12"/>
                <w:szCs w:val="12"/>
                <w:color w:val="auto"/>
              </w:rPr>
            </w:pPr>
          </w:p>
        </w:tc>
        <w:tc>
          <w:tcPr>
            <w:tcW w:w="112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October 30,</w:t>
            </w:r>
          </w:p>
        </w:tc>
      </w:t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7"/>
        </w:trPr>
        <w:tc>
          <w:tcPr>
            <w:tcW w:w="20" w:type="dxa"/>
            <w:vAlign w:val="bottom"/>
            <w:shd w:val="clear" w:color="auto" w:fill="CCEEFF"/>
          </w:tcPr>
          <w:p>
            <w:pPr>
              <w:spacing w:after="0"/>
              <w:rPr>
                <w:sz w:val="17"/>
                <w:szCs w:val="17"/>
                <w:color w:val="auto"/>
              </w:rPr>
            </w:pPr>
          </w:p>
        </w:tc>
        <w:tc>
          <w:tcPr>
            <w:tcW w:w="7040" w:type="dxa"/>
            <w:vAlign w:val="bottom"/>
            <w:gridSpan w:val="3"/>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Senior Secured Debt with Subsidiary Guarantee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$396 million Term Loan due August 2028 (“Term Loan Facility”)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Asset-based Revolving Credit Facility due August 2026 (“ABL Facility”)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 Senior Secured Debt with Subsidiary Guarantee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Senior Debt with Subsidiary Guarantee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Debt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 Long-term Debt, Net of Current Portion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$29 million year-to-date 2022. There was no cash paid for interest year-to-date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proceeds were held in escrow for release to us upon satisfaction of certain conditions, including completion of the Separation.</w:t>
      </w:r>
    </w:p>
    <w:p>
      <w:pPr>
        <w:spacing w:after="0" w:line="5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 2021, we entered into a term loan B credit facility in an aggregate principal amount of $400 million, which will mature in August 2028. Commencing in December 2021, we are required to make quarterly principal payments on the Term Loan Facility in an amount equal to 0.25% of the original principal amount of $400 million. We made principal payments of $1 million and $3 million for the Term Loan Facility during the third quarter of 2022 and year-to-date 2022,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Interest under the Term Loan Facility is calculated by reference to the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asset-based revolving credit facility and on a second-priority lien basis by priority collateral of the asset-based revolving credit facility, subject to customary exceptions.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third quarter of 2022, we borrowed $267 million from the ABL Facility, all of which remains outstanding as of October 29, 2022. We had $42 million of outstanding letters of credit as of October 29, 2022 that further reduced our availability under the ABL Facility. As of October 29, 2022, our remaining availability under the ABL Facility was $441 million.</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2, 2021, 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October 29, 2022, we were in compliance with all covenants under our long-term debt and borrowing facilities.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$2 million of interest expense year-to-date 2021 related to this borrowing.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8140" w:type="dxa"/>
            <w:vAlign w:val="bottom"/>
          </w:tcPr>
          <w:p>
            <w:pPr>
              <w:spacing w:after="0"/>
              <w:rPr>
                <w:sz w:val="20"/>
                <w:szCs w:val="20"/>
                <w:color w:val="auto"/>
              </w:rPr>
            </w:pPr>
            <w:r>
              <w:rPr>
                <w:rFonts w:ascii="Arial" w:cs="Arial" w:eastAsia="Arial" w:hAnsi="Arial"/>
                <w:sz w:val="18"/>
                <w:szCs w:val="18"/>
                <w:color w:val="auto"/>
              </w:rPr>
              <w:t>The following table provides our credit ratings as of October 29, 2022: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7"/>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Moody’s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Ba2</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Outlook</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and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0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29, 2022, as discussed in “Contingent Liabilities and Contractual Obligations” in our Annual Report on Form 10-K filed with the SEC on March 18, 2022, other than the $267 million of borrowings under the ABL Facility.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did not adopt any new accounting standards during the third quarter of 2022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filed with the SEC on March 18, 2022.</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08"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2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October 29, 2022, our investment portfolio is primarily comprised of bank deposits. Prior to the Separation, cash generated by us was invested by the Former Parent in U.S. government obligations and U.S. Treasury and AAA-rated money market funds. Given the short-term nature and quality of investments in our portfolio, we do not believe there is any material risk to principal associated with increases or decreases in interest rates.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long-term debt as of October 29, 2022 consists of the 2029 Notes, which have a fixed interest rate, the $396 million in outstanding borrowing under the Term Loan Facility, which has a variable interest rate based on either the LIBOR or an alternate base rate, and the $267 million in outstanding borrowing under the ABL Facility, which has a variable interest rate based on either the LIBOR, CDOR, a Canadian base rate or an alternate base rate. Our exposure to interest rate changes is limited to the fair value of the debt issued as well as the interest we pay on the Term Loan Facility and ABL Facility, which would not have a material impact on our earnings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principal value and estimated fair value of our outstanding publicly traded debt as of October 29,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2022 and October 30,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color w:val="auto"/>
              </w:rPr>
              <w:t>October 29,</w:t>
            </w:r>
          </w:p>
        </w:tc>
        <w:tc>
          <w:tcPr>
            <w:tcW w:w="300" w:type="dxa"/>
            <w:vAlign w:val="bottom"/>
          </w:tcPr>
          <w:p>
            <w:pPr>
              <w:spacing w:after="0"/>
              <w:rPr>
                <w:sz w:val="14"/>
                <w:szCs w:val="14"/>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January 29,</w:t>
            </w:r>
          </w:p>
        </w:tc>
        <w:tc>
          <w:tcPr>
            <w:tcW w:w="280" w:type="dxa"/>
            <w:vAlign w:val="bottom"/>
          </w:tcPr>
          <w:p>
            <w:pPr>
              <w:spacing w:after="0"/>
              <w:rPr>
                <w:sz w:val="14"/>
                <w:szCs w:val="14"/>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b w:val="1"/>
                <w:bCs w:val="1"/>
                <w:color w:val="auto"/>
              </w:rPr>
              <w:t>October 30,</w:t>
            </w:r>
          </w:p>
        </w:tc>
      </w:tr>
      <w:tr>
        <w:trPr>
          <w:trHeight w:val="192"/>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94"/>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4" w:lineRule="exact"/>
        <w:rPr>
          <w:sz w:val="20"/>
          <w:szCs w:val="20"/>
          <w:color w:val="auto"/>
        </w:rPr>
      </w:pPr>
    </w:p>
    <w:p>
      <w:pPr>
        <w:jc w:val="both"/>
        <w:ind w:left="340" w:right="360" w:hanging="332"/>
        <w:spacing w:after="0" w:line="263"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estimated fair value of our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we could realize in a current market exchange.</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October 29, 2022, we believe that the carrying values of accounts receivable, accounts payable and accrued expenses approximate fair value because of their short maturity. We further believe the principal value of the outstanding debt under the ABL Facility approximates its fair value as of October 29, 2022 based on the terms of the borrowings from the ABL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October 29, 2022, our investment portfolio is primarily comprised of bank deposits. Prior to the Separation, cash generated by us was invested by the Former Parent in U.S. government obligations and U.S. Treasury and AAA-rated money market funds. We also periodically review the relative credit standing of franchise, license and wholesale partners and other entities to which we grant credit terms in the normal course of business.</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 supervision</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4" w:lineRule="exact"/>
        <w:rPr>
          <w:sz w:val="20"/>
          <w:szCs w:val="20"/>
          <w:color w:val="auto"/>
        </w:rPr>
      </w:pPr>
    </w:p>
    <w:p>
      <w:pPr>
        <w:ind w:right="480" w:firstLine="8"/>
        <w:spacing w:after="0" w:line="260"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Chief Executive Officer and Chief Financial Officer, to allow timely decisions regarding required disclosure.</w:t>
      </w:r>
    </w:p>
    <w:p>
      <w:pPr>
        <w:spacing w:after="0" w:line="64" w:lineRule="exact"/>
        <w:rPr>
          <w:sz w:val="20"/>
          <w:szCs w:val="20"/>
          <w:color w:val="auto"/>
        </w:rPr>
      </w:pPr>
    </w:p>
    <w:p>
      <w:pPr>
        <w:jc w:val="both"/>
        <w:ind w:right="860"/>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that occurred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risk factors that affect our business and financial results are set forth under “Item 1A. Risk Factors” in our 2021 Annual Report on Form 10-K filed with the SEC on March 18, 2022. Except as set forth below, there have been no material changes to the risk factors from those described in the 2021 Annual Report on Form 10-K. We wish to caution the reader that the risk factors discussed in “Item 1A. Risk Factors” in our 2021 Annual Report on Form 10-K and those described in this report or other SEC filings could cause actual results to differ materially from those stated in any forward-looking statements.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pending acquisition of Adore Me remains subject to certain transaction-related and other risks, and we may not realize the potential benefits and synergies sought with the acquisition of Adore Me.</w:t>
      </w:r>
    </w:p>
    <w:p>
      <w:pPr>
        <w:spacing w:after="0" w:line="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completion of the acquisition of Adore Me is subject to the expiration or termination of the applicable waiting period under the Hart-Scott-Rodino Antitrust Improvements Act, as amended, and the satisfaction of other conditions specified in the definitive agreement, some of which are beyond our control. Although we anticipate closing the acquisition by the end of calendar January 2023, there is no assurance that regulatory clearance and the other conditions to the completion of the acquisition will be obtained or take place in a timely manner. A delay in completing the acquisition could cause us to realize some or all of the benefits later than we otherwise expected to realize them which, in turn, could result in additional transaction costs or cause other negative effects associated with uncertainty about the completion of the acquisition.</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Until the completion of the acquisition, Adore Me will continue to operate independently. The success of the acquisition, including anticipated benefits and synergies, will depend in part on our ability to successfully integrate Adore Me’s business following the completion of the acquisition. We believe that there are significant benefits and synergies that may be realized, including as a result of leveraging Adore Me’s expertise and technology to improve our customer shopping experience and accelerate the modernization of the Company’s digital platform. However, we may fail to realize these benefits and synergies for a variety of reasons, including:</w:t>
      </w:r>
    </w:p>
    <w:p>
      <w:pPr>
        <w:spacing w:after="0" w:line="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failure to successfully manage relationships with customers, distributors and suppliers;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failure of Adore Me’s customers to continue as customers of the combined company;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potential incompatibility or difficulties integrating and harmonizing technologies, including financial reporting systems;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costs of integrating exceeding original estimates;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loss of key employees;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failure to combine product offerings and purchase experiences efficiently and effectively.</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our integration efforts could disrupt both companies’ existing operations and also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repurchases of our common stock during the third quarter of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60" w:type="dxa"/>
            <w:vAlign w:val="bottom"/>
          </w:tcPr>
          <w:p>
            <w:pPr>
              <w:spacing w:after="0"/>
              <w:rPr>
                <w:sz w:val="14"/>
                <w:szCs w:val="14"/>
                <w:color w:val="auto"/>
              </w:rPr>
            </w:pPr>
          </w:p>
        </w:tc>
        <w:tc>
          <w:tcPr>
            <w:tcW w:w="24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Maximum Number of Shares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Paid per</w:t>
            </w:r>
          </w:p>
        </w:tc>
        <w:tc>
          <w:tcPr>
            <w:tcW w:w="2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as Part of Publicly</w:t>
            </w:r>
          </w:p>
        </w:tc>
        <w:tc>
          <w:tcPr>
            <w:tcW w:w="27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(a)</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Share (b)</w:t>
            </w: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Announced Programs</w:t>
            </w:r>
          </w:p>
        </w:tc>
        <w:tc>
          <w:tcPr>
            <w:tcW w:w="260" w:type="dxa"/>
            <w:vAlign w:val="bottom"/>
          </w:tcPr>
          <w:p>
            <w:pPr>
              <w:spacing w:after="0"/>
              <w:rPr>
                <w:sz w:val="13"/>
                <w:szCs w:val="13"/>
                <w:color w:val="auto"/>
              </w:rPr>
            </w:pPr>
          </w:p>
        </w:tc>
        <w:tc>
          <w:tcPr>
            <w:tcW w:w="2480" w:type="dxa"/>
            <w:vAlign w:val="bottom"/>
          </w:tcPr>
          <w:p>
            <w:pPr>
              <w:jc w:val="right"/>
              <w:ind w:right="97"/>
              <w:spacing w:after="0" w:line="158" w:lineRule="exact"/>
              <w:rPr>
                <w:sz w:val="20"/>
                <w:szCs w:val="20"/>
                <w:color w:val="auto"/>
              </w:rPr>
            </w:pPr>
            <w:r>
              <w:rPr>
                <w:rFonts w:ascii="Arial" w:cs="Arial" w:eastAsia="Arial" w:hAnsi="Arial"/>
                <w:sz w:val="14"/>
                <w:szCs w:val="14"/>
                <w:b w:val="1"/>
                <w:bCs w:val="1"/>
                <w:color w:val="auto"/>
                <w:w w:val="93"/>
              </w:rPr>
              <w:t>be Purchased Under the Program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3"/>
          </w:tcPr>
          <w:p>
            <w:pPr>
              <w:jc w:val="right"/>
              <w:ind w:right="193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September 2022</w:t>
            </w:r>
          </w:p>
        </w:tc>
        <w:tc>
          <w:tcPr>
            <w:tcW w:w="14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36,106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0" w:hanging="652"/>
        <w:spacing w:after="0" w:line="250"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price paid per share includes any broker commissions.</w:t>
      </w:r>
    </w:p>
    <w:p>
      <w:pPr>
        <w:spacing w:after="0" w:line="9" w:lineRule="exact"/>
        <w:rPr>
          <w:rFonts w:ascii="Arial" w:cs="Arial" w:eastAsia="Arial" w:hAnsi="Arial"/>
          <w:sz w:val="18"/>
          <w:szCs w:val="18"/>
          <w:color w:val="auto"/>
        </w:rPr>
      </w:pPr>
    </w:p>
    <w:p>
      <w:pPr>
        <w:ind w:left="660" w:hanging="652"/>
        <w:spacing w:after="0" w:line="255"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March 2022 Share Repurchase Program authorizes the purchase of up to $250 million of our common stock in open market transactions, subject to market conditions and other factors. The March 2022 Share Repurchase Program will continue until exhausted, but no later than January 28, 2023.</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shd w:val="clear" w:color="auto" w:fill="CCEEFF"/>
          </w:tcPr>
          <w:p>
            <w:pPr>
              <w:ind w:left="140"/>
              <w:spacing w:after="0"/>
              <w:rPr>
                <w:rFonts w:ascii="Arial" w:cs="Arial" w:eastAsia="Arial" w:hAnsi="Arial"/>
                <w:sz w:val="18"/>
                <w:szCs w:val="18"/>
                <w:color w:val="0000FF"/>
              </w:rPr>
            </w:pPr>
            <w:hyperlink r:id="rId50">
              <w:r>
                <w:rPr>
                  <w:rFonts w:ascii="Arial" w:cs="Arial" w:eastAsia="Arial" w:hAnsi="Arial"/>
                  <w:sz w:val="18"/>
                  <w:szCs w:val="18"/>
                  <w:color w:val="0000FF"/>
                </w:rPr>
                <w:t>2.</w:t>
              </w:r>
            </w:hyperlink>
            <w:r>
              <w:rPr>
                <w:rFonts w:ascii="Arial" w:cs="Arial" w:eastAsia="Arial" w:hAnsi="Arial"/>
                <w:sz w:val="18"/>
                <w:szCs w:val="18"/>
                <w:u w:val="single" w:color="auto"/>
                <w:color w:val="0000FF"/>
              </w:rPr>
              <w:t>1*</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Agreement and Plan of Merger, dated as of November 1, 2022, by and among Victoria’s Secret &amp; Co., Fashion Holding Group,</w:t>
            </w:r>
          </w:p>
        </w:tc>
      </w:tr>
      <w:tr>
        <w:trPr>
          <w:trHeight w:val="142"/>
        </w:trPr>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9500" w:type="dxa"/>
            <w:vAlign w:val="bottom"/>
            <w:tcBorders>
              <w:top w:val="single" w:sz="8" w:color="CCEEFF"/>
            </w:tcBorders>
            <w:shd w:val="clear" w:color="auto" w:fill="CCEEFF"/>
          </w:tcPr>
          <w:p>
            <w:pPr>
              <w:ind w:left="280"/>
              <w:spacing w:after="0" w:line="142" w:lineRule="exact"/>
              <w:rPr>
                <w:sz w:val="20"/>
                <w:szCs w:val="20"/>
                <w:color w:val="auto"/>
              </w:rPr>
            </w:pPr>
            <w:r>
              <w:rPr>
                <w:rFonts w:ascii="Arial" w:cs="Arial" w:eastAsia="Arial" w:hAnsi="Arial"/>
                <w:sz w:val="16"/>
                <w:szCs w:val="16"/>
                <w:color w:val="auto"/>
              </w:rPr>
              <w:t>Inc., AdoreMe, Inc. and Fortis Advisors LLC (incorporated by reference to Exhibit 2.1 to the Company’s Form 8-K filed on</w:t>
            </w:r>
          </w:p>
        </w:tc>
      </w:tr>
      <w:tr>
        <w:trPr>
          <w:trHeight w:val="243"/>
        </w:trPr>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November 1, 2022).**</w:t>
            </w:r>
          </w:p>
        </w:tc>
      </w:tr>
      <w:tr>
        <w:trPr>
          <w:trHeight w:val="243"/>
        </w:trPr>
        <w:tc>
          <w:tcPr>
            <w:tcW w:w="1700" w:type="dxa"/>
            <w:vAlign w:val="bottom"/>
            <w:gridSpan w:val="4"/>
          </w:tcPr>
          <w:p>
            <w:pPr>
              <w:ind w:left="140"/>
              <w:spacing w:after="0"/>
              <w:rPr>
                <w:rFonts w:ascii="Arial" w:cs="Arial" w:eastAsia="Arial" w:hAnsi="Arial"/>
                <w:sz w:val="18"/>
                <w:szCs w:val="18"/>
                <w:color w:val="0000FF"/>
              </w:rPr>
            </w:pPr>
            <w:hyperlink r:id="rId5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500" w:type="dxa"/>
            <w:vAlign w:val="bottom"/>
          </w:tcPr>
          <w:p>
            <w:pPr>
              <w:ind w:left="280"/>
              <w:spacing w:after="0"/>
              <w:rPr>
                <w:sz w:val="20"/>
                <w:szCs w:val="20"/>
                <w:color w:val="auto"/>
              </w:rPr>
            </w:pPr>
            <w:r>
              <w:rPr>
                <w:rFonts w:ascii="Arial" w:cs="Arial" w:eastAsia="Arial" w:hAnsi="Arial"/>
                <w:sz w:val="18"/>
                <w:szCs w:val="18"/>
                <w:color w:val="auto"/>
                <w:w w:val="93"/>
              </w:rPr>
              <w:t>Amended and Restated Certificate of Incorporation of Victoria’s Secret &amp; Co. (incorporated by reference to Exhibit 3.1 to the</w:t>
            </w: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40" w:type="dxa"/>
            <w:vAlign w:val="bottom"/>
          </w:tcPr>
          <w:p>
            <w:pPr>
              <w:spacing w:after="0"/>
              <w:rPr>
                <w:sz w:val="18"/>
                <w:szCs w:val="18"/>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auto"/>
              </w:rPr>
              <w:t>Company’s Form 8-K filed on August 3, 2021).</w:t>
            </w:r>
          </w:p>
        </w:tc>
      </w:tr>
      <w:tr>
        <w:trPr>
          <w:trHeight w:val="53"/>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189"/>
        </w:trPr>
        <w:tc>
          <w:tcPr>
            <w:tcW w:w="1700" w:type="dxa"/>
            <w:vAlign w:val="bottom"/>
            <w:gridSpan w:val="4"/>
            <w:shd w:val="clear" w:color="auto" w:fill="CCEEFF"/>
          </w:tcPr>
          <w:p>
            <w:pPr>
              <w:ind w:left="140"/>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2"/>
              </w:rPr>
              <w:t>Amended and Restated Bylaws of Victoria’s Secret &amp; Co. (incorporated by reference to Exhibit 3.2 to the Company’s Form 8-</w:t>
            </w: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95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 filed on August 3, 2021).</w:t>
            </w:r>
          </w:p>
        </w:tc>
      </w:tr>
      <w:tr>
        <w:trPr>
          <w:trHeight w:val="243"/>
        </w:trPr>
        <w:tc>
          <w:tcPr>
            <w:tcW w:w="1700" w:type="dxa"/>
            <w:vAlign w:val="bottom"/>
            <w:gridSpan w:val="4"/>
          </w:tcPr>
          <w:p>
            <w:pPr>
              <w:ind w:left="14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9500" w:type="dxa"/>
            <w:vAlign w:val="bottom"/>
          </w:tcPr>
          <w:p>
            <w:pPr>
              <w:ind w:left="280"/>
              <w:spacing w:after="0"/>
              <w:rPr>
                <w:sz w:val="20"/>
                <w:szCs w:val="20"/>
                <w:color w:val="auto"/>
              </w:rPr>
            </w:pPr>
            <w:r>
              <w:rPr>
                <w:rFonts w:ascii="Arial" w:cs="Arial" w:eastAsia="Arial" w:hAnsi="Arial"/>
                <w:sz w:val="18"/>
                <w:szCs w:val="18"/>
                <w:color w:val="auto"/>
              </w:rPr>
              <w:t>Section 302 Certification of CEO.</w:t>
            </w:r>
          </w:p>
        </w:tc>
      </w:tr>
      <w:tr>
        <w:trPr>
          <w:trHeight w:val="75"/>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240" w:type="dxa"/>
            <w:vAlign w:val="bottom"/>
          </w:tcPr>
          <w:p>
            <w:pPr>
              <w:spacing w:after="0"/>
              <w:rPr>
                <w:sz w:val="6"/>
                <w:szCs w:val="6"/>
                <w:color w:val="auto"/>
              </w:rPr>
            </w:pPr>
          </w:p>
        </w:tc>
        <w:tc>
          <w:tcPr>
            <w:tcW w:w="9500" w:type="dxa"/>
            <w:vAlign w:val="bottom"/>
          </w:tcPr>
          <w:p>
            <w:pPr>
              <w:spacing w:after="0"/>
              <w:rPr>
                <w:sz w:val="6"/>
                <w:szCs w:val="6"/>
                <w:color w:val="auto"/>
              </w:rPr>
            </w:pPr>
          </w:p>
        </w:tc>
      </w:tr>
      <w:tr>
        <w:trPr>
          <w:trHeight w:val="209"/>
        </w:trPr>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Section 302 Certification of CFO.</w:t>
            </w:r>
          </w:p>
        </w:tc>
      </w:tr>
      <w:tr>
        <w:trPr>
          <w:trHeight w:val="243"/>
        </w:trPr>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32</w:t>
            </w:r>
          </w:p>
        </w:tc>
        <w:tc>
          <w:tcPr>
            <w:tcW w:w="124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500" w:type="dxa"/>
            <w:vAlign w:val="bottom"/>
          </w:tcPr>
          <w:p>
            <w:pPr>
              <w:spacing w:after="0"/>
              <w:rPr>
                <w:sz w:val="6"/>
                <w:szCs w:val="6"/>
                <w:color w:val="auto"/>
              </w:rPr>
            </w:pPr>
          </w:p>
        </w:tc>
      </w:tr>
      <w:tr>
        <w:trPr>
          <w:trHeight w:val="175"/>
        </w:trPr>
        <w:tc>
          <w:tcPr>
            <w:tcW w:w="170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95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700" w:type="dxa"/>
            <w:vAlign w:val="bottom"/>
            <w:gridSpan w:val="4"/>
          </w:tcPr>
          <w:p>
            <w:pPr>
              <w:ind w:left="20"/>
              <w:spacing w:after="0"/>
              <w:rPr>
                <w:sz w:val="20"/>
                <w:szCs w:val="20"/>
                <w:color w:val="auto"/>
              </w:rPr>
            </w:pPr>
            <w:r>
              <w:rPr>
                <w:rFonts w:ascii="Arial" w:cs="Arial" w:eastAsia="Arial" w:hAnsi="Arial"/>
                <w:sz w:val="18"/>
                <w:szCs w:val="18"/>
                <w:color w:val="auto"/>
              </w:rPr>
              <w:t>101.SCH</w:t>
            </w:r>
          </w:p>
        </w:tc>
        <w:tc>
          <w:tcPr>
            <w:tcW w:w="9500" w:type="dxa"/>
            <w:vAlign w:val="bottom"/>
          </w:tcPr>
          <w:p>
            <w:pPr>
              <w:ind w:left="280"/>
              <w:spacing w:after="0"/>
              <w:rPr>
                <w:sz w:val="20"/>
                <w:szCs w:val="20"/>
                <w:color w:val="auto"/>
              </w:rPr>
            </w:pPr>
            <w:r>
              <w:rPr>
                <w:rFonts w:ascii="Arial" w:cs="Arial" w:eastAsia="Arial" w:hAnsi="Arial"/>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229"/>
        </w:trPr>
        <w:tc>
          <w:tcPr>
            <w:tcW w:w="1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1700" w:type="dxa"/>
            <w:vAlign w:val="bottom"/>
            <w:gridSpan w:val="4"/>
          </w:tcPr>
          <w:p>
            <w:pPr>
              <w:ind w:left="20"/>
              <w:spacing w:after="0"/>
              <w:rPr>
                <w:sz w:val="20"/>
                <w:szCs w:val="20"/>
                <w:color w:val="auto"/>
              </w:rPr>
            </w:pPr>
            <w:r>
              <w:rPr>
                <w:rFonts w:ascii="Arial" w:cs="Arial" w:eastAsia="Arial" w:hAnsi="Arial"/>
                <w:sz w:val="18"/>
                <w:szCs w:val="18"/>
                <w:color w:val="auto"/>
              </w:rPr>
              <w:t>101.DEF</w:t>
            </w:r>
          </w:p>
        </w:tc>
        <w:tc>
          <w:tcPr>
            <w:tcW w:w="9500" w:type="dxa"/>
            <w:vAlign w:val="bottom"/>
          </w:tcPr>
          <w:p>
            <w:pPr>
              <w:ind w:left="280"/>
              <w:spacing w:after="0"/>
              <w:rPr>
                <w:sz w:val="20"/>
                <w:szCs w:val="20"/>
                <w:color w:val="auto"/>
              </w:rPr>
            </w:pPr>
            <w:r>
              <w:rPr>
                <w:rFonts w:ascii="Arial" w:cs="Arial" w:eastAsia="Arial" w:hAnsi="Arial"/>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230"/>
        </w:trPr>
        <w:tc>
          <w:tcPr>
            <w:tcW w:w="1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700" w:type="dxa"/>
            <w:vAlign w:val="bottom"/>
            <w:gridSpan w:val="4"/>
          </w:tcPr>
          <w:p>
            <w:pPr>
              <w:ind w:left="20"/>
              <w:spacing w:after="0"/>
              <w:rPr>
                <w:sz w:val="20"/>
                <w:szCs w:val="20"/>
                <w:color w:val="auto"/>
              </w:rPr>
            </w:pPr>
            <w:r>
              <w:rPr>
                <w:rFonts w:ascii="Arial" w:cs="Arial" w:eastAsia="Arial" w:hAnsi="Arial"/>
                <w:sz w:val="18"/>
                <w:szCs w:val="18"/>
                <w:color w:val="auto"/>
              </w:rPr>
              <w:t>101.PRE</w:t>
            </w:r>
          </w:p>
        </w:tc>
        <w:tc>
          <w:tcPr>
            <w:tcW w:w="950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229"/>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69"/>
        </w:trPr>
        <w:tc>
          <w:tcPr>
            <w:tcW w:w="1700" w:type="dxa"/>
            <w:vAlign w:val="bottom"/>
            <w:gridSpan w:val="4"/>
          </w:tcPr>
          <w:p>
            <w:pPr>
              <w:spacing w:after="0"/>
              <w:rPr>
                <w:sz w:val="20"/>
                <w:szCs w:val="20"/>
                <w:color w:val="auto"/>
              </w:rPr>
            </w:pPr>
            <w:r>
              <w:rPr>
                <w:rFonts w:ascii="Arial" w:cs="Arial" w:eastAsia="Arial" w:hAnsi="Arial"/>
                <w:sz w:val="12"/>
                <w:szCs w:val="12"/>
                <w:color w:val="auto"/>
              </w:rPr>
              <w:t>________________________</w:t>
            </w:r>
          </w:p>
        </w:tc>
        <w:tc>
          <w:tcPr>
            <w:tcW w:w="9500" w:type="dxa"/>
            <w:vAlign w:val="bottom"/>
          </w:tcPr>
          <w:p>
            <w:pPr>
              <w:spacing w:after="0"/>
              <w:rPr>
                <w:sz w:val="14"/>
                <w:szCs w:val="14"/>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Previously filed.</w:t>
      </w:r>
    </w:p>
    <w:p>
      <w:pPr>
        <w:spacing w:after="0" w:line="27" w:lineRule="exact"/>
        <w:rPr>
          <w:sz w:val="20"/>
          <w:szCs w:val="20"/>
          <w:color w:val="auto"/>
        </w:rPr>
      </w:pPr>
    </w:p>
    <w:p>
      <w:pPr>
        <w:ind w:right="200" w:firstLine="8"/>
        <w:spacing w:after="0" w:line="290" w:lineRule="auto"/>
        <w:tabs>
          <w:tab w:leader="none" w:pos="22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Timothy Johnson</w:t>
      </w:r>
    </w:p>
    <w:p>
      <w:pPr>
        <w:ind w:left="6160"/>
        <w:spacing w:after="0"/>
        <w:rPr>
          <w:sz w:val="20"/>
          <w:szCs w:val="20"/>
          <w:color w:val="auto"/>
        </w:rPr>
      </w:pPr>
      <w:r>
        <w:rPr>
          <w:rFonts w:ascii="Arial" w:cs="Arial" w:eastAsia="Arial" w:hAnsi="Arial"/>
          <w:sz w:val="18"/>
          <w:szCs w:val="18"/>
          <w:color w:val="auto"/>
        </w:rPr>
        <w:t>Chief Financial and Administrative Officer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2022</w:t>
      </w:r>
    </w:p>
    <w:p>
      <w:pPr>
        <w:spacing w:after="0" w:line="90"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Johnson is the principal financial officer and the principal accounting officer and has been duly authorized to sign on behalf of the Registrant.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0760"/>
          </w:cols>
          <w:pgMar w:left="320" w:top="121" w:right="8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Martin Waters, certify that:</w:t>
      </w:r>
    </w:p>
    <w:p>
      <w:pPr>
        <w:spacing w:after="0" w:line="2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Martin Waters</w:t>
      </w:r>
    </w:p>
    <w:p>
      <w:pPr>
        <w:spacing w:after="0" w:line="50"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2022</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Timothy Johnson, certify that:</w:t>
      </w:r>
    </w:p>
    <w:p>
      <w:pPr>
        <w:spacing w:after="0" w:line="23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Timothy Johnson</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2022</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Martin Waters, the Chief Executive Officer, and Timothy Johnson, the Chief Financial and Administrative Officer, of Victoria’s Secret &amp; Co. (the “Company”), each certifies that, to the best of his knowledge:</w:t>
      </w:r>
    </w:p>
    <w:p>
      <w:pPr>
        <w:spacing w:after="0" w:line="62" w:lineRule="exact"/>
        <w:rPr>
          <w:sz w:val="20"/>
          <w:szCs w:val="20"/>
          <w:color w:val="auto"/>
        </w:rPr>
      </w:pPr>
    </w:p>
    <w:p>
      <w:pPr>
        <w:ind w:left="660" w:right="340" w:hanging="328"/>
        <w:spacing w:after="0" w:line="277"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of the Company on Form 10-Q dated December 2, 2022 for the period ending October 29, 2022 (the “Form 10-Q”),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Waters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0" Type="http://schemas.openxmlformats.org/officeDocument/2006/relationships/hyperlink" Target="http://www.sec.gov/Archives/edgar/data/1856437/000119312522274458/d415494dex21.htm" TargetMode="External"/><Relationship Id="rId51" Type="http://schemas.openxmlformats.org/officeDocument/2006/relationships/hyperlink" Target="http://www.sec.gov/Archives/edgar/data/0001856437/000114036121026649/nt10026698x8_ex3-1.htm" TargetMode="External"/><Relationship Id="rId52" Type="http://schemas.openxmlformats.org/officeDocument/2006/relationships/hyperlink" Target="http://www.sec.gov/Archives/edgar/data/0001856437/000114036121026649/nt10026698x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2022-12-02T15:45:24Z</dcterms:created>
  <dcterms:modified xsi:type="dcterms:W3CDTF">2022-12-02T15:45:24Z</dcterms:modified>
</cp:coreProperties>
</file>