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11, 2026, Victoria’s Secret &amp; Co. (the “Company”) issued the following press release and letter to stockholders of the Company, the latter of which was mailed to stockholders in the format attached hereto as a courtesy PDF.</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Victoria’s Secret &amp; Co. Files Supplement to Definitive Proxy Statement and Sends Letter to Shareholders Highlighting Outperformance</w:t>
      </w:r>
    </w:p>
    <w:p>
      <w:pPr>
        <w:spacing w:after="0" w:line="229"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May 11, 2026 — Victoria’s Secret &amp; Co. (“VS&amp;Co” or the “Company”) (NYSE: VSCO) today filed a supplement to its definitive proxy statement and issued a public letter to shareholders.</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filing of the proxy supplement follows the decision by BBRC International Pte Limited (“BBRC”) and its Chairman Brett Blundy to launch a distracting and self-interested proxy contest seeking to oppose the re-election of two members of the Company’s Board of Directors (the “Board”) at the Company’s upcoming 2026 Annual Meeting of Shareholders.</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Company’s filing details four years of extensive engagement with BBRC, including the Board’s thoughtful consideration of Mr. Blundy’s candidacy as a director following his pursuit of Board representation for himself. The filing includes copies of the letters the Board wrote to Mr. Blundy outlining its rationale for rejecting his candidacy as a director, including concerns regarding serious reputational, legal, conflict of interest and governance risks that the Board believes his appointment would pose.</w:t>
      </w:r>
    </w:p>
    <w:p>
      <w:pPr>
        <w:spacing w:after="0" w:line="180"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The Board’s letter to shareholders highlights the Company’s progress toward its Path to Potential strategy and its strong outperformance, which is a direct result of decisive actions taken by the Board and management to position the Company for long-term success. It also notes that BBRC’s proxy contest risks disruption to the Company’s momentum and interferes with its continued strategic and financial progress. As outlined in the letter, the Board remains focused on creating value for shareholders, and its number one priority is continuing this momentum.</w:t>
      </w:r>
    </w:p>
    <w:p>
      <w:pPr>
        <w:spacing w:after="0" w:line="180"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The letter also reports that, in response to BBRC’s campaign, director Mariam Naficy has informed the Board that she will not stand for re-election at the 2026 Annual Meeting of Shareholders in light of her near-term professional commitments and the time and attention required to engage with BBRC’s proxy contest, which BBRC launched after the Company filed its definitive proxy statement. The Board is conducting a search for a new director with relevant capabilities to advance the Company’s strategic priorities and opportunities, particularly with respect to technology and artificial intelligence, and welcomes input on the search from shareholders, including BBRC.</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Dear Fellow Shareholder,</w:t>
      </w:r>
    </w:p>
    <w:p>
      <w:pPr>
        <w:spacing w:after="0" w:line="121" w:lineRule="exact"/>
        <w:rPr>
          <w:sz w:val="20"/>
          <w:szCs w:val="20"/>
          <w:color w:val="auto"/>
        </w:rPr>
      </w:pPr>
    </w:p>
    <w:p>
      <w:pPr>
        <w:ind w:left="4" w:right="120"/>
        <w:spacing w:after="0" w:line="296" w:lineRule="auto"/>
        <w:rPr>
          <w:sz w:val="20"/>
          <w:szCs w:val="20"/>
          <w:color w:val="auto"/>
        </w:rPr>
      </w:pPr>
      <w:r>
        <w:rPr>
          <w:rFonts w:ascii="Times New Roman" w:cs="Times New Roman" w:eastAsia="Times New Roman" w:hAnsi="Times New Roman"/>
          <w:sz w:val="18"/>
          <w:szCs w:val="18"/>
          <w:color w:val="auto"/>
        </w:rPr>
        <w:t>The Victoria’s Secret &amp; Co. (“VS&amp;Co” or the “Company”) 2026 Annual Meeting of Shareholders (“Annual Meeting”) is scheduled for Thursday, June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Board of Directors needs your support to continue driving the Company’s outperformance.</w:t>
      </w:r>
    </w:p>
    <w:p>
      <w:pPr>
        <w:spacing w:after="0" w:line="24"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Board, working closely with VS&amp;Co’s management team, has acted decisively to put the Company on a new trajectory for accelerated growth and has the skills necessary to oversee the continued execution of its Path to Potential strategy.</w:t>
      </w:r>
    </w:p>
    <w:p>
      <w:pPr>
        <w:spacing w:after="0" w:line="162"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8"/>
          <w:szCs w:val="18"/>
          <w:color w:val="auto"/>
        </w:rPr>
        <w:t>The Board’s decisive actions are repositioning the business for long-term success and creating sustained value for shareholders. Since the Board announced the appointment of CEO Hillary Super, VS&amp;Co has delivered best-in-class operational and financial performance and 152% total shareholder return (“TSR”), significantly outperforming the peer group used by research analysts, the S&amp;P Consumer Discretionary Distribution Retail index and the S&amp;P 600.</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 w:lineRule="exact"/>
        <w:rPr>
          <w:sz w:val="20"/>
          <w:szCs w:val="20"/>
          <w:color w:val="auto"/>
        </w:rPr>
      </w:pPr>
    </w:p>
    <w:p>
      <w:pPr>
        <w:ind w:left="424" w:hanging="424"/>
        <w:spacing w:after="0" w:line="242" w:lineRule="auto"/>
        <w:tabs>
          <w:tab w:leader="none" w:pos="424"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Source: FactSet as of May 8, 2026, measured against price at close on unaffected date of August 13, 2024, the date before the public announcement of Ms. Super’s appointment. Analyst peer group includes peers that at least one analyst references in research reports (from June, 2025) and is comprised of Abercrombie &amp; Fitch, American Eagle, Gap, Urban Outfitters, Levi, Buckle, Carter’s, Torrid, Lululemon, Aritzia, Bath &amp; Body Works, Capri, Dillard’s, Genesco, J.Jill, Kohl’s, Macy’s, The Children’s Place, Tilly’s, Tapestry, Zumiez, H&amp;M, Industria de Diseno Textil and Vera Bradley. The S&amp;P 500 Consumer Discretionary Distribution &amp; Retail Index is a point of comparison referenced by BBRC in its public letter dated May 4, 2026.</w:t>
      </w:r>
    </w:p>
    <w:p>
      <w:pPr>
        <w:sectPr>
          <w:pgSz w:w="11900" w:h="16838" w:orient="portrait"/>
          <w:cols w:equalWidth="0" w:num="1">
            <w:col w:w="11004"/>
          </w:cols>
          <w:pgMar w:left="436" w:top="270" w:right="4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108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Unfortunately, BBRC International Pte Limited (“BBRC”) and its Chairman Brett Blundy have launched a proxy contest that risks disrupting the Company’s momentum at a critical stage in its transformation.</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Over the last four years, the Board has engaged extensively with BBRC and Mr. Blundy, who has been focused primarily on obtaining a seat on the VS&amp;Co Board for himself. On two occasions, the Board carefully evaluated Mr. Blundy as a potential Board member through a robust process led by its Nominating and Governance Committee. After these reviews and repeated opportunities to alleviate the Board’s stated concerns, the Board determined that Mr. Blundy’s appointment would result in serious reputational, legal, conflict of interest and governance risks to the Company.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BBRC then launched a distracting and self-interested proxy contest seeking to oppose the reelection of two members of the Board at the Company’s upcoming Annual Meeting.</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filed a supplement to its definitive proxy statement in light of BBRC’s proxy contest that outlines the Board’s extensive, multi-year engagement with BBRC, as well as other relevant details, including copies of the letters the Board wrote to Mr. Blundy outlining its rationale for rejecting his candidacy.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300990</wp:posOffset>
            </wp:positionV>
            <wp:extent cx="6998970" cy="35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needs your vote “FOR” all of our highly-qualified nominees to ensure the Company can continue the successful execution of its strategy and deliver value for you.</w:t>
      </w:r>
    </w:p>
    <w:p>
      <w:pPr>
        <w:spacing w:after="0" w:line="222"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The Board has repositioned the Company for long-term success and has the right strategy to deliver sustainable value creation for shareholders.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announced the appointment of Hillary Super as Chief Executive Officer on August 14, 2024, and has collaborated with Ms. Super to architect the Path to Potential strategy that is now driving significant momentum and creating shareholder value.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 Pillars of the Path to Potential Strategy: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Supercharging our Bra Authority</w:t>
            </w:r>
          </w:p>
        </w:tc>
        <w:tc>
          <w:tcPr>
            <w:tcW w:w="28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Recommitting to PINK</w:t>
            </w:r>
          </w:p>
        </w:tc>
        <w:tc>
          <w:tcPr>
            <w:tcW w:w="286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Fueling Growth in Beauty</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Evolving our Brand Projection</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Go-To-Market Strategy</w:t>
            </w:r>
          </w:p>
        </w:tc>
      </w:tr>
    </w:tbl>
    <w:p>
      <w:pPr>
        <w:sectPr>
          <w:pgSz w:w="11900" w:h="16838" w:orient="portrait"/>
          <w:cols w:equalWidth="0" w:num="1">
            <w:col w:w="11020"/>
          </w:cols>
          <w:pgMar w:left="440" w:top="1440" w:right="439" w:bottom="1440" w:gutter="0" w:footer="0" w:header="0"/>
        </w:sectPr>
      </w:pPr>
    </w:p>
    <w:bookmarkStart w:id="3" w:name="page4"/>
    <w:bookmarkEnd w:id="3"/>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 Board’s support, Ms. Super replaced more than half of the senior leadership team with visionary, creative leaders to execute the Company’s transformation. The Board and management’s deliberate decisions are driving improved performance across the organization. </w:t>
      </w:r>
      <w:r>
        <w:rPr>
          <w:rFonts w:ascii="Times New Roman" w:cs="Times New Roman" w:eastAsia="Times New Roman" w:hAnsi="Times New Roman"/>
          <w:sz w:val="18"/>
          <w:szCs w:val="18"/>
          <w:b w:val="1"/>
          <w:bCs w:val="1"/>
          <w:i w:val="1"/>
          <w:iCs w:val="1"/>
          <w:color w:val="auto"/>
        </w:rPr>
        <w:t>As a result, brand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momentum is building, our customer file is growing and we are gaining market share.</w:t>
      </w:r>
    </w:p>
    <w:p>
      <w:pPr>
        <w:spacing w:after="0" w:line="17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VS&amp;Co’s Strategy is Creating Outsized Value</w:t>
      </w:r>
    </w:p>
    <w:p>
      <w:pPr>
        <w:spacing w:after="0" w:line="254" w:lineRule="exact"/>
        <w:rPr>
          <w:sz w:val="20"/>
          <w:szCs w:val="20"/>
          <w:color w:val="auto"/>
        </w:rPr>
      </w:pPr>
    </w:p>
    <w:tbl>
      <w:tblPr>
        <w:tblLayout w:type="fixed"/>
        <w:tblInd w:w="1014" w:type="dxa"/>
        <w:tblCellMar>
          <w:top w:w="0" w:type="dxa"/>
          <w:left w:w="0" w:type="dxa"/>
          <w:bottom w:w="0" w:type="dxa"/>
          <w:right w:w="0" w:type="dxa"/>
        </w:tblCellMar>
      </w:tblPr>
      <w:tr>
        <w:trPr>
          <w:trHeight w:val="283"/>
        </w:trPr>
        <w:tc>
          <w:tcPr>
            <w:tcW w:w="46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FY2025 comparable sales growth </w:t>
            </w:r>
            <w:r>
              <w:rPr>
                <w:rFonts w:ascii="Times New Roman" w:cs="Times New Roman" w:eastAsia="Times New Roman" w:hAnsi="Times New Roman"/>
                <w:sz w:val="18"/>
                <w:szCs w:val="18"/>
                <w:b w:val="1"/>
                <w:bCs w:val="1"/>
                <w:color w:val="auto"/>
              </w:rPr>
              <w:t>accelerated to 5%</w:t>
            </w:r>
          </w:p>
        </w:tc>
        <w:tc>
          <w:tcPr>
            <w:tcW w:w="44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FY2025 results </w:t>
            </w:r>
            <w:r>
              <w:rPr>
                <w:rFonts w:ascii="Times New Roman" w:cs="Times New Roman" w:eastAsia="Times New Roman" w:hAnsi="Times New Roman"/>
                <w:sz w:val="18"/>
                <w:szCs w:val="18"/>
                <w:b w:val="1"/>
                <w:bCs w:val="1"/>
                <w:color w:val="auto"/>
              </w:rPr>
              <w:t>exceeded top- and bottom-line guidance</w:t>
            </w:r>
          </w:p>
        </w:tc>
      </w:tr>
      <w:tr>
        <w:trPr>
          <w:trHeight w:val="241"/>
        </w:trPr>
        <w:tc>
          <w:tcPr>
            <w:tcW w:w="46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FY2025 results demonstrated </w:t>
            </w:r>
            <w:r>
              <w:rPr>
                <w:rFonts w:ascii="Times New Roman" w:cs="Times New Roman" w:eastAsia="Times New Roman" w:hAnsi="Times New Roman"/>
                <w:sz w:val="18"/>
                <w:szCs w:val="18"/>
                <w:b w:val="1"/>
                <w:bCs w:val="1"/>
                <w:color w:val="auto"/>
              </w:rPr>
              <w:t>strength across brands,</w:t>
            </w:r>
          </w:p>
        </w:tc>
        <w:tc>
          <w:tcPr>
            <w:tcW w:w="4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Q4 2025 was our </w:t>
            </w:r>
            <w:r>
              <w:rPr>
                <w:rFonts w:ascii="Times New Roman" w:cs="Times New Roman" w:eastAsia="Times New Roman" w:hAnsi="Times New Roman"/>
                <w:sz w:val="18"/>
                <w:szCs w:val="18"/>
                <w:b w:val="1"/>
                <w:bCs w:val="1"/>
                <w:color w:val="auto"/>
              </w:rPr>
              <w:t>highest fourth-quarter revenue</w:t>
            </w:r>
            <w:r>
              <w:rPr>
                <w:rFonts w:ascii="Times New Roman" w:cs="Times New Roman" w:eastAsia="Times New Roman" w:hAnsi="Times New Roman"/>
                <w:sz w:val="18"/>
                <w:szCs w:val="18"/>
                <w:color w:val="auto"/>
              </w:rPr>
              <w:t xml:space="preserve"> since</w:t>
            </w:r>
          </w:p>
        </w:tc>
      </w:tr>
      <w:tr>
        <w:trPr>
          <w:trHeight w:val="238"/>
        </w:trPr>
        <w:tc>
          <w:tcPr>
            <w:tcW w:w="46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channels and geographies</w:t>
            </w:r>
          </w:p>
        </w:tc>
        <w:tc>
          <w:tcPr>
            <w:tcW w:w="44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becoming an independent public company</w:t>
            </w:r>
          </w:p>
        </w:tc>
      </w:tr>
      <w:tr>
        <w:trPr>
          <w:trHeight w:val="245"/>
        </w:trPr>
        <w:tc>
          <w:tcPr>
            <w:tcW w:w="4640" w:type="dxa"/>
            <w:vAlign w:val="bottom"/>
            <w:tcBorders>
              <w:left w:val="single" w:sz="8" w:color="auto"/>
              <w:right w:val="single" w:sz="8" w:color="auto"/>
            </w:tcBorders>
          </w:tcPr>
          <w:p>
            <w:pPr>
              <w:ind w:left="140"/>
              <w:spacing w:after="0" w:line="245" w:lineRule="exact"/>
              <w:rPr>
                <w:sz w:val="20"/>
                <w:szCs w:val="20"/>
                <w:color w:val="auto"/>
              </w:rPr>
            </w:pPr>
            <w:r>
              <w:rPr>
                <w:rFonts w:ascii="Times New Roman" w:cs="Times New Roman" w:eastAsia="Times New Roman" w:hAnsi="Times New Roman"/>
                <w:sz w:val="18"/>
                <w:szCs w:val="18"/>
                <w:color w:val="auto"/>
              </w:rPr>
              <w:t xml:space="preserve">FY2025 adjusted net income </w:t>
            </w:r>
            <w:r>
              <w:rPr>
                <w:rFonts w:ascii="Times New Roman" w:cs="Times New Roman" w:eastAsia="Times New Roman" w:hAnsi="Times New Roman"/>
                <w:sz w:val="18"/>
                <w:szCs w:val="18"/>
                <w:b w:val="1"/>
                <w:bCs w:val="1"/>
                <w:color w:val="auto"/>
              </w:rPr>
              <w:t>grew 15%</w:t>
            </w:r>
            <w:r>
              <w:rPr>
                <w:rFonts w:ascii="Times New Roman" w:cs="Times New Roman" w:eastAsia="Times New Roman" w:hAnsi="Times New Roman"/>
                <w:sz w:val="26"/>
                <w:szCs w:val="26"/>
                <w:color w:val="auto"/>
                <w:vertAlign w:val="superscript"/>
              </w:rPr>
              <w:t>2</w:t>
            </w:r>
          </w:p>
        </w:tc>
        <w:tc>
          <w:tcPr>
            <w:tcW w:w="4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283% increase </w:t>
            </w:r>
            <w:r>
              <w:rPr>
                <w:rFonts w:ascii="Times New Roman" w:cs="Times New Roman" w:eastAsia="Times New Roman" w:hAnsi="Times New Roman"/>
                <w:sz w:val="18"/>
                <w:szCs w:val="18"/>
                <w:color w:val="auto"/>
              </w:rPr>
              <w:t>in median analyst price target since the</w:t>
            </w:r>
          </w:p>
        </w:tc>
      </w:tr>
      <w:tr>
        <w:trPr>
          <w:trHeight w:val="234"/>
        </w:trPr>
        <w:tc>
          <w:tcPr>
            <w:tcW w:w="4640" w:type="dxa"/>
            <w:vAlign w:val="bottom"/>
            <w:tcBorders>
              <w:left w:val="single" w:sz="8" w:color="auto"/>
              <w:bottom w:val="single" w:sz="8" w:color="auto"/>
              <w:right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140"/>
              <w:spacing w:after="0" w:line="235" w:lineRule="exact"/>
              <w:rPr>
                <w:sz w:val="20"/>
                <w:szCs w:val="20"/>
                <w:color w:val="auto"/>
              </w:rPr>
            </w:pPr>
            <w:r>
              <w:rPr>
                <w:rFonts w:ascii="Times New Roman" w:cs="Times New Roman" w:eastAsia="Times New Roman" w:hAnsi="Times New Roman"/>
                <w:sz w:val="18"/>
                <w:szCs w:val="18"/>
                <w:color w:val="auto"/>
              </w:rPr>
              <w:t>announcement of CEO appointment</w:t>
            </w:r>
            <w:r>
              <w:rPr>
                <w:rFonts w:ascii="Times New Roman" w:cs="Times New Roman" w:eastAsia="Times New Roman" w:hAnsi="Times New Roman"/>
                <w:sz w:val="26"/>
                <w:szCs w:val="26"/>
                <w:color w:val="auto"/>
                <w:vertAlign w:val="superscript"/>
              </w:rPr>
              <w:t>3</w:t>
            </w: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VS&amp;Co’s independent and refreshed Board has the right skills and experience to oversee this transformation.</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Board collectively brings best-in-class capabilities across key skillsets for modern retail companies, including women’s intimates, apparel and beauty, strategic planning, brand transformation, marketing, technology and financial experience. The Board consistently evaluates its composition and is committed to ongoing refreshment to ensure it has the correct mix of skills and perspectives to effectively oversee the Company’s growth and profitability.</w:t>
      </w:r>
    </w:p>
    <w:p>
      <w:pPr>
        <w:spacing w:after="0" w:line="81" w:lineRule="exact"/>
        <w:rPr>
          <w:sz w:val="20"/>
          <w:szCs w:val="20"/>
          <w:color w:val="auto"/>
        </w:rPr>
      </w:pPr>
    </w:p>
    <w:p>
      <w:pPr>
        <w:ind w:left="964" w:hanging="532"/>
        <w:spacing w:after="0"/>
        <w:tabs>
          <w:tab w:leader="none" w:pos="964"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Company has added </w:t>
      </w:r>
      <w:r>
        <w:rPr>
          <w:rFonts w:ascii="Times New Roman" w:cs="Times New Roman" w:eastAsia="Times New Roman" w:hAnsi="Times New Roman"/>
          <w:sz w:val="18"/>
          <w:szCs w:val="18"/>
          <w:b w:val="1"/>
          <w:bCs w:val="1"/>
          <w:color w:val="auto"/>
        </w:rPr>
        <w:t>three new independent directors since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appointed CEO Hillary Super to the Board in 2024</w:t>
      </w:r>
      <w:r>
        <w:rPr>
          <w:rFonts w:ascii="Times New Roman" w:cs="Times New Roman" w:eastAsia="Times New Roman" w:hAnsi="Times New Roman"/>
          <w:sz w:val="18"/>
          <w:szCs w:val="18"/>
          <w:color w:val="auto"/>
        </w:rPr>
        <w:t>.</w:t>
      </w:r>
    </w:p>
    <w:p>
      <w:pPr>
        <w:spacing w:after="0" w:line="130" w:lineRule="exact"/>
        <w:rPr>
          <w:rFonts w:ascii="MS PGothic" w:cs="MS PGothic" w:eastAsia="MS PGothic" w:hAnsi="MS PGothic"/>
          <w:sz w:val="18"/>
          <w:szCs w:val="18"/>
          <w:color w:val="auto"/>
        </w:rPr>
      </w:pPr>
    </w:p>
    <w:p>
      <w:pPr>
        <w:ind w:left="964" w:right="180" w:hanging="532"/>
        <w:spacing w:after="0" w:line="286" w:lineRule="auto"/>
        <w:tabs>
          <w:tab w:leader="none" w:pos="964"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80% of the current directors and all of our Committee Chairs are women </w:t>
      </w:r>
      <w:r>
        <w:rPr>
          <w:rFonts w:ascii="Times New Roman" w:cs="Times New Roman" w:eastAsia="Times New Roman" w:hAnsi="Times New Roman"/>
          <w:sz w:val="18"/>
          <w:szCs w:val="18"/>
          <w:color w:val="auto"/>
        </w:rPr>
        <w:t>who bring deep familiarity with VS&amp;Co’s predominantly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female customer base, contributing to their oversight of the Company’s strategic direction.</w:t>
      </w:r>
    </w:p>
    <w:p>
      <w:pPr>
        <w:spacing w:after="0" w:line="159"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The Board’s in-depth understanding of the business and its opportunity ahead have enabled it to support CEO Hillary Super in leading VS&amp;Co’s significant turnaround.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One of our targeted directors has decided not to stand for re-election due to BBRC’s distracting campaign.</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response to BBRC’s campaign, director Mariam Naficy has advised the Board that she will not stand for re-election in light of her near-term professional commitments and the time and attention required to engage with BBRC’s proxy contest, which BBRC launched after the Company filed its definitive proxy statement. The Board appreciates her service and valuable contributions over the past four years.</w:t>
      </w:r>
    </w:p>
    <w:p>
      <w:pPr>
        <w:spacing w:after="0" w:line="176" w:lineRule="exact"/>
        <w:rPr>
          <w:sz w:val="20"/>
          <w:szCs w:val="20"/>
          <w:color w:val="auto"/>
        </w:rPr>
      </w:pPr>
    </w:p>
    <w:p>
      <w:pPr>
        <w:jc w:val="both"/>
        <w:ind w:left="4" w:right="680"/>
        <w:spacing w:after="0" w:line="312" w:lineRule="auto"/>
        <w:rPr>
          <w:sz w:val="20"/>
          <w:szCs w:val="20"/>
          <w:color w:val="auto"/>
        </w:rPr>
      </w:pPr>
      <w:r>
        <w:rPr>
          <w:rFonts w:ascii="Times New Roman" w:cs="Times New Roman" w:eastAsia="Times New Roman" w:hAnsi="Times New Roman"/>
          <w:sz w:val="17"/>
          <w:szCs w:val="17"/>
          <w:color w:val="auto"/>
        </w:rPr>
        <w:t>The Board is conducting a search for a new director with relevant capabilities to advance the Company’s strategic priorities and opportunities, particularly in technology and artificial intelligence. The Company welcomes input from shareholders, including BBRC, related to this search.</w:t>
      </w:r>
    </w:p>
    <w:p>
      <w:pPr>
        <w:spacing w:after="0" w:line="140"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Board and management team remain focused on protecting shareholder interests, driving the momentum of the Path to Potential strategy, and maximizing long-term shareholder value.</w:t>
      </w:r>
    </w:p>
    <w:p>
      <w:pPr>
        <w:spacing w:after="0" w:line="158"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strategy is working, and the Company is well positioned to continue delivering significant shareholder value. Do not let BBRC’s self-interested campaign disrupt the Company’s momentum.</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needs your support to ensure the continued success of the Path to Potential strategy.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Victoria’s Secret &amp; Co.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424" w:right="160" w:hanging="424"/>
        <w:spacing w:after="0" w:line="229" w:lineRule="auto"/>
        <w:tabs>
          <w:tab w:leader="none" w:pos="424"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a non-GAAP financial measure. A definition and reconciliation of Adjusted Net Income Attributable to VS&amp;Co (referred to herein as “Adjusted net income”) to the most directly comparable GAAP financial measure may be found in our historical earnings releases, copies which are available on our investor relations website at victoriassecretandco.com/investors.</w:t>
      </w:r>
    </w:p>
    <w:p>
      <w:pPr>
        <w:spacing w:after="0" w:line="1" w:lineRule="exact"/>
        <w:rPr>
          <w:sz w:val="20"/>
          <w:szCs w:val="20"/>
          <w:color w:val="auto"/>
        </w:rPr>
      </w:pPr>
    </w:p>
    <w:p>
      <w:pPr>
        <w:ind w:left="424" w:right="120" w:hanging="424"/>
        <w:spacing w:after="0" w:line="211" w:lineRule="auto"/>
        <w:tabs>
          <w:tab w:leader="none" w:pos="424"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Median of latest analyst research target prices as of May 8, 2026 measured against median of latest analyst research target prices as of August 13, 2024, the date before the public announcement of Ms. Super’s appointment.</w:t>
      </w:r>
    </w:p>
    <w:p>
      <w:pPr>
        <w:sectPr>
          <w:pgSz w:w="11900" w:h="16838" w:orient="portrait"/>
          <w:cols w:equalWidth="0" w:num="1">
            <w:col w:w="10944"/>
          </w:cols>
          <w:pgMar w:left="436" w:top="270" w:right="5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VOTE IS IMPORTANT.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color w:val="auto"/>
        </w:rPr>
        <w:t xml:space="preserve">To ensure your shares are represented at the Annual Meeting, please submit your vote TODAY: </w:t>
      </w:r>
      <w:r>
        <w:rPr>
          <w:rFonts w:ascii="Times New Roman" w:cs="Times New Roman" w:eastAsia="Times New Roman" w:hAnsi="Times New Roman"/>
          <w:sz w:val="18"/>
          <w:szCs w:val="18"/>
          <w:b w:val="1"/>
          <w:bCs w:val="1"/>
          <w:color w:val="auto"/>
        </w:rPr>
        <w:t>Use the WHITE Proxy Card to Vote “FOR”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VS&amp;Co’s Highly Qualified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call the Company’s proxy solicitor:</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-125095</wp:posOffset>
            </wp:positionV>
            <wp:extent cx="350583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05835" cy="57467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please call: (877) 750-0831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(toll free from the U.S. and Canada) 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(412) 232-3651 (from all other countries)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Victoria’s Secret &amp; Co</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document. Except as may be required by law, we assume no obligation to make publicly available any update or other revisions to any of the forward-looking statements contained in this document.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2026-05-11T16:19:31Z</dcterms:created>
  <dcterms:modified xsi:type="dcterms:W3CDTF">2026-05-11T16:19:31Z</dcterms:modified>
</cp:coreProperties>
</file>