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2, 2026</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680" w:right="6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VICTORIA'S SECRET &amp; CO.</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722"/>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8"/>
        </w:trPr>
        <w:tc>
          <w:tcPr>
            <w:tcW w:w="4980" w:type="dxa"/>
            <w:vAlign w:val="bottom"/>
            <w:gridSpan w:val="3"/>
          </w:tcPr>
          <w:p>
            <w:pPr>
              <w:jc w:val="center"/>
              <w:ind w:right="25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vMerge w:val="restart"/>
          </w:tcPr>
          <w:p>
            <w:pPr>
              <w:jc w:val="center"/>
              <w:ind w:right="682"/>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80" w:type="dxa"/>
            <w:vAlign w:val="bottom"/>
            <w:gridSpan w:val="3"/>
          </w:tcPr>
          <w:p>
            <w:pPr>
              <w:jc w:val="center"/>
              <w:ind w:left="2581"/>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922"/>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left="2581"/>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jc w:val="center"/>
              <w:ind w:right="662"/>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60" w:type="dxa"/>
            <w:vAlign w:val="bottom"/>
          </w:tcPr>
          <w:p>
            <w:pPr>
              <w:jc w:val="right"/>
              <w:ind w:right="1262"/>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6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60" w:type="dxa"/>
            <w:vAlign w:val="bottom"/>
          </w:tcPr>
          <w:p>
            <w:pPr>
              <w:jc w:val="center"/>
              <w:ind w:right="1102"/>
              <w:spacing w:after="0"/>
              <w:rPr>
                <w:sz w:val="20"/>
                <w:szCs w:val="20"/>
                <w:color w:val="auto"/>
              </w:rPr>
            </w:pPr>
            <w:r>
              <w:rPr>
                <w:rFonts w:ascii="Times New Roman" w:cs="Times New Roman" w:eastAsia="Times New Roman" w:hAnsi="Times New Roman"/>
                <w:sz w:val="14"/>
                <w:szCs w:val="14"/>
                <w:color w:val="auto"/>
              </w:rPr>
              <w:t>VSXY</w:t>
            </w:r>
          </w:p>
        </w:tc>
        <w:tc>
          <w:tcPr>
            <w:tcW w:w="1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72" w:lineRule="exact"/>
        <w:rPr>
          <w:sz w:val="24"/>
          <w:szCs w:val="24"/>
          <w:color w:val="auto"/>
        </w:rPr>
      </w:pPr>
    </w:p>
    <w:p>
      <w:pPr>
        <w:ind w:right="8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right="1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30" w:lineRule="exact"/>
        <w:rPr>
          <w:sz w:val="24"/>
          <w:szCs w:val="24"/>
          <w:color w:val="auto"/>
        </w:rPr>
      </w:pPr>
    </w:p>
    <w:p>
      <w:pPr>
        <w:ind w:right="30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44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May 29, 2026, the number of outstanding shares of the Registrant’s common stock was 79,491,720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1"/>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Income (Loss) for the Thirteen-Weeks Ended May 2, 2026 and May 3, 2025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Thirteen-Weeks Ended May 2, 2026 and May 3, 2025 (Unaudited)</w:t>
            </w:r>
          </w:p>
        </w:tc>
        <w:tc>
          <w:tcPr>
            <w:tcW w:w="400" w:type="dxa"/>
            <w:vAlign w:val="bottom"/>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1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May 2, 2026 (Unaudited), January 31, 2026 and May 3, 2025 (Unaudited)</w:t>
            </w:r>
          </w:p>
        </w:tc>
        <w:tc>
          <w:tcPr>
            <w:tcW w:w="400" w:type="dxa"/>
            <w:vAlign w:val="bottom"/>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for the Thirteen-Weeks Ended May 2, 2026 and May 3, 2025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Thirteen-Weeks Ended May 2, 2026 and May 3, 2025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4140" w:type="dxa"/>
            <w:vAlign w:val="bottom"/>
            <w:gridSpan w:val="5"/>
          </w:tcPr>
          <w:p>
            <w:pPr>
              <w:spacing w:after="0"/>
              <w:rPr>
                <w:sz w:val="22"/>
                <w:szCs w:val="22"/>
                <w:color w:val="auto"/>
              </w:rPr>
            </w:pPr>
          </w:p>
        </w:tc>
        <w:tc>
          <w:tcPr>
            <w:tcW w:w="1280" w:type="dxa"/>
            <w:vAlign w:val="bottom"/>
            <w:gridSpan w:val="3"/>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17</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18</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29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30</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98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31</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31</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0"/>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0"/>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18"/>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right="120" w:hanging="434"/>
        <w:spacing w:after="0" w:line="226"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“first quarter of 2026” and “first quarter of 2025” refer to the thirteen-week periods ended May 2, 2026 and May 3, 2025, respectively, and “fiscal year 2026” and “fiscal year 2025” refer to the fifty-two-week period ending January 30, 2027 and the fifty-two-week period ended January 31,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9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0.56</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9060" w:type="dxa"/>
            <w:vAlign w:val="bottom"/>
            <w:vMerge w:val="restart"/>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90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060" w:type="dxa"/>
            <w:vAlign w:val="bottom"/>
          </w:tcPr>
          <w:p>
            <w:pPr>
              <w:jc w:val="center"/>
              <w:ind w:left="20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9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90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90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9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Victoria’s Secret &amp; Co.</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20" w:type="dxa"/>
            <w:vAlign w:val="bottom"/>
          </w:tcPr>
          <w:p>
            <w:pPr>
              <w:spacing w:after="0"/>
              <w:rPr>
                <w:sz w:val="13"/>
                <w:szCs w:val="13"/>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79, 80, and 80 shares issued</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January 31, 2026</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Repurchases of Common Stock</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Share Retirements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Distribution to Noncontrolling Interest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21"/>
        </w:trPr>
        <w:tc>
          <w:tcPr>
            <w:tcW w:w="2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2, 2026</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845</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2025</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0"/>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May 3,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40" w:type="dxa"/>
            <w:vAlign w:val="bottom"/>
          </w:tcPr>
          <w:p>
            <w:pPr>
              <w:spacing w:after="0"/>
              <w:rPr>
                <w:sz w:val="16"/>
                <w:szCs w:val="16"/>
                <w:color w:val="auto"/>
              </w:rPr>
            </w:pPr>
          </w:p>
        </w:tc>
      </w:tr>
      <w:tr>
        <w:trPr>
          <w:trHeight w:val="23"/>
        </w:trPr>
        <w:tc>
          <w:tcPr>
            <w:tcW w:w="8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8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Used for Operating Activities: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8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to Noncontrolling Interest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0"/>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48"/>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2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approximately 860 stores in the United States (“U.S.”), Canada and China as well as its own websites, www.VictoriasSecret.com, www.PINK.com, www.AdoreMe.com and www.DailyLook.com, and other digital channels worldwide. Additionally, the Company has more than 560 stores in approximately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through stores and digital channels.</w:t>
      </w:r>
    </w:p>
    <w:p>
      <w:pPr>
        <w:spacing w:after="0" w:line="6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In the first quarter of 2026 and in fiscal year 2025, the Company implemented certain restructuring actions to continue to restructure its executive leadership team and organizational structure. For additional information, see Note 3, “Restructuring Activities.”</w:t>
      </w:r>
    </w:p>
    <w:p>
      <w:pPr>
        <w:spacing w:after="0" w:line="4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May 21, 2026, subsequent to the end of the first quarter of 2026, the Company announced that its common stock would begin trading under the new ticker symbol VSXY on the New York Stock Exchange when markets opened on June 2, 2026.</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“first quarter of 2026” and “first quarter of 2025” refer to the thirteen-week periods ended May 2, 2026 and May 3, 2025, respectively, and “fiscal year 2026” and “fiscal year 2025” refer to the fifty-two-week period ending January 30, 2027 and the fifty-two-week period ended January 31, 2026, respectively.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 All significant intercompany balances and transactions have been eliminated in consolidation. The Company has a joint venture to operate Victoria’s Secret stores and the related online business in China (“China Joint Venture”). The Company owns 51% and has control over the joint venture, thus, the joint venture’s assets, liabilities and results of operations are consolidated in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May 2, 2026 and May 3, 2025 are unaudited. These Consolidated Financial Statements should be read in conjunction with the audited Consolidated Financial Statements and Notes thereto included in our Annual Report on Form 10-K filed with the Securities and Exchange Commission (“SEC”) on March 20, 2026 (“2025 Annual Report on Form 10-K”).</w:t>
      </w:r>
    </w:p>
    <w:p>
      <w:pPr>
        <w:spacing w:after="0" w:line="5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period ended May 2, 2026 are not necessarily indicative of the results expected for any other interim period or the full fiscal year ending January 30, 2027.</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Income (Loss), and the Company’s share of net income or loss from all other unconsolidated entities is included in General, Administrative and Store Operating Expenses in the Consolidated Statements of Income (Loss). The Company’s equity method investments are required to be reviewed for impairment when it is determined there may be an other-than-temporary loss in value.</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$54 million as of May 2, 2026, $53 million as of January 31, 2026 and $44 million as of May 3, 2025. These investments are recorded in Other Assets on the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Income (Loss). Noncontrolling interest represents the portion of equity interests in the China Joint Venture that is not owned by the Company. In the first quarter of 2026, the China Joint Venture distributed $15 million in cash, of which $8 million was distributed to the Company and $7 million was distributed to the noncontrolling interest partner. The distribution to the noncontrolling interest partner represents the 49% of the China Joint Venture not owned by the Company and is classified as a financing cash outflow in the 2026 Consolidated Statement of Cash Flows.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and derivative contracts with various major financial institutions. The Company monitors the relative credit standing of financial institutions with whom the Company transacts with and limits the amount of credit exposure with any one entity. As of May 2, 2026, the Company’s investment portfolio was primarily comprised of money market funds and bank deposits.</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94"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$137 million as of May 2, 2026, $237 million as of January 31, 2026 and $154 million as of May 3, 2025.</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first quarter of 2026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 Reporting Comprehensive Income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 Disaggregation Disclosures (Subtopic 220-40): Disaggregation of Income Statement Expenses</w:t>
      </w:r>
      <w:r>
        <w:rPr>
          <w:rFonts w:ascii="Times New Roman" w:cs="Times New Roman" w:eastAsia="Times New Roman" w:hAnsi="Times New Roman"/>
          <w:sz w:val="18"/>
          <w:szCs w:val="18"/>
          <w:color w:val="auto"/>
        </w:rPr>
        <w:t>, which is intended to improve expense disclosures,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by requiring disclosure of 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90"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 xml:space="preserve">In September 2025, the FASB issued Accounting Standards Update (“ASU”) 2025-06, </w:t>
      </w:r>
      <w:r>
        <w:rPr>
          <w:rFonts w:ascii="Times New Roman" w:cs="Times New Roman" w:eastAsia="Times New Roman" w:hAnsi="Times New Roman"/>
          <w:sz w:val="17"/>
          <w:szCs w:val="17"/>
          <w:i w:val="1"/>
          <w:iCs w:val="1"/>
          <w:color w:val="auto"/>
        </w:rPr>
        <w:t>Targeted Improvements to the Accounting for Internal-Use Software</w:t>
      </w:r>
      <w:r>
        <w:rPr>
          <w:rFonts w:ascii="Times New Roman" w:cs="Times New Roman" w:eastAsia="Times New Roman" w:hAnsi="Times New Roman"/>
          <w:sz w:val="17"/>
          <w:szCs w:val="17"/>
          <w:color w:val="auto"/>
        </w:rPr>
        <w:t>, which is intended to modernize the accounting for internal-use software costs, primarily by removing 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The Company is currently evaluating the impacts of adopting this standard on its consolidated financial statements and related disclosures.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Accounts receivable, net from revenue-generating activities were $141 million as of May 2, 2026, $137 million as of January 31, 2026 and $120 million as of May 3, 2025. Accounts receivable primarily relate to amounts due from the Company’s franchise, license and wholesale partners. Under these arrangements, payment terms are typically 60 to 90 days.</w:t>
      </w:r>
    </w:p>
    <w:p>
      <w:pPr>
        <w:spacing w:after="0" w:line="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$226 million as of May 2, 2026, $257 million as of January 31, 2026 and $254 million as of May 3, 2025. The Company recognized $73 million as revenue in the first quarter of 2026 from amounts recorded as deferred revenue at the beginning of the fiscal year. As of May 2, 2026, the Company recorded deferred revenue of $218 million within Accrued Expenses and Other, and $8 million within Other Long-term Liabilities on the Consolidated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first quarter of 2026 and 2025:</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20" w:type="dxa"/>
            <w:vAlign w:val="bottom"/>
          </w:tcPr>
          <w:p>
            <w:pPr>
              <w:spacing w:after="0"/>
              <w:rPr>
                <w:sz w:val="16"/>
                <w:szCs w:val="16"/>
                <w:color w:val="auto"/>
              </w:rPr>
            </w:pPr>
          </w:p>
        </w:tc>
      </w:tr>
      <w:tr>
        <w:trPr>
          <w:trHeight w:val="23"/>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840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r>
      <w:tr>
        <w:trPr>
          <w:trHeight w:val="26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6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r>
      <w:tr>
        <w:trPr>
          <w:trHeight w:val="20"/>
        </w:trPr>
        <w:tc>
          <w:tcPr>
            <w:tcW w:w="8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100" w:hanging="652"/>
        <w:spacing w:after="0" w:line="255"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 partners’ sales, wholesale sales, and beginning in the third quarter of 2025 direct sales in the European Union. Prior to the third quarter of 2025, direct sales in the European Union are reported in the Direct channel. Direct sales in the European Union reported in the International channel were $17 million in the first quarter of 2026.</w:t>
      </w:r>
    </w:p>
    <w:p>
      <w:pPr>
        <w:spacing w:after="0" w:line="6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 co-branded credit card and a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 party is primarily recognized based on credit card sales and usage.</w:t>
      </w:r>
    </w:p>
    <w:p>
      <w:pPr>
        <w:spacing w:after="0" w:line="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Company recognized Net Sales of $20 million and $17 million in the first quarter of 2026 and 2025, respectively, related to revenue earned in connection with its credit card arrangements.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Restructuring Activities</w:t>
      </w:r>
    </w:p>
    <w:p>
      <w:pPr>
        <w:spacing w:after="0" w:line="12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the first quarter of 2026, the Company implemented certain strategic leadership appointments and restructuring actions designed to further advance its Path to Potential strategy by continuing to restructure its executive leadership team and organizational structure. Pre-tax severance and other expenses related to these activities of $5 million are included in the first quarter of 2026 Consolidated Statement of Income, of which $3 million are included in General, Administrative and Store Operating Expenses and $2 million are included in Costs of Goods Sold, Buying and Occupancy.</w:t>
      </w:r>
    </w:p>
    <w:p>
      <w:pPr>
        <w:spacing w:after="0" w:line="58"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In the first quarter and throughout fiscal year 2025, the Company implemented a series of strategic leadership appointments and restructuring actions designed to accelerate growth and continue to restructure its executive leadership team and organizational structure. The Company incurred severance, relocation and other expenses related to these activities in the first quarter and throughout fiscal year 2025.</w:t>
      </w:r>
    </w:p>
    <w:p>
      <w:pPr>
        <w:spacing w:after="0" w:line="54"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In the first quarter of 2026, the Company made payments of $5 million related to severance and related costs associated with these restructuring actions implemented in fiscal years 2026 and 2025. Liabilities, after accrual adjustments, related to these restructuring actions of $10 million are included in the May 2, 2026 Consolidated Balance Sheet.</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(Loss)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Per Share</w:t>
      </w:r>
    </w:p>
    <w:p>
      <w:pPr>
        <w:spacing w:after="0" w:line="10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Net income (loss) per basic share is computed based on the weighted-average number of common shares outstanding during the period. Net income (loss) per diluted share includes the weighted-average effect of dilutive restricted stock units, performance share units and options (collectively, “Dilutive Awards”) on the weighted-average shares outstanding.</w:t>
      </w:r>
    </w:p>
    <w:p>
      <w:pPr>
        <w:spacing w:after="0" w:line="4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net income (loss) per share for the first quarter of 2026 and 2025:</w:t>
      </w:r>
    </w:p>
    <w:p>
      <w:pPr>
        <w:spacing w:after="0" w:line="74" w:lineRule="exact"/>
        <w:rPr>
          <w:sz w:val="20"/>
          <w:szCs w:val="20"/>
          <w:color w:val="auto"/>
        </w:rPr>
      </w:pPr>
    </w:p>
    <w:p>
      <w:pPr>
        <w:ind w:left="9520"/>
        <w:spacing w:after="0"/>
        <w:rPr>
          <w:sz w:val="20"/>
          <w:szCs w:val="20"/>
          <w:color w:val="auto"/>
        </w:rPr>
      </w:pPr>
      <w:r>
        <w:rPr>
          <w:rFonts w:ascii="Times New Roman" w:cs="Times New Roman" w:eastAsia="Times New Roman" w:hAnsi="Times New Roman"/>
          <w:sz w:val="14"/>
          <w:szCs w:val="14"/>
          <w:b w:val="1"/>
          <w:bCs w:val="1"/>
          <w:color w:val="auto"/>
        </w:rPr>
        <w:t>First Quarter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6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9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30"/>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9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6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86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30"/>
        </w:trPr>
        <w:tc>
          <w:tcPr>
            <w:tcW w:w="95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6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86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40" w:type="dxa"/>
            <w:vAlign w:val="bottom"/>
            <w:tcBorders>
              <w:top w:val="single" w:sz="8" w:color="CCEEFF"/>
            </w:tcBorders>
            <w:vMerge w:val="continue"/>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306"/>
        </w:trPr>
        <w:tc>
          <w:tcPr>
            <w:tcW w:w="8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140" w:hanging="652"/>
        <w:spacing w:after="0" w:line="253"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first quarter of 2026, shares underlying certain restricted stock units, performance share units and options were excluded from the calculation of net income per diluted share because their inclusion would have been anti-dilutive. For the first quarter of 2025, shares underlying outstanding restricted stock units, performance share units and options were excluded from the calculation of net loss per diluted share as a result of the Company’s net loss for the period.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March 2024, the Board of Directors of the Company (the “Board”) approved a share repurchase program (“March 2024 Share Repurchase Program”), authorizing the repurchase of up to $250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repurchased the following shares of its common stock under the March 2024 Share Repurchase Program during the first quarter of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r>
    </w:tbl>
    <w:p>
      <w:pPr>
        <w:spacing w:after="0" w:line="17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Shares repurchased under the March 2024 Share Repurchase Program were retired upon repurchase. As a result, in the first quarter of 2026 the Company retired 2.2 million shares repurchased under the March 2024 Share Repurchase Program, which resulted in reductions of less than $1 million in the par value of Common Stock, $9 million in Paid-in Capital and $91 million in Retained Earnings.</w:t>
      </w:r>
    </w:p>
    <w:p>
      <w:pPr>
        <w:spacing w:after="0" w:line="41"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As of May 2, 2026, the Company was authorized to repurchase up to $150 million of the Company’s common stock under the March 2024 Share Repurchase Program.</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Plan</w:t>
      </w:r>
    </w:p>
    <w:p>
      <w:pPr>
        <w:spacing w:after="0" w:line="10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In May 2025, the Board approved the adoption of a limited-duration shareholder rights plan (“Rights Plan”) intended to protect the best interests of all Company shareholders. The Rights Plan had a one-year term and expired pursuant to its terms at the close of business on May 18,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May 2, 2026, January 31, 2026 and May 3,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674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940" w:type="dxa"/>
            <w:vAlign w:val="bottom"/>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1,038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May 2, 2026, January 31, 2026 and May 3,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May 2,</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67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3,491</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Depreciation expense was $49 million and $55 million for the first quarter of 2026 and 2025, respectively. Amortization expense for intangible assets was $6 million for the first quarter of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May 2, 2026, January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2025:</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20" w:type="dxa"/>
            <w:vAlign w:val="bottom"/>
          </w:tcPr>
          <w:p>
            <w:pPr>
              <w:spacing w:after="0"/>
              <w:rPr>
                <w:sz w:val="13"/>
                <w:szCs w:val="13"/>
                <w:color w:val="auto"/>
              </w:rPr>
            </w:pPr>
          </w:p>
        </w:tc>
        <w:tc>
          <w:tcPr>
            <w:tcW w:w="11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6740" w:type="dxa"/>
            <w:vAlign w:val="bottom"/>
          </w:tcPr>
          <w:p>
            <w:pPr>
              <w:spacing w:after="0"/>
              <w:rPr>
                <w:sz w:val="17"/>
                <w:szCs w:val="17"/>
                <w:color w:val="auto"/>
              </w:rPr>
            </w:pPr>
          </w:p>
        </w:tc>
        <w:tc>
          <w:tcPr>
            <w:tcW w:w="10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7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Duty</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543</w:t>
            </w:r>
          </w:p>
        </w:tc>
      </w:tr>
      <w:tr>
        <w:trPr>
          <w:trHeight w:val="20"/>
        </w:trPr>
        <w:tc>
          <w:tcPr>
            <w:tcW w:w="67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for income taxes is based on the current estimate of the annual effective tax rate and is adjusted as necessary for quarterly events.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For the first quarter of 2026, the Company’s effective tax rate was 11.7% compared to 50.9% in the first quarter of 2025. The first quarter of 2026 rate differed from the Company’s combined estimated federal and state statutory rate primarily due to the recognition of excess tax benefits related to share-based compensation awards that vested in the period. The first quarter of 2025 rate differed from the Company’s combined estimated federal and state statutory rate primarily due to additional tax expense from share-based compensation awards that vested in the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income taxes in the amount of $8 million and $5 million for the first quarter of 2026 and 2025,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May 2, 2026, January 31, 2026 and May 3,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$382 million Term Loan due August 2028 (“Term Loan Facility”)</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9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9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9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9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$6 million and $8 million for the first quarter of 2026 and 2025,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2029 Notes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issuance costs are being amortized through the maturity date and are included within Long-term Debt on the Consolidated Balance Sheets.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The Company is required to make quarterly principal payments on the Term Loan Facility in an amount equal to 0.25% of the original principal amount of $400 million. The Company made principal payments for the Term Loan Facility of $1 million during both the first quarter of 2026 and 2025.</w:t>
      </w:r>
    </w:p>
    <w:p>
      <w:pPr>
        <w:spacing w:after="0" w:line="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the Term Secured Overnight Financing Rate (“Term SOFR”) or an alternative base rate, plus an applicable interest rate (i) in the case of loans bearing interest based on Term SOFR, equal to 2.75% and (ii) in the case of alternate base rate loans, equal to 1.75%.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its subsidiary guarantors that do not constitute priority collateral under the ABL Facility and on a second-priority lien basis by priority collateral under the ABL Facility, subject to customary exceptions. As of May 2, 2026, the interest rate on the loans under the Term Loan Facility was 6.42%.</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also has a senior secured asset-based revolving credit facility, which will mature on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The ABL Facility allows for borrowings and letters of credit in U.S. dollars or Canadian dollars and has aggregate commitments of $750 million.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 $750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Interest on the loans under the ABL Facility is calculated by reference to Term SOFR or Term Canadian Overnight Repo Rate Average (“Term CORRA”) or an alternative base rate, plus an interest rate margin (i) in the case of Term SOFR or Term CORRA, ranging from 1.50% to 1.75%, and (ii) in the case of alternate base rate loans and Canadian base rate loans, ranging from 0.50% to 0.75%.</w:t>
      </w:r>
    </w:p>
    <w:p>
      <w:pPr>
        <w:spacing w:after="0" w:line="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borrowed $55 million and $160 million from the ABL Facility during the first quarter of 2026 and 2025, respectively, and made repayments of $40 million and $55 million under the ABL Facility during the first quarter of 2026 and 2025, respectively. As of May 2, 2026, there were borrowings of $15 million outstanding under the ABL Facility and the interest rate on the borrowings was 7.15%. The Company had $17 million of outstanding letters of credit as of May 2, 2026 that further reduced its availability under the ABL Facility. As of May 2, 2026, the Company’s remaining availability under the ABL Facility was $685 million.</w:t>
      </w:r>
    </w:p>
    <w:p>
      <w:pPr>
        <w:spacing w:after="0" w:line="62"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May 2, 2026, the Company was in compliance with all covenants under its long-term debt and borrowing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Derivative Financial Instruments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has Euro-denominated sales to customers and partners in the European Union which are fulfilled by the Company’s distribution center in Europe and subject to exchange rate risk as substantially all the merchandise sold is sourced through U.S. dollar transactions. Beginning in the first quarter of 2026, the Company uses foreign currency forward contracts designated as cash flow hedges (“Designated Cash Flow Hedges”) to mitigate this foreign currency exposure. These forward contracts currently have a maximum term of 12 months. The Company does not use derivative financial instruments for trading or speculative purposes.</w:t>
      </w:r>
    </w:p>
    <w:p>
      <w:pPr>
        <w:spacing w:after="0" w:line="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Designated Cash Flow Hedges are recorded on the Consolidated Balance Sheets at fair value and changes in fair value of the Designated Cash Flow Hedges are recorded in Accumulated Other Comprehensive Income. The gains and losses for these Designated Cash Flow Hedges are reclassified from Accumulated Other Comprehensive Income to Costs of Goods Sold, Buying and Occupancy in the Consolidated Statements of Income (Loss) upon sale of the hedged merchandise to the customer. The Company classifies proceeds received or amounts paid upon the settlement of a Designated Cash Flow Hedge in the same manner as the related hedged merchandise, which is in Operating Activities in the Consolidated Statements of Cash Flows.</w:t>
      </w:r>
    </w:p>
    <w:p>
      <w:pPr>
        <w:spacing w:after="0" w:line="75"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of May 2, 2026, outstanding Designated Cash Flow Hedges are recorded at their fair value of $1 million in Other Current Assets on the Consolidated Balance Sheet and had a U.S. dollar notional amount of $47 million. In the first quarter of 2026, a pre-tax gain of $1 million was recognized in Accumulated Other Comprehensive Income related to Designated Cash Flow Hedges. Prior to the first quarter of 2026, the Company did not have any Designated Cash Flow Hedges since becoming an independent, publicly traded company.</w:t>
      </w:r>
    </w:p>
    <w:p>
      <w:pPr>
        <w:spacing w:after="0" w:line="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estimates that $1 million of net pre-tax gains included in Accumulated Other Comprehensive Income as of May 2, 2026 related to Designated Cash Flow Hedges will be reclassified to Costs of Goods Sold, Buying and Occupancy in the Consolidated Statements of Income (Loss) within the next 12 months. Actual amounts ultimately reclassified depend on the exchange rates in effect when derivative contracts that are currently outstanding mature.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May 2, 2026, January 31, 2026 and May 3,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98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80" w:type="dxa"/>
            <w:vAlign w:val="bottom"/>
          </w:tcPr>
          <w:p>
            <w:pPr>
              <w:spacing w:after="0"/>
              <w:rPr>
                <w:sz w:val="13"/>
                <w:szCs w:val="13"/>
                <w:color w:val="auto"/>
              </w:rPr>
            </w:pPr>
          </w:p>
        </w:tc>
        <w:tc>
          <w:tcPr>
            <w:tcW w:w="1100" w:type="dxa"/>
            <w:vAlign w:val="bottom"/>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6800" w:type="dxa"/>
            <w:vAlign w:val="bottom"/>
          </w:tcPr>
          <w:p>
            <w:pPr>
              <w:spacing w:after="0"/>
              <w:rPr>
                <w:sz w:val="17"/>
                <w:szCs w:val="17"/>
                <w:color w:val="auto"/>
              </w:rPr>
            </w:pPr>
          </w:p>
        </w:tc>
        <w:tc>
          <w:tcPr>
            <w:tcW w:w="9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8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983</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971</w:t>
            </w: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ind w:left="340" w:right="320" w:hanging="332"/>
        <w:spacing w:after="0" w:line="266"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May 2, 2026, January 31, 2026 and May 3, 2025 based on the terms of the borrowings from the ABL Facility.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Designated Cash Flow Hedges recognized at fair value on a recurring basis as of May 2,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31, 2026 and May 3, 2025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0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May 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Cash Flow Hedge Assets</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 xml:space="preserve">The estimated fair values of the Designated Cash Flow Hedges were determined using the market approach, which utilizes observable market inputs, including spot and forward currency exchange rates. These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For additional information regarding the Designated Cash Flow Hedges, see Note 10, “Derivative Financial Instruments.”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w:t>
      </w:r>
    </w:p>
    <w:p>
      <w:pPr>
        <w:spacing w:after="0" w:line="12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the first quarter of 2026:</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40" w:type="dxa"/>
            <w:vAlign w:val="bottom"/>
          </w:tcPr>
          <w:p>
            <w:pPr>
              <w:spacing w:after="0"/>
              <w:rPr>
                <w:sz w:val="13"/>
                <w:szCs w:val="13"/>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6"/>
        </w:trPr>
        <w:tc>
          <w:tcPr>
            <w:tcW w:w="7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31, 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7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7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2, 2026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73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attributable to Victoria’s Secret &amp; Co. for the first quarter of 2025:</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138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20" w:type="dxa"/>
            <w:vAlign w:val="bottom"/>
          </w:tcPr>
          <w:p>
            <w:pPr>
              <w:spacing w:after="0"/>
              <w:rPr>
                <w:sz w:val="17"/>
                <w:szCs w:val="17"/>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480" w:type="dxa"/>
            <w:vAlign w:val="bottom"/>
            <w:tcBorders>
              <w:top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3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3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3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36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May 3, 2025</w:t>
            </w:r>
          </w:p>
        </w:tc>
        <w:tc>
          <w:tcPr>
            <w:tcW w:w="36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2"/>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920" w:type="dxa"/>
            <w:vAlign w:val="bottom"/>
            <w:tcBorders>
              <w:bottom w:val="single" w:sz="8" w:color="9A9A9A"/>
            </w:tcBorders>
          </w:tcPr>
          <w:p>
            <w:pPr>
              <w:spacing w:after="0"/>
              <w:rPr>
                <w:sz w:val="10"/>
                <w:szCs w:val="10"/>
                <w:color w:val="auto"/>
              </w:rPr>
            </w:pPr>
          </w:p>
        </w:tc>
        <w:tc>
          <w:tcPr>
            <w:tcW w:w="36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5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April 2023, the Company was named as a defendant in a putative class action lawsuit filed in the United States District Court for the Southern District of New York alleging that Victoria’s Secret Stores employs manual workers in New York state and failed to pay hourly wages within seven calendar days after the end of the week in which those wages were earned, rather paying wages on a bi-weekly basis. The lawsuit has been settled and during the first quarter of 2026, the Company paid the settlement in full.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segments are based on the financial information the Company’s Chief Operating Decision Maker (“CODM”), who is the Chief Executive Officer, uses to evaluate performance and allocate resources. The Company has one reportable segment. The CODM assesses performance of the Company’s single reportable segment and decides how to allocate resources based on Net Income (Loss) Attributable to Victoria’s Secret &amp; Co. as reported on the Consolidated Statements of Income (Loss).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segment information for the first quarter of 2026 and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4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90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 Expenses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 (a)</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(b)</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Victoria’s Secret &amp; Co.</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
        </w:trPr>
        <w:tc>
          <w:tcPr>
            <w:tcW w:w="8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90"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Advertising and Marketing Expenses.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includes net income attributable to noncontrolling interest, interest income and other miscellaneous expense items.</w:t>
      </w:r>
    </w:p>
    <w:p>
      <w:pPr>
        <w:spacing w:after="0" w:line="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derives revenue primarily from its sale of women’s intimate and other apparel and beauty products. For additional information on other sources of revenue, see Note 2, “Revenue Recognition.”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by geographic location for the first quarter of 2026 and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40" w:type="dxa"/>
            <w:vAlign w:val="bottom"/>
          </w:tcPr>
          <w:p>
            <w:pPr>
              <w:spacing w:after="0"/>
              <w:rPr>
                <w:sz w:val="16"/>
                <w:szCs w:val="16"/>
                <w:color w:val="auto"/>
              </w:rPr>
            </w:pPr>
          </w:p>
        </w:tc>
      </w:tr>
      <w:tr>
        <w:trPr>
          <w:trHeight w:val="23"/>
        </w:trPr>
        <w:tc>
          <w:tcPr>
            <w:tcW w:w="8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8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spacing w:after="0"/>
              <w:rPr>
                <w:sz w:val="17"/>
                <w:szCs w:val="17"/>
                <w:color w:val="auto"/>
              </w:rPr>
            </w:pPr>
          </w:p>
        </w:tc>
      </w:tr>
      <w:tr>
        <w:trPr>
          <w:trHeight w:val="23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 (b)</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48"/>
        </w:trPr>
        <w:tc>
          <w:tcPr>
            <w:tcW w:w="8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27" w:lineRule="exact"/>
        <w:rPr>
          <w:rFonts w:ascii="Times New Roman" w:cs="Times New Roman" w:eastAsia="Times New Roman" w:hAnsi="Times New Roman"/>
          <w:sz w:val="18"/>
          <w:szCs w:val="18"/>
          <w:color w:val="auto"/>
        </w:rPr>
      </w:pPr>
    </w:p>
    <w:p>
      <w:pPr>
        <w:ind w:left="660" w:right="340" w:hanging="652"/>
        <w:spacing w:after="0" w:line="255"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from Company-operated stores outside of the U.S., consolidated joint venture sales in China, royalties associated with franchise partners sales, wholesale sales, and net sales shipped internationally for direct channels operated by the Company. Certain of these sales are subject to the impact of fluctuations in foreign currency.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long-lived assets, excluding deferred tax assets, equity method investments, goodwill, trade names, and other intangible assets, by geographic location as of May 2, 2026, January 31, 2026 and May 3,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10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68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6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2,238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w:t>
            </w:r>
          </w:p>
        </w:tc>
      </w:tr>
      <w:tr>
        <w:trPr>
          <w:trHeight w:val="229"/>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w:t>
            </w: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2,423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2,322</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the Company is one reportable segment, for additional information on assets, capital expenditures, depreciation and amortization of long-lived assets and other significant non-cash transactions, see Item 1. Financial Statements.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Subsequent to the end of the first quarter of 2026, BBRC International PTE Limited (“BBRC”) and its Chairman Brett Blundy initiated a proxy contest seeking to withhold votes against directors nominated for re-election at the Company’s upcoming 2026 Annual Meeting of Shareholders.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goals, intentions, beliefs and expectations. Words such as “estimate,” “commit,” “will,” “target,” “forecast,” “goal,” “project,” “plan,” “believe,” “seek,” “strive,” “expect,” “anticipate,” “intend,” “continue,” “potential” or the negative of these words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6" w:lineRule="exact"/>
        <w:rPr>
          <w:sz w:val="20"/>
          <w:szCs w:val="20"/>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global trade environment, including the imposition or threatened imposition of tariffs or other trade policies;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changes and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and product lines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realize the benefits and synergies sought with such acquisitions;</w:t>
      </w:r>
    </w:p>
    <w:p>
      <w:pPr>
        <w:spacing w:after="0" w:line="63"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and other emerging technologies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and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Southeast Asia and central Ohio;</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privacy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legal and regulatory requirements;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made only as of the date of this report. 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2025 Annual Report on Form 10-K filed with the SEC on March 20, 2026.</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 References to “we,” “us,” “our,” or the “Company” mean Victoria’s Secret &amp; Co. together with its subsidiaries.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Accordingly, we monitor the retail environment using certain key industry performance indicators including competitor performance and mall traffic data. These metrics can provide insight into consumer spending patterns and shopping behavior in the current retail environment and assist us in assessing our performance as well as the potential impact of industry trends on our future operating results. Additionally, we evaluate a number of key performance indicators including comparable sales, gross profit, operating income and other performance metrics such as sales per average selling square foot in assessing our performance. To evaluate our net sales, we utilize traffic, conversion (which we define as the percentage of customers who visit our stores or digital sites and make a purchase), units per transaction, average unit retail (which we define as the average price per unit purchased) and average transaction value (which we define as units per transaction multiplied by average unit retail).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Victoria’s Secret &amp; Co. operates two market-leading intimate apparel brands, Victoria’s Secret and PINK, complemented by an industry-leading beauty business, and Adore Me:</w:t>
      </w:r>
    </w:p>
    <w:p>
      <w:pPr>
        <w:spacing w:after="0" w:line="23" w:lineRule="exact"/>
        <w:rPr>
          <w:sz w:val="20"/>
          <w:szCs w:val="20"/>
          <w:color w:val="auto"/>
        </w:rPr>
      </w:pPr>
    </w:p>
    <w:p>
      <w:pPr>
        <w:ind w:left="660" w:right="140" w:hanging="328"/>
        <w:spacing w:after="0" w:line="28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Victoria’s Secret </w:t>
      </w:r>
      <w:r>
        <w:rPr>
          <w:rFonts w:ascii="Times New Roman" w:cs="Times New Roman" w:eastAsia="Times New Roman" w:hAnsi="Times New Roman"/>
          <w:sz w:val="18"/>
          <w:szCs w:val="18"/>
          <w:color w:val="auto"/>
        </w:rPr>
        <w:t>– A sexy, glamorous and luxurious brand and global leader in women’s intimate apparel, renowned for its innovative, fashion-inspired collections for women around the world.</w:t>
      </w:r>
    </w:p>
    <w:p>
      <w:pPr>
        <w:spacing w:after="0" w:line="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PINK </w:t>
      </w:r>
      <w:r>
        <w:rPr>
          <w:rFonts w:ascii="Times New Roman" w:cs="Times New Roman" w:eastAsia="Times New Roman" w:hAnsi="Times New Roman"/>
          <w:sz w:val="18"/>
          <w:szCs w:val="18"/>
          <w:color w:val="auto"/>
        </w:rPr>
        <w:t>– A playful, bold and irreverent lifestyle intimates and apparel brand for young women.</w:t>
      </w:r>
    </w:p>
    <w:p>
      <w:pPr>
        <w:spacing w:after="0" w:line="103" w:lineRule="exact"/>
        <w:rPr>
          <w:rFonts w:ascii="Times New Roman" w:cs="Times New Roman" w:eastAsia="Times New Roman" w:hAnsi="Times New Roman"/>
          <w:sz w:val="18"/>
          <w:szCs w:val="18"/>
          <w:color w:val="auto"/>
        </w:rPr>
      </w:pPr>
    </w:p>
    <w:p>
      <w:pPr>
        <w:ind w:left="660" w:right="600" w:hanging="328"/>
        <w:spacing w:after="0" w:line="268"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Adore Me </w:t>
      </w:r>
      <w:r>
        <w:rPr>
          <w:rFonts w:ascii="Times New Roman" w:cs="Times New Roman" w:eastAsia="Times New Roman" w:hAnsi="Times New Roman"/>
          <w:sz w:val="18"/>
          <w:szCs w:val="18"/>
          <w:color w:val="auto"/>
        </w:rPr>
        <w:t>– A direct-to-consumer lingerie and apparel brand focused on serving women across all budgets and phases of life. DailyLook,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through the Adore Me transaction, operates as a digitally-based, premium subscription styling service for women’s apparel and accessories.</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Our merchandise is available in our company-operated retail stores across the U.S., Canada and China, through our company-owned digital channels, and internationally through stores, websites and mobile applications operated by our partners. With a presence in approximately 70 countries, we benefit from strong global brand recognition, a compelling product assortment and a deep, lasting connection with our customers.</w:t>
      </w:r>
    </w:p>
    <w:p>
      <w:pPr>
        <w:spacing w:after="0" w:line="5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are dedicated to continuous growth and operational excellence, focusing on execution of our strategic plan to drive long-term, sustainable value for our stockholders.</w:t>
      </w:r>
    </w:p>
    <w:p>
      <w:pPr>
        <w:spacing w:after="0" w:line="40"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sales in the first quarter of 2026 increased 15%, to $1.560 billion, compared to the first quarter of 2025. In North America, net sales increased 11% in the stores channel and increased 8% in the direct channel compared to the first quarter of 2025. Traffic and average unit retail increased in our stores and direct channels compared to the first quarter of 2025. Net sales in our international channel increased 45% compared to the first quarter of 2025.</w:t>
      </w:r>
    </w:p>
    <w:p>
      <w:pPr>
        <w:spacing w:after="0" w:line="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operating income in the first quarter of 2026 increased $56 million, to $76 million, compared to the first quarter of 2025 and our operating income rate (expressed as a percentage of net sales) increased to 4.9% from 1.5% in the first quarter of 2025. The increase in operating income compared to the first quarter of 2025 was primarily driven by an increase in net sales and improved merchandise margins.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60"/>
        <w:spacing w:after="0" w:line="227" w:lineRule="exact"/>
        <w:rPr>
          <w:sz w:val="20"/>
          <w:szCs w:val="20"/>
          <w:color w:val="auto"/>
        </w:rPr>
      </w:pPr>
      <w:r>
        <w:rPr>
          <w:rFonts w:ascii="Times New Roman" w:cs="Times New Roman" w:eastAsia="Times New Roman" w:hAnsi="Times New Roman"/>
          <w:sz w:val="18"/>
          <w:szCs w:val="18"/>
          <w:color w:val="auto"/>
        </w:rPr>
        <w:t>We continue to focus on the key priorities of our Path to Potential growth plan: Supercharge our Bra Authority; Recommit to PINK; Fuel Growth in Beauty; and Evolve Our Brand Projection and Go-To-Market Strategy. We remain focused on managing costs, while continuing to invest in product innovation, brand strength and the customer experience. Together with the solid operational foundation we have built, we believe these efforts position us to scale effectively and give us confidence in our ability to drive sustainable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value for our stockholders.</w:t>
      </w:r>
    </w:p>
    <w:p>
      <w:pPr>
        <w:spacing w:after="0" w:line="51" w:lineRule="exact"/>
        <w:rPr>
          <w:sz w:val="20"/>
          <w:szCs w:val="20"/>
          <w:color w:val="auto"/>
        </w:rPr>
      </w:pPr>
    </w:p>
    <w:p>
      <w:pPr>
        <w:ind w:right="306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first quarter of 2026 financial performance, see “Results of Operations.” </w:t>
      </w:r>
      <w:r>
        <w:rPr>
          <w:rFonts w:ascii="Times New Roman" w:cs="Times New Roman" w:eastAsia="Times New Roman" w:hAnsi="Times New Roman"/>
          <w:sz w:val="18"/>
          <w:szCs w:val="18"/>
          <w:b w:val="1"/>
          <w:bCs w:val="1"/>
          <w:i w:val="1"/>
          <w:iCs w:val="1"/>
          <w:color w:val="auto"/>
        </w:rPr>
        <w:t>Tariffs and Macro Environment</w:t>
      </w:r>
    </w:p>
    <w:p>
      <w:pPr>
        <w:spacing w:after="0" w:line="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Beginning in February 2025, the U.S. administration imposed tariffs on a broad range of imported goods under the International Emergency Economic Powers Act (“IEEPA”). On February 20, 2026, the U.S. Supreme Court ruled tariffs imposed under the IEEPA were not authorized, and on March 4, 2026, the U.S. Court of International Trade directed U.S. Customs and Border Protection (“CBP”) to refund amounts previously collected, including applicable interest. The CBP has established a phased administrative process for submitting refund claims for certain IEEPA tariffs. We are in the process of requesting refunds for the IEEPA tariffs paid, however, the amount and timing of recoveries remain uncertain. As a result, as of May 2, 2026, we did not record a receivable related to potential IEEPA tariff refunds.</w:t>
      </w:r>
    </w:p>
    <w:p>
      <w:pPr>
        <w:spacing w:after="0" w:line="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Following the Supreme Court’s decision relating to the IEEPA tariffs, the U.S. administration announced a new 10% global tariff under Section 122 of the Trade Act of 1974, subject to certain exceptions. We estimate tariffs, net of mitigation efforts, negatively impacted operating income by approximately $85 million in fiscal year 2025. We estimate tariffs, net of mitigation efforts, negatively impacted operating income by an incremental approximately $14 million in the first quarter of 2026 compared to the first quarter of 2025. It is unclear at this time what impact these decisions will have on our future results of operations, including the amount of refunds for the IEEPA tariffs previously paid, any changes in tariff levels or the imposition of new tariffs through other means. We continue to identify and execute mitigation strategies as the tariff environment evolves.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Proxy Contest</w:t>
      </w:r>
    </w:p>
    <w:p>
      <w:pPr>
        <w:spacing w:after="0" w:line="121"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Subsequent to the end of the first quarter of 2026, BBRC and its Chairman Brett Blundy initiated a proxy contest seeking to withhold votes against directors nominated for re-election at our upcoming 2026 Annual Meeting of Shareholders. We expect to incur additional professional and legal fees associated with the proxy contest in the second quarter of 2026.</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financial measures that present operating income,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in the first quarter of 2025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96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vMerge w:val="continue"/>
          </w:tcPr>
          <w:p>
            <w:pPr>
              <w:spacing w:after="0"/>
              <w:rPr>
                <w:sz w:val="18"/>
                <w:szCs w:val="18"/>
                <w:color w:val="auto"/>
              </w:rPr>
            </w:pPr>
          </w:p>
        </w:tc>
        <w:tc>
          <w:tcPr>
            <w:tcW w:w="9660" w:type="dxa"/>
            <w:vAlign w:val="bottom"/>
            <w:tcBorders>
              <w:bottom w:val="single" w:sz="8" w:color="CCEEFF"/>
            </w:tcBorders>
            <w:gridSpan w:val="4"/>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4460" w:type="dxa"/>
            <w:vAlign w:val="bottom"/>
            <w:tcBorders>
              <w:bottom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Reconciliation of Reported to Adjusted Operating Income</w:t>
            </w:r>
          </w:p>
        </w:tc>
        <w:tc>
          <w:tcPr>
            <w:tcW w:w="5200" w:type="dxa"/>
            <w:vAlign w:val="bottom"/>
            <w:tcBorders>
              <w:bottom w:val="single" w:sz="8" w:color="CCEEFF"/>
            </w:tcBorders>
            <w:gridSpan w:val="3"/>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Operating Income - GAAP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Restructuring and Other One-time Items (a)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966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66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74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Reported Net Income (Loss) Attributable to Victoria’s Secret &amp; Co. - GAAP</w:t>
            </w:r>
          </w:p>
        </w:tc>
        <w:tc>
          <w:tcPr>
            <w:tcW w:w="220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Organizational Restructuring and Other One-time Items (a)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tcPr>
          <w:p>
            <w:pPr>
              <w:spacing w:after="0"/>
              <w:rPr>
                <w:sz w:val="19"/>
                <w:szCs w:val="19"/>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Net Income Attributable to Victoria’s Secret &amp; Co.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460" w:type="dxa"/>
            <w:vAlign w:val="bottom"/>
            <w:shd w:val="clear" w:color="auto" w:fill="CCEEFF"/>
          </w:tcPr>
          <w:p>
            <w:pPr>
              <w:spacing w:after="0"/>
              <w:rPr>
                <w:sz w:val="19"/>
                <w:szCs w:val="19"/>
                <w:color w:val="auto"/>
              </w:rPr>
            </w:pPr>
          </w:p>
        </w:tc>
        <w:tc>
          <w:tcPr>
            <w:tcW w:w="30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6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Borders>
              <w:top w:val="single" w:sz="8" w:color="auto"/>
            </w:tcBorders>
          </w:tcPr>
          <w:p>
            <w:pPr>
              <w:spacing w:after="0" w:line="20" w:lineRule="exact"/>
              <w:rPr>
                <w:sz w:val="1"/>
                <w:szCs w:val="1"/>
                <w:color w:val="auto"/>
              </w:rPr>
            </w:pPr>
          </w:p>
        </w:tc>
        <w:tc>
          <w:tcPr>
            <w:tcW w:w="300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Income (Loss) Per Diluted Share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Organizational Restructuring and Other One-time Items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6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(b)</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Adjusted Net Income Per Diluted Share Attributable to Victoria’s Secret &amp; Co.</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620" w:hanging="652"/>
        <w:spacing w:after="0" w:line="250"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2026 and 2025, we recognized pre-tax net expense of $4 million and $6 million ($3 million and $4 million after-tax, respectively), $2 million and $2 million included in buying and occupancy expense and $2 million and $4 million included in general, administrative and store operating expense, related to activities to continue to restructure our executive leadership team and organizational structure, as well as other one-time items.</w:t>
      </w:r>
    </w:p>
    <w:p>
      <w:pPr>
        <w:spacing w:after="0" w:line="1" w:lineRule="exact"/>
        <w:rPr>
          <w:rFonts w:ascii="Times New Roman" w:cs="Times New Roman" w:eastAsia="Times New Roman" w:hAnsi="Times New Roman"/>
          <w:sz w:val="18"/>
          <w:szCs w:val="18"/>
          <w:color w:val="auto"/>
        </w:rPr>
      </w:pPr>
    </w:p>
    <w:p>
      <w:pPr>
        <w:ind w:left="660" w:right="180" w:hanging="652"/>
        <w:spacing w:after="0" w:line="260"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recognized amortization expense of $6 million ($5 million after-tax) included in general, administrative and store operating expense, related to our definite-lived intangible assets.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U.S. company-operated store data for the first quarter of 2026 to the first quarter of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1260" w:type="dxa"/>
            <w:vAlign w:val="bottom"/>
          </w:tcPr>
          <w:p>
            <w:pPr>
              <w:spacing w:after="0"/>
              <w:rPr>
                <w:sz w:val="16"/>
                <w:szCs w:val="16"/>
                <w:color w:val="auto"/>
              </w:rPr>
            </w:pPr>
          </w:p>
        </w:tc>
      </w:tr>
      <w:tr>
        <w:trPr>
          <w:trHeight w:val="23"/>
        </w:trPr>
        <w:tc>
          <w:tcPr>
            <w:tcW w:w="7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6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the first quarter of 2026:</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January 31, 2026</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2, 2026</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791</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388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39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five partner-operated stores as of May 2,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790"/>
              <w:spacing w:after="0"/>
              <w:rPr>
                <w:sz w:val="20"/>
                <w:szCs w:val="20"/>
                <w:color w:val="auto"/>
              </w:rPr>
            </w:pPr>
            <w:r>
              <w:rPr>
                <w:rFonts w:ascii="Times New Roman" w:cs="Times New Roman" w:eastAsia="Times New Roman" w:hAnsi="Times New Roman"/>
                <w:sz w:val="18"/>
                <w:szCs w:val="18"/>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1,420</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1,423</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4680" w:space="66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first quarter of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4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4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May 3, 2025</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772</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08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14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twelve partner-operated stores as of May 3,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right="480"/>
        <w:spacing w:after="0" w:line="362" w:lineRule="auto"/>
        <w:rPr>
          <w:sz w:val="20"/>
          <w:szCs w:val="20"/>
          <w:color w:val="auto"/>
        </w:rPr>
      </w:pPr>
      <w:r>
        <w:rPr>
          <w:rFonts w:ascii="Times New Roman" w:cs="Times New Roman" w:eastAsia="Times New Roman" w:hAnsi="Times New Roman"/>
          <w:sz w:val="18"/>
          <w:szCs w:val="18"/>
          <w:b w:val="1"/>
          <w:bCs w:val="1"/>
          <w:color w:val="auto"/>
        </w:rPr>
        <w:t>First Quarter of 2026 Compared to First Quarter of 2025 Operating Income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10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1,378</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8" w:lineRule="exact"/>
        <w:rPr>
          <w:sz w:val="20"/>
          <w:szCs w:val="20"/>
          <w:color w:val="auto"/>
        </w:rPr>
      </w:pPr>
    </w:p>
    <w:p>
      <w:pPr>
        <w:sectPr>
          <w:pgSz w:w="11900" w:h="16838" w:orient="portrait"/>
          <w:cols w:equalWidth="0" w:num="2">
            <w:col w:w="4880" w:space="460"/>
            <w:col w:w="5900"/>
          </w:cols>
          <w:pgMar w:left="320" w:top="118" w:right="339" w:bottom="1440" w:gutter="0" w:footer="0" w:header="0"/>
          <w:type w:val="continuous"/>
        </w:sect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the first quarter of 2026, our operating income increased $56 million, to $76 million, compared to operating income of $20 million in the first quarter of 2025, and the operating income rate (expressed as a percentage of net sales) increased to 4.9% from 1.5%. The drivers of our operating income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first quarter of 2026 in comparison to the first quarter of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7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5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1,353</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100" w:hanging="652"/>
        <w:spacing w:after="0"/>
        <w:tabs>
          <w:tab w:leader="none" w:pos="65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 partners’ sales, wholesale sales, and beginning in the third quarter of 2025 direct sales in the European Union. Prior to the third quarter of 2025, direct sales in the European Union are reported in our Direct channel. Direct sales in the European Union reported in the International channel were $17 million in the first quarter of 2026.</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the first quarter of 2026 comparable sales to the first quarter of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comparable store and direct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Individual stores are excluded from the comparable sales calculation if they have been closed for four consecutive days or more and direct channels are excluded from the comparable sales calculation if they have been closed for 24 consecutive hours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first quarter of 2026 increased $207 million, or 15%, to $1.560 billion compared to $1.353 billion in the first quarter of 2025.</w:t>
      </w:r>
    </w:p>
    <w:p>
      <w:pPr>
        <w:spacing w:after="0" w:line="10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the stores channel, our North America net sales increased $82 million, or 11%, to $803 million compared to the first quarter of 2025 driven by increases in traffic and average unit retail, while units per transaction and conversion remained flat.</w:t>
      </w:r>
    </w:p>
    <w:p>
      <w:pPr>
        <w:spacing w:after="0" w:line="4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the direct channel, net sales increased $36 million, or 8%, to $469 million compared to the first quarter of 2025 as increases in traffic and average unit retail were partially offset by decreases in conversion and units per order.</w:t>
      </w:r>
    </w:p>
    <w:p>
      <w:pPr>
        <w:spacing w:after="0" w:line="27"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the international channel, net sales increased $89 million, or 45%, to $288 million compared to the first quarter of 2025. The increase in net sales in the first quarter of 2026 compared to the first quarter of 2025 was primarily driven by increases in net sales in China, sourcing sales to our partners, our wholesale arrangements and royalties earned associated with franchise sales in many countries outside of North America.</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Net sales in the direct and international channels in the first quarter of 2026 compared to the first quarter of 2025 were also impacted by a $17 million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first quarter of 2025 to the first quarter of 2026:</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 (a)</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2026 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540" w:hanging="652"/>
        <w:spacing w:after="0" w:line="260"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net sales for all direct channels operated by the Company (in North America and International) and the direct sales in China operated by our consolidated joint venture.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the first quarter of 2026, our gross profit increased $111 million compared to the first quarter of 2025 to $585 million, and our gross profit rate (expressed as a percentage of net sales) increased to 37.5% from 35.1%.</w:t>
      </w:r>
    </w:p>
    <w:p>
      <w:pPr>
        <w:spacing w:after="0" w:line="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increase in gross profit dollars compared to the first quarter of 2025 was due to the increase in merchandise margin dollars which was driven by an increase in net sales, a decrease in promotional activity and an increase in regular-priced selling, partially offset by a $14 million increase in net tariff costs. The increase in gross profit dollars was also partially offset by an increase in buying and occupancy expenses primarily driven by increases in incentive compensation expenses associated with our improved results and fulfillment costs associated with our net sales increase.</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gross profit rate increase compared to the first quarter of 2025 was primarily driven by leverage in buying and occupancy expenses as a result of the increase in net sales, a decrease in promotional activity and an increase in regular-priced selling, partially offset by an increase in net tariff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9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first quarter of 2026, our general, administrative and store operating expenses increased $55 million, or 12%, to $509 million compared to the first quarter of 2025. The increase in general, administrative and store operating expenses compared to the first quarter of 2025 was primarily due to increases in store selling expenses, incentive compensation expenses associated with our improved results and marketing expenses.</w:t>
      </w:r>
    </w:p>
    <w:p>
      <w:pPr>
        <w:spacing w:after="0" w:line="5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to 32.6% from 33.6% compared to the first quarter of 2025 primarily due to leverage as a result of the increase in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0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For the first quarter of 2026, our interest expense decreased $2 million to $15 million compared to the first quarter of 2025 primarily due to our lower average outstanding debt under our ABL Facility and Term Loan Facility and lower average borrowing rate for our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For the first quarter of 2026, our effective tax rate was 11.7% compared to 50.9% in the first quarter of 2025. The first quarter of 2026 rate differed from our combined estimated federal and state statutory rate primarily due to the recognition of excess tax benefits related to share-based compensation awards that vested in the period. The first quarter of 2025 rate differed from our combined estimated federal and state statutory rate primarily due to additional tax expense from share-based compensation awards that vested in the period.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(used for) operating activities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season.</w:t>
      </w:r>
    </w:p>
    <w:p>
      <w:pPr>
        <w:spacing w:after="0" w:line="6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5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growth strategies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10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cash provided by our operating activities, along with the borrowing capacity under our ABL Facility, we believe we will be able to continue to meet our working capital needs.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May 2, 2026, January 31, 2026 and May 3, 2025:</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00" w:type="dxa"/>
            <w:vAlign w:val="bottom"/>
          </w:tcPr>
          <w:p>
            <w:pPr>
              <w:spacing w:after="0"/>
              <w:rPr>
                <w:sz w:val="13"/>
                <w:szCs w:val="13"/>
                <w:color w:val="auto"/>
              </w:rPr>
            </w:pPr>
          </w:p>
        </w:tc>
        <w:tc>
          <w:tcPr>
            <w:tcW w:w="11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5"/>
        </w:trPr>
        <w:tc>
          <w:tcPr>
            <w:tcW w:w="68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5"/>
        </w:trPr>
        <w:tc>
          <w:tcPr>
            <w:tcW w:w="68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30"/>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900" w:type="dxa"/>
            <w:vAlign w:val="bottom"/>
            <w:shd w:val="clear" w:color="auto" w:fill="CCEEFF"/>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1,776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900" w:type="dxa"/>
            <w:vAlign w:val="bottom"/>
          </w:tcPr>
          <w:p>
            <w:pPr>
              <w:jc w:val="right"/>
              <w:ind w:right="71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May 2, 2026 and May 3, 2025 amounts represent thirteen-week periods and the January 31, 2026 amounts represent a fifty-two-week period.</w:t>
      </w:r>
    </w:p>
    <w:p>
      <w:pPr>
        <w:spacing w:after="0" w:line="9" w:lineRule="exact"/>
        <w:rPr>
          <w:rFonts w:ascii="Times New Roman" w:cs="Times New Roman" w:eastAsia="Times New Roman" w:hAnsi="Times New Roman"/>
          <w:sz w:val="18"/>
          <w:szCs w:val="18"/>
          <w:color w:val="auto"/>
        </w:rPr>
      </w:pPr>
    </w:p>
    <w:p>
      <w:pPr>
        <w:ind w:left="660" w:right="240" w:hanging="652"/>
        <w:spacing w:after="0" w:line="253"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May 2, 2026, the availability under the ABL Facility was limited by our borrowing base of $717 million, less outstanding borrowings of $15 million and letters of credit of $17 million. For the reporting period ended January 31, 2026, the availability was limited by our borrowing base of $606 million, less letters of credit of $17 million. For the reporting period ended May 3, 2025, the availability under the ABL Facility was limited by our borrowing base of $631 million, less outstanding borrowings of $105 million and letters of credit of $17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the first quarter of 2026 and 2025: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First Quarter</w:t>
            </w:r>
          </w:p>
        </w:tc>
        <w:tc>
          <w:tcPr>
            <w:tcW w:w="96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used for operating activities reflects net income (loss) adjusted for non-cash items, including depreciation and amortization, share-based compensation expense and deferred tax expense, as well as changes in working capital. Net cash used for operating activities in the first quarter of 2026 was $137 million, a decrease in net cash flows used for operating activities of $13 million compared to the first quarter of 2025. The decrease in net cash flows used for operating activities in the first quarter of 2026 was primarily driven by an increase in net income of $54 million, net of the non-cash items noted above, partially offset by higher net operating cash outflows associated with working capital changes of $38 million. The most significant working capital driver resulting in the increase in net operating cash outflows in the first quarter of 2026 compared to the first quarter of 2025 is related to the timing of payments for the increase in inventory levels. The increase in inventory levels is primarily related to continued growth in the international channel and our European distribution center, as well as increased average unit costs driven by tariffs.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2026 was $54 million, consisting solely of capital expenditures. The capital expenditures were primarily related to our store capital program and the customer experience, along with investments in technology and logistics to support our strategic initiatives to drive growth and operating efficiencies.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in the first quarter of 2025 was $43 million, consisting solely of capital expenditures. The capital expenditures were primarily related to our store capital program and investments in technology and logistics related to our strategic initiatives to drive growth and support productivity.</w:t>
      </w:r>
    </w:p>
    <w:p>
      <w:pPr>
        <w:spacing w:after="0" w:line="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estimate capital expenditures in the range of $220 million to $240 million in fiscal year 2026. We expect that our capital expenditures will be focused on investing in our store capital program and the customer experience, along with investments in technology and logistics to support our strategic initiatives to drive growth and operating efficiencies.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Net cash used for financing activities in the first quarter of 2026 was $121 million, consisting primarily of $100 million of share repurchases, $40 million of repayments under the ABL Facility and $28 million of payments for taxes on share-based compensation awards issued, partially offset by borrowings of $55 million under the ABL Facility.</w:t>
      </w:r>
    </w:p>
    <w:p>
      <w:pPr>
        <w:spacing w:after="0" w:line="5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in the first quarter of 2025 was $106 million, consisting primarily of borrowings of $160 million under the ABL Facility, partially offset by $55 million of repayments under the ABL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w:t>
      </w:r>
    </w:p>
    <w:p>
      <w:pPr>
        <w:spacing w:after="0" w:line="9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Our Board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any share repurchases. Once authorized by our Board, the timing and amount of any share repurchases are made at our discretion, taking into account a number of factors, including market conditions.</w:t>
      </w:r>
    </w:p>
    <w:p>
      <w:pPr>
        <w:spacing w:after="0" w:line="5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March 2024, our Board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repurchased the following shares of our common stock under the March 2024 Share Repurchase Program during the first quarter of 2026:</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00" w:type="dxa"/>
            <w:vAlign w:val="bottom"/>
          </w:tcPr>
          <w:p>
            <w:pPr>
              <w:spacing w:after="0"/>
              <w:rPr>
                <w:sz w:val="16"/>
                <w:szCs w:val="16"/>
                <w:color w:val="auto"/>
              </w:rPr>
            </w:pPr>
          </w:p>
        </w:tc>
        <w:tc>
          <w:tcPr>
            <w:tcW w:w="15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 Authorized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Repurchased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Repurchased</w:t>
            </w:r>
          </w:p>
        </w:tc>
        <w:tc>
          <w:tcPr>
            <w:tcW w:w="1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Average Stock Price</w:t>
            </w:r>
          </w:p>
        </w:tc>
      </w:tr>
      <w:tr>
        <w:trPr>
          <w:trHeight w:val="23"/>
        </w:trPr>
        <w:tc>
          <w:tcPr>
            <w:tcW w:w="5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 Share Repurchase Program</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45.27</w:t>
            </w:r>
          </w:p>
        </w:tc>
      </w:tr>
    </w:tbl>
    <w:p>
      <w:pPr>
        <w:spacing w:after="0" w:line="1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Shares repurchased under the March 2024 Share Repurchase Program were retired upon repurchase. As a result, in the first quarter of 2026 we retired 2.2 million shares repurchased under the March 2024 Share Repurchase Program, which resulted in reductions of less than $1 million in the par value of Common Stock, $9 million in Paid-in Capital and $91 million in Retained Earnings.</w:t>
      </w:r>
    </w:p>
    <w:p>
      <w:pPr>
        <w:spacing w:after="0" w:line="41" w:lineRule="exact"/>
        <w:rPr>
          <w:sz w:val="20"/>
          <w:szCs w:val="20"/>
          <w:color w:val="auto"/>
        </w:rPr>
      </w:pPr>
    </w:p>
    <w:p>
      <w:pPr>
        <w:ind w:right="720"/>
        <w:spacing w:after="0" w:line="367" w:lineRule="auto"/>
        <w:rPr>
          <w:sz w:val="20"/>
          <w:szCs w:val="20"/>
          <w:color w:val="auto"/>
        </w:rPr>
      </w:pPr>
      <w:r>
        <w:rPr>
          <w:rFonts w:ascii="Times New Roman" w:cs="Times New Roman" w:eastAsia="Times New Roman" w:hAnsi="Times New Roman"/>
          <w:sz w:val="18"/>
          <w:szCs w:val="18"/>
          <w:color w:val="auto"/>
        </w:rPr>
        <w:t xml:space="preserve">As of May 2, 2026, we were authorized to repurchase up to $150 million of our common stock under the March 2024 Share Repurchase Program. </w:t>
      </w:r>
      <w:r>
        <w:rPr>
          <w:rFonts w:ascii="Times New Roman" w:cs="Times New Roman" w:eastAsia="Times New Roman" w:hAnsi="Times New Roman"/>
          <w:sz w:val="18"/>
          <w:szCs w:val="18"/>
          <w:b w:val="1"/>
          <w:bCs w:val="1"/>
          <w:color w:val="auto"/>
        </w:rPr>
        <w:t>Dividend Policy and Procedures</w:t>
      </w:r>
    </w:p>
    <w:p>
      <w:pPr>
        <w:spacing w:after="0" w:line="1"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We would use cash flow generated from operating and financing activities to fund our dividends.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 2026, January 31, 2026 and May 3,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280" w:type="dxa"/>
            <w:vAlign w:val="bottom"/>
          </w:tcPr>
          <w:p>
            <w:pPr>
              <w:spacing w:after="0"/>
              <w:rPr>
                <w:sz w:val="13"/>
                <w:szCs w:val="13"/>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$382 million Term Loan due August 2028 (“Term Loan Facility”)</w:t>
            </w:r>
          </w:p>
        </w:tc>
        <w:tc>
          <w:tcPr>
            <w:tcW w:w="94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9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9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94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$6 million and $8 million for the first quarter of 2026 and 2025,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2029 Notes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We are required to make quarterly principal payments on the Term Loan Facility in an amount equal to 0.25% of the original principal amount of $400 million. We made principal payments for the Term Loan Facility of $1 million during both the first quarter of 2026 and 2025.</w:t>
      </w:r>
    </w:p>
    <w:p>
      <w:pPr>
        <w:spacing w:after="0" w:line="4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Term SOFR or an alternative base rate, plus an applicable interest rate (i) in the case of loans bearing interest based on Term SOFR, equal to 2.75% and (ii) in the case of alternate base rate loans, equal to 1.75%.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under the ABL Facility, subject to customary exceptions. As of May 2, 2026, the interest rate on the loans under the Term Loan Facility was 6.42%.</w:t>
      </w:r>
    </w:p>
    <w:p>
      <w:pPr>
        <w:spacing w:after="0" w:line="6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also have a senior secured asset-based revolving credit facility, which will mature on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The ABL Facility allows for borrowings and letters of credit in U.S. dollars or Canadian dollars and has aggregate commitments of $750 million.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w:t>
      </w:r>
    </w:p>
    <w:p>
      <w:pPr>
        <w:spacing w:after="0" w:line="6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Interest on the loans under the ABL Facility is calculated by reference to Term SOFR or Term CORRA or an alternative base rate, plus an interest rate margin (i) in the case of Term SOFR or Term CORRA, ranging from 1.50% to 1.75%, and (ii) in the case of alternate base rate loans and Canadian base rate loans, ranging from 0.50% to 0.75%.</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borrowed $55 million and $160 million from the ABL Facility during the first quarter of 2026 and 2025, respectively, and made repayments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 million and $55 million under the ABL Facility during the first quarter of 2026 and 2025, respectively. As of May 2, 2026, there were borrowings of</w:t>
      </w:r>
    </w:p>
    <w:p>
      <w:pPr>
        <w:spacing w:after="0" w:line="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$15 million outstanding under the ABL Facility and the interest rate on the borrowings was 7.15%. We had $17 million of outstanding letters of credit as of May 2, 2026 that further reduced our availability under the ABL Facility. As of May 2, 2026, our remaining availability under the ABL Facility was $685 million.</w:t>
      </w:r>
    </w:p>
    <w:p>
      <w:pPr>
        <w:spacing w:after="0" w:line="6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May 2, 2026, we were in compliance with all covenants under our long-term debt and borrowing facilities.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May 2, 2026:</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38"/>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46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Except with respect to the additional $15 million of outstanding borrowings under the ABL Facility as of May 2, 2026, there have been no material changes in our contractual obligations since January 31, 2026, as discussed in “Contingent Liabilities and Contractual Obligations” in our 2025 Annual Report on Form 10-K.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did not adopt any new accounting standards during the first quarter of 2026 that had a material impact on our results of operations, financial position or cash flows.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which is intended to modernize the accounting for internal-use software costs, primarily by removing 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We are currently evaluating the impacts of adopting this standard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66" w:lineRule="exact"/>
        <w:rPr>
          <w:sz w:val="20"/>
          <w:szCs w:val="20"/>
          <w:color w:val="auto"/>
        </w:rPr>
      </w:pPr>
    </w:p>
    <w:p>
      <w:pPr>
        <w:ind w:right="1260"/>
        <w:spacing w:after="0" w:line="470"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critical accounting policies and estimates disclosed in our 2025 Annual Report on Form 10-K. </w:t>
      </w:r>
      <w:r>
        <w:rPr>
          <w:rFonts w:ascii="Times New Roman" w:cs="Times New Roman" w:eastAsia="Times New Roman" w:hAnsi="Times New Roman"/>
          <w:sz w:val="18"/>
          <w:szCs w:val="18"/>
          <w:b w:val="1"/>
          <w:bCs w:val="1"/>
          <w:color w:val="auto"/>
        </w:rPr>
        <w:t>Item 3. QUANTITATIVE AND QUALITATIVE DISCLOSURES ABOUT MARKET RISK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or speculative purposes.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have operations and investments in foreign countries which expose us to market risk associated with foreign currency exchange rate fluctuations. Our Canadian dollar, Chinese Yuan and Euro denominated earnings are subject to exchange rate risk as substantially all our merchandise sold in Canada and Europe and a portion of our merchandise sold in China is sourced through U.S. dollar transactions. Although we utilize foreign currency forward contracts to partially offset risks associated with our operations in Europe, these measures may not succeed in offsetting all the short-term impact of foreign currency rate movements and generally may not be effective in offsetting the long-term impact of sustained shifts in foreign currency rates.</w:t>
      </w:r>
    </w:p>
    <w:p>
      <w:pPr>
        <w:spacing w:after="0" w:line="62"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credit quality standards and maturity profiles and limits credit exposure to any single issuer. The primary objective of our investment activities is the preservation of principal, the maintenance of liquidity and the maximization of interest income while minimizing risk. As of May 2, 2026, our investment portfolio was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6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Our outstanding long-term debt as of May 2, 2026 consists of the 2029 Notes, which have a fixed interest rate, the $382 million in outstanding borrowings under the Term Loan Facility, which has a variable interest rate based on Term SOFR, and the $15 million in outstanding borrowings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May 2, 2026, January 31, 2026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3, 2025: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920" w:type="dxa"/>
            <w:vAlign w:val="bottom"/>
          </w:tcPr>
          <w:p>
            <w:pPr>
              <w:jc w:val="center"/>
              <w:ind w:left="342"/>
              <w:spacing w:after="0"/>
              <w:rPr>
                <w:sz w:val="20"/>
                <w:szCs w:val="20"/>
                <w:color w:val="auto"/>
              </w:rPr>
            </w:pPr>
            <w:r>
              <w:rPr>
                <w:rFonts w:ascii="Times New Roman" w:cs="Times New Roman" w:eastAsia="Times New Roman" w:hAnsi="Times New Roman"/>
                <w:sz w:val="14"/>
                <w:szCs w:val="14"/>
                <w:b w:val="1"/>
                <w:bCs w:val="1"/>
                <w:color w:val="auto"/>
              </w:rPr>
              <w:t>May 2,</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360" w:type="dxa"/>
            <w:vAlign w:val="bottom"/>
          </w:tcPr>
          <w:p>
            <w:pPr>
              <w:spacing w:after="0"/>
              <w:rPr>
                <w:sz w:val="13"/>
                <w:szCs w:val="13"/>
                <w:color w:val="auto"/>
              </w:rPr>
            </w:pPr>
          </w:p>
        </w:tc>
        <w:tc>
          <w:tcPr>
            <w:tcW w:w="104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May 3,</w:t>
            </w:r>
          </w:p>
        </w:tc>
      </w:tr>
      <w:tr>
        <w:trPr>
          <w:trHeight w:val="196"/>
        </w:trPr>
        <w:tc>
          <w:tcPr>
            <w:tcW w:w="7000" w:type="dxa"/>
            <w:vAlign w:val="bottom"/>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3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7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920" w:type="dxa"/>
            <w:vAlign w:val="bottom"/>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983</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9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971</w:t>
            </w:r>
          </w:p>
        </w:tc>
        <w:tc>
          <w:tcPr>
            <w:tcW w:w="3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jc w:val="both"/>
        <w:ind w:left="340" w:right="360" w:hanging="332"/>
        <w:spacing w:after="0" w:line="266" w:lineRule="auto"/>
        <w:tabs>
          <w:tab w:leader="none" w:pos="33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As of May 2, 2026, we believe that the carrying values of accounts receivable, accounts payable and accrued expenses approximate fair value because of their short maturity. We further believe the principal value of the outstanding debt under the ABL Facility approximates its fair value as of May 2, 2026, January 31, 2026 and May 3, 2025 based on the terms of the borrowings from the ABL Facility.</w:t>
      </w:r>
    </w:p>
    <w:p>
      <w:pPr>
        <w:spacing w:after="0" w:line="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Designated Cash Flow Hedges recognized at fair value on a recurring basis as of May 2, 2026, January 31, 2026 and May 3, 2025 (in millions):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0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May 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gridSpan w:val="3"/>
          </w:tcPr>
          <w:p>
            <w:pPr>
              <w:jc w:val="center"/>
              <w:ind w:right="53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110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May 3,</w:t>
            </w:r>
          </w:p>
        </w:tc>
        <w:tc>
          <w:tcPr>
            <w:tcW w:w="0" w:type="dxa"/>
            <w:vAlign w:val="bottom"/>
          </w:tcPr>
          <w:p>
            <w:pPr>
              <w:spacing w:after="0"/>
              <w:rPr>
                <w:sz w:val="1"/>
                <w:szCs w:val="1"/>
                <w:color w:val="auto"/>
              </w:rPr>
            </w:pPr>
          </w:p>
        </w:tc>
      </w:tr>
      <w:tr>
        <w:trPr>
          <w:trHeight w:val="196"/>
        </w:trPr>
        <w:tc>
          <w:tcPr>
            <w:tcW w:w="5080" w:type="dxa"/>
            <w:vAlign w:val="bottom"/>
          </w:tcPr>
          <w:p>
            <w:pPr>
              <w:spacing w:after="0"/>
              <w:rPr>
                <w:sz w:val="17"/>
                <w:szCs w:val="17"/>
                <w:color w:val="auto"/>
              </w:rPr>
            </w:pPr>
          </w:p>
        </w:tc>
        <w:tc>
          <w:tcPr>
            <w:tcW w:w="1780" w:type="dxa"/>
            <w:vAlign w:val="bottom"/>
            <w:gridSpan w:val="2"/>
            <w:vMerge w:val="continue"/>
          </w:tcPr>
          <w:p>
            <w:pPr>
              <w:spacing w:after="0"/>
              <w:rPr>
                <w:sz w:val="17"/>
                <w:szCs w:val="17"/>
                <w:color w:val="auto"/>
              </w:rPr>
            </w:pPr>
          </w:p>
        </w:tc>
        <w:tc>
          <w:tcPr>
            <w:tcW w:w="10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Cash Flow Hedge Assets</w:t>
            </w: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 xml:space="preserve">The estimated fair values of the Designated Cash Flow Hedges were determined using the market approach, which utilizes observable market inputs, including spot and forward currency exchange rates. These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and derivative contracts with various major financial institutions. We monitor the relative credit standing of financial institutions with whom we transact and limit the amount of credit exposure with any one entity. As of May 2, 2026, our investment portfolio was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our Chief Financial and Operating Officer, of the effectiveness of the design and operation of our disclosure controls and procedures, as such term is defined in Rules 13a-15(e) and 15d-15(e) of the Securities Exchange Act of 1934, as amended (the “Exchange Act”). Based upon that evaluation, our Chief Executive Officer and our Chief Financial and Operating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our Chief Financial and Operating Officer, to allow timely decisions regarding required disclosure.</w:t>
      </w:r>
    </w:p>
    <w:p>
      <w:pPr>
        <w:spacing w:after="0" w:line="50" w:lineRule="exact"/>
        <w:rPr>
          <w:sz w:val="20"/>
          <w:szCs w:val="20"/>
          <w:color w:val="auto"/>
        </w:rPr>
      </w:pPr>
    </w:p>
    <w:p>
      <w:pPr>
        <w:ind w:right="8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first quarter of 2026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2025 Annual Report on Form 10-K. There have been no material changes to the risk factors from those described in the 2025 Annual Report on Form 10-K. We wish to caution the reader that the risk factors discussed in “Item 1A. Risk Factors” in our 2025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first quarter of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jc w:val="right"/>
              <w:ind w:right="1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1, 2026 - February 28, 2026 (“February 2026”)</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57.86</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 2026 - April 4, 2026 (“March 2026”)</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tcPr>
          <w:p>
            <w:pPr>
              <w:spacing w:after="0"/>
              <w:rPr>
                <w:sz w:val="19"/>
                <w:szCs w:val="19"/>
                <w:color w:val="auto"/>
              </w:rPr>
            </w:pP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2,208</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5, 2026 - May 2, 2026 (“April 2026”)</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2,208</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540" w:hanging="652"/>
        <w:spacing w:after="0" w:line="255"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March 2024 Share Repurchase Program, which was announced on March 6, 2024, authorizes the purchase of up to $250 million of our common stock, subject to market conditions and other factors. The March 2024 Share Repurchase Program is open-ended in term and will continue until exhausted.</w:t>
      </w:r>
    </w:p>
    <w:p>
      <w:pPr>
        <w:spacing w:after="0" w:line="2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3"/>
            <w:shd w:val="clear" w:color="auto" w:fill="CCEEFF"/>
          </w:tcPr>
          <w:p>
            <w:pPr>
              <w:jc w:val="right"/>
              <w:ind w:right="880"/>
              <w:spacing w:after="0"/>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June 14, 2024).</w:t>
            </w:r>
          </w:p>
        </w:tc>
      </w:tr>
      <w:tr>
        <w:trPr>
          <w:trHeight w:val="243"/>
        </w:trPr>
        <w:tc>
          <w:tcPr>
            <w:tcW w:w="1340" w:type="dxa"/>
            <w:vAlign w:val="bottom"/>
            <w:gridSpan w:val="3"/>
          </w:tcPr>
          <w:p>
            <w:pPr>
              <w:jc w:val="right"/>
              <w:ind w:right="880"/>
              <w:spacing w:after="0"/>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1340" w:type="dxa"/>
            <w:vAlign w:val="bottom"/>
            <w:gridSpan w:val="3"/>
            <w:shd w:val="clear" w:color="auto" w:fill="CCEEFF"/>
          </w:tcPr>
          <w:p>
            <w:pPr>
              <w:jc w:val="right"/>
              <w:ind w:right="880"/>
              <w:spacing w:after="0" w:line="189"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Certificate of Designations of Series A Preferred Stock of Victoria’s Secret &amp; Co. (incorporated by reference to Exhibit 3.1 to</w:t>
            </w:r>
          </w:p>
        </w:tc>
      </w:tr>
      <w:tr>
        <w:trPr>
          <w:trHeight w:val="210"/>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the Company’s Current Report on Form 8-K filed on May 20, 2025).</w:t>
            </w:r>
          </w:p>
        </w:tc>
      </w:tr>
      <w:tr>
        <w:trPr>
          <w:trHeight w:val="243"/>
        </w:trPr>
        <w:tc>
          <w:tcPr>
            <w:tcW w:w="134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Executive Severance Agreement by and between VS Service Company, LLC and Lucrecia Borgonovo, dated as of January 23,</w:t>
            </w:r>
          </w:p>
        </w:tc>
      </w:tr>
      <w:tr>
        <w:trPr>
          <w:trHeight w:val="214"/>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2026.</w:t>
            </w:r>
          </w:p>
        </w:tc>
      </w:tr>
      <w:tr>
        <w:trPr>
          <w:trHeight w:val="49"/>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80"/>
              <w:spacing w:after="0" w:line="189" w:lineRule="exact"/>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21"/>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120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880"/>
              <w:spacing w:after="0" w:line="189" w:lineRule="exact"/>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34"/>
        </w:trPr>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63"/>
        </w:trPr>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80" w:type="dxa"/>
            <w:vAlign w:val="bottom"/>
          </w:tcPr>
          <w:p>
            <w:pPr>
              <w:spacing w:after="0"/>
              <w:rPr>
                <w:sz w:val="5"/>
                <w:szCs w:val="5"/>
                <w:color w:val="auto"/>
              </w:rPr>
            </w:pPr>
          </w:p>
        </w:tc>
        <w:tc>
          <w:tcPr>
            <w:tcW w:w="9860" w:type="dxa"/>
            <w:vAlign w:val="bottom"/>
          </w:tcPr>
          <w:p>
            <w:pPr>
              <w:spacing w:after="0"/>
              <w:rPr>
                <w:sz w:val="5"/>
                <w:szCs w:val="5"/>
                <w:color w:val="auto"/>
              </w:rPr>
            </w:pPr>
          </w:p>
        </w:tc>
      </w:tr>
      <w:tr>
        <w:trPr>
          <w:trHeight w:val="229"/>
        </w:trPr>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84"/>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283"/>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84"/>
        </w:trPr>
        <w:tc>
          <w:tcPr>
            <w:tcW w:w="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tcPr>
          <w:p>
            <w:pPr>
              <w:spacing w:after="0"/>
              <w:rPr>
                <w:sz w:val="24"/>
                <w:szCs w:val="24"/>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Scott Sekella</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90" w:lineRule="exact"/>
        <w:rPr>
          <w:sz w:val="20"/>
          <w:szCs w:val="20"/>
          <w:color w:val="auto"/>
        </w:rPr>
      </w:pPr>
    </w:p>
    <w:p>
      <w:pPr>
        <w:ind w:left="420" w:hanging="412"/>
        <w:spacing w:after="0" w:line="282" w:lineRule="auto"/>
        <w:tabs>
          <w:tab w:leader="none" w:pos="2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Sekella is the principal financial officer and the principal accounting officer of the Registrant and has been 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118" w:right="45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7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EXECUTIVE SEVERANCE AGREEMENT</w:t>
      </w:r>
    </w:p>
    <w:p>
      <w:pPr>
        <w:spacing w:after="0" w:line="243"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THIS EXECUTIVE SEVERANCE AGREEMENT (this “Agreement”) is made and effective as of the first day of employment (the “Effective Date”), by and between the Company and LUCRECIA BORGONOVO (the “Executive”) (hereinafter collectively referred to as the “Parties”).</w:t>
      </w:r>
    </w:p>
    <w:p>
      <w:pPr>
        <w:spacing w:after="0" w:line="202" w:lineRule="exact"/>
        <w:rPr>
          <w:sz w:val="20"/>
          <w:szCs w:val="20"/>
          <w:color w:val="auto"/>
        </w:rPr>
      </w:pPr>
    </w:p>
    <w:p>
      <w:pPr>
        <w:ind w:left="20" w:right="560" w:firstLine="648"/>
        <w:spacing w:after="0" w:line="282" w:lineRule="auto"/>
        <w:rPr>
          <w:sz w:val="20"/>
          <w:szCs w:val="20"/>
          <w:color w:val="auto"/>
        </w:rPr>
      </w:pPr>
      <w:r>
        <w:rPr>
          <w:rFonts w:ascii="Times New Roman" w:cs="Times New Roman" w:eastAsia="Times New Roman" w:hAnsi="Times New Roman"/>
          <w:sz w:val="18"/>
          <w:szCs w:val="18"/>
          <w:color w:val="auto"/>
        </w:rPr>
        <w:t>WHEREAS, the Executive will serve as a key employee of the Company and the Executive’s services and knowledge are valuable to the Company; and</w:t>
      </w:r>
    </w:p>
    <w:p>
      <w:pPr>
        <w:spacing w:after="0" w:line="202"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WHEREAS, in consideration of the Executive’s hire and continued employment, the Company has determined that it is in its best interests to provide the Executive with the severance protections in accordance with the terms and conditions of this Agreement.</w:t>
      </w:r>
    </w:p>
    <w:p>
      <w:pPr>
        <w:spacing w:after="0" w:line="189"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in view of the promises and other good and valuable consideration described in this Agreement (the sufficiency and receipt of which are hereby acknowledged) the Parties agree as follows:</w:t>
      </w:r>
    </w:p>
    <w:p>
      <w:pPr>
        <w:spacing w:after="0" w:line="202" w:lineRule="exact"/>
        <w:rPr>
          <w:sz w:val="20"/>
          <w:szCs w:val="20"/>
          <w:color w:val="auto"/>
        </w:rPr>
      </w:pPr>
    </w:p>
    <w:p>
      <w:pPr>
        <w:jc w:val="both"/>
        <w:ind w:right="100" w:firstLine="639"/>
        <w:spacing w:after="0" w:line="261" w:lineRule="auto"/>
        <w:tabs>
          <w:tab w:leader="none" w:pos="11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Effective Date and Term of this Agreement</w:t>
      </w:r>
      <w:r>
        <w:rPr>
          <w:rFonts w:ascii="Times New Roman" w:cs="Times New Roman" w:eastAsia="Times New Roman" w:hAnsi="Times New Roman"/>
          <w:sz w:val="18"/>
          <w:szCs w:val="18"/>
          <w:color w:val="auto"/>
        </w:rPr>
        <w:t>. This Agreement shall be effective on the Effective Date and will remain in effect unless and until (i) the Executive’s employment with the Company is terminated by either Party in accordance with Section 2, and (ii) all payments and/or benefits to which the Executive is entitled under this Agreement, if any, have been made or provided to the Executive in accordance with the terms of this Agreement.</w:t>
      </w:r>
    </w:p>
    <w:p>
      <w:pPr>
        <w:spacing w:after="0" w:line="206"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jc w:val="both"/>
        <w:ind w:right="220" w:firstLine="1287"/>
        <w:spacing w:after="0" w:line="255" w:lineRule="auto"/>
        <w:tabs>
          <w:tab w:leader="none" w:pos="179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with the Company shall terminate upon the earlier of: (i) thirty (30) days after the Executive provides a written Notice of Termination of his resignation for any reason other than for Good Reason; (ii) thirty (30) days following the Executive providing a Notice of Termination indicating the existence of a condition constituting Good Reason other than to the extent that such condition is cured; (iii) immediately upon the Executive’s Disability or death; (iv) thirty (30) days after the Executive receives written Notice of Termination from the Company of his Termination without Cause; or (v) the date set forth in the Notice of Termination from the Company of the Executive’s termination of employment with the Company for Cause (collectively, the earliest of such dates being the “Termination Date”). The Company may elect to pay the Executive in lieu of the thirty (30) days’ written notice but will still deliver a Notice of Termination.</w:t>
      </w:r>
    </w:p>
    <w:p>
      <w:pPr>
        <w:spacing w:after="0" w:line="229" w:lineRule="exact"/>
        <w:rPr>
          <w:rFonts w:ascii="Times New Roman" w:cs="Times New Roman" w:eastAsia="Times New Roman" w:hAnsi="Times New Roman"/>
          <w:sz w:val="18"/>
          <w:szCs w:val="18"/>
          <w:color w:val="auto"/>
        </w:rPr>
      </w:pPr>
    </w:p>
    <w:p>
      <w:pPr>
        <w:jc w:val="both"/>
        <w:ind w:right="220" w:firstLine="1287"/>
        <w:spacing w:after="0" w:line="256" w:lineRule="auto"/>
        <w:tabs>
          <w:tab w:leader="none" w:pos="178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Board of Directors of VS&amp;Co, any termination of the Executive’s employment with the Company will constitute, as applicable, an automatic resignation of him: (i) as an officer of VS&amp;Co and the other Company Parties; (ii) from the board of directors or board of managers (or similar governing body) of the Company Parties; and (iii) from the board of directors or board of managers (or similar governing body) of any corporation or other entity in which any of the Company Parties holds an equity interest and with respect to which board of directors or board of managers (or similar governing body) he serves as such Company Party’s designee or other representative. The Executive agrees to take any further actions that the Company Parties reasonably request to effectuate or document the foregoing.</w:t>
      </w:r>
    </w:p>
    <w:p>
      <w:pPr>
        <w:spacing w:after="0" w:line="214" w:lineRule="exact"/>
        <w:rPr>
          <w:rFonts w:ascii="Times New Roman" w:cs="Times New Roman" w:eastAsia="Times New Roman" w:hAnsi="Times New Roman"/>
          <w:sz w:val="18"/>
          <w:szCs w:val="18"/>
          <w:color w:val="auto"/>
        </w:rPr>
      </w:pPr>
    </w:p>
    <w:p>
      <w:pPr>
        <w:ind w:left="1280" w:hanging="641"/>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Non-Qualifying Termination</w:t>
      </w:r>
      <w:r>
        <w:rPr>
          <w:rFonts w:ascii="Times New Roman" w:cs="Times New Roman" w:eastAsia="Times New Roman" w:hAnsi="Times New Roman"/>
          <w:sz w:val="18"/>
          <w:szCs w:val="18"/>
          <w:color w:val="auto"/>
        </w:rPr>
        <w:t>.</w:t>
      </w:r>
    </w:p>
    <w:p>
      <w:pPr>
        <w:spacing w:after="0" w:line="90" w:lineRule="exact"/>
        <w:rPr>
          <w:rFonts w:ascii="Times New Roman" w:cs="Times New Roman" w:eastAsia="Times New Roman" w:hAnsi="Times New Roman"/>
          <w:sz w:val="18"/>
          <w:szCs w:val="18"/>
          <w:color w:val="auto"/>
        </w:rPr>
      </w:pPr>
    </w:p>
    <w:p>
      <w:pPr>
        <w:jc w:val="both"/>
        <w:ind w:right="220" w:firstLine="1287"/>
        <w:spacing w:after="0" w:line="266" w:lineRule="auto"/>
        <w:tabs>
          <w:tab w:leader="none" w:pos="1793"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Executive’s employment is terminated by the Company for Cause, the Company’s sole obligation shall be to pay the Executive the Accrued Amounts and the Executive shall not be entitled to severance benefits under this Agreement or any other agreement or severance plan, policy or program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480" w:top="1413" w:right="339" w:bottom="1440" w:gutter="0" w:footer="0" w:header="0"/>
        </w:sectPr>
      </w:pPr>
    </w:p>
    <w:bookmarkStart w:id="34" w:name="page35"/>
    <w:bookmarkEnd w:id="34"/>
    <w:p>
      <w:pPr>
        <w:jc w:val="both"/>
        <w:ind w:left="-60" w:firstLine="1287"/>
        <w:spacing w:after="0" w:line="256" w:lineRule="auto"/>
        <w:tabs>
          <w:tab w:leader="none" w:pos="172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to the extent that the Executive experiences a Termination for any reason while a Company-led internal investigation into facts that could reasonably give rise to the Executive’s Termination for Cause is pending: (i) the Executive shall not be entitled to receive any severance benefits under this Agreement (other than the Accrued Amounts) or any other agreement or severance plan, policy or program of the Company (or any of its affiliates); and (ii) the Executive shall not be entitled to vest in or receive any Variable Compensation, in either case, unless and until the Company concludes its investigation with a finding that grounds for a Termination for Cause did not in fact exist, and only to the extent provided for under the terms of the applicable agreement, plan, policy or program.</w:t>
      </w:r>
    </w:p>
    <w:p>
      <w:pPr>
        <w:spacing w:after="0" w:line="295" w:lineRule="exact"/>
        <w:rPr>
          <w:rFonts w:ascii="Times New Roman" w:cs="Times New Roman" w:eastAsia="Times New Roman" w:hAnsi="Times New Roman"/>
          <w:sz w:val="18"/>
          <w:szCs w:val="18"/>
          <w:color w:val="auto"/>
        </w:rPr>
      </w:pPr>
    </w:p>
    <w:p>
      <w:pPr>
        <w:ind w:left="-60" w:firstLine="1288"/>
        <w:spacing w:after="0" w:line="282" w:lineRule="auto"/>
        <w:tabs>
          <w:tab w:leader="none" w:pos="173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experiences a Termination by reason of the Executive’s death or if the Executive gives the Company a written Notice of Termination other than for Good Reason, the Company’s sole obligation shall be to pay the Executive the Accrued Amounts.</w:t>
      </w:r>
    </w:p>
    <w:p>
      <w:pPr>
        <w:spacing w:after="0" w:line="202" w:lineRule="exact"/>
        <w:rPr>
          <w:rFonts w:ascii="Times New Roman" w:cs="Times New Roman" w:eastAsia="Times New Roman" w:hAnsi="Times New Roman"/>
          <w:sz w:val="18"/>
          <w:szCs w:val="18"/>
          <w:color w:val="auto"/>
        </w:rPr>
      </w:pPr>
    </w:p>
    <w:p>
      <w:pPr>
        <w:jc w:val="both"/>
        <w:ind w:left="-60" w:firstLine="1288"/>
        <w:spacing w:after="0" w:line="266" w:lineRule="auto"/>
        <w:tabs>
          <w:tab w:leader="none" w:pos="172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experiences a Termination by reason of the Executive’s Disability, the Company’s sole obligation shall be to pay the Executive the Accrued Amounts and the Executive shall be entitled to receive disability benefits available under the long-term disability plan maintained by the Company or its affiliate, to the extent applicable.</w:t>
      </w:r>
    </w:p>
    <w:p>
      <w:pPr>
        <w:spacing w:after="0" w:line="216" w:lineRule="exact"/>
        <w:rPr>
          <w:rFonts w:ascii="Times New Roman" w:cs="Times New Roman" w:eastAsia="Times New Roman" w:hAnsi="Times New Roman"/>
          <w:sz w:val="18"/>
          <w:szCs w:val="18"/>
          <w:color w:val="auto"/>
        </w:rPr>
      </w:pPr>
    </w:p>
    <w:p>
      <w:pPr>
        <w:jc w:val="both"/>
        <w:ind w:left="-60" w:firstLine="640"/>
        <w:spacing w:after="0" w:line="266" w:lineRule="auto"/>
        <w:tabs>
          <w:tab w:leader="none" w:pos="108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Not Within the Protection Period</w:t>
      </w:r>
      <w:r>
        <w:rPr>
          <w:rFonts w:ascii="Times New Roman" w:cs="Times New Roman" w:eastAsia="Times New Roman" w:hAnsi="Times New Roman"/>
          <w:sz w:val="18"/>
          <w:szCs w:val="18"/>
          <w:color w:val="auto"/>
        </w:rPr>
        <w:t>. If the Executive experiences a Qualifying Termination not within the Protection Period, then, subject to Section 6, the Company will provide the Executive with the following (collectively, the “Severance Benefits”):</w:t>
      </w:r>
    </w:p>
    <w:p>
      <w:pPr>
        <w:spacing w:after="0" w:line="202" w:lineRule="exact"/>
        <w:rPr>
          <w:rFonts w:ascii="Times New Roman" w:cs="Times New Roman" w:eastAsia="Times New Roman" w:hAnsi="Times New Roman"/>
          <w:sz w:val="18"/>
          <w:szCs w:val="18"/>
          <w:color w:val="auto"/>
        </w:rPr>
      </w:pPr>
    </w:p>
    <w:p>
      <w:pPr>
        <w:ind w:left="1880" w:hanging="653"/>
        <w:spacing w:after="0"/>
        <w:tabs>
          <w:tab w:leader="none" w:pos="18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w:t>
      </w:r>
    </w:p>
    <w:p>
      <w:pPr>
        <w:spacing w:after="0" w:line="265" w:lineRule="exact"/>
        <w:rPr>
          <w:rFonts w:ascii="Times New Roman" w:cs="Times New Roman" w:eastAsia="Times New Roman" w:hAnsi="Times New Roman"/>
          <w:sz w:val="18"/>
          <w:szCs w:val="18"/>
          <w:color w:val="auto"/>
        </w:rPr>
      </w:pPr>
    </w:p>
    <w:p>
      <w:pPr>
        <w:jc w:val="both"/>
        <w:ind w:left="-60" w:firstLine="1288"/>
        <w:spacing w:after="0" w:line="256" w:lineRule="auto"/>
        <w:tabs>
          <w:tab w:leader="none" w:pos="172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continue to pay the Executive’s Base Salary for a period of two (2) years following the Qualifying Termination, less applicable withholding, payable as follows: (i) on the Company’s first regularly scheduled pay date falling on or after sixty (60) days after the Termination Date (the “First Payment Date”), the Company will pay the Executive, without interest, the number of missed payroll installments that would have been paid during the period beginning on the Termination Date and ending on the First Payment Date had the installments been paid on the Company’s regularly scheduled payroll dates, and (ii) each of the remaining installments shall be paid on the Company’s regularly scheduled pay dates during the remainder of such two (2)-year period;</w:t>
      </w:r>
    </w:p>
    <w:p>
      <w:pPr>
        <w:spacing w:after="0" w:line="227" w:lineRule="exact"/>
        <w:rPr>
          <w:rFonts w:ascii="Times New Roman" w:cs="Times New Roman" w:eastAsia="Times New Roman" w:hAnsi="Times New Roman"/>
          <w:sz w:val="18"/>
          <w:szCs w:val="18"/>
          <w:color w:val="auto"/>
        </w:rPr>
      </w:pPr>
    </w:p>
    <w:p>
      <w:pPr>
        <w:jc w:val="both"/>
        <w:ind w:left="-60" w:firstLine="1288"/>
        <w:spacing w:after="0" w:line="256" w:lineRule="auto"/>
        <w:tabs>
          <w:tab w:leader="none" w:pos="173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is participating in the Company’s medical and/or dental plan (collectively, the “Health Plans”) immediately prior to the Termination Date, the Company will make a lump sum payment, less applicable withholding, to the Executive in an amount equal to the difference, calculated on a monthly basis based on Executive’s coverage level as of the Termination Date, between the total premium as of the Termination Date for the Executive’s COBRA coverage and the Executive’s applicable contribution amount under the Health Plans for such coverage, multiplied by twenty-four (24) months. Such lump sum payment will be paid on the First Payment Date and is intended to assist the Executive with medical expenses and insurance premiums regardless of whether or not the Executive elects COBRA coverage after the Termination Date;</w:t>
      </w:r>
    </w:p>
    <w:p>
      <w:pPr>
        <w:spacing w:after="0" w:line="214" w:lineRule="exact"/>
        <w:rPr>
          <w:rFonts w:ascii="Times New Roman" w:cs="Times New Roman" w:eastAsia="Times New Roman" w:hAnsi="Times New Roman"/>
          <w:sz w:val="18"/>
          <w:szCs w:val="18"/>
          <w:color w:val="auto"/>
        </w:rPr>
      </w:pPr>
    </w:p>
    <w:p>
      <w:pPr>
        <w:jc w:val="both"/>
        <w:ind w:left="-60" w:firstLine="1287"/>
        <w:spacing w:after="0" w:line="246" w:lineRule="auto"/>
        <w:tabs>
          <w:tab w:leader="none" w:pos="1729"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pay the Executive, less applicable withholding, incentive compensation under the IC Plan, based on actual performance and subject to the terms of the IC Plan, with respect to the fiscal year and season during which the Termination Date occurs as well as the subsequent season. The foregoing payments shall be paid at the same time as payments under the IC Plan are typically paid, but in no event earlier than three (3) months following the Termination Date and in no event later than March 15th of the year following the year in which the applicable season or year is completed; and</w:t>
      </w:r>
    </w:p>
    <w:p>
      <w:pPr>
        <w:spacing w:after="0" w:line="208" w:lineRule="exact"/>
        <w:rPr>
          <w:rFonts w:ascii="Times New Roman" w:cs="Times New Roman" w:eastAsia="Times New Roman" w:hAnsi="Times New Roman"/>
          <w:sz w:val="18"/>
          <w:szCs w:val="18"/>
          <w:color w:val="auto"/>
        </w:rPr>
      </w:pPr>
    </w:p>
    <w:p>
      <w:pPr>
        <w:ind w:left="1880" w:hanging="653"/>
        <w:spacing w:after="0"/>
        <w:tabs>
          <w:tab w:leader="none" w:pos="18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treatment of any outstanding equity awards will be determined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00"/>
          </w:cols>
          <w:pgMar w:left="540" w:top="1336" w:right="559" w:bottom="1440" w:gutter="0" w:footer="0" w:header="0"/>
        </w:sectPr>
      </w:pPr>
    </w:p>
    <w:bookmarkStart w:id="35" w:name="page36"/>
    <w:bookmarkEnd w:id="35"/>
    <w:p>
      <w:pPr>
        <w:ind w:left="29" w:firstLine="1934"/>
        <w:spacing w:after="0" w:line="256" w:lineRule="auto"/>
        <w:tabs>
          <w:tab w:leader="none" w:pos="245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only based on the passage of time shall vest and be settled on the First Payment Date, which pro-rata vesting shall be determined by (A) multiplying (x) the number of shares subject to the award by (y) a fraction, the numerator of which is the number of complete months between the first day of the applicable time-based vesting period and the Termination Date, and the denominator of which is the aggregate number of months in the time-based vesting period, less (B) the number of shares subject to the award that had already vested pursuant to the award’s terms prior to the Termination Date, if any;</w:t>
      </w:r>
    </w:p>
    <w:p>
      <w:pPr>
        <w:spacing w:after="0" w:line="228" w:lineRule="exact"/>
        <w:rPr>
          <w:sz w:val="20"/>
          <w:szCs w:val="20"/>
          <w:color w:val="auto"/>
        </w:rPr>
      </w:pPr>
    </w:p>
    <w:p>
      <w:pPr>
        <w:jc w:val="both"/>
        <w:ind w:left="9" w:right="120" w:firstLine="1935"/>
        <w:spacing w:after="0" w:line="261" w:lineRule="auto"/>
        <w:tabs>
          <w:tab w:leader="none" w:pos="2456" w:val="left"/>
        </w:tabs>
        <w:numPr>
          <w:ilvl w:val="3"/>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portion of the outstanding unvested equity awards that are held by the Executive as of the Termination Date and vest based, at least in part, on the satisfaction of performance goals shall vest and be settled by the later of the First Payment Date and sixty</w:t>
      </w:r>
    </w:p>
    <w:p>
      <w:pPr>
        <w:jc w:val="both"/>
        <w:ind w:left="9" w:right="120" w:hanging="9"/>
        <w:spacing w:after="0" w:line="253" w:lineRule="auto"/>
        <w:tabs>
          <w:tab w:leader="none" w:pos="35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end of the applicable performance period, which pro-rata vesting shall be determined by (A) multiplying the number of shares that the Executive would have earned for the entire performance period based on the level of performance determined in accordance with the applicable plan and award agreements by (B) a fraction, the numerator of which is the number of complete months between the first day of the applicable performance period and the Termination Date, and the denominator of which is the aggregate number of months in the performance period;</w:t>
      </w:r>
    </w:p>
    <w:p>
      <w:pPr>
        <w:spacing w:after="0" w:line="296" w:lineRule="exact"/>
        <w:rPr>
          <w:rFonts w:ascii="Times New Roman" w:cs="Times New Roman" w:eastAsia="Times New Roman" w:hAnsi="Times New Roman"/>
          <w:sz w:val="18"/>
          <w:szCs w:val="18"/>
          <w:color w:val="auto"/>
        </w:rPr>
      </w:pPr>
    </w:p>
    <w:p>
      <w:pPr>
        <w:jc w:val="both"/>
        <w:ind w:left="9" w:right="120" w:firstLine="1935"/>
        <w:spacing w:after="0" w:line="261" w:lineRule="auto"/>
        <w:tabs>
          <w:tab w:leader="none" w:pos="2452"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outstanding unvested equity award that is held by the Executive as of the Termination Date would vest at a greater percentage under the terms of the applicable plan and award agreement than as provided for under Sections 4(e)(i)-(ii), the terms of such award agreement shall instead determine the number of shares covered by such equity award that will vest under this Section 4(e), subject to Sections 4(e)(iv)-(v);</w:t>
      </w:r>
    </w:p>
    <w:p>
      <w:pPr>
        <w:spacing w:after="0" w:line="220" w:lineRule="exact"/>
        <w:rPr>
          <w:rFonts w:ascii="Times New Roman" w:cs="Times New Roman" w:eastAsia="Times New Roman" w:hAnsi="Times New Roman"/>
          <w:sz w:val="18"/>
          <w:szCs w:val="18"/>
          <w:color w:val="auto"/>
        </w:rPr>
      </w:pPr>
    </w:p>
    <w:p>
      <w:pPr>
        <w:jc w:val="both"/>
        <w:ind w:left="9" w:right="120" w:firstLine="1935"/>
        <w:spacing w:after="0" w:line="258" w:lineRule="auto"/>
        <w:tabs>
          <w:tab w:leader="none" w:pos="2456"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no equity awards that are outstanding as of the Termination Date will be forfeited during the three (3)-month period commencing upon the Termination Date, provided, that, (x) to the extent a Change in Controloccurs during such three (3)-month period, any such equity awards that are outstanding and unvested as of the Change in Control will instead be treated in accordance with Section 5; and (y) to the extent a Change in Control does not occur during such three (3)-month period, any portion of the equity awards outstanding as of Termination Date that do not vest pursuant to Sections 4(e)(i)-(iii) shall be forfeited; and</w:t>
      </w:r>
    </w:p>
    <w:p>
      <w:pPr>
        <w:spacing w:after="0" w:line="210" w:lineRule="exact"/>
        <w:rPr>
          <w:rFonts w:ascii="Times New Roman" w:cs="Times New Roman" w:eastAsia="Times New Roman" w:hAnsi="Times New Roman"/>
          <w:sz w:val="18"/>
          <w:szCs w:val="18"/>
          <w:color w:val="auto"/>
        </w:rPr>
      </w:pPr>
    </w:p>
    <w:p>
      <w:pPr>
        <w:jc w:val="both"/>
        <w:ind w:left="9" w:right="120" w:firstLine="1936"/>
        <w:spacing w:after="0" w:line="266" w:lineRule="auto"/>
        <w:tabs>
          <w:tab w:leader="none" w:pos="2446" w:val="left"/>
        </w:tabs>
        <w:numPr>
          <w:ilvl w:val="3"/>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payment or settlement of any equity awards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w:t>
      </w:r>
    </w:p>
    <w:p>
      <w:pPr>
        <w:spacing w:after="0" w:line="216" w:lineRule="exact"/>
        <w:rPr>
          <w:rFonts w:ascii="Times New Roman" w:cs="Times New Roman" w:eastAsia="Times New Roman" w:hAnsi="Times New Roman"/>
          <w:sz w:val="18"/>
          <w:szCs w:val="18"/>
          <w:color w:val="auto"/>
        </w:rPr>
      </w:pPr>
    </w:p>
    <w:p>
      <w:pPr>
        <w:jc w:val="both"/>
        <w:ind w:left="9" w:right="120" w:firstLine="640"/>
        <w:spacing w:after="0" w:line="266" w:lineRule="auto"/>
        <w:tabs>
          <w:tab w:leader="none" w:pos="115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Upon a Qualifying Termination Within the Protection Period</w:t>
      </w:r>
      <w:r>
        <w:rPr>
          <w:rFonts w:ascii="Times New Roman" w:cs="Times New Roman" w:eastAsia="Times New Roman" w:hAnsi="Times New Roman"/>
          <w:sz w:val="18"/>
          <w:szCs w:val="18"/>
          <w:color w:val="auto"/>
        </w:rPr>
        <w:t>. If the Executive has a Qualifying Termination within the Protection Period, then, subject to Section 6, the Company will provide the Executive with the following (collectively, the “Change in Control Severance Benefits”):</w:t>
      </w:r>
    </w:p>
    <w:p>
      <w:pPr>
        <w:spacing w:after="0" w:line="216" w:lineRule="exact"/>
        <w:rPr>
          <w:rFonts w:ascii="Times New Roman" w:cs="Times New Roman" w:eastAsia="Times New Roman" w:hAnsi="Times New Roman"/>
          <w:sz w:val="18"/>
          <w:szCs w:val="18"/>
          <w:color w:val="auto"/>
        </w:rPr>
      </w:pPr>
    </w:p>
    <w:p>
      <w:pPr>
        <w:ind w:left="1789" w:hanging="474"/>
        <w:spacing w:after="0"/>
        <w:tabs>
          <w:tab w:leader="none" w:pos="1789"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payments and benefits described in Sections 4(a), (b), and (c);</w:t>
      </w:r>
    </w:p>
    <w:p>
      <w:pPr>
        <w:spacing w:after="0" w:line="252" w:lineRule="exact"/>
        <w:rPr>
          <w:rFonts w:ascii="Times New Roman" w:cs="Times New Roman" w:eastAsia="Times New Roman" w:hAnsi="Times New Roman"/>
          <w:sz w:val="18"/>
          <w:szCs w:val="18"/>
          <w:color w:val="auto"/>
        </w:rPr>
      </w:pPr>
    </w:p>
    <w:p>
      <w:pPr>
        <w:jc w:val="both"/>
        <w:ind w:left="9" w:right="120" w:firstLine="1288"/>
        <w:spacing w:after="0" w:line="261" w:lineRule="auto"/>
        <w:tabs>
          <w:tab w:leader="none" w:pos="1798"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sum of the incentive compensation payouts that the Executive actually received under the IC Plan for the four (4) completed seasons (with respect to seasonal performance periods) and two (2) completed years (with respect to annual performance periods) immediately preceding the Termination Date, which amount shall be paid, less applicable withholding, in a lump sum cash payment on the First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9"/>
          </w:cols>
          <w:pgMar w:left="471" w:top="1336" w:right="439" w:bottom="1440" w:gutter="0" w:footer="0" w:header="0"/>
        </w:sectPr>
      </w:pPr>
    </w:p>
    <w:bookmarkStart w:id="36" w:name="page37"/>
    <w:bookmarkEnd w:id="36"/>
    <w:p>
      <w:pPr>
        <w:jc w:val="both"/>
        <w:ind w:firstLine="1288"/>
        <w:spacing w:after="0" w:line="255" w:lineRule="auto"/>
        <w:tabs>
          <w:tab w:leader="none" w:pos="179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equal to the product of (i) the sum of the IC Plan payment that the Executive would have earned for the season during which the Termination Date occurs and any annual component the Executive would have earned for the fiscal year during which the Termination Date occurs, as applicable, based on actual performance, multiplied by (ii) a fraction, the numerator of which is the number of days in such fiscal year or season, respectively, during which the Termination Date occurs that elapsed through the Termination Date and the denominator of which is the total number of days in such fiscal year or season, respectively. The foregoing payment, less applicable withholding, shall be paid at the same time as payments under the IC Plan are typically paid, but in no event earlier than the First Payment Date and in no event later than March 15th of the year following the year in which the applicable season is completed; and</w:t>
      </w:r>
    </w:p>
    <w:p>
      <w:pPr>
        <w:spacing w:after="0" w:line="215" w:lineRule="exact"/>
        <w:rPr>
          <w:rFonts w:ascii="Times New Roman" w:cs="Times New Roman" w:eastAsia="Times New Roman" w:hAnsi="Times New Roman"/>
          <w:sz w:val="18"/>
          <w:szCs w:val="18"/>
          <w:color w:val="auto"/>
        </w:rPr>
      </w:pPr>
    </w:p>
    <w:p>
      <w:pPr>
        <w:jc w:val="both"/>
        <w:ind w:firstLine="1288"/>
        <w:spacing w:after="0" w:line="255" w:lineRule="auto"/>
        <w:tabs>
          <w:tab w:leader="none" w:pos="178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outstanding and unvested equity awards held by the Executive immediately before the Termination Date will immediately become fully vested and payable on the First Payment Date, provided that, to the extent that paying any portion of such amount in accordance with the foregoing would constitute an impermissible change in the time or form of payment under Section 409A of the Code, then such portion shall be payable at a time that would be permitted under Section 409A of the Code and that is as near as possible to the payment timing contemplated by the foregoing. To the extent that an equity award vests based on the achievement of performance goals, performance goals will be deemed to be achieved at target levels if less than one-third of the applicable performance period has elapsed as of the date of the Change in Control, otherwise performance goals will be deemed achieved at maximum levels.</w:t>
      </w: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Termination Date occurs during the portion of the Protection Period that precedes a Change in Control and the Executive has already commenced receiving payments and/or benefits under Section 4 prior to the Change in Control, then the Executive will be entitled to the payments and benefits under this Section 5 in lieu of any additional payments or benefits under Section 4, but only to the extent an equivalent payment and/or benefit has not already been paid or provided pursuant to Section 4.</w:t>
      </w:r>
    </w:p>
    <w:p>
      <w:pPr>
        <w:spacing w:after="0" w:line="207" w:lineRule="exact"/>
        <w:rPr>
          <w:sz w:val="20"/>
          <w:szCs w:val="20"/>
          <w:color w:val="auto"/>
        </w:rPr>
      </w:pPr>
    </w:p>
    <w:p>
      <w:pPr>
        <w:jc w:val="both"/>
        <w:ind w:firstLine="640"/>
        <w:spacing w:after="0" w:line="254" w:lineRule="auto"/>
        <w:tabs>
          <w:tab w:leader="none" w:pos="114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 and Continued Compliance Requirements</w:t>
      </w:r>
      <w:r>
        <w:rPr>
          <w:rFonts w:ascii="Times New Roman" w:cs="Times New Roman" w:eastAsia="Times New Roman" w:hAnsi="Times New Roman"/>
          <w:sz w:val="18"/>
          <w:szCs w:val="18"/>
          <w:color w:val="auto"/>
        </w:rPr>
        <w:t>. Notwithstanding any other provisions of this Agreement to the contrary, the Company shall not make or provide the Severance Benefits or the Change in Control Severance Benefits (in each case, other than the Accrued Amounts), unless (i) the Executive timely executes and delivers to the Company a full release of claims in favor of the Company, its affiliates and their respective officers and directors in a form provided by the Company (the “Release”), and such Release remains in full force and effect, has not been revoked and is no longer subject to revocation, within sixty (60) days following the Termination Date and (ii) the Executive complies with the terms of the Confidentiality, Non- competition, Non-disparagement and Intellectual Property Agreement attached hereto as Exhibit A (the “Confidentiality and Non-competition Agreement”) for the periods set forth in such agreement. If the foregoing requirements are not satisfied by the Executive, then no Severance Benefits nor Change in Control Severance Benefits (in each case, other than the Accrued Amounts) shall be due to the Executive pursuant to this Agreement.</w:t>
      </w:r>
    </w:p>
    <w:p>
      <w:pPr>
        <w:spacing w:after="0" w:line="228" w:lineRule="exact"/>
        <w:rPr>
          <w:rFonts w:ascii="Times New Roman" w:cs="Times New Roman" w:eastAsia="Times New Roman" w:hAnsi="Times New Roman"/>
          <w:sz w:val="18"/>
          <w:szCs w:val="18"/>
          <w:color w:val="auto"/>
        </w:rPr>
      </w:pPr>
    </w:p>
    <w:p>
      <w:pPr>
        <w:ind w:left="1280" w:hanging="640"/>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on Other Plans, Agreements and Benefits</w:t>
      </w:r>
      <w:r>
        <w:rPr>
          <w:rFonts w:ascii="Times New Roman" w:cs="Times New Roman" w:eastAsia="Times New Roman" w:hAnsi="Times New Roman"/>
          <w:sz w:val="18"/>
          <w:szCs w:val="18"/>
          <w:color w:val="auto"/>
        </w:rPr>
        <w:t>.</w:t>
      </w:r>
    </w:p>
    <w:p>
      <w:pPr>
        <w:spacing w:after="0" w:line="265" w:lineRule="exact"/>
        <w:rPr>
          <w:rFonts w:ascii="Times New Roman" w:cs="Times New Roman" w:eastAsia="Times New Roman" w:hAnsi="Times New Roman"/>
          <w:sz w:val="18"/>
          <w:szCs w:val="18"/>
          <w:color w:val="auto"/>
        </w:rPr>
      </w:pPr>
    </w:p>
    <w:p>
      <w:pPr>
        <w:jc w:val="both"/>
        <w:ind w:firstLine="1288"/>
        <w:spacing w:after="0" w:line="261" w:lineRule="auto"/>
        <w:tabs>
          <w:tab w:leader="none" w:pos="17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(including the Severance Benefits and the Change in Control Severance Benefits, as applicable) will be in lieu of and not in addition to: (i) any severance benefits to which the Executive would otherwise be entitled under any general severance policy or severance plan maintained by the Company (or any of its affiliates) or any agreement between the Executive and the Company (or any of its affiliates) that provides for severance benefits; and (ii) unused PTO remaining upon the Termination Date.</w:t>
      </w:r>
    </w:p>
    <w:p>
      <w:pPr>
        <w:spacing w:after="0" w:line="206" w:lineRule="exact"/>
        <w:rPr>
          <w:rFonts w:ascii="Times New Roman" w:cs="Times New Roman" w:eastAsia="Times New Roman" w:hAnsi="Times New Roman"/>
          <w:sz w:val="18"/>
          <w:szCs w:val="18"/>
          <w:color w:val="auto"/>
        </w:rPr>
      </w:pPr>
    </w:p>
    <w:p>
      <w:pPr>
        <w:jc w:val="both"/>
        <w:ind w:firstLine="1287"/>
        <w:spacing w:after="0" w:line="282" w:lineRule="auto"/>
        <w:tabs>
          <w:tab w:leader="none" w:pos="17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benefits payable to the Executive under this Agreement will not be counted as compensation for purposes of determining benefits under any other benefit policies or plans of the Company (or any of its affiliates), except to the extent expressly provided therein.</w:t>
      </w:r>
    </w:p>
    <w:p>
      <w:pPr>
        <w:spacing w:after="0" w:line="188" w:lineRule="exact"/>
        <w:rPr>
          <w:rFonts w:ascii="Times New Roman" w:cs="Times New Roman" w:eastAsia="Times New Roman" w:hAnsi="Times New Roman"/>
          <w:sz w:val="18"/>
          <w:szCs w:val="18"/>
          <w:color w:val="auto"/>
        </w:rPr>
      </w:pPr>
    </w:p>
    <w:p>
      <w:pPr>
        <w:ind w:firstLine="1287"/>
        <w:spacing w:after="0" w:line="282" w:lineRule="auto"/>
        <w:tabs>
          <w:tab w:leader="none" w:pos="1793"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entitlement to any other benefits not expressly referenced herein shall be determined in accordance with the applicable employee benefit plans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480" w:top="1336" w:right="559" w:bottom="1440" w:gutter="0" w:footer="0" w:header="0"/>
        </w:sectPr>
      </w:pPr>
    </w:p>
    <w:bookmarkStart w:id="37" w:name="page38"/>
    <w:bookmarkEnd w:id="37"/>
    <w:p>
      <w:pPr>
        <w:ind w:left="-60" w:firstLine="1287"/>
        <w:spacing w:after="0" w:line="282" w:lineRule="auto"/>
        <w:tabs>
          <w:tab w:leader="none" w:pos="1729"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expressly agrees that any amounts the Executive may owe to the Company as of the Termination Date may be deducted from the amounts that the Company would otherwise owe to the Executive under this Agreement.</w:t>
      </w:r>
    </w:p>
    <w:p>
      <w:pPr>
        <w:spacing w:after="0" w:line="188" w:lineRule="exact"/>
        <w:rPr>
          <w:rFonts w:ascii="Times New Roman" w:cs="Times New Roman" w:eastAsia="Times New Roman" w:hAnsi="Times New Roman"/>
          <w:sz w:val="18"/>
          <w:szCs w:val="18"/>
          <w:color w:val="auto"/>
        </w:rPr>
      </w:pPr>
    </w:p>
    <w:p>
      <w:pPr>
        <w:jc w:val="both"/>
        <w:ind w:left="-60" w:firstLine="1287"/>
        <w:spacing w:after="0" w:line="256" w:lineRule="auto"/>
        <w:tabs>
          <w:tab w:leader="none" w:pos="1733"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herein or in any other agreement to the contrary, if the Executive incurs a Termination for Cause, then all Variable Compensation shall be immediately canceled for no consideration. If the Executive incurs a Termination for Cause, or the Company becomes aware (after the Executive’s Termination) of conduct on the part of the Executive that would have been grounds for a Termination for Cause, then, the Executive will be required to deliver to the Company, immediately upon request, the Variable Compensation (in shares and/or cash), granted on or after the Effective Date and paid or delivered to the Executive within the three (3) years prior to the Termination Date, including the profit the Executive realized upon the exercise of stock options.</w:t>
      </w:r>
    </w:p>
    <w:p>
      <w:pPr>
        <w:spacing w:after="0" w:line="227" w:lineRule="exact"/>
        <w:rPr>
          <w:rFonts w:ascii="Times New Roman" w:cs="Times New Roman" w:eastAsia="Times New Roman" w:hAnsi="Times New Roman"/>
          <w:sz w:val="18"/>
          <w:szCs w:val="18"/>
          <w:color w:val="auto"/>
        </w:rPr>
      </w:pPr>
    </w:p>
    <w:p>
      <w:pPr>
        <w:jc w:val="both"/>
        <w:ind w:left="-60" w:firstLine="1288"/>
        <w:spacing w:after="0" w:line="266" w:lineRule="auto"/>
        <w:tabs>
          <w:tab w:leader="none" w:pos="17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following a Qualifying Termination, the Executive violates any of the terms and covenants set forth in the Confidentiality and Non-Competition Agreement, then the Executive shall not be entitled to receive any severance benefits under this Agreement (other than the Accrued Amounts) or any other agreement or severance plan, policy or program of the Company (or any of its affiliates).</w:t>
      </w:r>
    </w:p>
    <w:p>
      <w:pPr>
        <w:spacing w:after="0" w:line="216" w:lineRule="exact"/>
        <w:rPr>
          <w:rFonts w:ascii="Times New Roman" w:cs="Times New Roman" w:eastAsia="Times New Roman" w:hAnsi="Times New Roman"/>
          <w:sz w:val="18"/>
          <w:szCs w:val="18"/>
          <w:color w:val="auto"/>
        </w:rPr>
      </w:pPr>
    </w:p>
    <w:p>
      <w:pPr>
        <w:ind w:left="1220" w:hanging="640"/>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 of the Code</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60" w:firstLine="1287"/>
        <w:spacing w:after="0" w:line="254" w:lineRule="auto"/>
        <w:tabs>
          <w:tab w:leader="none" w:pos="173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if the Executive is a “disqualified individual” (as defined in Section 280G(c) of the Code), and the payments and benefits provided for in this Agreement, together with any other payments and benefits which the Executive has the right to receive from the Company or any other person, would constitute a “parachute payment” (as defined in Section 280G(b)(2) of the Code), then the payments and benefits provided for in this Agreement will be either (a) reduced (but not below zero) so that the present value of such total amounts and benefits received by the Executive from the Company and/or such person(s) will be $1.00 less than three (3) times the Executive’s “base amount” (as defined in Section 280G(b)(3) of the Code) and so that no portion of such amounts and benefits received by the Executive will be subject to the excise tax imposed by Section 4999 of the Code or (b) paid in full, whichever produces the better “net after-tax position” to the Executive (taking into account any applicable excise tax under Section 4999 of the Code and any other applicable taxes).</w:t>
      </w:r>
    </w:p>
    <w:p>
      <w:pPr>
        <w:spacing w:after="0" w:line="232" w:lineRule="exact"/>
        <w:rPr>
          <w:rFonts w:ascii="Times New Roman" w:cs="Times New Roman" w:eastAsia="Times New Roman" w:hAnsi="Times New Roman"/>
          <w:sz w:val="18"/>
          <w:szCs w:val="18"/>
          <w:color w:val="auto"/>
        </w:rPr>
      </w:pPr>
    </w:p>
    <w:p>
      <w:pPr>
        <w:jc w:val="both"/>
        <w:ind w:left="-60" w:firstLine="1287"/>
        <w:spacing w:after="0" w:line="261" w:lineRule="auto"/>
        <w:tabs>
          <w:tab w:leader="none" w:pos="17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of payments and benefits hereunder, if applicable, will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w:t>
      </w:r>
    </w:p>
    <w:p>
      <w:pPr>
        <w:spacing w:after="0" w:line="220" w:lineRule="exact"/>
        <w:rPr>
          <w:rFonts w:ascii="Times New Roman" w:cs="Times New Roman" w:eastAsia="Times New Roman" w:hAnsi="Times New Roman"/>
          <w:sz w:val="18"/>
          <w:szCs w:val="18"/>
          <w:color w:val="auto"/>
        </w:rPr>
      </w:pPr>
    </w:p>
    <w:p>
      <w:pPr>
        <w:jc w:val="both"/>
        <w:ind w:left="-60" w:firstLine="1287"/>
        <w:spacing w:after="0" w:line="258" w:lineRule="auto"/>
        <w:tabs>
          <w:tab w:leader="none" w:pos="173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as to whether any such reduction in the amount of the payments and benefits provided hereunder is necessary will be made applying principles, assumptions and procedures consistent with Section 280G of the Code by an accounting firm or law firm of national reputation that is selected for this purpose by the Company (the “280G Firm”). In order to assess whether payments under this Agreement or otherwise qualify as reasonable compensation that is exempt from being a parachute payment under Section 280G of the Code, the 280G Firm or the Company may retain the services of an independent valuation expert.</w:t>
      </w:r>
    </w:p>
    <w:p>
      <w:pPr>
        <w:spacing w:after="0" w:line="210" w:lineRule="exact"/>
        <w:rPr>
          <w:rFonts w:ascii="Times New Roman" w:cs="Times New Roman" w:eastAsia="Times New Roman" w:hAnsi="Times New Roman"/>
          <w:sz w:val="18"/>
          <w:szCs w:val="18"/>
          <w:color w:val="auto"/>
        </w:rPr>
      </w:pPr>
    </w:p>
    <w:p>
      <w:pPr>
        <w:jc w:val="both"/>
        <w:ind w:left="-60" w:firstLine="1287"/>
        <w:spacing w:after="0" w:line="258" w:lineRule="auto"/>
        <w:tabs>
          <w:tab w:leader="none" w:pos="172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reduced payment or benefit is made or provided and through error or otherwise that payment or benefit, when aggregated with other payments and benefits from the Company (or its affiliates) used in determining if a “parachute payment” exists, exceeds $1.00 less than three (3) times the Executive’s base amount, then the Executive must immediately repay such excess to the Company upon notification that an overpayment has been made. Nothing in this Section 8 will require the Company to be responsible for, or have any liability or obligation with respect to, the Executive’s excise tax liabilities under Section 4999 of the Code.</w:t>
      </w:r>
    </w:p>
    <w:p>
      <w:pPr>
        <w:spacing w:after="0" w:line="210" w:lineRule="exact"/>
        <w:rPr>
          <w:rFonts w:ascii="Times New Roman" w:cs="Times New Roman" w:eastAsia="Times New Roman" w:hAnsi="Times New Roman"/>
          <w:sz w:val="18"/>
          <w:szCs w:val="18"/>
          <w:color w:val="auto"/>
        </w:rPr>
      </w:pPr>
    </w:p>
    <w:p>
      <w:pPr>
        <w:ind w:left="1220" w:hanging="640"/>
        <w:spacing w:after="0"/>
        <w:tabs>
          <w:tab w:leader="none" w:pos="12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 and Class and Representative Action Waiver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00"/>
          </w:cols>
          <w:pgMar w:left="540" w:top="1336" w:right="559" w:bottom="1440" w:gutter="0" w:footer="0" w:header="0"/>
        </w:sectPr>
      </w:pPr>
    </w:p>
    <w:bookmarkStart w:id="38" w:name="page39"/>
    <w:bookmarkEnd w:id="38"/>
    <w:p>
      <w:pPr>
        <w:jc w:val="both"/>
        <w:ind w:firstLine="1287"/>
        <w:spacing w:after="0" w:line="252" w:lineRule="auto"/>
        <w:tabs>
          <w:tab w:leader="none" w:pos="179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subject to Section 9(b), any controversy or claim between the Company and the Executive arising out of or relating to this Agreement or its termination (or otherwise relating to Executive’s work or departure from the Company) shall be settled and determined by a single arbitrator whose award shall be accepted as final and binding upon the parties. If the Executive initiates arbitration, he will be responsible for paying a filing fee of $300 or the amount of the filing fee in federal court in Columbus, Ohio, whichever is lower. Each Party will be responsible for its/her own attorney’s fees. The parties shall jointly select an arbitrator from JAMS, Inc. (“JAMS”) or the American Arbitration Association (“AAA”) with at least ten (10) years of experience in employment disputes. The arbitration shall be conducted on a confidential basis by the AAA or JAMS and administered under their Employment Arbitration Rules, which are currently available at http://www.adr.org and http://www.jamsadr.com, respectively. The arbitrator shall have the authority to allow for appropriate discovery and exchange of information before a hearing, including, but not limited to, production of documents, information requests, depositions and subpoenas. Unless the arbitrator determines additional discovery is necessary to adequately arbitrate the Executive’s claims, discovery shall be conducted in accordance with the then-current version of the Federal Rules of Civil Procedure. Those rules can be found at https://www.law.cornell.edu/rules/frcp. The arbitration shall take place in Columbus, Ohio. Notwithstanding the AAA or JAMS rules, all parties to the arbitration shall have the right to file a dispositive motion and shall not be required to seek permission from the arbitrator to do so. Any decision or award as a result of any such arbitration proceeding shall be in writing and shall provide an explanation for all conclusions of law and fact and shall include the assessment of costs, expenses, and reasonable attorneys’ fees. Judgment on the award may be entered in any court having jurisdiction.</w:t>
      </w:r>
    </w:p>
    <w:p>
      <w:pPr>
        <w:spacing w:after="0" w:line="236" w:lineRule="exact"/>
        <w:rPr>
          <w:rFonts w:ascii="Times New Roman" w:cs="Times New Roman" w:eastAsia="Times New Roman" w:hAnsi="Times New Roman"/>
          <w:sz w:val="18"/>
          <w:szCs w:val="18"/>
          <w:color w:val="auto"/>
        </w:rPr>
      </w:pPr>
    </w:p>
    <w:p>
      <w:pPr>
        <w:ind w:left="1920" w:hanging="633"/>
        <w:spacing w:after="0"/>
        <w:tabs>
          <w:tab w:leader="none" w:pos="19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Arbitration provision does not include:</w:t>
      </w:r>
    </w:p>
    <w:p>
      <w:pPr>
        <w:spacing w:after="0" w:line="265" w:lineRule="exact"/>
        <w:rPr>
          <w:rFonts w:ascii="Times New Roman" w:cs="Times New Roman" w:eastAsia="Times New Roman" w:hAnsi="Times New Roman"/>
          <w:sz w:val="18"/>
          <w:szCs w:val="18"/>
          <w:color w:val="auto"/>
        </w:rPr>
      </w:pPr>
    </w:p>
    <w:p>
      <w:pPr>
        <w:ind w:left="2420" w:hanging="484"/>
        <w:spacing w:after="0"/>
        <w:tabs>
          <w:tab w:leader="none" w:pos="24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arising under or related to the Confidentiality and Non- Competition Agreement;</w:t>
      </w:r>
    </w:p>
    <w:p>
      <w:pPr>
        <w:spacing w:after="0" w:line="252" w:lineRule="exact"/>
        <w:rPr>
          <w:rFonts w:ascii="Times New Roman" w:cs="Times New Roman" w:eastAsia="Times New Roman" w:hAnsi="Times New Roman"/>
          <w:sz w:val="18"/>
          <w:szCs w:val="18"/>
          <w:color w:val="auto"/>
        </w:rPr>
      </w:pPr>
    </w:p>
    <w:p>
      <w:pPr>
        <w:ind w:left="2440" w:hanging="486"/>
        <w:spacing w:after="0"/>
        <w:tabs>
          <w:tab w:leader="none" w:pos="24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workers’ compensation benefits;</w:t>
      </w:r>
    </w:p>
    <w:p>
      <w:pPr>
        <w:spacing w:after="0" w:line="265" w:lineRule="exact"/>
        <w:rPr>
          <w:rFonts w:ascii="Times New Roman" w:cs="Times New Roman" w:eastAsia="Times New Roman" w:hAnsi="Times New Roman"/>
          <w:sz w:val="18"/>
          <w:szCs w:val="18"/>
          <w:color w:val="auto"/>
        </w:rPr>
      </w:pPr>
    </w:p>
    <w:p>
      <w:pPr>
        <w:ind w:left="2440" w:hanging="486"/>
        <w:spacing w:after="0"/>
        <w:tabs>
          <w:tab w:leader="none" w:pos="24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for unemployment compensation benefits;</w:t>
      </w:r>
    </w:p>
    <w:p>
      <w:pPr>
        <w:spacing w:after="0" w:line="266" w:lineRule="exact"/>
        <w:rPr>
          <w:sz w:val="20"/>
          <w:szCs w:val="20"/>
          <w:color w:val="auto"/>
        </w:rPr>
      </w:pPr>
    </w:p>
    <w:p>
      <w:pPr>
        <w:ind w:firstLine="1936"/>
        <w:spacing w:after="0" w:line="261" w:lineRule="auto"/>
        <w:tabs>
          <w:tab w:leader="none" w:pos="244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based upon the Company’s current (successor or future) employee benefits and/or welfare plans that contain an appeal procedure or other procedure for the resolution of disputes under this Agreement; and</w:t>
      </w:r>
    </w:p>
    <w:p>
      <w:pPr>
        <w:ind w:firstLine="1936"/>
        <w:spacing w:after="0" w:line="260" w:lineRule="auto"/>
        <w:tabs>
          <w:tab w:leader="none" w:pos="243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claim of sexual harassment, including hostile work environment, “sexual assault” (defined as actual or threatened unwelcomed touching of a sexual nature), gender discrimination, and retaliation related to same.</w:t>
      </w:r>
    </w:p>
    <w:p>
      <w:pPr>
        <w:spacing w:after="0" w:line="275" w:lineRule="exact"/>
        <w:rPr>
          <w:rFonts w:ascii="Times New Roman" w:cs="Times New Roman" w:eastAsia="Times New Roman" w:hAnsi="Times New Roman"/>
          <w:sz w:val="18"/>
          <w:szCs w:val="18"/>
          <w:color w:val="auto"/>
        </w:rPr>
      </w:pPr>
    </w:p>
    <w:p>
      <w:pPr>
        <w:ind w:firstLine="1288"/>
        <w:spacing w:after="0" w:line="282" w:lineRule="auto"/>
        <w:tabs>
          <w:tab w:leader="none" w:pos="179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also does not prevent the Executive from filing a claim or charge with a federal, state or local administrative agency, such as the Equal Employment Opportunity Commission, the National Labor Relations Board, or similar state or local agencies.</w:t>
      </w:r>
    </w:p>
    <w:p>
      <w:pPr>
        <w:spacing w:after="0" w:line="202" w:lineRule="exact"/>
        <w:rPr>
          <w:rFonts w:ascii="Times New Roman" w:cs="Times New Roman" w:eastAsia="Times New Roman" w:hAnsi="Times New Roman"/>
          <w:sz w:val="18"/>
          <w:szCs w:val="18"/>
          <w:color w:val="auto"/>
        </w:rPr>
      </w:pPr>
    </w:p>
    <w:p>
      <w:pPr>
        <w:jc w:val="both"/>
        <w:ind w:firstLine="1288"/>
        <w:spacing w:after="0" w:line="266" w:lineRule="auto"/>
        <w:tabs>
          <w:tab w:leader="none" w:pos="178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does not prohibit those limited circumstances under which either Party finds it necessary to seek emergency or temporary injunctive relief, such as a preliminary injunction or a temporary restraining order, from a court that may be necessary to protect any rights or property of either Party pending the establishment of the arbitral tribunal or its determination of the merits of the dispute.</w:t>
      </w:r>
    </w:p>
    <w:p>
      <w:pPr>
        <w:spacing w:after="0" w:line="198" w:lineRule="exact"/>
        <w:rPr>
          <w:rFonts w:ascii="Times New Roman" w:cs="Times New Roman" w:eastAsia="Times New Roman" w:hAnsi="Times New Roman"/>
          <w:sz w:val="18"/>
          <w:szCs w:val="18"/>
          <w:color w:val="auto"/>
        </w:rPr>
      </w:pPr>
    </w:p>
    <w:p>
      <w:pPr>
        <w:jc w:val="both"/>
        <w:ind w:firstLine="1288"/>
        <w:spacing w:after="0" w:line="263" w:lineRule="auto"/>
        <w:tabs>
          <w:tab w:leader="none" w:pos="1793"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CLASS ACTION WAIVER. </w:t>
      </w:r>
      <w:r>
        <w:rPr>
          <w:rFonts w:ascii="Times New Roman" w:cs="Times New Roman" w:eastAsia="Times New Roman" w:hAnsi="Times New Roman"/>
          <w:sz w:val="18"/>
          <w:szCs w:val="18"/>
          <w:color w:val="auto"/>
        </w:rPr>
        <w:t>To the extent permissible by law, there shall be no right or authority for any dispute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arbitrated as a class action or collective action (“Class Action Waiver”). </w:t>
      </w:r>
      <w:r>
        <w:rPr>
          <w:rFonts w:ascii="Times New Roman" w:cs="Times New Roman" w:eastAsia="Times New Roman" w:hAnsi="Times New Roman"/>
          <w:sz w:val="18"/>
          <w:szCs w:val="18"/>
          <w:b w:val="1"/>
          <w:bCs w:val="1"/>
          <w:color w:val="auto"/>
        </w:rPr>
        <w:t>THIS MEANS THAT, EXCEPT AS EXPLICITLY PROVIDED</w:t>
      </w:r>
    </w:p>
    <w:p>
      <w:pPr>
        <w:jc w:val="both"/>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HEREIN, ALL DISPUTES BETWEEN THE PARTIES THAT ARISE, OR HAVE ARISEN, OUT OF EXECUTIVE’S EMPLOYMENT OR THE TERMINATION OF EXECUTIVE’S EMPLOYMENT SHALL PROCEED IN ARBITRATION SOLELY ON AN INDIVIDUAL BASIS, AND THAT THE ARBITRATOR’S AUTHORITY TO RESOLVE ANY DISPUTE AND TO MAKE WRITTEN AWARDS WILL BE LIMITED TO EXECUTIVE’S INDIVIDUAL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80" w:top="1336" w:right="559" w:bottom="1440" w:gutter="0" w:footer="0" w:header="0"/>
        </w:sectPr>
      </w:pPr>
    </w:p>
    <w:bookmarkStart w:id="39" w:name="page40"/>
    <w:bookmarkEnd w:id="39"/>
    <w:p>
      <w:pPr>
        <w:jc w:val="both"/>
        <w:ind w:firstLine="1288"/>
        <w:spacing w:after="0" w:line="259" w:lineRule="auto"/>
        <w:tabs>
          <w:tab w:leader="none" w:pos="1800"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REPRESENTATIVE ACTION WAIVER. </w:t>
      </w:r>
      <w:r>
        <w:rPr>
          <w:rFonts w:ascii="Times New Roman" w:cs="Times New Roman" w:eastAsia="Times New Roman" w:hAnsi="Times New Roman"/>
          <w:sz w:val="18"/>
          <w:szCs w:val="18"/>
          <w:color w:val="auto"/>
        </w:rPr>
        <w:t>To the extent permissible by law, there shall be no right or authority for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dispute to be arbitrated as a representative action or as a private attorney general action, including but not limited to claims brought pursuant to the Private Attorney General Act of 2004, Cal. Lab. Code § 2698, et seq. (“Representative Action Waiver”). </w:t>
      </w:r>
      <w:r>
        <w:rPr>
          <w:rFonts w:ascii="Times New Roman" w:cs="Times New Roman" w:eastAsia="Times New Roman" w:hAnsi="Times New Roman"/>
          <w:sz w:val="18"/>
          <w:szCs w:val="18"/>
          <w:b w:val="1"/>
          <w:bCs w:val="1"/>
          <w:color w:val="auto"/>
        </w:rPr>
        <w:t>THIS MEANS THAT, TO THE EXTENT</w:t>
      </w:r>
    </w:p>
    <w:p>
      <w:pPr>
        <w:jc w:val="both"/>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CONSISTENT WITH APPLICABLE LAW, EXECUTIVE MAY NOT SEEK RELIEF ON BEHALF OF OTHERS IN ARBITRATION, INCLUDING BUT NOT LIMITED TO SIMILARLY AGGRIEVED EMPLOYEES. THE ARBITRATOR’S AUTHORITY TO RESOLVE ANY DISPUTE AND TO MAKE WRITTEN AWARDS WILL BE LIMITED TO EXECUTIVE’S INDIVIDUAL CLAIMS.</w:t>
      </w:r>
    </w:p>
    <w:p>
      <w:pPr>
        <w:spacing w:after="0" w:line="226" w:lineRule="exact"/>
        <w:rPr>
          <w:rFonts w:ascii="Times New Roman" w:cs="Times New Roman" w:eastAsia="Times New Roman" w:hAnsi="Times New Roman"/>
          <w:sz w:val="18"/>
          <w:szCs w:val="18"/>
          <w:b w:val="1"/>
          <w:bCs w:val="1"/>
          <w:color w:val="auto"/>
        </w:rPr>
      </w:pPr>
    </w:p>
    <w:p>
      <w:pPr>
        <w:jc w:val="both"/>
        <w:ind w:firstLine="1287"/>
        <w:spacing w:after="0" w:line="261" w:lineRule="auto"/>
        <w:tabs>
          <w:tab w:leader="none" w:pos="17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that only a court of competent jurisdiction may interpret this Section 9 and resolve challenges to its validity and enforceability, including but not limited to the validity, enforceability and interpretation of the Class Action Waiver and Representative Action Waiver. The arbitrator shall have no jurisdiction or power to make such determinations. The Federal Arbitration Act, 9 U.S.C. §§ 1-16, shall govern the interpretation and enforcement of the duty to arbitrate found in this Section 9 and all arbitration proceedings under this Agreement.</w:t>
      </w:r>
    </w:p>
    <w:p>
      <w:pPr>
        <w:spacing w:after="0" w:line="206" w:lineRule="exact"/>
        <w:rPr>
          <w:rFonts w:ascii="Times New Roman" w:cs="Times New Roman" w:eastAsia="Times New Roman" w:hAnsi="Times New Roman"/>
          <w:sz w:val="18"/>
          <w:szCs w:val="18"/>
          <w:color w:val="auto"/>
        </w:rPr>
      </w:pPr>
    </w:p>
    <w:p>
      <w:pPr>
        <w:ind w:firstLine="1288"/>
        <w:spacing w:after="0" w:line="282" w:lineRule="auto"/>
        <w:tabs>
          <w:tab w:leader="none" w:pos="17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conflict between the rules and procedures set forth in either the JAMS or AAA rules and those set forth in this Agreement shall be resolved in favor of those in this Agreement.</w:t>
      </w:r>
    </w:p>
    <w:p>
      <w:pPr>
        <w:spacing w:after="0" w:line="188" w:lineRule="exact"/>
        <w:rPr>
          <w:rFonts w:ascii="Times New Roman" w:cs="Times New Roman" w:eastAsia="Times New Roman" w:hAnsi="Times New Roman"/>
          <w:sz w:val="18"/>
          <w:szCs w:val="18"/>
          <w:color w:val="auto"/>
        </w:rPr>
      </w:pPr>
    </w:p>
    <w:p>
      <w:pPr>
        <w:ind w:left="1780" w:hanging="492"/>
        <w:spacing w:after="0"/>
        <w:tabs>
          <w:tab w:leader="none" w:pos="178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proof at an arbitration shall at all times be on the Party seeking relief.</w:t>
      </w:r>
    </w:p>
    <w:p>
      <w:pPr>
        <w:spacing w:after="0" w:line="252" w:lineRule="exact"/>
        <w:rPr>
          <w:rFonts w:ascii="Times New Roman" w:cs="Times New Roman" w:eastAsia="Times New Roman" w:hAnsi="Times New Roman"/>
          <w:sz w:val="18"/>
          <w:szCs w:val="18"/>
          <w:color w:val="auto"/>
        </w:rPr>
      </w:pPr>
    </w:p>
    <w:p>
      <w:pPr>
        <w:jc w:val="both"/>
        <w:ind w:firstLine="1288"/>
        <w:spacing w:after="0" w:line="261" w:lineRule="auto"/>
        <w:tabs>
          <w:tab w:leader="none" w:pos="179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reaching a decision, the arbitrator shall apply the governing substantive law applicable to the claims, causes of action and defenses asserted by the Parties, as applicable in Ohio. The arbitrator shall have the power to award all remedies that could be awarded by a court or administrative agency in accordance with the governing and applicable substantive law, including, without limitation, Title VII, the Age Discrimination in Employment Act, and the Family and Medical Leave Act.</w:t>
      </w:r>
    </w:p>
    <w:p>
      <w:pPr>
        <w:spacing w:after="0" w:line="206" w:lineRule="exact"/>
        <w:rPr>
          <w:rFonts w:ascii="Times New Roman" w:cs="Times New Roman" w:eastAsia="Times New Roman" w:hAnsi="Times New Roman"/>
          <w:sz w:val="18"/>
          <w:szCs w:val="18"/>
          <w:color w:val="auto"/>
        </w:rPr>
      </w:pPr>
    </w:p>
    <w:p>
      <w:pPr>
        <w:jc w:val="both"/>
        <w:ind w:firstLine="1288"/>
        <w:spacing w:after="0" w:line="261" w:lineRule="auto"/>
        <w:tabs>
          <w:tab w:leader="none" w:pos="17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aggrieved Party must give written notice of any claim to the other Party as soon as possible after the aggrieved Party first knew or should have known of the facts giving rise to the claim. The written notice shall describe the nature of all claims asserted, the facts upon which those claims are based, and shall set forth the aggrieved Party’s intention to pursue arbitration. The notice shall be mailed to the other Party by certified or registered mail, return receipt requested. A copy of the notice may be sent by electronic mail.</w:t>
      </w:r>
    </w:p>
    <w:p>
      <w:pPr>
        <w:spacing w:after="0" w:line="206" w:lineRule="exact"/>
        <w:rPr>
          <w:rFonts w:ascii="Times New Roman" w:cs="Times New Roman" w:eastAsia="Times New Roman" w:hAnsi="Times New Roman"/>
          <w:sz w:val="18"/>
          <w:szCs w:val="18"/>
          <w:color w:val="auto"/>
        </w:rPr>
      </w:pPr>
    </w:p>
    <w:p>
      <w:pPr>
        <w:jc w:val="both"/>
        <w:ind w:firstLine="639"/>
        <w:spacing w:after="0" w:line="261" w:lineRule="auto"/>
        <w:tabs>
          <w:tab w:leader="none" w:pos="11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constitutes the entire agreement between the parties hereto with respect to the subject matter hereof and supersedes all prior agreements, understandings and arrangements, oral or written, between the parties hereto with respect to the subject matter hereof. No agreement or representations, oral or otherwise, express or implied, with respect to the subject matter hereof have been made by either Party which are not expressly set forth in this Agreement.</w:t>
      </w:r>
    </w:p>
    <w:p>
      <w:pPr>
        <w:spacing w:after="0" w:line="220" w:lineRule="exact"/>
        <w:rPr>
          <w:rFonts w:ascii="Times New Roman" w:cs="Times New Roman" w:eastAsia="Times New Roman" w:hAnsi="Times New Roman"/>
          <w:sz w:val="18"/>
          <w:szCs w:val="18"/>
          <w:color w:val="auto"/>
        </w:rPr>
      </w:pPr>
    </w:p>
    <w:p>
      <w:pPr>
        <w:ind w:firstLine="640"/>
        <w:spacing w:after="0" w:line="282" w:lineRule="auto"/>
        <w:tabs>
          <w:tab w:leader="none" w:pos="11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may be modified, waived, or discharged unless such waiver, modification, or discharge is agreed to in writing and signed by the Executive and the Company.</w:t>
      </w:r>
    </w:p>
    <w:p>
      <w:pPr>
        <w:spacing w:after="0" w:line="202" w:lineRule="exact"/>
        <w:rPr>
          <w:rFonts w:ascii="Times New Roman" w:cs="Times New Roman" w:eastAsia="Times New Roman" w:hAnsi="Times New Roman"/>
          <w:sz w:val="18"/>
          <w:szCs w:val="18"/>
          <w:color w:val="auto"/>
        </w:rPr>
      </w:pPr>
    </w:p>
    <w:p>
      <w:pPr>
        <w:jc w:val="both"/>
        <w:ind w:firstLine="640"/>
        <w:spacing w:after="0" w:line="266" w:lineRule="auto"/>
        <w:tabs>
          <w:tab w:leader="none" w:pos="114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This Agreement does not alter the status of the Executive as an at-will employee of the Company. Nothing contained herein shall be deemed to give the Executive the right to remain employed by the Company or to interfere with the rights of the Company to terminate the employment of the Executive at any time,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80" w:top="1332" w:right="559" w:bottom="1440" w:gutter="0" w:footer="0" w:header="0"/>
        </w:sectPr>
      </w:pPr>
    </w:p>
    <w:bookmarkStart w:id="40" w:name="page41"/>
    <w:bookmarkEnd w:id="40"/>
    <w:p>
      <w:pPr>
        <w:jc w:val="both"/>
        <w:ind w:left="9" w:firstLine="639"/>
        <w:spacing w:after="0" w:line="255" w:lineRule="auto"/>
        <w:tabs>
          <w:tab w:leader="none" w:pos="11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of this Agreement shall not affect the validity or enforceability of any other provision of this Agreement. If any provision of this Agreement is held by a court of competent jurisdiction to be illegal, invalid, void or unenforceable, such provision shall be deemed modified, amended and narrowed to the extent necessary to render such provision legal, valid and enforceable, and the other remaining provisions of this Agreement shall not be affected but shall remain in full force and effect. If a court of competent jurisdiction finds the Class Action Waiver and/or Representative Action Waiver in Section 9 is unenforceable for any reason, then the unenforceable waiver provision shall be severable from this Agreement, and any claims covered by any deemed unenforceable waiver provision may only be litigated in a court of competent jurisdiction, but the remainder of the Agreement shall be binding and enforceable.</w:t>
      </w:r>
    </w:p>
    <w:p>
      <w:pPr>
        <w:spacing w:after="0" w:line="229" w:lineRule="exact"/>
        <w:rPr>
          <w:rFonts w:ascii="Times New Roman" w:cs="Times New Roman" w:eastAsia="Times New Roman" w:hAnsi="Times New Roman"/>
          <w:sz w:val="18"/>
          <w:szCs w:val="18"/>
          <w:color w:val="auto"/>
        </w:rPr>
      </w:pPr>
    </w:p>
    <w:p>
      <w:pPr>
        <w:ind w:left="9" w:firstLine="639"/>
        <w:spacing w:after="0" w:line="282" w:lineRule="auto"/>
        <w:tabs>
          <w:tab w:leader="none" w:pos="11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 and Subheadings</w:t>
      </w:r>
      <w:r>
        <w:rPr>
          <w:rFonts w:ascii="Times New Roman" w:cs="Times New Roman" w:eastAsia="Times New Roman" w:hAnsi="Times New Roman"/>
          <w:sz w:val="18"/>
          <w:szCs w:val="18"/>
          <w:color w:val="auto"/>
        </w:rPr>
        <w:t>. Headings and subheadings contained in this Agreement are intended solely for convenience and no provision of this Agreement is to be construed by reference to the heading or subheading of any section or paragraph.</w:t>
      </w:r>
    </w:p>
    <w:p>
      <w:pPr>
        <w:spacing w:after="0" w:line="188" w:lineRule="exact"/>
        <w:rPr>
          <w:rFonts w:ascii="Times New Roman" w:cs="Times New Roman" w:eastAsia="Times New Roman" w:hAnsi="Times New Roman"/>
          <w:sz w:val="18"/>
          <w:szCs w:val="18"/>
          <w:color w:val="auto"/>
        </w:rPr>
      </w:pPr>
    </w:p>
    <w:p>
      <w:pPr>
        <w:jc w:val="both"/>
        <w:ind w:left="9" w:firstLine="639"/>
        <w:spacing w:after="0" w:line="266" w:lineRule="auto"/>
        <w:tabs>
          <w:tab w:leader="none" w:pos="11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Unfunded Obligations</w:t>
      </w:r>
      <w:r>
        <w:rPr>
          <w:rFonts w:ascii="Times New Roman" w:cs="Times New Roman" w:eastAsia="Times New Roman" w:hAnsi="Times New Roman"/>
          <w:sz w:val="18"/>
          <w:szCs w:val="18"/>
          <w:color w:val="auto"/>
        </w:rPr>
        <w:t>. The amounts to be paid to the Executive under this Agreement are unfunded obligations of the Company. The Company is not required to segregate any monies or other assets from its general funds with respect to these obligations. The Executive shall not have any preference or security interest in any assets of the Company other than as a general unsecured creditor.</w:t>
      </w:r>
    </w:p>
    <w:p>
      <w:pPr>
        <w:spacing w:after="0" w:line="202" w:lineRule="exact"/>
        <w:rPr>
          <w:rFonts w:ascii="Times New Roman" w:cs="Times New Roman" w:eastAsia="Times New Roman" w:hAnsi="Times New Roman"/>
          <w:sz w:val="18"/>
          <w:szCs w:val="18"/>
          <w:color w:val="auto"/>
        </w:rPr>
      </w:pPr>
    </w:p>
    <w:p>
      <w:pPr>
        <w:jc w:val="both"/>
        <w:ind w:left="9" w:firstLine="639"/>
        <w:spacing w:after="0" w:line="261" w:lineRule="auto"/>
        <w:tabs>
          <w:tab w:leader="none" w:pos="11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For the purposes of this Agreement, notices and all other communications provided for in this Agreement (including the Notice of Termination and a notice of a claim for which a Party seeks arbitration) shall be in writing and shall be deemed to have been duly given when personally delivered or sent by registered or certified mail, return receipt requested, postage prepaid, or upon receipt if overnight delivery service or facsimile is used, addressed as follows:</w:t>
      </w:r>
    </w:p>
    <w:p>
      <w:pPr>
        <w:spacing w:after="0" w:line="20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u w:val="single" w:color="auto"/>
          <w:color w:val="auto"/>
        </w:rPr>
        <w:t>To the Executive</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Lucrecia Borgonovo</w:t>
      </w:r>
    </w:p>
    <w:p>
      <w:pPr>
        <w:spacing w:after="0" w:line="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[REDACTED]</w:t>
      </w:r>
    </w:p>
    <w:p>
      <w:pPr>
        <w:spacing w:after="0" w:line="234"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u w:val="single" w:color="auto"/>
          <w:color w:val="auto"/>
        </w:rPr>
        <w:t>To the Company</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VS Service Company, LLC Four Limited Parkway, Reynoldsburg,</w:t>
      </w:r>
    </w:p>
    <w:p>
      <w:pPr>
        <w:spacing w:after="0" w:line="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Ohio 43068</w:t>
      </w:r>
    </w:p>
    <w:p>
      <w:pPr>
        <w:spacing w:after="0" w:line="9" w:lineRule="exact"/>
        <w:rPr>
          <w:sz w:val="20"/>
          <w:szCs w:val="20"/>
          <w:color w:val="auto"/>
        </w:rPr>
      </w:pPr>
    </w:p>
    <w:p>
      <w:pPr>
        <w:ind w:left="1289"/>
        <w:spacing w:after="0"/>
        <w:tabs>
          <w:tab w:leader="none" w:pos="1829" w:val="left"/>
        </w:tabs>
        <w:rPr>
          <w:sz w:val="20"/>
          <w:szCs w:val="20"/>
          <w:color w:val="auto"/>
        </w:rPr>
      </w:pPr>
      <w:r>
        <w:rPr>
          <w:rFonts w:ascii="Times New Roman" w:cs="Times New Roman" w:eastAsia="Times New Roman" w:hAnsi="Times New Roman"/>
          <w:sz w:val="18"/>
          <w:szCs w:val="18"/>
          <w:color w:val="auto"/>
        </w:rPr>
        <w:t>Attn:</w:t>
        <w:tab/>
        <w:t>Chief Legal Officer</w:t>
      </w:r>
    </w:p>
    <w:p>
      <w:pPr>
        <w:spacing w:after="0" w:line="234" w:lineRule="exact"/>
        <w:rPr>
          <w:sz w:val="20"/>
          <w:szCs w:val="20"/>
          <w:color w:val="auto"/>
        </w:rPr>
      </w:pPr>
    </w:p>
    <w:p>
      <w:pPr>
        <w:ind w:left="1149" w:hanging="501"/>
        <w:spacing w:after="0"/>
        <w:tabs>
          <w:tab w:leader="none" w:pos="114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its rights and obligations under this Agreement without the Executive’s consent: to</w:t>
      </w:r>
    </w:p>
    <w:p>
      <w:pPr>
        <w:spacing w:after="0" w:line="27" w:lineRule="exact"/>
        <w:rPr>
          <w:rFonts w:ascii="Times New Roman" w:cs="Times New Roman" w:eastAsia="Times New Roman" w:hAnsi="Times New Roman"/>
          <w:sz w:val="18"/>
          <w:szCs w:val="18"/>
          <w:color w:val="auto"/>
        </w:rPr>
      </w:pPr>
    </w:p>
    <w:p>
      <w:pPr>
        <w:jc w:val="both"/>
        <w:ind w:left="9" w:hanging="9"/>
        <w:spacing w:after="0" w:line="252" w:lineRule="auto"/>
        <w:tabs>
          <w:tab w:leader="none" w:pos="23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the Company, or (ii) in the event that the Company shall hereafter effect a reorganization, consolidate with, or merge into, any other entity or person, or transfer all or substantially all of its properties, stock, or assets to any other entity or person, to the acquirer or resulting entity in such transaction. This Agreement will be binding upon any successor of the Company (whether direct or indirect, by purchase, merger, consolidation or otherwise), in the same manner and to the same extent that the Company would be obligated under this Agreement if no succession had taken place. Neither this Agreement nor any right or interest hereunder shall be assignable or transferable by the Executive, the Executive’s beneficiaries or legal representatives, except by will or by the laws of descent and distribution. This Agreement shall inure to the benefit of and be enforceable by the Executive’s legal personal representative.</w:t>
      </w:r>
    </w:p>
    <w:p>
      <w:pPr>
        <w:spacing w:after="0" w:line="228" w:lineRule="exact"/>
        <w:rPr>
          <w:rFonts w:ascii="Times New Roman" w:cs="Times New Roman" w:eastAsia="Times New Roman" w:hAnsi="Times New Roman"/>
          <w:sz w:val="18"/>
          <w:szCs w:val="18"/>
          <w:color w:val="auto"/>
        </w:rPr>
      </w:pPr>
    </w:p>
    <w:p>
      <w:pPr>
        <w:ind w:left="9" w:firstLine="640"/>
        <w:spacing w:after="0" w:line="282" w:lineRule="auto"/>
        <w:tabs>
          <w:tab w:leader="none" w:pos="11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Any Party’s failure to enforce any provision or provisions of this Agreement will not in any way be construed as a waiver of any such provision or provisions, nor prevent any Party from thereafter enforcing each and every other provision of this Agreement.</w:t>
      </w:r>
    </w:p>
    <w:p>
      <w:pPr>
        <w:spacing w:after="0" w:line="202" w:lineRule="exact"/>
        <w:rPr>
          <w:rFonts w:ascii="Times New Roman" w:cs="Times New Roman" w:eastAsia="Times New Roman" w:hAnsi="Times New Roman"/>
          <w:sz w:val="18"/>
          <w:szCs w:val="18"/>
          <w:color w:val="auto"/>
        </w:rPr>
      </w:pPr>
    </w:p>
    <w:p>
      <w:pPr>
        <w:ind w:left="9" w:firstLine="640"/>
        <w:spacing w:after="0" w:line="282" w:lineRule="auto"/>
        <w:tabs>
          <w:tab w:leader="none" w:pos="11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all of which taken together shall be deemed to constitute one and the same original.</w:t>
      </w:r>
    </w:p>
    <w:p>
      <w:pPr>
        <w:spacing w:after="0" w:line="188" w:lineRule="exact"/>
        <w:rPr>
          <w:rFonts w:ascii="Times New Roman" w:cs="Times New Roman" w:eastAsia="Times New Roman" w:hAnsi="Times New Roman"/>
          <w:sz w:val="18"/>
          <w:szCs w:val="18"/>
          <w:color w:val="auto"/>
        </w:rPr>
      </w:pPr>
    </w:p>
    <w:p>
      <w:pPr>
        <w:ind w:left="9" w:firstLine="640"/>
        <w:spacing w:after="0" w:line="282" w:lineRule="auto"/>
        <w:tabs>
          <w:tab w:leader="none" w:pos="115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otherwise noted in this Agreement, this Agreement shall be construed in accordance with and governed by the laws of Ohio without regard to conflicts of law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68"/>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9"/>
          </w:cols>
          <w:pgMar w:left="471" w:top="1336" w:right="559" w:bottom="1440" w:gutter="0" w:footer="0" w:header="0"/>
        </w:sectPr>
      </w:pPr>
    </w:p>
    <w:bookmarkStart w:id="41" w:name="page42"/>
    <w:bookmarkEnd w:id="41"/>
    <w:p>
      <w:pPr>
        <w:spacing w:after="0" w:line="140" w:lineRule="exact"/>
        <w:rPr>
          <w:sz w:val="20"/>
          <w:szCs w:val="20"/>
          <w:color w:val="auto"/>
        </w:rPr>
      </w:pPr>
    </w:p>
    <w:p>
      <w:pPr>
        <w:ind w:right="220" w:firstLine="640"/>
        <w:spacing w:after="0" w:line="282" w:lineRule="auto"/>
        <w:tabs>
          <w:tab w:leader="none" w:pos="11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269" w:lineRule="exact"/>
        <w:rPr>
          <w:rFonts w:ascii="Times New Roman" w:cs="Times New Roman" w:eastAsia="Times New Roman" w:hAnsi="Times New Roman"/>
          <w:sz w:val="18"/>
          <w:szCs w:val="18"/>
          <w:color w:val="auto"/>
        </w:rPr>
      </w:pPr>
    </w:p>
    <w:p>
      <w:pPr>
        <w:jc w:val="both"/>
        <w:ind w:right="220" w:firstLine="640"/>
        <w:spacing w:after="0" w:line="258" w:lineRule="auto"/>
        <w:tabs>
          <w:tab w:leader="none" w:pos="114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This Agreement is intended to either avoid the application of, or comply with, Section 409A of the Code. To that end, this Agreement shall at all times be interpreted in a manner that is consistent with Section 409A of the Code. Notwithstanding any other provision in this Agreement to the contrary, the Company shall have the right, in its sole discretion, to adopt such amendments to this Agreement or take such other actions (including amendments and actions with retroactive effect) as it determines is necessary or appropriate for this Agreement to comply with Section 409A of the Code. Further:</w:t>
      </w:r>
    </w:p>
    <w:p>
      <w:pPr>
        <w:spacing w:after="0" w:line="210" w:lineRule="exact"/>
        <w:rPr>
          <w:rFonts w:ascii="Times New Roman" w:cs="Times New Roman" w:eastAsia="Times New Roman" w:hAnsi="Times New Roman"/>
          <w:sz w:val="18"/>
          <w:szCs w:val="18"/>
          <w:color w:val="auto"/>
        </w:rPr>
      </w:pPr>
    </w:p>
    <w:p>
      <w:pPr>
        <w:jc w:val="both"/>
        <w:ind w:right="220" w:firstLine="1288"/>
        <w:spacing w:after="0" w:line="258" w:lineRule="auto"/>
        <w:tabs>
          <w:tab w:leader="none" w:pos="179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any costs and expenses by the Company to the Executive under this Agreement shall be made by the Company in no event later than the close of the Executive’s taxable year following the taxable year in which the cost or expense is incurred by the Executive. The expenses incurred by the Executive in any calendar year that are eligible for reimbursement under this Agreement shall not affect the expenses incurred by the Executive in any other calendar year that are eligible for reimbursement hereunder and the Executive’s right to receive any reimbursement hereunder shall not be subject to liquidation or exchange for any other benefit.</w:t>
      </w:r>
    </w:p>
    <w:p>
      <w:pPr>
        <w:spacing w:after="0" w:line="291" w:lineRule="exact"/>
        <w:rPr>
          <w:rFonts w:ascii="Times New Roman" w:cs="Times New Roman" w:eastAsia="Times New Roman" w:hAnsi="Times New Roman"/>
          <w:sz w:val="18"/>
          <w:szCs w:val="18"/>
          <w:color w:val="auto"/>
        </w:rPr>
      </w:pPr>
    </w:p>
    <w:p>
      <w:pPr>
        <w:jc w:val="both"/>
        <w:ind w:right="220" w:firstLine="1288"/>
        <w:spacing w:after="0" w:line="261" w:lineRule="auto"/>
        <w:tabs>
          <w:tab w:leader="none" w:pos="178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following a separation from service that would be subject to Section 409A(a)(2)(A)(i) of the Code as a distribution following a separation from service of a “specified employee” (as defined under Section 409A(a)(2)(B)(i) of the Code) shall be made on the first to occur of (i) ten (10) days after the expiration of the six (6)-month period following such separation from service, (ii) death, or (iii) such earlier date that complies with Section 409A of the Code.</w:t>
      </w:r>
    </w:p>
    <w:p>
      <w:pPr>
        <w:spacing w:after="0" w:line="287" w:lineRule="exact"/>
        <w:rPr>
          <w:rFonts w:ascii="Times New Roman" w:cs="Times New Roman" w:eastAsia="Times New Roman" w:hAnsi="Times New Roman"/>
          <w:sz w:val="18"/>
          <w:szCs w:val="18"/>
          <w:color w:val="auto"/>
        </w:rPr>
      </w:pPr>
    </w:p>
    <w:p>
      <w:pPr>
        <w:ind w:right="220" w:firstLine="1288"/>
        <w:spacing w:after="0" w:line="282" w:lineRule="auto"/>
        <w:tabs>
          <w:tab w:leader="none" w:pos="179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payment that the Executive may receive under this Agreement shall be treated as a “separate payment” for purposes of Section 409A of the Code.</w:t>
      </w:r>
    </w:p>
    <w:p>
      <w:pPr>
        <w:spacing w:after="0" w:line="202" w:lineRule="exact"/>
        <w:rPr>
          <w:rFonts w:ascii="Times New Roman" w:cs="Times New Roman" w:eastAsia="Times New Roman" w:hAnsi="Times New Roman"/>
          <w:sz w:val="18"/>
          <w:szCs w:val="18"/>
          <w:color w:val="auto"/>
        </w:rPr>
      </w:pPr>
    </w:p>
    <w:p>
      <w:pPr>
        <w:jc w:val="both"/>
        <w:ind w:right="220" w:firstLine="1288"/>
        <w:spacing w:after="0" w:line="261" w:lineRule="auto"/>
        <w:tabs>
          <w:tab w:leader="none" w:pos="1789"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termination of employment shall not be deemed to have occurred for purposes of any provision of this Agreement providing for the payment of any amounts or benefits upon or following a termination of employment unless such termination is also a “separation from service” within the meaning of Section 409A of the Code and, for purposes of any such provision of this Agreement, references to a “termination,” “termination of employment,” or like terms shall mean “separation from service.”</w:t>
      </w:r>
    </w:p>
    <w:p>
      <w:pPr>
        <w:spacing w:after="0" w:line="220" w:lineRule="exact"/>
        <w:rPr>
          <w:rFonts w:ascii="Times New Roman" w:cs="Times New Roman" w:eastAsia="Times New Roman" w:hAnsi="Times New Roman"/>
          <w:sz w:val="18"/>
          <w:szCs w:val="18"/>
          <w:color w:val="auto"/>
        </w:rPr>
      </w:pPr>
    </w:p>
    <w:p>
      <w:pPr>
        <w:jc w:val="both"/>
        <w:ind w:right="220" w:firstLine="1288"/>
        <w:spacing w:after="0" w:line="258" w:lineRule="auto"/>
        <w:tabs>
          <w:tab w:leader="none" w:pos="1793"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this Agreement are intended to be exempt from the requirements of Section 409A of the Code to the maximum extent possible, whether pursuant to the short-term deferral exception described in Treasury Regulation Section 1.409A-1(b)(4), the involuntary separation pay plan exception described in Treasury Regulation Section 1.409A- 1(b)(9)(iii), or otherwise. Any payments and benefits provided under this Agreement may be accelerated in time or schedule by the Company, in its sole discretion, to the extent permitted by Section 409A of the Code.</w:t>
      </w:r>
    </w:p>
    <w:p>
      <w:pPr>
        <w:spacing w:after="0" w:line="210" w:lineRule="exact"/>
        <w:rPr>
          <w:rFonts w:ascii="Times New Roman" w:cs="Times New Roman" w:eastAsia="Times New Roman" w:hAnsi="Times New Roman"/>
          <w:sz w:val="18"/>
          <w:szCs w:val="18"/>
          <w:color w:val="auto"/>
        </w:rPr>
      </w:pPr>
    </w:p>
    <w:p>
      <w:pPr>
        <w:ind w:left="1140" w:hanging="482"/>
        <w:spacing w:after="0"/>
        <w:tabs>
          <w:tab w:leader="none" w:pos="114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but not otherwise defined herein have the meanings set forth in this Section 23.</w:t>
      </w:r>
    </w:p>
    <w:p>
      <w:pPr>
        <w:spacing w:after="0" w:line="27" w:lineRule="exact"/>
        <w:rPr>
          <w:rFonts w:ascii="Times New Roman" w:cs="Times New Roman" w:eastAsia="Times New Roman" w:hAnsi="Times New Roman"/>
          <w:sz w:val="18"/>
          <w:szCs w:val="18"/>
          <w:color w:val="auto"/>
        </w:rPr>
      </w:pPr>
    </w:p>
    <w:p>
      <w:pPr>
        <w:ind w:left="1780" w:hanging="474"/>
        <w:spacing w:after="0"/>
        <w:tabs>
          <w:tab w:leader="none" w:pos="1780" w:val="left"/>
        </w:tabs>
        <w:numPr>
          <w:ilvl w:val="3"/>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“2021 Stock Plan” means the Victoria’s Secret &amp; Co. 2021 Stock Option and Performance Incentive Plan, as amended from time</w:t>
      </w:r>
    </w:p>
    <w:p>
      <w:pPr>
        <w:spacing w:after="0" w:line="20" w:lineRule="exact"/>
        <w:rPr>
          <w:rFonts w:ascii="Times New Roman" w:cs="Times New Roman" w:eastAsia="Times New Roman" w:hAnsi="Times New Roman"/>
          <w:sz w:val="17"/>
          <w:szCs w:val="17"/>
          <w:color w:val="auto"/>
        </w:rPr>
      </w:pPr>
    </w:p>
    <w:p>
      <w:pPr>
        <w:ind w:left="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time.</w:t>
      </w:r>
    </w:p>
    <w:p>
      <w:pPr>
        <w:spacing w:after="0" w:line="233" w:lineRule="exact"/>
        <w:rPr>
          <w:rFonts w:ascii="Times New Roman" w:cs="Times New Roman" w:eastAsia="Times New Roman" w:hAnsi="Times New Roman"/>
          <w:sz w:val="17"/>
          <w:szCs w:val="17"/>
          <w:color w:val="auto"/>
        </w:rPr>
      </w:pPr>
    </w:p>
    <w:p>
      <w:pPr>
        <w:jc w:val="both"/>
        <w:ind w:left="20" w:firstLine="1286"/>
        <w:spacing w:after="0" w:line="258" w:lineRule="auto"/>
        <w:tabs>
          <w:tab w:leader="none" w:pos="1796" w:val="left"/>
        </w:tabs>
        <w:numPr>
          <w:ilvl w:val="3"/>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Amounts” means: (i) unpaid Base Salary through the Termination Date; (ii) unreimbursed business expenses incurred by the Executive on behalf of the Company during the term of his employment in accordance with the Company’s standard policies (including expense verification policies) regarding the reimbursement of business expenses, as the same may be modified from time to time; and (iii) any earned compensation which the Executive had previously deferred until termination of employment or which, by operation of the applicable plan and/or deferral election, would cause distribution to occur upon termination of employment (including any interest earned or credited thereon,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480" w:top="1440" w:right="339" w:bottom="1440" w:gutter="0" w:footer="0" w:header="0"/>
        </w:sectPr>
      </w:pPr>
    </w:p>
    <w:bookmarkStart w:id="42" w:name="page43"/>
    <w:bookmarkEnd w:id="42"/>
    <w:p>
      <w:pPr>
        <w:ind w:left="20" w:right="220" w:firstLine="1286"/>
        <w:spacing w:after="0" w:line="282" w:lineRule="auto"/>
        <w:tabs>
          <w:tab w:leader="none" w:pos="179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 means the Executive’s annual base salary in effect as of the Termination Date (without giving effect to any reduction resulting in a Qualifying Termination for Good Reason).</w:t>
      </w:r>
    </w:p>
    <w:p>
      <w:pPr>
        <w:spacing w:after="0" w:line="202" w:lineRule="exact"/>
        <w:rPr>
          <w:rFonts w:ascii="Times New Roman" w:cs="Times New Roman" w:eastAsia="Times New Roman" w:hAnsi="Times New Roman"/>
          <w:sz w:val="18"/>
          <w:szCs w:val="18"/>
          <w:color w:val="auto"/>
        </w:rPr>
      </w:pPr>
    </w:p>
    <w:p>
      <w:pPr>
        <w:jc w:val="both"/>
        <w:ind w:left="20" w:right="220" w:firstLine="1286"/>
        <w:spacing w:after="0" w:line="253" w:lineRule="auto"/>
        <w:tabs>
          <w:tab w:leader="none" w:pos="17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means, as determined by the Company in its sole discretion, that the Executive (i) was grossly negligent in the performance of the Executive’s duties with the Company (other than a failure resulting from the Executive’s incapacity due to physical or mental infirmity); (ii) has pled “guilty” or “no contest” to, or has been convicted of, an act which is defined as a felony under federal or state law; (iii) engaged in misconduct in bad faith that could reasonably be expected to materially harm the Company’s business or its reputation; or (iv) violated a material provision of the Code of Conduct, including, but not limited to, committing Subject Conduct or other violations of the Company’s Discrimination, Anti-Harassment, and Non-Retaliation policies. No event or condition described in subsections (i), (iii) or (iv) of the immediately preceding sentence shall constitute Cause unless (x) the Company provides the Executive a Notice of Termination stating the grounds for such termination; (y) such grounds for termination (if susceptible to correction) are not corrected by the Executive within thirty (30) days of the Executive’s receipt of the Notice of Termination; and (z) the Company terminates the Executive’s employment with the Company (or any of its affiliates) immediately following expiration of such thirty-day (30) period. Notwithstanding anything in this Agreement to the contrary, if the Executive experiences a Termination other than by the Company for Cause, the Company shall have the sole discretion to later use after-acquired evidence to retroactively re-characterize the prior Termination as a Termination for Cause if such after-acquired evidences supports such an action.</w:t>
      </w:r>
    </w:p>
    <w:p>
      <w:pPr>
        <w:spacing w:after="0" w:line="216" w:lineRule="exact"/>
        <w:rPr>
          <w:rFonts w:ascii="Times New Roman" w:cs="Times New Roman" w:eastAsia="Times New Roman" w:hAnsi="Times New Roman"/>
          <w:sz w:val="18"/>
          <w:szCs w:val="18"/>
          <w:color w:val="auto"/>
        </w:rPr>
      </w:pPr>
    </w:p>
    <w:p>
      <w:pPr>
        <w:ind w:left="1780" w:hanging="474"/>
        <w:spacing w:after="0"/>
        <w:tabs>
          <w:tab w:leader="none" w:pos="17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a “Change in Control” under the 2021 Stock Plan</w:t>
      </w:r>
    </w:p>
    <w:p>
      <w:pPr>
        <w:spacing w:after="0" w:line="252" w:lineRule="exact"/>
        <w:rPr>
          <w:rFonts w:ascii="Times New Roman" w:cs="Times New Roman" w:eastAsia="Times New Roman" w:hAnsi="Times New Roman"/>
          <w:sz w:val="18"/>
          <w:szCs w:val="18"/>
          <w:color w:val="auto"/>
        </w:rPr>
      </w:pPr>
    </w:p>
    <w:p>
      <w:pPr>
        <w:ind w:left="20" w:right="220" w:firstLine="1286"/>
        <w:spacing w:after="0" w:line="282" w:lineRule="auto"/>
        <w:tabs>
          <w:tab w:leader="none" w:pos="1793"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Any reference to a section of the Code shall be deemed to include a reference to any regulations promulgated thereunder.</w:t>
      </w:r>
    </w:p>
    <w:p>
      <w:pPr>
        <w:spacing w:after="0" w:line="202" w:lineRule="exact"/>
        <w:rPr>
          <w:rFonts w:ascii="Times New Roman" w:cs="Times New Roman" w:eastAsia="Times New Roman" w:hAnsi="Times New Roman"/>
          <w:sz w:val="18"/>
          <w:szCs w:val="18"/>
          <w:color w:val="auto"/>
        </w:rPr>
      </w:pPr>
    </w:p>
    <w:p>
      <w:pPr>
        <w:ind w:left="1780" w:hanging="474"/>
        <w:spacing w:after="0"/>
        <w:tabs>
          <w:tab w:leader="none" w:pos="17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VS Service Company, LLC, a Delaware limited liability company or its successors and permitted assigns.</w:t>
      </w:r>
    </w:p>
    <w:p>
      <w:pPr>
        <w:spacing w:after="0" w:line="252" w:lineRule="exact"/>
        <w:rPr>
          <w:rFonts w:ascii="Times New Roman" w:cs="Times New Roman" w:eastAsia="Times New Roman" w:hAnsi="Times New Roman"/>
          <w:sz w:val="18"/>
          <w:szCs w:val="18"/>
          <w:color w:val="auto"/>
        </w:rPr>
      </w:pPr>
    </w:p>
    <w:p>
      <w:pPr>
        <w:ind w:left="1780" w:hanging="474"/>
        <w:spacing w:after="0"/>
        <w:tabs>
          <w:tab w:leader="none" w:pos="17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Parties” means VS&amp;Co and its subsidiaries, collectively.</w:t>
      </w:r>
    </w:p>
    <w:p>
      <w:pPr>
        <w:spacing w:after="0" w:line="252" w:lineRule="exact"/>
        <w:rPr>
          <w:rFonts w:ascii="Times New Roman" w:cs="Times New Roman" w:eastAsia="Times New Roman" w:hAnsi="Times New Roman"/>
          <w:sz w:val="18"/>
          <w:szCs w:val="18"/>
          <w:color w:val="auto"/>
        </w:rPr>
      </w:pPr>
    </w:p>
    <w:p>
      <w:pPr>
        <w:ind w:left="20" w:right="160" w:firstLine="1286"/>
        <w:spacing w:after="0" w:line="257" w:lineRule="auto"/>
        <w:tabs>
          <w:tab w:leader="none" w:pos="1796"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means a physical or mental infirmity that impairs the Executive’s ability to substantially perform the Executive’s duties for the Company for a period of at least six (6) months in any twelve (12)-month calendar period as determined in accordance with the long-term disability plan maintained by the Company or its affiliate.</w:t>
      </w:r>
    </w:p>
    <w:p>
      <w:pPr>
        <w:spacing w:after="0" w:line="1" w:lineRule="exact"/>
        <w:rPr>
          <w:rFonts w:ascii="Times New Roman" w:cs="Times New Roman" w:eastAsia="Times New Roman" w:hAnsi="Times New Roman"/>
          <w:sz w:val="18"/>
          <w:szCs w:val="18"/>
          <w:color w:val="auto"/>
        </w:rPr>
      </w:pPr>
    </w:p>
    <w:p>
      <w:pPr>
        <w:ind w:left="1780" w:hanging="474"/>
        <w:spacing w:after="0"/>
        <w:tabs>
          <w:tab w:leader="none" w:pos="178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 Plan” means the incentive compensation plan of the Company (or any of its affiliates) in which the Executive participates as</w:t>
      </w:r>
    </w:p>
    <w:p>
      <w:pPr>
        <w:spacing w:after="0" w:line="9" w:lineRule="exact"/>
        <w:rPr>
          <w:rFonts w:ascii="Times New Roman" w:cs="Times New Roman" w:eastAsia="Times New Roman" w:hAnsi="Times New Roman"/>
          <w:sz w:val="18"/>
          <w:szCs w:val="18"/>
          <w:color w:val="auto"/>
        </w:rPr>
      </w:pPr>
    </w:p>
    <w:p>
      <w:pPr>
        <w:ind w:left="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Termination Date.</w:t>
      </w:r>
    </w:p>
    <w:p>
      <w:pPr>
        <w:spacing w:after="0" w:line="247" w:lineRule="exact"/>
        <w:rPr>
          <w:rFonts w:ascii="Times New Roman" w:cs="Times New Roman" w:eastAsia="Times New Roman" w:hAnsi="Times New Roman"/>
          <w:sz w:val="18"/>
          <w:szCs w:val="18"/>
          <w:color w:val="auto"/>
        </w:rPr>
      </w:pPr>
    </w:p>
    <w:p>
      <w:pPr>
        <w:jc w:val="both"/>
        <w:ind w:right="220" w:firstLine="1287"/>
        <w:spacing w:after="0" w:line="253" w:lineRule="auto"/>
        <w:tabs>
          <w:tab w:leader="none" w:pos="178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(i) a material reduction in the Executive’s positions, duties, authority, responsibilities or reporting requirements; (ii) the failure of the Company to obtain the assumption of its obligation to perform this Agreement by any successor to all or substantially all of the assets of the Company following a merger, consolidation, sale, or similar transaction; (iii) a material reduction in the Executive’s Base Salary or annual bonus opportunity under the IC Plan other than pursuant to an across-the-board reduction applicable to all similarly-situated employees; or (iv) the relocation of the Executive’s principal place of employment from the Columbus, Ohio area. “Good Reason” shall not include acts taken by the Company by reason of the Executive’s physical or mental infirmity which impairs the Executive’s ability to substantially perform his duties. Notwithstanding the foregoing provisions of this definition, any assertion by the Executive of a termination for Good Reason shall not be effective unless all of the following conditions are satisfied: (x) the Executive has provided a written Notice of Termination to the Company including with reasonable detail the facts and circumstances indicating existence of the condition providing grounds for termination for Good Reason within sixty (60) days of the initial existence of such condition becoming known (or should have become known) to him; (y) the condition(s) specified in such notice must remain uncorrected by the Company for thirty (30) days following the Company’s receipt of such written notice; and (z) the Executive terminates his employment immediately following the expiration of such thirty-day (30)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80"/>
          </w:cols>
          <w:pgMar w:left="480" w:top="1336" w:right="339" w:bottom="1440" w:gutter="0" w:footer="0" w:header="0"/>
        </w:sectPr>
      </w:pPr>
    </w:p>
    <w:bookmarkStart w:id="43" w:name="page44"/>
    <w:bookmarkEnd w:id="43"/>
    <w:p>
      <w:pPr>
        <w:jc w:val="both"/>
        <w:ind w:left="-60" w:firstLine="1287"/>
        <w:spacing w:after="0" w:line="261" w:lineRule="auto"/>
        <w:tabs>
          <w:tab w:leader="none" w:pos="173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Termination” means a written notice that (i) indicates the specific termination provision in this Agreement relied upon, if applicable, (ii) to the extent applicable, sets forth in reasonable detail the facts and circumstances claimed to provide a basis for the Executive’s Termination under the provision so indicated, and (iii) if the Termination Date is other than the date of receipt of such notice, specifies the Termination Date.</w:t>
      </w:r>
    </w:p>
    <w:p>
      <w:pPr>
        <w:spacing w:after="0" w:line="220" w:lineRule="exact"/>
        <w:rPr>
          <w:rFonts w:ascii="Times New Roman" w:cs="Times New Roman" w:eastAsia="Times New Roman" w:hAnsi="Times New Roman"/>
          <w:sz w:val="18"/>
          <w:szCs w:val="18"/>
          <w:color w:val="auto"/>
        </w:rPr>
      </w:pPr>
    </w:p>
    <w:p>
      <w:pPr>
        <w:ind w:left="-60" w:firstLine="1287"/>
        <w:spacing w:after="0" w:line="282" w:lineRule="auto"/>
        <w:tabs>
          <w:tab w:leader="none" w:pos="173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Period” means (i) the period beginning three (3) months prior to a Change in Control and ending twenty-four (24) months following a Change in Control.</w:t>
      </w:r>
    </w:p>
    <w:p>
      <w:pPr>
        <w:spacing w:after="0" w:line="188" w:lineRule="exact"/>
        <w:rPr>
          <w:rFonts w:ascii="Times New Roman" w:cs="Times New Roman" w:eastAsia="Times New Roman" w:hAnsi="Times New Roman"/>
          <w:sz w:val="18"/>
          <w:szCs w:val="18"/>
          <w:color w:val="auto"/>
        </w:rPr>
      </w:pPr>
    </w:p>
    <w:p>
      <w:pPr>
        <w:ind w:left="-60" w:firstLine="1288"/>
        <w:spacing w:after="0" w:line="282" w:lineRule="auto"/>
        <w:tabs>
          <w:tab w:leader="none" w:pos="17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“Qualifying Termination” means the Executive’s Termination either: (i) by the Company without Cause; or (ii) by the Executive for Good Reason.</w:t>
      </w:r>
    </w:p>
    <w:p>
      <w:pPr>
        <w:spacing w:after="0" w:line="202" w:lineRule="exact"/>
        <w:rPr>
          <w:rFonts w:ascii="Times New Roman" w:cs="Times New Roman" w:eastAsia="Times New Roman" w:hAnsi="Times New Roman"/>
          <w:sz w:val="18"/>
          <w:szCs w:val="18"/>
          <w:color w:val="auto"/>
        </w:rPr>
      </w:pPr>
    </w:p>
    <w:p>
      <w:pPr>
        <w:jc w:val="both"/>
        <w:ind w:left="-60" w:firstLine="1287"/>
        <w:spacing w:after="0" w:line="266" w:lineRule="auto"/>
        <w:tabs>
          <w:tab w:leader="none" w:pos="17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Conduct” means sexual harassment (including creation of a hostile work environment), gender discrimination and retaliation related to the foregoing or a violation of any policy of the Company (or any of its affiliates) relating to sexual harassment (including creation of a hostile work environment), gender discrimination and retaliation related to the foregoing.</w:t>
      </w:r>
    </w:p>
    <w:p>
      <w:pPr>
        <w:spacing w:after="0" w:line="202" w:lineRule="exact"/>
        <w:rPr>
          <w:rFonts w:ascii="Times New Roman" w:cs="Times New Roman" w:eastAsia="Times New Roman" w:hAnsi="Times New Roman"/>
          <w:sz w:val="18"/>
          <w:szCs w:val="18"/>
          <w:color w:val="auto"/>
        </w:rPr>
      </w:pPr>
    </w:p>
    <w:p>
      <w:pPr>
        <w:ind w:left="-60" w:firstLine="1287"/>
        <w:spacing w:after="0" w:line="282" w:lineRule="auto"/>
        <w:tabs>
          <w:tab w:leader="none" w:pos="17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means the Executive’s termination of employment with the Company, for any reason, whether voluntary or involuntary, provided that such termination constitutes a “separation from service” as defined and applied under Section 409A of the Code.</w:t>
      </w:r>
    </w:p>
    <w:p>
      <w:pPr>
        <w:spacing w:after="0" w:line="188" w:lineRule="exact"/>
        <w:rPr>
          <w:rFonts w:ascii="Times New Roman" w:cs="Times New Roman" w:eastAsia="Times New Roman" w:hAnsi="Times New Roman"/>
          <w:sz w:val="18"/>
          <w:szCs w:val="18"/>
          <w:color w:val="auto"/>
        </w:rPr>
      </w:pPr>
    </w:p>
    <w:p>
      <w:pPr>
        <w:jc w:val="both"/>
        <w:ind w:left="-60" w:firstLine="1287"/>
        <w:spacing w:after="0" w:line="282" w:lineRule="auto"/>
        <w:tabs>
          <w:tab w:leader="none" w:pos="172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Compensation” means any cash-based performance or incentive award paid by or any equity compensation awarded by the Company (or any of its affiliates), including, but not limited to, under the 2021 Stock Plan (and any successor thereto) and the IC Plan.</w:t>
      </w:r>
    </w:p>
    <w:p>
      <w:pPr>
        <w:spacing w:after="0" w:line="188" w:lineRule="exact"/>
        <w:rPr>
          <w:rFonts w:ascii="Times New Roman" w:cs="Times New Roman" w:eastAsia="Times New Roman" w:hAnsi="Times New Roman"/>
          <w:sz w:val="18"/>
          <w:szCs w:val="18"/>
          <w:color w:val="auto"/>
        </w:rPr>
      </w:pPr>
    </w:p>
    <w:p>
      <w:pPr>
        <w:ind w:left="1740" w:hanging="513"/>
        <w:spacing w:after="0"/>
        <w:tabs>
          <w:tab w:leader="none" w:pos="17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“VS&amp;Co” means Victoria’s Secret &amp; Co., a Delaware corporation.</w:t>
      </w:r>
    </w:p>
    <w:p>
      <w:pPr>
        <w:spacing w:after="0" w:line="23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00"/>
          </w:cols>
          <w:pgMar w:left="540" w:top="1336" w:right="559" w:bottom="1440" w:gutter="0" w:footer="0" w:header="0"/>
        </w:sectPr>
      </w:pPr>
    </w:p>
    <w:bookmarkStart w:id="44" w:name="page45"/>
    <w:bookmarkEnd w:id="44"/>
    <w:p>
      <w:pPr>
        <w:spacing w:after="0" w:line="22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Agreement to be executed by its duly authorized officer and the Executive has executed this Agreement as of the day and year written above.</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LUCRECIA BORGONOVO</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5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Lucrecia Borgonovo</w:t>
            </w:r>
          </w:p>
        </w:tc>
        <w:tc>
          <w:tcPr>
            <w:tcW w:w="1620" w:type="dxa"/>
            <w:vAlign w:val="bottom"/>
          </w:tcPr>
          <w:p>
            <w:pPr>
              <w:spacing w:after="0"/>
              <w:rPr>
                <w:sz w:val="20"/>
                <w:szCs w:val="20"/>
                <w:color w:val="auto"/>
              </w:rPr>
            </w:pPr>
          </w:p>
        </w:tc>
        <w:tc>
          <w:tcPr>
            <w:tcW w:w="1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1/23/2026</w:t>
            </w:r>
          </w:p>
        </w:tc>
      </w:tr>
      <w:tr>
        <w:trPr>
          <w:trHeight w:val="745"/>
        </w:trPr>
        <w:tc>
          <w:tcPr>
            <w:tcW w:w="6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VS SERVICE COMPANY, LLC</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r>
      <w:tr>
        <w:trPr>
          <w:trHeight w:val="234"/>
        </w:trPr>
        <w:tc>
          <w:tcPr>
            <w:tcW w:w="6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By: /s/ Melinda McAfee</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1/23/2026</w:t>
            </w:r>
          </w:p>
        </w:tc>
      </w:tr>
      <w:tr>
        <w:trPr>
          <w:trHeight w:val="218"/>
        </w:trPr>
        <w:tc>
          <w:tcPr>
            <w:tcW w:w="460" w:type="dxa"/>
            <w:vAlign w:val="bottom"/>
          </w:tcPr>
          <w:p>
            <w:pPr>
              <w:spacing w:after="0"/>
              <w:rPr>
                <w:sz w:val="18"/>
                <w:szCs w:val="18"/>
                <w:color w:val="auto"/>
              </w:rPr>
            </w:pPr>
          </w:p>
        </w:tc>
        <w:tc>
          <w:tcPr>
            <w:tcW w:w="4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Melinda McAfee</w:t>
            </w:r>
          </w:p>
        </w:tc>
        <w:tc>
          <w:tcPr>
            <w:tcW w:w="16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34"/>
        </w:trPr>
        <w:tc>
          <w:tcPr>
            <w:tcW w:w="460" w:type="dxa"/>
            <w:vAlign w:val="bottom"/>
          </w:tcPr>
          <w:p>
            <w:pPr>
              <w:spacing w:after="0"/>
              <w:rPr>
                <w:sz w:val="20"/>
                <w:szCs w:val="20"/>
                <w:color w:val="auto"/>
              </w:rPr>
            </w:pPr>
          </w:p>
        </w:tc>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Human Resources and Chief Legal Officer</w:t>
            </w: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60"/>
          </w:cols>
          <w:pgMar w:left="480" w:top="1440" w:right="55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Hillary Super, certify that:</w:t>
      </w:r>
    </w:p>
    <w:p>
      <w:pPr>
        <w:spacing w:after="0" w:line="234"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ectPr>
          <w:pgSz w:w="11900" w:h="16838" w:orient="portrait"/>
          <w:cols w:equalWidth="0" w:num="1">
            <w:col w:w="11240"/>
          </w:cols>
          <w:pgMar w:left="320" w:top="11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Sekella, certify that:</w:t>
      </w:r>
    </w:p>
    <w:p>
      <w:pPr>
        <w:spacing w:after="0" w:line="234"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ectPr>
          <w:pgSz w:w="11900" w:h="16838" w:orient="portrait"/>
          <w:cols w:equalWidth="0" w:num="1">
            <w:col w:w="11240"/>
          </w:cols>
          <w:pgMar w:left="320" w:top="11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Hillary Super, the Chief Executive Officer, and Scott Sekella, the Chief Financial and Operating Officer, of Victoria’s Secret &amp; Co. (the “Company”), each certifies that, to the best of her or his knowledge:</w:t>
      </w:r>
    </w:p>
    <w:p>
      <w:pPr>
        <w:spacing w:after="0" w:line="67" w:lineRule="exact"/>
        <w:rPr>
          <w:sz w:val="20"/>
          <w:szCs w:val="20"/>
          <w:color w:val="auto"/>
        </w:rPr>
      </w:pPr>
    </w:p>
    <w:p>
      <w:pPr>
        <w:ind w:left="660" w:right="80" w:hanging="328"/>
        <w:spacing w:after="0" w:line="271" w:lineRule="auto"/>
        <w:tabs>
          <w:tab w:leader="none" w:pos="65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Quarterly Report of the Company on Form 10-Q dated June 5, 2026 for the period ended May 2, 2026 (the “Form 10-Q”), fully complies with the requirements of Section 13(a) or 15(d) of the Securities Exchange Act of 1934; and</w:t>
      </w:r>
    </w:p>
    <w:p>
      <w:pPr>
        <w:spacing w:after="0" w:line="60" w:lineRule="exact"/>
        <w:rPr>
          <w:rFonts w:ascii="Times New Roman" w:cs="Times New Roman" w:eastAsia="Times New Roman" w:hAnsi="Times New Roman"/>
          <w:sz w:val="20"/>
          <w:szCs w:val="20"/>
          <w:color w:val="auto"/>
        </w:rPr>
      </w:pPr>
    </w:p>
    <w:p>
      <w:pPr>
        <w:ind w:left="660" w:right="680" w:hanging="328"/>
        <w:spacing w:after="0" w:line="282" w:lineRule="auto"/>
        <w:tabs>
          <w:tab w:leader="none" w:pos="6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
      <w:numFmt w:val="bullet"/>
      <w:start w:val="1"/>
    </w:lvl>
    <w:lvl w:ilvl="1">
      <w:lvlJc w:val="left"/>
      <w:lvlText w:val="•"/>
      <w:numFmt w:val="bullet"/>
      <w:start w:val="1"/>
    </w:lvl>
  </w:abstractNum>
  <w:abstractNum w:abstractNumId="11">
    <w:nsid w:val="1E7FF521"/>
    <w:multiLevelType w:val="hybridMultilevel"/>
    <w:lvl w:ilvl="0">
      <w:lvlJc w:val="left"/>
      <w:lvlText w:val="•"/>
      <w:numFmt w:val="bullet"/>
      <w:start w:val="1"/>
    </w:lvl>
  </w:abstractNum>
  <w:abstractNum w:abstractNumId="12">
    <w:nsid w:val="7C3DBD3D"/>
    <w:multiLevelType w:val="hybridMultilevel"/>
    <w:lvl w:ilvl="0">
      <w:lvlJc w:val="left"/>
      <w:lvlText w:val="•"/>
      <w:numFmt w:val="bullet"/>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1"/>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1."/>
      <w:numFmt w:val="decimal"/>
      <w:start w:val="1"/>
    </w:lvl>
    <w:lvl w:ilvl="1">
      <w:lvlJc w:val="left"/>
      <w:lvlText w:val="(%2)"/>
      <w:numFmt w:val="lowerLetter"/>
      <w:start w:val="1"/>
    </w:lvl>
  </w:abstractNum>
  <w:abstractNum w:abstractNumId="25">
    <w:nsid w:val="7724C67E"/>
    <w:multiLevelType w:val="hybridMultilevel"/>
    <w:lvl w:ilvl="0">
      <w:lvlJc w:val="left"/>
      <w:lvlText w:val="%1"/>
      <w:numFmt w:val="decimal"/>
      <w:start w:val="1"/>
    </w:lvl>
    <w:lvl w:ilvl="1">
      <w:lvlJc w:val="left"/>
      <w:lvlText w:val="(%2)"/>
      <w:numFmt w:val="lowerLetter"/>
      <w:start w:val="2"/>
    </w:lvl>
  </w:abstractNum>
  <w:abstractNum w:abstractNumId="26">
    <w:nsid w:val="5C482A97"/>
    <w:multiLevelType w:val="hybridMultilevel"/>
    <w:lvl w:ilvl="0">
      <w:lvlJc w:val="left"/>
      <w:lvlText w:val="%1."/>
      <w:numFmt w:val="decimal"/>
      <w:start w:val="4"/>
    </w:lvl>
    <w:lvl w:ilvl="1">
      <w:lvlJc w:val="left"/>
      <w:lvlText w:val="(%2)"/>
      <w:numFmt w:val="lowerLetter"/>
      <w:start w:val="1"/>
    </w:lvl>
  </w:abstractNum>
  <w:abstractNum w:abstractNumId="27">
    <w:nsid w:val="2463B9EA"/>
    <w:multiLevelType w:val="hybridMultilevel"/>
    <w:lvl w:ilvl="0">
      <w:lvlJc w:val="left"/>
      <w:lvlText w:val="(%1)"/>
      <w:numFmt w:val="lowerRoman"/>
      <w:start w:val="1"/>
    </w:lvl>
  </w:abstractNum>
  <w:abstractNum w:abstractNumId="28">
    <w:nsid w:val="5E884A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29">
    <w:nsid w:val="51EAD36B"/>
    <w:multiLevelType w:val="hybridMultilevel"/>
    <w:lvl w:ilvl="0">
      <w:lvlJc w:val="left"/>
      <w:lvlText w:val="(%1)"/>
      <w:numFmt w:val="decimal"/>
      <w:start w:val="60"/>
    </w:lvl>
    <w:lvl w:ilvl="1">
      <w:lvlJc w:val="left"/>
      <w:lvlText w:val="%2."/>
      <w:numFmt w:val="decimal"/>
      <w:start w:val="4"/>
    </w:lvl>
    <w:lvl w:ilvl="2">
      <w:lvlJc w:val="left"/>
      <w:lvlText w:val="(%3)"/>
      <w:numFmt w:val="lowerLetter"/>
      <w:start w:val="1"/>
    </w:lvl>
    <w:lvl w:ilvl="3">
      <w:lvlJc w:val="left"/>
      <w:lvlText w:val="(%4)"/>
      <w:numFmt w:val="lowerRoman"/>
      <w:start w:val="3"/>
    </w:lvl>
  </w:abstractNum>
  <w:abstractNum w:abstractNumId="30">
    <w:nsid w:val="2D517796"/>
    <w:multiLevelType w:val="hybridMultilevel"/>
    <w:lvl w:ilvl="0">
      <w:lvlJc w:val="left"/>
      <w:lvlText w:val="(%1)"/>
      <w:numFmt w:val="lowerLetter"/>
      <w:start w:val="3"/>
    </w:lvl>
  </w:abstractNum>
  <w:abstractNum w:abstractNumId="31">
    <w:nsid w:val="580BD78F"/>
    <w:multiLevelType w:val="hybridMultilevel"/>
    <w:lvl w:ilvl="0">
      <w:lvlJc w:val="left"/>
      <w:lvlText w:val="%1."/>
      <w:numFmt w:val="decimal"/>
      <w:start w:val="6"/>
    </w:lvl>
    <w:lvl w:ilvl="1">
      <w:lvlJc w:val="left"/>
      <w:lvlText w:val="(%2)"/>
      <w:numFmt w:val="lowerLetter"/>
      <w:start w:val="1"/>
    </w:lvl>
  </w:abstractNum>
  <w:abstractNum w:abstractNumId="32">
    <w:nsid w:val="153EA438"/>
    <w:multiLevelType w:val="hybridMultilevel"/>
    <w:lvl w:ilvl="0">
      <w:lvlJc w:val="left"/>
      <w:lvlText w:val="%1"/>
      <w:numFmt w:val="decimal"/>
      <w:start w:val="1"/>
    </w:lvl>
    <w:lvl w:ilvl="1">
      <w:lvlJc w:val="left"/>
      <w:lvlText w:val="(%2)"/>
      <w:numFmt w:val="lowerLetter"/>
      <w:start w:val="4"/>
    </w:lvl>
  </w:abstractNum>
  <w:abstractNum w:abstractNumId="33">
    <w:nsid w:val="3855585C"/>
    <w:multiLevelType w:val="hybridMultilevel"/>
    <w:lvl w:ilvl="0">
      <w:lvlJc w:val="left"/>
      <w:lvlText w:val="%1."/>
      <w:numFmt w:val="decimal"/>
      <w:start w:val="8"/>
    </w:lvl>
    <w:lvl w:ilvl="1">
      <w:lvlJc w:val="left"/>
      <w:lvlText w:val="(%2)"/>
      <w:numFmt w:val="lowerLetter"/>
      <w:start w:val="1"/>
    </w:lvl>
  </w:abstractNum>
  <w:abstractNum w:abstractNumId="34">
    <w:nsid w:val="70A64E2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35">
    <w:nsid w:val="6A2342EC"/>
    <w:multiLevelType w:val="hybridMultilevel"/>
    <w:lvl w:ilvl="0">
      <w:lvlJc w:val="left"/>
      <w:lvlText w:val="%1"/>
      <w:numFmt w:val="lowerLetter"/>
      <w:start w:val="1"/>
    </w:lvl>
    <w:lvl w:ilvl="1">
      <w:lvlJc w:val="left"/>
      <w:lvlText w:val="(%2)"/>
      <w:numFmt w:val="lowerRoman"/>
      <w:start w:val="4"/>
    </w:lvl>
  </w:abstractNum>
  <w:abstractNum w:abstractNumId="36">
    <w:nsid w:val="2A487CB0"/>
    <w:multiLevelType w:val="hybridMultilevel"/>
    <w:lvl w:ilvl="0">
      <w:lvlJc w:val="left"/>
      <w:lvlText w:val="(%1)"/>
      <w:numFmt w:val="lowerLetter"/>
      <w:start w:val="3"/>
    </w:lvl>
    <w:lvl w:ilvl="1">
      <w:lvlJc w:val="left"/>
      <w:lvlText w:val="%2"/>
      <w:numFmt w:val="lowerRoman"/>
      <w:start w:val="1"/>
    </w:lvl>
  </w:abstractNum>
  <w:abstractNum w:abstractNumId="37">
    <w:nsid w:val="1D4ED43B"/>
    <w:multiLevelType w:val="hybridMultilevel"/>
    <w:lvl w:ilvl="0">
      <w:lvlJc w:val="left"/>
      <w:lvlText w:val="%1"/>
      <w:numFmt w:val="decimal"/>
      <w:start w:val="1"/>
    </w:lvl>
    <w:lvl w:ilvl="1">
      <w:lvlJc w:val="left"/>
      <w:lvlText w:val="(%2)"/>
      <w:numFmt w:val="lowerLetter"/>
      <w:start w:val="6"/>
    </w:lvl>
  </w:abstractNum>
  <w:abstractNum w:abstractNumId="38">
    <w:nsid w:val="725A06FB"/>
    <w:multiLevelType w:val="hybridMultilevel"/>
    <w:lvl w:ilvl="0">
      <w:lvlJc w:val="left"/>
      <w:lvlText w:val="%1."/>
      <w:numFmt w:val="decimal"/>
      <w:start w:val="10"/>
    </w:lvl>
    <w:lvl w:ilvl="1">
      <w:lvlJc w:val="left"/>
      <w:lvlText w:val="%2"/>
      <w:numFmt w:val="lowerLetter"/>
      <w:start w:val="1"/>
    </w:lvl>
  </w:abstractNum>
  <w:abstractNum w:abstractNumId="39">
    <w:nsid w:val="2CD89A32"/>
    <w:multiLevelType w:val="hybridMultilevel"/>
    <w:lvl w:ilvl="0">
      <w:lvlJc w:val="left"/>
      <w:lvlText w:val="%1."/>
      <w:numFmt w:val="decimal"/>
      <w:start w:val="13"/>
    </w:lvl>
  </w:abstractNum>
  <w:abstractNum w:abstractNumId="40">
    <w:nsid w:val="57E4CCAF"/>
    <w:multiLevelType w:val="hybridMultilevel"/>
    <w:lvl w:ilvl="0">
      <w:lvlJc w:val="left"/>
      <w:lvlText w:val="%1"/>
      <w:numFmt w:val="lowerRoman"/>
      <w:start w:val="1"/>
    </w:lvl>
    <w:lvl w:ilvl="1">
      <w:lvlJc w:val="left"/>
      <w:lvlText w:val="%2."/>
      <w:numFmt w:val="decimal"/>
      <w:start w:val="17"/>
    </w:lvl>
  </w:abstractNum>
  <w:abstractNum w:abstractNumId="41">
    <w:nsid w:val="7A6D8D3C"/>
    <w:multiLevelType w:val="hybridMultilevel"/>
    <w:lvl w:ilvl="0">
      <w:lvlJc w:val="left"/>
      <w:lvlText w:val="(%1)"/>
      <w:numFmt w:val="lowerRoman"/>
      <w:start w:val="1"/>
    </w:lvl>
    <w:lvl w:ilvl="1">
      <w:lvlJc w:val="left"/>
      <w:lvlText w:val="%2."/>
      <w:numFmt w:val="decimal"/>
      <w:start w:val="18"/>
    </w:lvl>
  </w:abstractNum>
  <w:abstractNum w:abstractNumId="42">
    <w:nsid w:val="4B588F54"/>
    <w:multiLevelType w:val="hybridMultilevel"/>
    <w:lvl w:ilvl="0">
      <w:lvlJc w:val="left"/>
      <w:lvlText w:val="%1."/>
      <w:numFmt w:val="decimal"/>
      <w:start w:val="21"/>
    </w:lvl>
    <w:lvl w:ilvl="1">
      <w:lvlJc w:val="left"/>
      <w:lvlText w:val="%2."/>
      <w:numFmt w:val="decimal"/>
      <w:start w:val="22"/>
    </w:lvl>
    <w:lvl w:ilvl="2">
      <w:lvlJc w:val="left"/>
      <w:lvlText w:val="(%3)"/>
      <w:numFmt w:val="lowerLetter"/>
      <w:start w:val="1"/>
    </w:lvl>
    <w:lvl w:ilvl="3">
      <w:lvlJc w:val="left"/>
      <w:lvlText w:val="(%4)"/>
      <w:numFmt w:val="lowerLetter"/>
      <w:start w:val="1"/>
    </w:lvl>
  </w:abstractNum>
  <w:abstractNum w:abstractNumId="43">
    <w:nsid w:val="542289EC"/>
    <w:multiLevelType w:val="hybridMultilevel"/>
    <w:lvl w:ilvl="0">
      <w:lvlJc w:val="left"/>
      <w:lvlText w:val="(%1)"/>
      <w:numFmt w:val="lowerLetter"/>
      <w:start w:val="3"/>
    </w:lvl>
    <w:lvl w:ilvl="1">
      <w:lvlJc w:val="left"/>
      <w:lvlText w:val="(%2)"/>
      <w:numFmt w:val="lowerLetter"/>
      <w:start w:val="4"/>
    </w:lvl>
  </w:abstractNum>
  <w:abstractNum w:abstractNumId="44">
    <w:nsid w:val="6DE91B18"/>
    <w:multiLevelType w:val="hybridMultilevel"/>
    <w:lvl w:ilvl="0">
      <w:lvlJc w:val="left"/>
      <w:lvlText w:val="(%1)"/>
      <w:numFmt w:val="lowerLetter"/>
      <w:start w:val="11"/>
    </w:lvl>
    <w:lvl w:ilvl="1">
      <w:lvlJc w:val="left"/>
      <w:lvlText w:val="%2"/>
      <w:numFmt w:val="lowerLetter"/>
      <w:start w:val="1"/>
    </w:lvl>
  </w:abstractNum>
  <w:abstractNum w:abstractNumId="45">
    <w:nsid w:val="38437FDB"/>
    <w:multiLevelType w:val="hybridMultilevel"/>
    <w:lvl w:ilvl="0">
      <w:lvlJc w:val="left"/>
      <w:lvlText w:val="(%1)"/>
      <w:numFmt w:val="lowerLetter"/>
      <w:start w:val="12"/>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46" Type="http://schemas.openxmlformats.org/officeDocument/2006/relationships/hyperlink" Target="https://www.sec.gov/Archives/edgar/data/1856437/000185643724000018/ex31vsco-61420248xk.htm" TargetMode="External"/><Relationship Id="rId47" Type="http://schemas.openxmlformats.org/officeDocument/2006/relationships/hyperlink" Target="https://www.sec.gov/Archives/edgar/data/1856437/000185643723000013/vsco-1282023x10kex32.htm" TargetMode="External"/><Relationship Id="rId48" Type="http://schemas.openxmlformats.org/officeDocument/2006/relationships/hyperlink" Target="https://www.sec.gov/Archives/edgar/data/1856437/000185643725000013/ex31vsco5202025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2026-06-05T06:18:55Z</dcterms:created>
  <dcterms:modified xsi:type="dcterms:W3CDTF">2026-06-05T06:18:55Z</dcterms:modified>
</cp:coreProperties>
</file>